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charts/chart8.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5C75" w14:textId="721BA1BF" w:rsidR="00D245D9" w:rsidRPr="00051CB3" w:rsidRDefault="004A0E7D" w:rsidP="00051CB3">
      <w:pPr>
        <w:pStyle w:val="Tertiarytitle"/>
        <w:spacing w:after="0"/>
        <w:ind w:right="2894"/>
        <w:rPr>
          <w:b w:val="0"/>
          <w:bCs/>
        </w:rPr>
      </w:pPr>
      <w:r w:rsidRPr="00051CB3">
        <w:rPr>
          <w:b w:val="0"/>
          <w:bCs/>
        </w:rPr>
        <w:t>2024</w:t>
      </w:r>
      <w:r w:rsidR="007D536F" w:rsidRPr="00051CB3">
        <w:rPr>
          <w:b w:val="0"/>
          <w:bCs/>
        </w:rPr>
        <w:t>-</w:t>
      </w:r>
      <w:r w:rsidR="00B53E1B" w:rsidRPr="00051CB3">
        <w:rPr>
          <w:b w:val="0"/>
          <w:bCs/>
        </w:rPr>
        <w:t>2</w:t>
      </w:r>
      <w:r w:rsidR="00CB432E" w:rsidRPr="00051CB3">
        <w:rPr>
          <w:b w:val="0"/>
          <w:bCs/>
        </w:rPr>
        <w:t>5</w:t>
      </w:r>
    </w:p>
    <w:p w14:paraId="3E54AE71" w14:textId="1A3BEAAE" w:rsidR="007D536F" w:rsidRPr="007D536F" w:rsidRDefault="007D536F" w:rsidP="00051CB3">
      <w:pPr>
        <w:pStyle w:val="Title"/>
        <w:spacing w:before="0"/>
        <w:ind w:right="2894"/>
        <w:rPr>
          <w:sz w:val="52"/>
          <w:szCs w:val="52"/>
        </w:rPr>
      </w:pPr>
      <w:r w:rsidRPr="007D536F">
        <w:rPr>
          <w:sz w:val="52"/>
          <w:szCs w:val="52"/>
        </w:rPr>
        <w:t>Model Report for Victorian Government Departments</w:t>
      </w:r>
    </w:p>
    <w:p w14:paraId="0D56ECF6" w14:textId="7FCEB405" w:rsidR="00BD37C2" w:rsidRDefault="0050658F" w:rsidP="00886C99">
      <w:pPr>
        <w:pStyle w:val="Subtitle"/>
        <w:tabs>
          <w:tab w:val="left" w:pos="4820"/>
        </w:tabs>
      </w:pPr>
      <w:bookmarkStart w:id="0" w:name="_Hlk49853564"/>
      <w:r>
        <w:t xml:space="preserve">Part </w:t>
      </w:r>
      <w:r w:rsidR="004A0E7D">
        <w:t xml:space="preserve">one </w:t>
      </w:r>
    </w:p>
    <w:p w14:paraId="5C3BC13C" w14:textId="718F696C" w:rsidR="003719CD" w:rsidRPr="007F16BF" w:rsidRDefault="00BD37C2" w:rsidP="00886C99">
      <w:pPr>
        <w:pStyle w:val="Subtitle"/>
        <w:tabs>
          <w:tab w:val="left" w:pos="4820"/>
        </w:tabs>
      </w:pPr>
      <w:r>
        <w:t xml:space="preserve">Introduction and the </w:t>
      </w:r>
      <w:r w:rsidR="00E11D50">
        <w:br/>
      </w:r>
      <w:r>
        <w:t xml:space="preserve">Model </w:t>
      </w:r>
      <w:r w:rsidR="00DD470D">
        <w:t>r</w:t>
      </w:r>
      <w:r>
        <w:t>eport of</w:t>
      </w:r>
      <w:r w:rsidR="004A0E7D">
        <w:t> </w:t>
      </w:r>
      <w:r w:rsidR="00DD470D">
        <w:t>o</w:t>
      </w:r>
      <w:r>
        <w:t>perations</w:t>
      </w:r>
    </w:p>
    <w:p w14:paraId="7B7102A5" w14:textId="77777777" w:rsidR="003719CD" w:rsidRPr="00B2671F" w:rsidRDefault="003719CD" w:rsidP="003719CD">
      <w:pPr>
        <w:pStyle w:val="CoverSpacer"/>
      </w:pPr>
    </w:p>
    <w:bookmarkEnd w:id="0"/>
    <w:p w14:paraId="397F6AB4" w14:textId="77777777" w:rsidR="003719CD" w:rsidRDefault="003719CD" w:rsidP="003719CD">
      <w:pPr>
        <w:pStyle w:val="CoverSpacer"/>
        <w:sectPr w:rsidR="003719CD" w:rsidSect="003719CD">
          <w:headerReference w:type="default" r:id="rId13"/>
          <w:footerReference w:type="even" r:id="rId14"/>
          <w:footerReference w:type="default" r:id="rId15"/>
          <w:footerReference w:type="first" r:id="rId16"/>
          <w:pgSz w:w="11906" w:h="16838" w:code="9"/>
          <w:pgMar w:top="1627" w:right="1440" w:bottom="1440" w:left="1440" w:header="706" w:footer="461" w:gutter="0"/>
          <w:pgNumType w:fmt="lowerRoman" w:start="1"/>
          <w:cols w:space="708"/>
          <w:vAlign w:val="bottom"/>
          <w:docGrid w:linePitch="360"/>
        </w:sectPr>
      </w:pPr>
    </w:p>
    <w:p w14:paraId="682D517B" w14:textId="77777777" w:rsidR="003719CD" w:rsidRDefault="003719CD" w:rsidP="003719CD">
      <w:pPr>
        <w:pStyle w:val="NormalTight"/>
      </w:pPr>
    </w:p>
    <w:p w14:paraId="2D9BD093" w14:textId="74888091" w:rsidR="003719CD" w:rsidRPr="00C92338" w:rsidRDefault="003719CD" w:rsidP="003719CD">
      <w:pPr>
        <w:pStyle w:val="Insidecoverspacer"/>
        <w:spacing w:before="3000"/>
      </w:pPr>
    </w:p>
    <w:p w14:paraId="4D9D58AA" w14:textId="77777777" w:rsidR="003719CD" w:rsidRPr="00C92338" w:rsidRDefault="003719CD" w:rsidP="003719CD">
      <w:pPr>
        <w:pStyle w:val="NormalTight"/>
      </w:pPr>
      <w:r w:rsidRPr="00C92338">
        <w:t>The Secretary</w:t>
      </w:r>
    </w:p>
    <w:p w14:paraId="285F539E" w14:textId="77777777" w:rsidR="003719CD" w:rsidRPr="00C92338" w:rsidRDefault="003719CD" w:rsidP="003719CD">
      <w:pPr>
        <w:pStyle w:val="NormalTight"/>
      </w:pPr>
      <w:r w:rsidRPr="00C92338">
        <w:t>Department of Treasury and Finance</w:t>
      </w:r>
    </w:p>
    <w:p w14:paraId="6C17906A" w14:textId="77777777" w:rsidR="003719CD" w:rsidRPr="00C92338" w:rsidRDefault="003719CD" w:rsidP="003719CD">
      <w:pPr>
        <w:pStyle w:val="NormalTight"/>
      </w:pPr>
      <w:r w:rsidRPr="00C92338">
        <w:t>1 Treasury Place</w:t>
      </w:r>
    </w:p>
    <w:p w14:paraId="5F0C1F4D" w14:textId="77777777" w:rsidR="003719CD" w:rsidRPr="00C92338" w:rsidRDefault="003719CD" w:rsidP="003719CD">
      <w:pPr>
        <w:pStyle w:val="NormalTight"/>
      </w:pPr>
      <w:r w:rsidRPr="00C92338">
        <w:t>Melbourne Victoria 3002</w:t>
      </w:r>
    </w:p>
    <w:p w14:paraId="6F19C348" w14:textId="77777777" w:rsidR="003719CD" w:rsidRPr="00C92338" w:rsidRDefault="003719CD" w:rsidP="003719CD">
      <w:pPr>
        <w:pStyle w:val="NormalTight"/>
      </w:pPr>
      <w:r w:rsidRPr="00C92338">
        <w:t>Australia</w:t>
      </w:r>
    </w:p>
    <w:p w14:paraId="4A659A17" w14:textId="77777777" w:rsidR="003719CD" w:rsidRPr="00C92338" w:rsidRDefault="003719CD" w:rsidP="003719CD">
      <w:pPr>
        <w:pStyle w:val="NormalTight"/>
      </w:pPr>
      <w:r w:rsidRPr="00C92338">
        <w:t>Telephone: +61 3 9651 5111</w:t>
      </w:r>
    </w:p>
    <w:p w14:paraId="36D544CA" w14:textId="77777777" w:rsidR="003719CD" w:rsidRPr="00C92338" w:rsidRDefault="003719CD" w:rsidP="003719CD">
      <w:pPr>
        <w:pStyle w:val="NormalTight"/>
      </w:pPr>
      <w:r w:rsidRPr="00C92338">
        <w:t>dtf.vic.gov.au</w:t>
      </w:r>
    </w:p>
    <w:p w14:paraId="2EBCCA75" w14:textId="77777777" w:rsidR="003719CD" w:rsidRPr="00C92338" w:rsidRDefault="003719CD" w:rsidP="003719CD">
      <w:pPr>
        <w:pStyle w:val="NormalTight"/>
      </w:pPr>
    </w:p>
    <w:p w14:paraId="1BAFB283" w14:textId="77777777" w:rsidR="003719CD" w:rsidRPr="00C92338" w:rsidRDefault="003719CD" w:rsidP="003719CD">
      <w:pPr>
        <w:pStyle w:val="NormalTight"/>
      </w:pPr>
      <w:r w:rsidRPr="00C92338">
        <w:t>Authorised by the Victorian Government</w:t>
      </w:r>
    </w:p>
    <w:p w14:paraId="3E60146C" w14:textId="77777777" w:rsidR="003719CD" w:rsidRPr="00C92338" w:rsidRDefault="003719CD" w:rsidP="003719CD">
      <w:pPr>
        <w:pStyle w:val="NormalTight"/>
      </w:pPr>
      <w:r w:rsidRPr="00C92338">
        <w:t>1 Treasury Place, Melbourne, 3002</w:t>
      </w:r>
    </w:p>
    <w:p w14:paraId="100326BE" w14:textId="77777777" w:rsidR="003719CD" w:rsidRPr="00C92338" w:rsidRDefault="003719CD" w:rsidP="003719CD">
      <w:pPr>
        <w:pStyle w:val="NormalTight"/>
      </w:pPr>
    </w:p>
    <w:p w14:paraId="63F21014" w14:textId="3ED8DC9C" w:rsidR="003719CD" w:rsidRDefault="003719CD" w:rsidP="003719CD">
      <w:r w:rsidRPr="00BC3B6F">
        <w:t xml:space="preserve">© State of Victoria </w:t>
      </w:r>
      <w:r w:rsidRPr="00BC3B6F">
        <w:fldChar w:fldCharType="begin"/>
      </w:r>
      <w:r w:rsidRPr="00BC3B6F">
        <w:instrText xml:space="preserve"> DATE  \@ "yyyy" </w:instrText>
      </w:r>
      <w:r w:rsidRPr="00BC3B6F">
        <w:fldChar w:fldCharType="separate"/>
      </w:r>
      <w:r w:rsidR="00573DAE">
        <w:rPr>
          <w:noProof/>
        </w:rPr>
        <w:t>2025</w:t>
      </w:r>
      <w:r w:rsidRPr="00BC3B6F">
        <w:fldChar w:fldCharType="end"/>
      </w:r>
    </w:p>
    <w:p w14:paraId="585FACED" w14:textId="77777777" w:rsidR="003719CD" w:rsidRPr="00C92338" w:rsidRDefault="003719CD" w:rsidP="003719CD">
      <w:r w:rsidRPr="00C92338">
        <w:rPr>
          <w:noProof/>
        </w:rPr>
        <w:drawing>
          <wp:inline distT="0" distB="0" distL="0" distR="0" wp14:anchorId="5BAE9842" wp14:editId="5413F36B">
            <wp:extent cx="1117460" cy="390972"/>
            <wp:effectExtent l="0" t="0" r="6985" b="9525"/>
            <wp:docPr id="25" name="Picture 2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6979DBE2" w14:textId="26455433" w:rsidR="003719CD" w:rsidRPr="00C92338" w:rsidRDefault="003719CD" w:rsidP="003719CD">
      <w:pPr>
        <w:pStyle w:val="NormalTight"/>
      </w:pPr>
      <w:r w:rsidRPr="00C92338">
        <w:t xml:space="preserve">You are free to re-use this work under a </w:t>
      </w:r>
      <w:hyperlink r:id="rId19" w:history="1">
        <w:r w:rsidRPr="00C92338">
          <w:rPr>
            <w:rStyle w:val="Hyperlink"/>
            <w:rFonts w:eastAsiaTheme="majorEastAsia"/>
          </w:rPr>
          <w:t>Creative Commons Attribution 4.0 licence</w:t>
        </w:r>
      </w:hyperlink>
      <w:r w:rsidRPr="00C92338">
        <w:rPr>
          <w:rStyle w:val="Hyperlink"/>
          <w:rFonts w:eastAsiaTheme="majorEastAsia"/>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02F55A80" w14:textId="77777777" w:rsidR="003719CD" w:rsidRPr="00C92338" w:rsidRDefault="003719CD" w:rsidP="003719CD">
      <w:pPr>
        <w:pStyle w:val="NormalTight"/>
      </w:pPr>
    </w:p>
    <w:p w14:paraId="199D9B79" w14:textId="05831576" w:rsidR="003719CD" w:rsidRPr="00C92338" w:rsidRDefault="003719CD" w:rsidP="003719CD">
      <w:pPr>
        <w:pStyle w:val="NormalTight"/>
      </w:pPr>
      <w:r w:rsidRPr="00C92338">
        <w:t xml:space="preserve">Copyright queries may be directed to </w:t>
      </w:r>
      <w:hyperlink r:id="rId20" w:history="1">
        <w:r w:rsidRPr="00C92338">
          <w:rPr>
            <w:rStyle w:val="Hyperlink"/>
            <w:rFonts w:eastAsiaTheme="majorEastAsia" w:cstheme="minorHAnsi"/>
          </w:rPr>
          <w:t>IPpolicy@dtf.vic.gov.au</w:t>
        </w:r>
      </w:hyperlink>
      <w:r w:rsidR="008D680A" w:rsidRPr="008D680A">
        <w:rPr>
          <w:rStyle w:val="Hyperlink"/>
          <w:rFonts w:eastAsiaTheme="majorEastAsia" w:cstheme="minorHAnsi"/>
          <w:color w:val="auto"/>
          <w:u w:val="none"/>
        </w:rPr>
        <w:t>.</w:t>
      </w:r>
    </w:p>
    <w:p w14:paraId="4E622290" w14:textId="77777777" w:rsidR="003719CD" w:rsidRPr="00C92338" w:rsidRDefault="003719CD" w:rsidP="003719CD">
      <w:pPr>
        <w:pStyle w:val="NormalTight"/>
      </w:pPr>
    </w:p>
    <w:p w14:paraId="25D4C23C" w14:textId="1EA42AEF" w:rsidR="003719CD" w:rsidRPr="00C92338" w:rsidRDefault="003719CD" w:rsidP="003719CD">
      <w:pPr>
        <w:pStyle w:val="NormalTight"/>
      </w:pPr>
      <w:r w:rsidRPr="00C92338">
        <w:t>IS</w:t>
      </w:r>
      <w:r w:rsidR="007D536F">
        <w:t>S</w:t>
      </w:r>
      <w:r w:rsidRPr="00C92338">
        <w:t xml:space="preserve">N </w:t>
      </w:r>
      <w:r w:rsidR="007D536F">
        <w:t>1833-5721</w:t>
      </w:r>
    </w:p>
    <w:p w14:paraId="6E2C3C0E" w14:textId="7C52C56E" w:rsidR="003719CD" w:rsidRPr="00C92338" w:rsidRDefault="003719CD" w:rsidP="003719CD">
      <w:pPr>
        <w:pStyle w:val="NormalTight"/>
      </w:pPr>
      <w:r w:rsidRPr="00BC3B6F">
        <w:t xml:space="preserve">Published </w:t>
      </w:r>
      <w:r w:rsidR="00373C35">
        <w:t>May</w:t>
      </w:r>
      <w:r w:rsidR="00740C89" w:rsidRPr="00BC3B6F">
        <w:t xml:space="preserve"> </w:t>
      </w:r>
      <w:r w:rsidR="00F751E1" w:rsidRPr="00BC3B6F">
        <w:t>202</w:t>
      </w:r>
      <w:r w:rsidR="00D96FD1" w:rsidRPr="00BC3B6F">
        <w:t>5</w:t>
      </w:r>
    </w:p>
    <w:p w14:paraId="3208D122" w14:textId="77777777" w:rsidR="003719CD" w:rsidRPr="00C92338" w:rsidRDefault="003719CD" w:rsidP="003719CD">
      <w:pPr>
        <w:pStyle w:val="NormalTight"/>
      </w:pPr>
    </w:p>
    <w:p w14:paraId="174BDC7F" w14:textId="2C8059F5" w:rsidR="003719CD" w:rsidRPr="00C92338" w:rsidRDefault="003719CD" w:rsidP="003719CD">
      <w:pPr>
        <w:pStyle w:val="NormalTight"/>
      </w:pPr>
      <w:r w:rsidRPr="00C92338">
        <w:t>If you would like to receive this publication in an accessible format</w:t>
      </w:r>
      <w:r w:rsidR="000B0B89">
        <w:t>,</w:t>
      </w:r>
      <w:r w:rsidRPr="00C92338">
        <w:t xml:space="preserve"> please email </w:t>
      </w:r>
      <w:hyperlink r:id="rId21" w:history="1">
        <w:r w:rsidRPr="00C92338">
          <w:t>information@dtf.vic.gov.au</w:t>
        </w:r>
      </w:hyperlink>
      <w:r w:rsidRPr="00C92338">
        <w:t xml:space="preserve"> </w:t>
      </w:r>
    </w:p>
    <w:p w14:paraId="5456B121" w14:textId="3AE86CC9" w:rsidR="003719CD" w:rsidRDefault="003719CD" w:rsidP="003719CD">
      <w:pPr>
        <w:pStyle w:val="NormalTight"/>
      </w:pPr>
    </w:p>
    <w:p w14:paraId="1CBB4F38" w14:textId="77777777" w:rsidR="007D536F" w:rsidRPr="007D536F" w:rsidRDefault="007D536F" w:rsidP="007D536F">
      <w:pPr>
        <w:pStyle w:val="NormalTight"/>
        <w:rPr>
          <w:b/>
          <w:bCs/>
        </w:rPr>
      </w:pPr>
      <w:r w:rsidRPr="007D536F">
        <w:rPr>
          <w:b/>
          <w:bCs/>
        </w:rPr>
        <w:t xml:space="preserve">Important disclaimer: </w:t>
      </w:r>
    </w:p>
    <w:p w14:paraId="5D67232A" w14:textId="0DB29638" w:rsidR="007D536F" w:rsidRDefault="007D536F" w:rsidP="007D536F">
      <w:pPr>
        <w:pStyle w:val="NormalTight"/>
      </w:pPr>
      <w:r>
        <w:t>The Department of Treasury and Finance is not engaged in rendering legal, accounting</w:t>
      </w:r>
      <w:r w:rsidR="00017156">
        <w:t>,</w:t>
      </w:r>
      <w:r>
        <w:t xml:space="preserve"> or other professional advice. </w:t>
      </w:r>
    </w:p>
    <w:p w14:paraId="14F59B77" w14:textId="77777777" w:rsidR="007D536F" w:rsidRDefault="007D536F" w:rsidP="007D536F">
      <w:pPr>
        <w:pStyle w:val="NormalTight"/>
      </w:pPr>
    </w:p>
    <w:p w14:paraId="54748CBF" w14:textId="1AEDDFEF" w:rsidR="007D536F" w:rsidRDefault="007D536F" w:rsidP="007D536F">
      <w:pPr>
        <w:pStyle w:val="NormalTight"/>
      </w:pPr>
      <w:r>
        <w:t xml:space="preserve">While all reasonable care has been taken in the preparation of information contained in this publication, no responsibility is taken for any action(s) taken on the basis of information contained herein nor for any errors or omissions in that information. </w:t>
      </w:r>
    </w:p>
    <w:p w14:paraId="16485D8C" w14:textId="77777777" w:rsidR="007D536F" w:rsidRDefault="007D536F" w:rsidP="007D536F">
      <w:pPr>
        <w:pStyle w:val="NormalTight"/>
      </w:pPr>
    </w:p>
    <w:p w14:paraId="28AC7651" w14:textId="281F63E7" w:rsidR="007D536F" w:rsidRDefault="007D536F" w:rsidP="007D536F">
      <w:pPr>
        <w:pStyle w:val="NormalTight"/>
      </w:pPr>
      <w:r>
        <w:t xml:space="preserve">The Department of Treasury and Finance expressly disclaims any liability whatsoever, to any person, whether purchaser or not, in relation to any reliance, in whole or in part, on such information. </w:t>
      </w:r>
    </w:p>
    <w:p w14:paraId="7B43CC20" w14:textId="77777777" w:rsidR="007D536F" w:rsidRDefault="007D536F" w:rsidP="007D536F">
      <w:pPr>
        <w:pStyle w:val="NormalTight"/>
      </w:pPr>
    </w:p>
    <w:p w14:paraId="3F8B9C8C" w14:textId="6BB6CC29" w:rsidR="007D536F" w:rsidRDefault="007D536F" w:rsidP="007D536F">
      <w:pPr>
        <w:pStyle w:val="NormalTight"/>
      </w:pPr>
      <w:r>
        <w:t xml:space="preserve">Persons should consult a suitably qualified professional adviser to obtain advice tailored to their particular circumstances. </w:t>
      </w:r>
    </w:p>
    <w:p w14:paraId="6A0181BF" w14:textId="77777777" w:rsidR="007D536F" w:rsidRDefault="007D536F" w:rsidP="007D536F">
      <w:pPr>
        <w:pStyle w:val="NormalTight"/>
      </w:pPr>
    </w:p>
    <w:p w14:paraId="01A2262D" w14:textId="46DD6849" w:rsidR="007D536F" w:rsidRDefault="007D536F" w:rsidP="007D536F">
      <w:pPr>
        <w:pStyle w:val="NormalTight"/>
      </w:pPr>
      <w:r>
        <w:t>The Department of Technology is a fictitious department and has been used only for the purposes of illustrating financial reporting requirements for Victorian government departments.</w:t>
      </w:r>
    </w:p>
    <w:p w14:paraId="5118E232" w14:textId="77777777" w:rsidR="007D536F" w:rsidRPr="00C92338" w:rsidRDefault="007D536F" w:rsidP="003719CD">
      <w:pPr>
        <w:pStyle w:val="NormalTight"/>
      </w:pPr>
    </w:p>
    <w:p w14:paraId="1CD61349" w14:textId="10DB0598" w:rsidR="003719CD" w:rsidRPr="00C92338" w:rsidRDefault="003719CD" w:rsidP="003719CD">
      <w:pPr>
        <w:pStyle w:val="NormalTight"/>
        <w:rPr>
          <w:sz w:val="19"/>
        </w:rPr>
      </w:pPr>
      <w:r w:rsidRPr="00C92338">
        <w:t xml:space="preserve">This document is available in Word and PDF format at </w:t>
      </w:r>
      <w:hyperlink r:id="rId22" w:history="1">
        <w:r w:rsidRPr="00BE03FB">
          <w:rPr>
            <w:rStyle w:val="Hyperlink"/>
            <w:rFonts w:eastAsiaTheme="majorEastAsia"/>
          </w:rPr>
          <w:t>dtf.vic.gov.au</w:t>
        </w:r>
      </w:hyperlink>
      <w:r w:rsidR="008D680A" w:rsidRPr="008D680A">
        <w:rPr>
          <w:rStyle w:val="Hyperlink"/>
          <w:rFonts w:eastAsiaTheme="majorEastAsia"/>
          <w:color w:val="auto"/>
          <w:u w:val="none"/>
        </w:rPr>
        <w:t>.</w:t>
      </w:r>
    </w:p>
    <w:p w14:paraId="29AB46FA" w14:textId="77777777" w:rsidR="003719CD" w:rsidRDefault="003719CD" w:rsidP="00A353DD"/>
    <w:p w14:paraId="16A2C88D" w14:textId="556BF538" w:rsidR="00A353DD" w:rsidRPr="00A353DD" w:rsidRDefault="00A353DD" w:rsidP="00A353DD">
      <w:pPr>
        <w:sectPr w:rsidR="00A353DD" w:rsidRPr="00A353DD" w:rsidSect="00394ED6">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624" w:footer="567" w:gutter="0"/>
          <w:cols w:space="708"/>
          <w:docGrid w:linePitch="360"/>
        </w:sectPr>
      </w:pPr>
    </w:p>
    <w:p w14:paraId="29254868" w14:textId="0B506C77" w:rsidR="007D536F" w:rsidRDefault="007D536F" w:rsidP="007D536F">
      <w:pPr>
        <w:pStyle w:val="Heading1"/>
      </w:pPr>
      <w:bookmarkStart w:id="1" w:name="_Toc199156243"/>
      <w:r w:rsidRPr="007D536F">
        <w:lastRenderedPageBreak/>
        <w:t xml:space="preserve">A message from the </w:t>
      </w:r>
      <w:r w:rsidR="00271765">
        <w:t>Minister for finance</w:t>
      </w:r>
      <w:bookmarkEnd w:id="1"/>
      <w:r w:rsidR="00E1128E">
        <w:t xml:space="preserve"> </w:t>
      </w:r>
    </w:p>
    <w:p w14:paraId="38A379EF" w14:textId="7A5CBA8E" w:rsidR="007D536F" w:rsidRDefault="007D536F" w:rsidP="007D536F"/>
    <w:p w14:paraId="542AC7F9" w14:textId="76D22FFB" w:rsidR="00C25121" w:rsidRDefault="00C25121" w:rsidP="00C25121">
      <w:r>
        <w:t xml:space="preserve">I am pleased to endorse the </w:t>
      </w:r>
      <w:r w:rsidRPr="004D56F1">
        <w:rPr>
          <w:i/>
          <w:iCs/>
        </w:rPr>
        <w:t>202</w:t>
      </w:r>
      <w:r w:rsidR="00CB432E" w:rsidRPr="004D56F1">
        <w:rPr>
          <w:i/>
          <w:iCs/>
        </w:rPr>
        <w:t>4</w:t>
      </w:r>
      <w:r w:rsidRPr="004D56F1">
        <w:rPr>
          <w:i/>
          <w:iCs/>
        </w:rPr>
        <w:t>-2</w:t>
      </w:r>
      <w:r w:rsidR="00CB432E" w:rsidRPr="004D56F1">
        <w:rPr>
          <w:i/>
          <w:iCs/>
        </w:rPr>
        <w:t>5</w:t>
      </w:r>
      <w:r w:rsidRPr="004D56F1">
        <w:rPr>
          <w:i/>
          <w:iCs/>
        </w:rPr>
        <w:t xml:space="preserve"> Model Report for Victorian Government Departments</w:t>
      </w:r>
      <w:r w:rsidRPr="00376B00">
        <w:t xml:space="preserve"> (the Model)</w:t>
      </w:r>
      <w:r w:rsidR="00FD4B93">
        <w:t>, also known as the</w:t>
      </w:r>
      <w:r w:rsidR="00C10517">
        <w:t xml:space="preserve"> Tier 1 Model,</w:t>
      </w:r>
      <w:r w:rsidRPr="00376B00">
        <w:t xml:space="preserve"> together with</w:t>
      </w:r>
      <w:r>
        <w:t xml:space="preserve"> the revised user guidance material and appendices. This model will assist preparers with the planning and preparation of their 30 June 202</w:t>
      </w:r>
      <w:r w:rsidR="00CB432E">
        <w:t>5</w:t>
      </w:r>
      <w:r>
        <w:t xml:space="preserve"> annual reports.</w:t>
      </w:r>
      <w:r w:rsidR="00C52299">
        <w:t xml:space="preserve"> </w:t>
      </w:r>
    </w:p>
    <w:p w14:paraId="15FCC905" w14:textId="20B4B42E" w:rsidR="00C25121" w:rsidRDefault="00C25121" w:rsidP="00C25121">
      <w:r w:rsidRPr="008C6CE5">
        <w:t>This publication</w:t>
      </w:r>
      <w:r w:rsidR="00A931E6" w:rsidRPr="008C6CE5">
        <w:t xml:space="preserve"> </w:t>
      </w:r>
      <w:r w:rsidRPr="008C6CE5">
        <w:t xml:space="preserve">serves as the State’s primary compliance guide for section 5.2 of the Standing Directions. This section of the Standing Directions requires entities to prepare high-quality and accurate annual reports. These annual reports play an essential role in a transparent, accountable and effective government. This version of the Model contains further </w:t>
      </w:r>
      <w:r w:rsidR="00AF1C2E">
        <w:t xml:space="preserve">minor </w:t>
      </w:r>
      <w:r w:rsidRPr="008C6CE5">
        <w:t>enhancements based on user feedback, and revisions consistent with the relevant Australian Accounting Standards and Financial Reporting Directions. The Model will also assist with the preparation of the State’s consolidated Annual Financial Report.</w:t>
      </w:r>
    </w:p>
    <w:p w14:paraId="4E232D96" w14:textId="7BBD9E13" w:rsidR="00E7605D" w:rsidRDefault="00C25121" w:rsidP="00C25121">
      <w:r>
        <w:t>All Victorian government departments are required to comply with the Model</w:t>
      </w:r>
      <w:r w:rsidR="00FF29D5">
        <w:t xml:space="preserve">. </w:t>
      </w:r>
      <w:r w:rsidR="00A5535E">
        <w:t>V</w:t>
      </w:r>
      <w:r w:rsidR="00D87E07">
        <w:t xml:space="preserve">ictorian public sector entities that </w:t>
      </w:r>
      <w:r w:rsidR="0091036C">
        <w:t>are required</w:t>
      </w:r>
      <w:r w:rsidR="00E96AF8" w:rsidRPr="00E96AF8">
        <w:t xml:space="preserve"> </w:t>
      </w:r>
      <w:r w:rsidR="00E96AF8">
        <w:t xml:space="preserve">to prepare Tier 2 financial </w:t>
      </w:r>
      <w:r w:rsidR="00BA44F5">
        <w:t>report</w:t>
      </w:r>
      <w:r w:rsidR="00D560C6">
        <w:t>s</w:t>
      </w:r>
      <w:r w:rsidR="00E96AF8" w:rsidRPr="00EB7053">
        <w:t>,</w:t>
      </w:r>
      <w:r w:rsidR="005A7C78">
        <w:t xml:space="preserve"> in accordance with</w:t>
      </w:r>
      <w:r w:rsidR="00EF707B">
        <w:t xml:space="preserve"> </w:t>
      </w:r>
      <w:r w:rsidR="00EF707B" w:rsidRPr="00EB7053">
        <w:t xml:space="preserve">FRD 101 </w:t>
      </w:r>
      <w:r w:rsidR="00EF707B" w:rsidRPr="00EB7053">
        <w:rPr>
          <w:i/>
          <w:iCs/>
        </w:rPr>
        <w:t xml:space="preserve">Application of Tiers of Australian Accounting </w:t>
      </w:r>
      <w:r w:rsidR="00EF707B" w:rsidRPr="00F21B55">
        <w:rPr>
          <w:i/>
        </w:rPr>
        <w:t>Standards</w:t>
      </w:r>
      <w:r w:rsidR="00EF707B" w:rsidRPr="00EB7053">
        <w:t>,</w:t>
      </w:r>
      <w:r w:rsidR="00EF707B">
        <w:t xml:space="preserve"> </w:t>
      </w:r>
      <w:r w:rsidR="008B06F3">
        <w:t xml:space="preserve">need to </w:t>
      </w:r>
      <w:r w:rsidR="00B748CF" w:rsidRPr="00EB7053">
        <w:t>use</w:t>
      </w:r>
      <w:r w:rsidR="00D81174" w:rsidRPr="00EB7053">
        <w:t xml:space="preserve"> </w:t>
      </w:r>
      <w:r w:rsidR="00DB6819" w:rsidRPr="00EB7053">
        <w:t>the Tier 2 Model</w:t>
      </w:r>
      <w:r w:rsidR="008D60CD">
        <w:t xml:space="preserve"> Financial Report</w:t>
      </w:r>
      <w:r w:rsidR="003A3841">
        <w:t xml:space="preserve"> available on </w:t>
      </w:r>
      <w:r w:rsidR="008C51CD">
        <w:t>the DTF website.</w:t>
      </w:r>
    </w:p>
    <w:p w14:paraId="1DB88748" w14:textId="65EA946D" w:rsidR="00C25121" w:rsidRDefault="00C25121" w:rsidP="00C25121">
      <w:r w:rsidRPr="00594B39">
        <w:t>I strongly encourage all Victorian public sector entities to follow this Model where relevant and appropriate for their users, to ensure that Victoria maintains its high standard of reporting on the use of all public resources</w:t>
      </w:r>
      <w:r w:rsidR="006E5C26" w:rsidRPr="00594B39">
        <w:t>.</w:t>
      </w:r>
    </w:p>
    <w:p w14:paraId="0A1F9F13" w14:textId="2D68DB18" w:rsidR="007D536F" w:rsidRDefault="00C25121" w:rsidP="00C25121">
      <w:r>
        <w:t xml:space="preserve">I commend this revision of the Model to you as the </w:t>
      </w:r>
      <w:r w:rsidR="007A5D40">
        <w:t xml:space="preserve">benchmark </w:t>
      </w:r>
      <w:r>
        <w:t>for Victorian public sector financial reporting.</w:t>
      </w:r>
    </w:p>
    <w:p w14:paraId="30994034" w14:textId="09955C0A" w:rsidR="00D023FB" w:rsidRDefault="008A5BFE" w:rsidP="007D536F">
      <w:r>
        <w:rPr>
          <w:noProof/>
        </w:rPr>
        <w:drawing>
          <wp:inline distT="0" distB="0" distL="0" distR="0" wp14:anchorId="60E731F2" wp14:editId="41F89897">
            <wp:extent cx="1908192" cy="471488"/>
            <wp:effectExtent l="0" t="0" r="0" b="0"/>
            <wp:docPr id="187993929" name="Picture 1" descr="A close-up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3929" name="Picture 1" descr="A close-up of a face&#10;&#10;Description automatically generated"/>
                    <pic:cNvPicPr/>
                  </pic:nvPicPr>
                  <pic:blipFill>
                    <a:blip r:embed="rId29"/>
                    <a:stretch>
                      <a:fillRect/>
                    </a:stretch>
                  </pic:blipFill>
                  <pic:spPr>
                    <a:xfrm>
                      <a:off x="0" y="0"/>
                      <a:ext cx="1924793" cy="475590"/>
                    </a:xfrm>
                    <a:prstGeom prst="rect">
                      <a:avLst/>
                    </a:prstGeom>
                  </pic:spPr>
                </pic:pic>
              </a:graphicData>
            </a:graphic>
          </wp:inline>
        </w:drawing>
      </w:r>
    </w:p>
    <w:p w14:paraId="76633CDC" w14:textId="27C13AD2" w:rsidR="007D536F" w:rsidRDefault="00167DFE" w:rsidP="007D536F">
      <w:pPr>
        <w:rPr>
          <w:b/>
          <w:bCs/>
        </w:rPr>
      </w:pPr>
      <w:r>
        <w:rPr>
          <w:b/>
          <w:bCs/>
        </w:rPr>
        <w:t>THE HON. DANNY PEARSON MP</w:t>
      </w:r>
    </w:p>
    <w:p w14:paraId="6B49985C" w14:textId="43E4A8E8" w:rsidR="00EE585D" w:rsidRPr="005809F8" w:rsidRDefault="00CD253E" w:rsidP="007D536F">
      <w:r>
        <w:t>Minister for Finance</w:t>
      </w:r>
    </w:p>
    <w:p w14:paraId="33F47FF5" w14:textId="4BA339D8" w:rsidR="007D536F" w:rsidRDefault="007D536F" w:rsidP="007D536F">
      <w:pPr>
        <w:pStyle w:val="Heading1"/>
        <w:pageBreakBefore/>
      </w:pPr>
      <w:bookmarkStart w:id="2" w:name="_Toc199156244"/>
      <w:r w:rsidRPr="00EF348E">
        <w:rPr>
          <w:rFonts w:asciiTheme="minorHAnsi" w:hAnsiTheme="minorHAnsi" w:cstheme="minorHAnsi"/>
        </w:rPr>
        <w:lastRenderedPageBreak/>
        <w:t>Acknowledgements</w:t>
      </w:r>
      <w:bookmarkEnd w:id="2"/>
    </w:p>
    <w:p w14:paraId="6375F257" w14:textId="18429B7F" w:rsidR="00A353DD" w:rsidRPr="007D536F" w:rsidRDefault="007D536F" w:rsidP="007D536F">
      <w:r>
        <w:t xml:space="preserve">The Department of Treasury and Finance (DTF) wishes to acknowledge the suggestions and comments provided by users and departments for the </w:t>
      </w:r>
      <w:r w:rsidR="00070A43">
        <w:t>202</w:t>
      </w:r>
      <w:r w:rsidR="000E0002">
        <w:t>5</w:t>
      </w:r>
      <w:r w:rsidR="00070A43">
        <w:t xml:space="preserve"> </w:t>
      </w:r>
      <w:r w:rsidDel="0059136A">
        <w:t xml:space="preserve">edition of </w:t>
      </w:r>
      <w:r>
        <w:t xml:space="preserve">this publication. DTF would also like to express its gratitude to the Victorian Auditor-General’s Office </w:t>
      </w:r>
      <w:r w:rsidR="00070A43">
        <w:t xml:space="preserve">(VAGO) </w:t>
      </w:r>
      <w:r>
        <w:t>for its contribution and support of the Model.</w:t>
      </w:r>
    </w:p>
    <w:p w14:paraId="3F0DA764" w14:textId="4B36F1AF" w:rsidR="007D536F" w:rsidRDefault="007D536F" w:rsidP="007D536F">
      <w:pPr>
        <w:pStyle w:val="Heading1"/>
        <w:pageBreakBefore/>
      </w:pPr>
      <w:bookmarkStart w:id="3" w:name="_Toc199156245"/>
      <w:r>
        <w:lastRenderedPageBreak/>
        <w:t>Table of contents</w:t>
      </w:r>
      <w:bookmarkEnd w:id="3"/>
    </w:p>
    <w:p w14:paraId="1B272D23" w14:textId="57DAD661" w:rsidR="00FB2A6B" w:rsidRDefault="00E265DB">
      <w:pPr>
        <w:pStyle w:val="TOC1"/>
        <w:rPr>
          <w:rFonts w:eastAsiaTheme="minorEastAsia"/>
          <w:b w:val="0"/>
          <w:noProof/>
          <w:kern w:val="2"/>
          <w:sz w:val="24"/>
          <w:szCs w:val="24"/>
          <w:lang w:eastAsia="en-AU"/>
          <w14:ligatures w14:val="standardContextual"/>
        </w:rPr>
      </w:pPr>
      <w:r>
        <w:rPr>
          <w:noProof/>
        </w:rPr>
        <w:fldChar w:fldCharType="begin"/>
      </w:r>
      <w:r>
        <w:rPr>
          <w:noProof/>
        </w:rPr>
        <w:instrText xml:space="preserve"> TOC \o "1-2" \b Introduction \h \z </w:instrText>
      </w:r>
      <w:r>
        <w:rPr>
          <w:noProof/>
        </w:rPr>
        <w:fldChar w:fldCharType="separate"/>
      </w:r>
      <w:hyperlink w:anchor="_Toc199167700" w:history="1">
        <w:r w:rsidR="00FB2A6B" w:rsidRPr="003C50D5">
          <w:rPr>
            <w:rStyle w:val="Hyperlink"/>
            <w:noProof/>
          </w:rPr>
          <w:t>Introduction</w:t>
        </w:r>
        <w:r w:rsidR="00FB2A6B">
          <w:rPr>
            <w:noProof/>
            <w:webHidden/>
          </w:rPr>
          <w:tab/>
        </w:r>
        <w:r w:rsidR="00FB2A6B">
          <w:rPr>
            <w:noProof/>
            <w:webHidden/>
          </w:rPr>
          <w:fldChar w:fldCharType="begin"/>
        </w:r>
        <w:r w:rsidR="00FB2A6B">
          <w:rPr>
            <w:noProof/>
            <w:webHidden/>
          </w:rPr>
          <w:instrText xml:space="preserve"> PAGEREF _Toc199167700 \h </w:instrText>
        </w:r>
        <w:r w:rsidR="00FB2A6B">
          <w:rPr>
            <w:noProof/>
            <w:webHidden/>
          </w:rPr>
        </w:r>
        <w:r w:rsidR="00FB2A6B">
          <w:rPr>
            <w:noProof/>
            <w:webHidden/>
          </w:rPr>
          <w:fldChar w:fldCharType="separate"/>
        </w:r>
        <w:r w:rsidR="00BE612E">
          <w:rPr>
            <w:noProof/>
            <w:webHidden/>
          </w:rPr>
          <w:t>1</w:t>
        </w:r>
        <w:r w:rsidR="00FB2A6B">
          <w:rPr>
            <w:noProof/>
            <w:webHidden/>
          </w:rPr>
          <w:fldChar w:fldCharType="end"/>
        </w:r>
      </w:hyperlink>
    </w:p>
    <w:p w14:paraId="48FB61F8" w14:textId="3CCC282D" w:rsidR="00FB2A6B" w:rsidRDefault="00FB2A6B">
      <w:pPr>
        <w:pStyle w:val="TOC2"/>
        <w:rPr>
          <w:rFonts w:eastAsiaTheme="minorEastAsia"/>
          <w:noProof/>
          <w:kern w:val="2"/>
          <w:sz w:val="24"/>
          <w:szCs w:val="24"/>
          <w:lang w:eastAsia="en-AU"/>
          <w14:ligatures w14:val="standardContextual"/>
        </w:rPr>
      </w:pPr>
      <w:hyperlink w:anchor="_Toc199167701" w:history="1">
        <w:r w:rsidRPr="003C50D5">
          <w:rPr>
            <w:rStyle w:val="Hyperlink"/>
            <w:noProof/>
          </w:rPr>
          <w:t>Legislative background</w:t>
        </w:r>
        <w:r>
          <w:rPr>
            <w:noProof/>
            <w:webHidden/>
          </w:rPr>
          <w:tab/>
        </w:r>
        <w:r>
          <w:rPr>
            <w:noProof/>
            <w:webHidden/>
          </w:rPr>
          <w:fldChar w:fldCharType="begin"/>
        </w:r>
        <w:r>
          <w:rPr>
            <w:noProof/>
            <w:webHidden/>
          </w:rPr>
          <w:instrText xml:space="preserve"> PAGEREF _Toc199167701 \h </w:instrText>
        </w:r>
        <w:r>
          <w:rPr>
            <w:noProof/>
            <w:webHidden/>
          </w:rPr>
        </w:r>
        <w:r>
          <w:rPr>
            <w:noProof/>
            <w:webHidden/>
          </w:rPr>
          <w:fldChar w:fldCharType="separate"/>
        </w:r>
        <w:r w:rsidR="00BE612E">
          <w:rPr>
            <w:noProof/>
            <w:webHidden/>
          </w:rPr>
          <w:t>1</w:t>
        </w:r>
        <w:r>
          <w:rPr>
            <w:noProof/>
            <w:webHidden/>
          </w:rPr>
          <w:fldChar w:fldCharType="end"/>
        </w:r>
      </w:hyperlink>
    </w:p>
    <w:p w14:paraId="6EEA4128" w14:textId="256807AA" w:rsidR="00FB2A6B" w:rsidRDefault="00FB2A6B">
      <w:pPr>
        <w:pStyle w:val="TOC2"/>
        <w:rPr>
          <w:rFonts w:eastAsiaTheme="minorEastAsia"/>
          <w:noProof/>
          <w:kern w:val="2"/>
          <w:sz w:val="24"/>
          <w:szCs w:val="24"/>
          <w:lang w:eastAsia="en-AU"/>
          <w14:ligatures w14:val="standardContextual"/>
        </w:rPr>
      </w:pPr>
      <w:hyperlink w:anchor="_Toc199167702" w:history="1">
        <w:r w:rsidRPr="003C50D5">
          <w:rPr>
            <w:rStyle w:val="Hyperlink"/>
            <w:noProof/>
          </w:rPr>
          <w:t>Financial accountability and reporting</w:t>
        </w:r>
        <w:r>
          <w:rPr>
            <w:noProof/>
            <w:webHidden/>
          </w:rPr>
          <w:tab/>
        </w:r>
        <w:r>
          <w:rPr>
            <w:noProof/>
            <w:webHidden/>
          </w:rPr>
          <w:fldChar w:fldCharType="begin"/>
        </w:r>
        <w:r>
          <w:rPr>
            <w:noProof/>
            <w:webHidden/>
          </w:rPr>
          <w:instrText xml:space="preserve"> PAGEREF _Toc199167702 \h </w:instrText>
        </w:r>
        <w:r>
          <w:rPr>
            <w:noProof/>
            <w:webHidden/>
          </w:rPr>
        </w:r>
        <w:r>
          <w:rPr>
            <w:noProof/>
            <w:webHidden/>
          </w:rPr>
          <w:fldChar w:fldCharType="separate"/>
        </w:r>
        <w:r w:rsidR="00BE612E">
          <w:rPr>
            <w:noProof/>
            <w:webHidden/>
          </w:rPr>
          <w:t>1</w:t>
        </w:r>
        <w:r>
          <w:rPr>
            <w:noProof/>
            <w:webHidden/>
          </w:rPr>
          <w:fldChar w:fldCharType="end"/>
        </w:r>
      </w:hyperlink>
    </w:p>
    <w:p w14:paraId="2BD2821C" w14:textId="0B0CBE59" w:rsidR="00FB2A6B" w:rsidRDefault="00FB2A6B">
      <w:pPr>
        <w:pStyle w:val="TOC2"/>
        <w:rPr>
          <w:rFonts w:eastAsiaTheme="minorEastAsia"/>
          <w:noProof/>
          <w:kern w:val="2"/>
          <w:sz w:val="24"/>
          <w:szCs w:val="24"/>
          <w:lang w:eastAsia="en-AU"/>
          <w14:ligatures w14:val="standardContextual"/>
        </w:rPr>
      </w:pPr>
      <w:hyperlink w:anchor="_Toc199167703" w:history="1">
        <w:r w:rsidRPr="003C50D5">
          <w:rPr>
            <w:rStyle w:val="Hyperlink"/>
            <w:noProof/>
          </w:rPr>
          <w:t>Reporting structure of the State of Victoria</w:t>
        </w:r>
        <w:r>
          <w:rPr>
            <w:noProof/>
            <w:webHidden/>
          </w:rPr>
          <w:tab/>
        </w:r>
        <w:r>
          <w:rPr>
            <w:noProof/>
            <w:webHidden/>
          </w:rPr>
          <w:fldChar w:fldCharType="begin"/>
        </w:r>
        <w:r>
          <w:rPr>
            <w:noProof/>
            <w:webHidden/>
          </w:rPr>
          <w:instrText xml:space="preserve"> PAGEREF _Toc199167703 \h </w:instrText>
        </w:r>
        <w:r>
          <w:rPr>
            <w:noProof/>
            <w:webHidden/>
          </w:rPr>
        </w:r>
        <w:r>
          <w:rPr>
            <w:noProof/>
            <w:webHidden/>
          </w:rPr>
          <w:fldChar w:fldCharType="separate"/>
        </w:r>
        <w:r w:rsidR="00BE612E">
          <w:rPr>
            <w:noProof/>
            <w:webHidden/>
          </w:rPr>
          <w:t>3</w:t>
        </w:r>
        <w:r>
          <w:rPr>
            <w:noProof/>
            <w:webHidden/>
          </w:rPr>
          <w:fldChar w:fldCharType="end"/>
        </w:r>
      </w:hyperlink>
    </w:p>
    <w:p w14:paraId="45D63946" w14:textId="27415541" w:rsidR="00FB2A6B" w:rsidRDefault="00FB2A6B">
      <w:pPr>
        <w:pStyle w:val="TOC2"/>
        <w:rPr>
          <w:rFonts w:eastAsiaTheme="minorEastAsia"/>
          <w:noProof/>
          <w:kern w:val="2"/>
          <w:sz w:val="24"/>
          <w:szCs w:val="24"/>
          <w:lang w:eastAsia="en-AU"/>
          <w14:ligatures w14:val="standardContextual"/>
        </w:rPr>
      </w:pPr>
      <w:hyperlink w:anchor="_Toc199167704" w:history="1">
        <w:r w:rsidRPr="003C50D5">
          <w:rPr>
            <w:rStyle w:val="Hyperlink"/>
            <w:noProof/>
          </w:rPr>
          <w:t>Basis of each financial publication</w:t>
        </w:r>
        <w:r>
          <w:rPr>
            <w:noProof/>
            <w:webHidden/>
          </w:rPr>
          <w:tab/>
        </w:r>
        <w:r>
          <w:rPr>
            <w:noProof/>
            <w:webHidden/>
          </w:rPr>
          <w:fldChar w:fldCharType="begin"/>
        </w:r>
        <w:r>
          <w:rPr>
            <w:noProof/>
            <w:webHidden/>
          </w:rPr>
          <w:instrText xml:space="preserve"> PAGEREF _Toc199167704 \h </w:instrText>
        </w:r>
        <w:r>
          <w:rPr>
            <w:noProof/>
            <w:webHidden/>
          </w:rPr>
        </w:r>
        <w:r>
          <w:rPr>
            <w:noProof/>
            <w:webHidden/>
          </w:rPr>
          <w:fldChar w:fldCharType="separate"/>
        </w:r>
        <w:r w:rsidR="00BE612E">
          <w:rPr>
            <w:noProof/>
            <w:webHidden/>
          </w:rPr>
          <w:t>4</w:t>
        </w:r>
        <w:r>
          <w:rPr>
            <w:noProof/>
            <w:webHidden/>
          </w:rPr>
          <w:fldChar w:fldCharType="end"/>
        </w:r>
      </w:hyperlink>
    </w:p>
    <w:p w14:paraId="466008BF" w14:textId="4293C7CE" w:rsidR="00FB2A6B" w:rsidRDefault="00FB2A6B">
      <w:pPr>
        <w:pStyle w:val="TOC2"/>
        <w:rPr>
          <w:rFonts w:eastAsiaTheme="minorEastAsia"/>
          <w:noProof/>
          <w:kern w:val="2"/>
          <w:sz w:val="24"/>
          <w:szCs w:val="24"/>
          <w:lang w:eastAsia="en-AU"/>
          <w14:ligatures w14:val="standardContextual"/>
        </w:rPr>
      </w:pPr>
      <w:hyperlink w:anchor="_Toc199167705" w:history="1">
        <w:r w:rsidRPr="003C50D5">
          <w:rPr>
            <w:rStyle w:val="Hyperlink"/>
            <w:noProof/>
          </w:rPr>
          <w:t>The Model report – Purpose and scope</w:t>
        </w:r>
        <w:r>
          <w:rPr>
            <w:noProof/>
            <w:webHidden/>
          </w:rPr>
          <w:tab/>
        </w:r>
        <w:r>
          <w:rPr>
            <w:noProof/>
            <w:webHidden/>
          </w:rPr>
          <w:fldChar w:fldCharType="begin"/>
        </w:r>
        <w:r>
          <w:rPr>
            <w:noProof/>
            <w:webHidden/>
          </w:rPr>
          <w:instrText xml:space="preserve"> PAGEREF _Toc199167705 \h </w:instrText>
        </w:r>
        <w:r>
          <w:rPr>
            <w:noProof/>
            <w:webHidden/>
          </w:rPr>
        </w:r>
        <w:r>
          <w:rPr>
            <w:noProof/>
            <w:webHidden/>
          </w:rPr>
          <w:fldChar w:fldCharType="separate"/>
        </w:r>
        <w:r w:rsidR="00BE612E">
          <w:rPr>
            <w:noProof/>
            <w:webHidden/>
          </w:rPr>
          <w:t>5</w:t>
        </w:r>
        <w:r>
          <w:rPr>
            <w:noProof/>
            <w:webHidden/>
          </w:rPr>
          <w:fldChar w:fldCharType="end"/>
        </w:r>
      </w:hyperlink>
    </w:p>
    <w:p w14:paraId="6D3C6AD0" w14:textId="4D45984F" w:rsidR="00FB2A6B" w:rsidRDefault="00FB2A6B">
      <w:pPr>
        <w:pStyle w:val="TOC2"/>
        <w:rPr>
          <w:rFonts w:eastAsiaTheme="minorEastAsia"/>
          <w:noProof/>
          <w:kern w:val="2"/>
          <w:sz w:val="24"/>
          <w:szCs w:val="24"/>
          <w:lang w:eastAsia="en-AU"/>
          <w14:ligatures w14:val="standardContextual"/>
        </w:rPr>
      </w:pPr>
      <w:hyperlink w:anchor="_Toc199167706" w:history="1">
        <w:r w:rsidRPr="003C50D5">
          <w:rPr>
            <w:rStyle w:val="Hyperlink"/>
            <w:noProof/>
          </w:rPr>
          <w:t>How to use the Model report</w:t>
        </w:r>
        <w:r>
          <w:rPr>
            <w:noProof/>
            <w:webHidden/>
          </w:rPr>
          <w:tab/>
        </w:r>
        <w:r>
          <w:rPr>
            <w:noProof/>
            <w:webHidden/>
          </w:rPr>
          <w:fldChar w:fldCharType="begin"/>
        </w:r>
        <w:r>
          <w:rPr>
            <w:noProof/>
            <w:webHidden/>
          </w:rPr>
          <w:instrText xml:space="preserve"> PAGEREF _Toc199167706 \h </w:instrText>
        </w:r>
        <w:r>
          <w:rPr>
            <w:noProof/>
            <w:webHidden/>
          </w:rPr>
        </w:r>
        <w:r>
          <w:rPr>
            <w:noProof/>
            <w:webHidden/>
          </w:rPr>
          <w:fldChar w:fldCharType="separate"/>
        </w:r>
        <w:r w:rsidR="00BE612E">
          <w:rPr>
            <w:noProof/>
            <w:webHidden/>
          </w:rPr>
          <w:t>5</w:t>
        </w:r>
        <w:r>
          <w:rPr>
            <w:noProof/>
            <w:webHidden/>
          </w:rPr>
          <w:fldChar w:fldCharType="end"/>
        </w:r>
      </w:hyperlink>
    </w:p>
    <w:p w14:paraId="41DAAF30" w14:textId="116C2F70" w:rsidR="00FB2A6B" w:rsidRDefault="00FB2A6B">
      <w:pPr>
        <w:pStyle w:val="TOC1"/>
        <w:rPr>
          <w:rFonts w:eastAsiaTheme="minorEastAsia"/>
          <w:b w:val="0"/>
          <w:noProof/>
          <w:kern w:val="2"/>
          <w:sz w:val="24"/>
          <w:szCs w:val="24"/>
          <w:lang w:eastAsia="en-AU"/>
          <w14:ligatures w14:val="standardContextual"/>
        </w:rPr>
      </w:pPr>
      <w:hyperlink w:anchor="_Toc199167707" w:history="1">
        <w:r w:rsidRPr="003C50D5">
          <w:rPr>
            <w:rStyle w:val="Hyperlink"/>
            <w:noProof/>
          </w:rPr>
          <w:t>Setting the scene</w:t>
        </w:r>
        <w:r>
          <w:rPr>
            <w:noProof/>
            <w:webHidden/>
          </w:rPr>
          <w:tab/>
        </w:r>
        <w:r>
          <w:rPr>
            <w:noProof/>
            <w:webHidden/>
          </w:rPr>
          <w:fldChar w:fldCharType="begin"/>
        </w:r>
        <w:r>
          <w:rPr>
            <w:noProof/>
            <w:webHidden/>
          </w:rPr>
          <w:instrText xml:space="preserve"> PAGEREF _Toc199167707 \h </w:instrText>
        </w:r>
        <w:r>
          <w:rPr>
            <w:noProof/>
            <w:webHidden/>
          </w:rPr>
        </w:r>
        <w:r>
          <w:rPr>
            <w:noProof/>
            <w:webHidden/>
          </w:rPr>
          <w:fldChar w:fldCharType="separate"/>
        </w:r>
        <w:r w:rsidR="00BE612E">
          <w:rPr>
            <w:noProof/>
            <w:webHidden/>
          </w:rPr>
          <w:t>6</w:t>
        </w:r>
        <w:r>
          <w:rPr>
            <w:noProof/>
            <w:webHidden/>
          </w:rPr>
          <w:fldChar w:fldCharType="end"/>
        </w:r>
      </w:hyperlink>
    </w:p>
    <w:p w14:paraId="7D7FA790" w14:textId="74B53155" w:rsidR="00FB2A6B" w:rsidRDefault="00FB2A6B">
      <w:pPr>
        <w:pStyle w:val="TOC2"/>
        <w:rPr>
          <w:rFonts w:eastAsiaTheme="minorEastAsia"/>
          <w:noProof/>
          <w:kern w:val="2"/>
          <w:sz w:val="24"/>
          <w:szCs w:val="24"/>
          <w:lang w:eastAsia="en-AU"/>
          <w14:ligatures w14:val="standardContextual"/>
        </w:rPr>
      </w:pPr>
      <w:hyperlink w:anchor="_Toc199167708" w:history="1">
        <w:r w:rsidRPr="003C50D5">
          <w:rPr>
            <w:rStyle w:val="Hyperlink"/>
            <w:noProof/>
          </w:rPr>
          <w:t>A model to assist with public sector financial reporting requirements</w:t>
        </w:r>
        <w:r>
          <w:rPr>
            <w:noProof/>
            <w:webHidden/>
          </w:rPr>
          <w:tab/>
        </w:r>
        <w:r>
          <w:rPr>
            <w:noProof/>
            <w:webHidden/>
          </w:rPr>
          <w:fldChar w:fldCharType="begin"/>
        </w:r>
        <w:r>
          <w:rPr>
            <w:noProof/>
            <w:webHidden/>
          </w:rPr>
          <w:instrText xml:space="preserve"> PAGEREF _Toc199167708 \h </w:instrText>
        </w:r>
        <w:r>
          <w:rPr>
            <w:noProof/>
            <w:webHidden/>
          </w:rPr>
        </w:r>
        <w:r>
          <w:rPr>
            <w:noProof/>
            <w:webHidden/>
          </w:rPr>
          <w:fldChar w:fldCharType="separate"/>
        </w:r>
        <w:r w:rsidR="00BE612E">
          <w:rPr>
            <w:noProof/>
            <w:webHidden/>
          </w:rPr>
          <w:t>6</w:t>
        </w:r>
        <w:r>
          <w:rPr>
            <w:noProof/>
            <w:webHidden/>
          </w:rPr>
          <w:fldChar w:fldCharType="end"/>
        </w:r>
      </w:hyperlink>
    </w:p>
    <w:p w14:paraId="254C4B6E" w14:textId="3AD425CB" w:rsidR="00FB2A6B" w:rsidRDefault="00FB2A6B">
      <w:pPr>
        <w:pStyle w:val="TOC2"/>
        <w:rPr>
          <w:rFonts w:eastAsiaTheme="minorEastAsia"/>
          <w:noProof/>
          <w:kern w:val="2"/>
          <w:sz w:val="24"/>
          <w:szCs w:val="24"/>
          <w:lang w:eastAsia="en-AU"/>
          <w14:ligatures w14:val="standardContextual"/>
        </w:rPr>
      </w:pPr>
      <w:hyperlink w:anchor="_Toc199167709" w:history="1">
        <w:r w:rsidRPr="003C50D5">
          <w:rPr>
            <w:rStyle w:val="Hyperlink"/>
            <w:noProof/>
          </w:rPr>
          <w:t>Setting out the disclosures and guidance</w:t>
        </w:r>
        <w:r>
          <w:rPr>
            <w:noProof/>
            <w:webHidden/>
          </w:rPr>
          <w:tab/>
        </w:r>
        <w:r>
          <w:rPr>
            <w:noProof/>
            <w:webHidden/>
          </w:rPr>
          <w:fldChar w:fldCharType="begin"/>
        </w:r>
        <w:r>
          <w:rPr>
            <w:noProof/>
            <w:webHidden/>
          </w:rPr>
          <w:instrText xml:space="preserve"> PAGEREF _Toc199167709 \h </w:instrText>
        </w:r>
        <w:r>
          <w:rPr>
            <w:noProof/>
            <w:webHidden/>
          </w:rPr>
        </w:r>
        <w:r>
          <w:rPr>
            <w:noProof/>
            <w:webHidden/>
          </w:rPr>
          <w:fldChar w:fldCharType="separate"/>
        </w:r>
        <w:r w:rsidR="00BE612E">
          <w:rPr>
            <w:noProof/>
            <w:webHidden/>
          </w:rPr>
          <w:t>7</w:t>
        </w:r>
        <w:r>
          <w:rPr>
            <w:noProof/>
            <w:webHidden/>
          </w:rPr>
          <w:fldChar w:fldCharType="end"/>
        </w:r>
      </w:hyperlink>
    </w:p>
    <w:p w14:paraId="7AF68835" w14:textId="4E01AC6F" w:rsidR="00FB2A6B" w:rsidRDefault="00FB2A6B">
      <w:pPr>
        <w:pStyle w:val="TOC2"/>
        <w:rPr>
          <w:rFonts w:eastAsiaTheme="minorEastAsia"/>
          <w:noProof/>
          <w:kern w:val="2"/>
          <w:sz w:val="24"/>
          <w:szCs w:val="24"/>
          <w:lang w:eastAsia="en-AU"/>
          <w14:ligatures w14:val="standardContextual"/>
        </w:rPr>
      </w:pPr>
      <w:hyperlink w:anchor="_Toc199167710" w:history="1">
        <w:r w:rsidRPr="003C50D5">
          <w:rPr>
            <w:rStyle w:val="Hyperlink"/>
            <w:noProof/>
          </w:rPr>
          <w:t>Structure of the Model report and disclosure requirements</w:t>
        </w:r>
        <w:r>
          <w:rPr>
            <w:noProof/>
            <w:webHidden/>
          </w:rPr>
          <w:tab/>
        </w:r>
        <w:r>
          <w:rPr>
            <w:noProof/>
            <w:webHidden/>
          </w:rPr>
          <w:fldChar w:fldCharType="begin"/>
        </w:r>
        <w:r>
          <w:rPr>
            <w:noProof/>
            <w:webHidden/>
          </w:rPr>
          <w:instrText xml:space="preserve"> PAGEREF _Toc199167710 \h </w:instrText>
        </w:r>
        <w:r>
          <w:rPr>
            <w:noProof/>
            <w:webHidden/>
          </w:rPr>
        </w:r>
        <w:r>
          <w:rPr>
            <w:noProof/>
            <w:webHidden/>
          </w:rPr>
          <w:fldChar w:fldCharType="separate"/>
        </w:r>
        <w:r w:rsidR="00BE612E">
          <w:rPr>
            <w:noProof/>
            <w:webHidden/>
          </w:rPr>
          <w:t>7</w:t>
        </w:r>
        <w:r>
          <w:rPr>
            <w:noProof/>
            <w:webHidden/>
          </w:rPr>
          <w:fldChar w:fldCharType="end"/>
        </w:r>
      </w:hyperlink>
    </w:p>
    <w:p w14:paraId="5ED463DF" w14:textId="271DD6AB" w:rsidR="00FB2A6B" w:rsidRDefault="00FB2A6B">
      <w:pPr>
        <w:pStyle w:val="TOC2"/>
        <w:rPr>
          <w:rFonts w:eastAsiaTheme="minorEastAsia"/>
          <w:noProof/>
          <w:kern w:val="2"/>
          <w:sz w:val="24"/>
          <w:szCs w:val="24"/>
          <w:lang w:eastAsia="en-AU"/>
          <w14:ligatures w14:val="standardContextual"/>
        </w:rPr>
      </w:pPr>
      <w:hyperlink w:anchor="_Toc199167711" w:history="1">
        <w:r w:rsidRPr="003C50D5">
          <w:rPr>
            <w:rStyle w:val="Hyperlink"/>
            <w:noProof/>
          </w:rPr>
          <w:t>Source references</w:t>
        </w:r>
        <w:r>
          <w:rPr>
            <w:noProof/>
            <w:webHidden/>
          </w:rPr>
          <w:tab/>
        </w:r>
        <w:r>
          <w:rPr>
            <w:noProof/>
            <w:webHidden/>
          </w:rPr>
          <w:fldChar w:fldCharType="begin"/>
        </w:r>
        <w:r>
          <w:rPr>
            <w:noProof/>
            <w:webHidden/>
          </w:rPr>
          <w:instrText xml:space="preserve"> PAGEREF _Toc199167711 \h </w:instrText>
        </w:r>
        <w:r>
          <w:rPr>
            <w:noProof/>
            <w:webHidden/>
          </w:rPr>
        </w:r>
        <w:r>
          <w:rPr>
            <w:noProof/>
            <w:webHidden/>
          </w:rPr>
          <w:fldChar w:fldCharType="separate"/>
        </w:r>
        <w:r w:rsidR="00BE612E">
          <w:rPr>
            <w:noProof/>
            <w:webHidden/>
          </w:rPr>
          <w:t>8</w:t>
        </w:r>
        <w:r>
          <w:rPr>
            <w:noProof/>
            <w:webHidden/>
          </w:rPr>
          <w:fldChar w:fldCharType="end"/>
        </w:r>
      </w:hyperlink>
    </w:p>
    <w:p w14:paraId="15083D5A" w14:textId="14B233DF" w:rsidR="00FB2A6B" w:rsidRDefault="00FB2A6B">
      <w:pPr>
        <w:pStyle w:val="TOC2"/>
        <w:rPr>
          <w:rFonts w:eastAsiaTheme="minorEastAsia"/>
          <w:noProof/>
          <w:kern w:val="2"/>
          <w:sz w:val="24"/>
          <w:szCs w:val="24"/>
          <w:lang w:eastAsia="en-AU"/>
          <w14:ligatures w14:val="standardContextual"/>
        </w:rPr>
      </w:pPr>
      <w:hyperlink w:anchor="_Toc199167712" w:history="1">
        <w:r w:rsidRPr="003C50D5">
          <w:rPr>
            <w:rStyle w:val="Hyperlink"/>
            <w:noProof/>
          </w:rPr>
          <w:t>The design and printing of annual reports</w:t>
        </w:r>
        <w:r>
          <w:rPr>
            <w:noProof/>
            <w:webHidden/>
          </w:rPr>
          <w:tab/>
        </w:r>
        <w:r>
          <w:rPr>
            <w:noProof/>
            <w:webHidden/>
          </w:rPr>
          <w:fldChar w:fldCharType="begin"/>
        </w:r>
        <w:r>
          <w:rPr>
            <w:noProof/>
            <w:webHidden/>
          </w:rPr>
          <w:instrText xml:space="preserve"> PAGEREF _Toc199167712 \h </w:instrText>
        </w:r>
        <w:r>
          <w:rPr>
            <w:noProof/>
            <w:webHidden/>
          </w:rPr>
        </w:r>
        <w:r>
          <w:rPr>
            <w:noProof/>
            <w:webHidden/>
          </w:rPr>
          <w:fldChar w:fldCharType="separate"/>
        </w:r>
        <w:r w:rsidR="00BE612E">
          <w:rPr>
            <w:noProof/>
            <w:webHidden/>
          </w:rPr>
          <w:t>8</w:t>
        </w:r>
        <w:r>
          <w:rPr>
            <w:noProof/>
            <w:webHidden/>
          </w:rPr>
          <w:fldChar w:fldCharType="end"/>
        </w:r>
      </w:hyperlink>
    </w:p>
    <w:p w14:paraId="4229DD34" w14:textId="30C5B3FF" w:rsidR="00DC1103" w:rsidRDefault="00E265DB">
      <w:pPr>
        <w:pStyle w:val="TOC1"/>
        <w:rPr>
          <w:rFonts w:eastAsiaTheme="minorEastAsia"/>
          <w:b w:val="0"/>
          <w:noProof/>
          <w:kern w:val="2"/>
          <w:sz w:val="24"/>
          <w:szCs w:val="24"/>
          <w:lang w:eastAsia="en-AU"/>
          <w14:ligatures w14:val="standardContextual"/>
        </w:rPr>
      </w:pPr>
      <w:r>
        <w:rPr>
          <w:noProof/>
        </w:rPr>
        <w:fldChar w:fldCharType="end"/>
      </w:r>
      <w:r w:rsidR="00DC1103">
        <w:rPr>
          <w:b w:val="0"/>
          <w:noProof/>
        </w:rPr>
        <w:fldChar w:fldCharType="begin"/>
      </w:r>
      <w:r w:rsidR="00DC1103">
        <w:rPr>
          <w:b w:val="0"/>
          <w:noProof/>
        </w:rPr>
        <w:instrText xml:space="preserve"> TOC \h \z \t "Heading 1,1,Section Title,1" \b ModelReport </w:instrText>
      </w:r>
      <w:r w:rsidR="00DC1103">
        <w:rPr>
          <w:b w:val="0"/>
          <w:noProof/>
        </w:rPr>
        <w:fldChar w:fldCharType="separate"/>
      </w:r>
      <w:hyperlink w:anchor="_Toc199156549" w:history="1">
        <w:r w:rsidR="00DC1103" w:rsidRPr="0048197C">
          <w:rPr>
            <w:rStyle w:val="Hyperlink"/>
            <w:noProof/>
          </w:rPr>
          <w:t>Department of Technology –  Model Report of Operations</w:t>
        </w:r>
        <w:r w:rsidR="00DC1103">
          <w:rPr>
            <w:noProof/>
            <w:webHidden/>
          </w:rPr>
          <w:tab/>
        </w:r>
        <w:r w:rsidR="00DC1103">
          <w:rPr>
            <w:noProof/>
            <w:webHidden/>
          </w:rPr>
          <w:fldChar w:fldCharType="begin"/>
        </w:r>
        <w:r w:rsidR="00DC1103">
          <w:rPr>
            <w:noProof/>
            <w:webHidden/>
          </w:rPr>
          <w:instrText xml:space="preserve"> PAGEREF _Toc199156549 \h </w:instrText>
        </w:r>
        <w:r w:rsidR="00DC1103">
          <w:rPr>
            <w:noProof/>
            <w:webHidden/>
          </w:rPr>
        </w:r>
        <w:r w:rsidR="00DC1103">
          <w:rPr>
            <w:noProof/>
            <w:webHidden/>
          </w:rPr>
          <w:fldChar w:fldCharType="separate"/>
        </w:r>
        <w:r w:rsidR="00BE612E">
          <w:rPr>
            <w:noProof/>
            <w:webHidden/>
          </w:rPr>
          <w:t>9</w:t>
        </w:r>
        <w:r w:rsidR="00DC1103">
          <w:rPr>
            <w:noProof/>
            <w:webHidden/>
          </w:rPr>
          <w:fldChar w:fldCharType="end"/>
        </w:r>
      </w:hyperlink>
    </w:p>
    <w:p w14:paraId="5B17E064" w14:textId="5C2D8EDB" w:rsidR="00DC1103" w:rsidRDefault="00DC1103">
      <w:pPr>
        <w:pStyle w:val="TOC1"/>
        <w:rPr>
          <w:rFonts w:eastAsiaTheme="minorEastAsia"/>
          <w:b w:val="0"/>
          <w:noProof/>
          <w:kern w:val="2"/>
          <w:sz w:val="24"/>
          <w:szCs w:val="24"/>
          <w:lang w:eastAsia="en-AU"/>
          <w14:ligatures w14:val="standardContextual"/>
        </w:rPr>
      </w:pPr>
      <w:hyperlink w:anchor="_Toc199156550" w:history="1">
        <w:r w:rsidRPr="0048197C">
          <w:rPr>
            <w:rStyle w:val="Hyperlink"/>
            <w:noProof/>
          </w:rPr>
          <w:t>Section 1: Year in review</w:t>
        </w:r>
        <w:r>
          <w:rPr>
            <w:noProof/>
            <w:webHidden/>
          </w:rPr>
          <w:tab/>
        </w:r>
        <w:r>
          <w:rPr>
            <w:noProof/>
            <w:webHidden/>
          </w:rPr>
          <w:fldChar w:fldCharType="begin"/>
        </w:r>
        <w:r>
          <w:rPr>
            <w:noProof/>
            <w:webHidden/>
          </w:rPr>
          <w:instrText xml:space="preserve"> PAGEREF _Toc199156550 \h </w:instrText>
        </w:r>
        <w:r>
          <w:rPr>
            <w:noProof/>
            <w:webHidden/>
          </w:rPr>
        </w:r>
        <w:r>
          <w:rPr>
            <w:noProof/>
            <w:webHidden/>
          </w:rPr>
          <w:fldChar w:fldCharType="separate"/>
        </w:r>
        <w:r w:rsidR="00BE612E">
          <w:rPr>
            <w:noProof/>
            <w:webHidden/>
          </w:rPr>
          <w:t>12</w:t>
        </w:r>
        <w:r>
          <w:rPr>
            <w:noProof/>
            <w:webHidden/>
          </w:rPr>
          <w:fldChar w:fldCharType="end"/>
        </w:r>
      </w:hyperlink>
    </w:p>
    <w:p w14:paraId="3E0847A0" w14:textId="3867586E" w:rsidR="00DC1103" w:rsidRDefault="00DC1103">
      <w:pPr>
        <w:pStyle w:val="TOC1"/>
        <w:rPr>
          <w:rFonts w:eastAsiaTheme="minorEastAsia"/>
          <w:b w:val="0"/>
          <w:noProof/>
          <w:kern w:val="2"/>
          <w:sz w:val="24"/>
          <w:szCs w:val="24"/>
          <w:lang w:eastAsia="en-AU"/>
          <w14:ligatures w14:val="standardContextual"/>
        </w:rPr>
      </w:pPr>
      <w:hyperlink w:anchor="_Toc199156551" w:history="1">
        <w:r w:rsidRPr="0048197C">
          <w:rPr>
            <w:rStyle w:val="Hyperlink"/>
            <w:noProof/>
          </w:rPr>
          <w:t>Section 2: Governance and organisational structure</w:t>
        </w:r>
        <w:r>
          <w:rPr>
            <w:noProof/>
            <w:webHidden/>
          </w:rPr>
          <w:tab/>
        </w:r>
        <w:r>
          <w:rPr>
            <w:noProof/>
            <w:webHidden/>
          </w:rPr>
          <w:fldChar w:fldCharType="begin"/>
        </w:r>
        <w:r>
          <w:rPr>
            <w:noProof/>
            <w:webHidden/>
          </w:rPr>
          <w:instrText xml:space="preserve"> PAGEREF _Toc199156551 \h </w:instrText>
        </w:r>
        <w:r>
          <w:rPr>
            <w:noProof/>
            <w:webHidden/>
          </w:rPr>
        </w:r>
        <w:r>
          <w:rPr>
            <w:noProof/>
            <w:webHidden/>
          </w:rPr>
          <w:fldChar w:fldCharType="separate"/>
        </w:r>
        <w:r w:rsidR="00BE612E">
          <w:rPr>
            <w:noProof/>
            <w:webHidden/>
          </w:rPr>
          <w:t>33</w:t>
        </w:r>
        <w:r>
          <w:rPr>
            <w:noProof/>
            <w:webHidden/>
          </w:rPr>
          <w:fldChar w:fldCharType="end"/>
        </w:r>
      </w:hyperlink>
    </w:p>
    <w:p w14:paraId="5EB0A329" w14:textId="0C8203AA" w:rsidR="00DC1103" w:rsidRDefault="00DC1103">
      <w:pPr>
        <w:pStyle w:val="TOC1"/>
        <w:rPr>
          <w:rFonts w:eastAsiaTheme="minorEastAsia"/>
          <w:b w:val="0"/>
          <w:noProof/>
          <w:kern w:val="2"/>
          <w:sz w:val="24"/>
          <w:szCs w:val="24"/>
          <w:lang w:eastAsia="en-AU"/>
          <w14:ligatures w14:val="standardContextual"/>
        </w:rPr>
      </w:pPr>
      <w:hyperlink w:anchor="_Toc199156552" w:history="1">
        <w:r w:rsidRPr="0048197C">
          <w:rPr>
            <w:rStyle w:val="Hyperlink"/>
            <w:noProof/>
          </w:rPr>
          <w:t>Section 3: Workforce data</w:t>
        </w:r>
        <w:r>
          <w:rPr>
            <w:noProof/>
            <w:webHidden/>
          </w:rPr>
          <w:tab/>
        </w:r>
        <w:r>
          <w:rPr>
            <w:noProof/>
            <w:webHidden/>
          </w:rPr>
          <w:fldChar w:fldCharType="begin"/>
        </w:r>
        <w:r>
          <w:rPr>
            <w:noProof/>
            <w:webHidden/>
          </w:rPr>
          <w:instrText xml:space="preserve"> PAGEREF _Toc199156552 \h </w:instrText>
        </w:r>
        <w:r>
          <w:rPr>
            <w:noProof/>
            <w:webHidden/>
          </w:rPr>
        </w:r>
        <w:r>
          <w:rPr>
            <w:noProof/>
            <w:webHidden/>
          </w:rPr>
          <w:fldChar w:fldCharType="separate"/>
        </w:r>
        <w:r w:rsidR="00BE612E">
          <w:rPr>
            <w:noProof/>
            <w:webHidden/>
          </w:rPr>
          <w:t>40</w:t>
        </w:r>
        <w:r>
          <w:rPr>
            <w:noProof/>
            <w:webHidden/>
          </w:rPr>
          <w:fldChar w:fldCharType="end"/>
        </w:r>
      </w:hyperlink>
    </w:p>
    <w:p w14:paraId="39703429" w14:textId="305A6789" w:rsidR="00DC1103" w:rsidRDefault="00DC1103">
      <w:pPr>
        <w:pStyle w:val="TOC1"/>
        <w:rPr>
          <w:rFonts w:eastAsiaTheme="minorEastAsia"/>
          <w:b w:val="0"/>
          <w:noProof/>
          <w:kern w:val="2"/>
          <w:sz w:val="24"/>
          <w:szCs w:val="24"/>
          <w:lang w:eastAsia="en-AU"/>
          <w14:ligatures w14:val="standardContextual"/>
        </w:rPr>
      </w:pPr>
      <w:hyperlink w:anchor="_Toc199156553" w:history="1">
        <w:r w:rsidRPr="0048197C">
          <w:rPr>
            <w:rStyle w:val="Hyperlink"/>
            <w:noProof/>
          </w:rPr>
          <w:t>Section 4: Other disclosures</w:t>
        </w:r>
        <w:r>
          <w:rPr>
            <w:noProof/>
            <w:webHidden/>
          </w:rPr>
          <w:tab/>
        </w:r>
        <w:r>
          <w:rPr>
            <w:noProof/>
            <w:webHidden/>
          </w:rPr>
          <w:fldChar w:fldCharType="begin"/>
        </w:r>
        <w:r>
          <w:rPr>
            <w:noProof/>
            <w:webHidden/>
          </w:rPr>
          <w:instrText xml:space="preserve"> PAGEREF _Toc199156553 \h </w:instrText>
        </w:r>
        <w:r>
          <w:rPr>
            <w:noProof/>
            <w:webHidden/>
          </w:rPr>
        </w:r>
        <w:r>
          <w:rPr>
            <w:noProof/>
            <w:webHidden/>
          </w:rPr>
          <w:fldChar w:fldCharType="separate"/>
        </w:r>
        <w:r w:rsidR="00BE612E">
          <w:rPr>
            <w:noProof/>
            <w:webHidden/>
          </w:rPr>
          <w:t>46</w:t>
        </w:r>
        <w:r>
          <w:rPr>
            <w:noProof/>
            <w:webHidden/>
          </w:rPr>
          <w:fldChar w:fldCharType="end"/>
        </w:r>
      </w:hyperlink>
    </w:p>
    <w:p w14:paraId="208DE1B0" w14:textId="7779DC4F" w:rsidR="00DC1103" w:rsidRDefault="00DC1103">
      <w:pPr>
        <w:pStyle w:val="TOC1"/>
        <w:rPr>
          <w:rFonts w:eastAsiaTheme="minorEastAsia"/>
          <w:b w:val="0"/>
          <w:noProof/>
          <w:kern w:val="2"/>
          <w:sz w:val="24"/>
          <w:szCs w:val="24"/>
          <w:lang w:eastAsia="en-AU"/>
          <w14:ligatures w14:val="standardContextual"/>
        </w:rPr>
      </w:pPr>
      <w:hyperlink w:anchor="_Toc199156554" w:history="1">
        <w:r w:rsidRPr="0048197C">
          <w:rPr>
            <w:rStyle w:val="Hyperlink"/>
            <w:noProof/>
          </w:rPr>
          <w:t>Disclosure index</w:t>
        </w:r>
        <w:r>
          <w:rPr>
            <w:noProof/>
            <w:webHidden/>
          </w:rPr>
          <w:tab/>
        </w:r>
        <w:r>
          <w:rPr>
            <w:noProof/>
            <w:webHidden/>
          </w:rPr>
          <w:fldChar w:fldCharType="begin"/>
        </w:r>
        <w:r>
          <w:rPr>
            <w:noProof/>
            <w:webHidden/>
          </w:rPr>
          <w:instrText xml:space="preserve"> PAGEREF _Toc199156554 \h </w:instrText>
        </w:r>
        <w:r>
          <w:rPr>
            <w:noProof/>
            <w:webHidden/>
          </w:rPr>
        </w:r>
        <w:r>
          <w:rPr>
            <w:noProof/>
            <w:webHidden/>
          </w:rPr>
          <w:fldChar w:fldCharType="separate"/>
        </w:r>
        <w:r w:rsidR="00BE612E">
          <w:rPr>
            <w:noProof/>
            <w:webHidden/>
          </w:rPr>
          <w:t>80</w:t>
        </w:r>
        <w:r>
          <w:rPr>
            <w:noProof/>
            <w:webHidden/>
          </w:rPr>
          <w:fldChar w:fldCharType="end"/>
        </w:r>
      </w:hyperlink>
    </w:p>
    <w:p w14:paraId="390F5344" w14:textId="7E17D9C7" w:rsidR="007D536F" w:rsidRDefault="00DC1103" w:rsidP="00DC1103">
      <w:r>
        <w:rPr>
          <w:b/>
          <w:noProof/>
        </w:rPr>
        <w:fldChar w:fldCharType="end"/>
      </w:r>
    </w:p>
    <w:p w14:paraId="51EFBD81" w14:textId="77777777" w:rsidR="007D536F" w:rsidRDefault="007D536F" w:rsidP="007D536F"/>
    <w:p w14:paraId="3D871977" w14:textId="77777777" w:rsidR="007D536F" w:rsidRDefault="007D536F" w:rsidP="007D536F"/>
    <w:p w14:paraId="3AAF938A" w14:textId="1C7E8A29" w:rsidR="007D536F" w:rsidRPr="007D536F" w:rsidRDefault="007D536F" w:rsidP="007D536F">
      <w:pPr>
        <w:sectPr w:rsidR="007D536F" w:rsidRPr="007D536F" w:rsidSect="00F6022B">
          <w:footerReference w:type="even" r:id="rId30"/>
          <w:footerReference w:type="default" r:id="rId31"/>
          <w:pgSz w:w="11906" w:h="16838" w:code="9"/>
          <w:pgMar w:top="1134" w:right="1134" w:bottom="1134" w:left="1134" w:header="624" w:footer="567" w:gutter="0"/>
          <w:pgNumType w:fmt="lowerRoman" w:start="1"/>
          <w:cols w:space="708"/>
          <w:docGrid w:linePitch="360"/>
        </w:sectPr>
      </w:pPr>
    </w:p>
    <w:p w14:paraId="54B16EA5" w14:textId="7E4CCF84" w:rsidR="008115F3" w:rsidRPr="00F6022B" w:rsidRDefault="00F6022B" w:rsidP="00F6022B">
      <w:pPr>
        <w:pStyle w:val="Heading1"/>
      </w:pPr>
      <w:bookmarkStart w:id="4" w:name="_Toc129260749"/>
      <w:bookmarkStart w:id="5" w:name="_Toc174972157"/>
      <w:bookmarkStart w:id="6" w:name="_Toc199156246"/>
      <w:bookmarkStart w:id="7" w:name="_Toc199167700"/>
      <w:bookmarkStart w:id="8" w:name="Introduction"/>
      <w:r w:rsidRPr="00F6022B">
        <w:lastRenderedPageBreak/>
        <w:t>Introduction</w:t>
      </w:r>
      <w:bookmarkEnd w:id="4"/>
      <w:bookmarkEnd w:id="5"/>
      <w:bookmarkEnd w:id="6"/>
      <w:bookmarkEnd w:id="7"/>
    </w:p>
    <w:p w14:paraId="35EEA3DB" w14:textId="22C94ECC" w:rsidR="008115F3" w:rsidRDefault="008115F3" w:rsidP="00B23B0D">
      <w:r>
        <w:t>The Victorian Government produces publications to inform Parliament and the wider community about its financial plans, outcome and position. Many relate to individual agencies while others, on a consolidated basis, cover a sector or the whole of the Victorian Government. Agencies fund, deliver and regulate a wide range of services on behalf of the Government, mainly relat</w:t>
      </w:r>
      <w:r w:rsidR="008C7792">
        <w:t>ing</w:t>
      </w:r>
      <w:r>
        <w:t xml:space="preserve"> to education, health, public safety, transport and communication. Most of these services are funded through taxes, levies, fees from the sale of goods and services, and grants from the Commonwealth Government. Through their day-to-day operations, all agencies are involved in the financial management of and accountability for the State’s finances.</w:t>
      </w:r>
    </w:p>
    <w:p w14:paraId="1F10E253" w14:textId="77777777" w:rsidR="008115F3" w:rsidRDefault="008115F3" w:rsidP="00E9622A">
      <w:pPr>
        <w:pStyle w:val="Heading2"/>
      </w:pPr>
      <w:bookmarkStart w:id="9" w:name="_Toc129260750"/>
      <w:bookmarkStart w:id="10" w:name="_Toc174972158"/>
      <w:bookmarkStart w:id="11" w:name="_Toc199156247"/>
      <w:bookmarkStart w:id="12" w:name="_Toc199167701"/>
      <w:r>
        <w:t>Legislative background</w:t>
      </w:r>
      <w:bookmarkEnd w:id="9"/>
      <w:bookmarkEnd w:id="10"/>
      <w:bookmarkEnd w:id="11"/>
      <w:bookmarkEnd w:id="12"/>
    </w:p>
    <w:p w14:paraId="65C754DB" w14:textId="04ADD81A" w:rsidR="008115F3" w:rsidRDefault="008115F3" w:rsidP="00B23B0D">
      <w:r>
        <w:t xml:space="preserve">The </w:t>
      </w:r>
      <w:r w:rsidRPr="008115F3">
        <w:rPr>
          <w:i/>
          <w:iCs/>
        </w:rPr>
        <w:t>Constitution Act 1975</w:t>
      </w:r>
      <w:r>
        <w:t xml:space="preserve"> sets down that only Parliament can give approval to the executive government to spend public funds. The Government, in turn, is committed to sound financial management of the State’s public services and infrastructure assets</w:t>
      </w:r>
      <w:r w:rsidR="00C655DD">
        <w:t xml:space="preserve">. </w:t>
      </w:r>
      <w:r w:rsidR="001D311A" w:rsidRPr="001D311A">
        <w:t xml:space="preserve">All Victorian public sector bodies operate under a prudent financial management framework comprising elements from </w:t>
      </w:r>
      <w:r w:rsidR="00070A43">
        <w:t xml:space="preserve">the </w:t>
      </w:r>
      <w:r w:rsidR="001D311A" w:rsidRPr="0056087A">
        <w:rPr>
          <w:i/>
          <w:iCs/>
        </w:rPr>
        <w:t>Constitution Act 1975</w:t>
      </w:r>
      <w:r w:rsidR="001D311A" w:rsidRPr="001D311A">
        <w:t xml:space="preserve">, Appropriation Acts (annual and standing), </w:t>
      </w:r>
      <w:r w:rsidR="001D311A" w:rsidRPr="0067533F">
        <w:rPr>
          <w:i/>
          <w:iCs/>
        </w:rPr>
        <w:t>Financial Management Act 1994</w:t>
      </w:r>
      <w:r w:rsidR="001D311A" w:rsidRPr="001D311A">
        <w:t xml:space="preserve"> (FMA), </w:t>
      </w:r>
      <w:r w:rsidR="001D311A" w:rsidRPr="0067533F">
        <w:rPr>
          <w:i/>
          <w:iCs/>
        </w:rPr>
        <w:t>Borrowing and Investment Powers Act 1987</w:t>
      </w:r>
      <w:r w:rsidR="001D311A" w:rsidRPr="001D311A">
        <w:t xml:space="preserve">, </w:t>
      </w:r>
      <w:r w:rsidR="001D311A" w:rsidRPr="0067533F">
        <w:rPr>
          <w:i/>
          <w:iCs/>
        </w:rPr>
        <w:t>Public Administration Act 2004</w:t>
      </w:r>
      <w:r w:rsidR="001D311A" w:rsidRPr="001D311A">
        <w:t xml:space="preserve"> and </w:t>
      </w:r>
      <w:r w:rsidR="001D311A" w:rsidRPr="0067533F">
        <w:rPr>
          <w:i/>
          <w:iCs/>
        </w:rPr>
        <w:t>Audit Act 1994</w:t>
      </w:r>
      <w:r w:rsidR="001D311A" w:rsidRPr="001D311A">
        <w:t>.</w:t>
      </w:r>
      <w:r>
        <w:t xml:space="preserve"> These Acts may contain sections that affect the requirements of the budget and financial reporting obligations to Parliament. The FMA governs the use of public money and the accountability processes and subordinate legislation with which the Government, departments and other public sector bodies are obliged to comply. Note that the terms ‘department’ and ‘public body’ are defined in the FMA. ‘Agency’ is a term used in the </w:t>
      </w:r>
      <w:r w:rsidRPr="001A0FEE">
        <w:rPr>
          <w:i/>
          <w:iCs/>
        </w:rPr>
        <w:t>Standing Directions 2018</w:t>
      </w:r>
      <w:r>
        <w:t xml:space="preserve"> under the FMA, which includes departments and public bodies.</w:t>
      </w:r>
    </w:p>
    <w:p w14:paraId="2B0F3312" w14:textId="77777777" w:rsidR="008115F3" w:rsidRDefault="008115F3" w:rsidP="00E9622A">
      <w:pPr>
        <w:pStyle w:val="Heading2"/>
      </w:pPr>
      <w:bookmarkStart w:id="13" w:name="_Toc129260751"/>
      <w:bookmarkStart w:id="14" w:name="_Toc174972159"/>
      <w:bookmarkStart w:id="15" w:name="_Toc199156248"/>
      <w:bookmarkStart w:id="16" w:name="_Toc199167702"/>
      <w:r>
        <w:t>Financial accountability and reporting</w:t>
      </w:r>
      <w:bookmarkEnd w:id="13"/>
      <w:bookmarkEnd w:id="14"/>
      <w:bookmarkEnd w:id="15"/>
      <w:bookmarkEnd w:id="16"/>
    </w:p>
    <w:p w14:paraId="01270765" w14:textId="77777777" w:rsidR="008115F3" w:rsidRDefault="008115F3" w:rsidP="00C022AA">
      <w:pPr>
        <w:pStyle w:val="Heading3"/>
      </w:pPr>
      <w:r>
        <w:t>Key financial publications for the State of Victoria</w:t>
      </w:r>
    </w:p>
    <w:p w14:paraId="5153569A" w14:textId="03B10CED" w:rsidR="008115F3" w:rsidRDefault="008115F3" w:rsidP="008115F3">
      <w:r>
        <w:t>The Department of Treasury and Finance (DTF) is responsible</w:t>
      </w:r>
      <w:r w:rsidR="00070A43">
        <w:t xml:space="preserve"> for</w:t>
      </w:r>
      <w:r>
        <w:t xml:space="preserve"> </w:t>
      </w:r>
      <w:r w:rsidR="007A3036">
        <w:t>coordinating, preparing and publishing</w:t>
      </w:r>
      <w:r>
        <w:t xml:space="preserve"> the State’s main planning and financial accountability documents that are required under the FMA. These </w:t>
      </w:r>
      <w:r w:rsidR="00336F6A">
        <w:t xml:space="preserve">comprise </w:t>
      </w:r>
      <w:r>
        <w:t xml:space="preserve">budgetary and financial reports </w:t>
      </w:r>
      <w:r w:rsidR="00336F6A">
        <w:t xml:space="preserve">that </w:t>
      </w:r>
      <w:r>
        <w:t>include:</w:t>
      </w:r>
    </w:p>
    <w:p w14:paraId="052E3288" w14:textId="0DB65784" w:rsidR="008115F3" w:rsidRPr="00863A3A" w:rsidRDefault="008115F3" w:rsidP="00310F12">
      <w:pPr>
        <w:pStyle w:val="ListBullet"/>
      </w:pPr>
      <w:r w:rsidRPr="00863A3A">
        <w:t>State budget papers (BPs) in conjunction with the Appropriation Bills</w:t>
      </w:r>
    </w:p>
    <w:p w14:paraId="58554F84" w14:textId="27481A07" w:rsidR="008115F3" w:rsidRPr="004519ED" w:rsidRDefault="008115F3" w:rsidP="00310F12">
      <w:pPr>
        <w:pStyle w:val="ListBullet"/>
      </w:pPr>
      <w:r w:rsidRPr="004519ED">
        <w:t>Budget Update</w:t>
      </w:r>
    </w:p>
    <w:p w14:paraId="5BD85910" w14:textId="141B456E" w:rsidR="008115F3" w:rsidRPr="00863A3A" w:rsidRDefault="008115F3" w:rsidP="00310F12">
      <w:pPr>
        <w:pStyle w:val="ListBullet"/>
      </w:pPr>
      <w:r w:rsidRPr="00863A3A">
        <w:t>Annual Financial Report (AFR)</w:t>
      </w:r>
    </w:p>
    <w:p w14:paraId="15DD9A0D" w14:textId="754339FD" w:rsidR="008115F3" w:rsidRPr="00B23B0D" w:rsidRDefault="008115F3" w:rsidP="00310F12">
      <w:pPr>
        <w:pStyle w:val="ListBullet"/>
      </w:pPr>
      <w:r w:rsidRPr="00B23B0D">
        <w:t>interim financial reports, including Quarterly Financial Reports (QFRs) and Mid-Year Financial Report (MYFR)</w:t>
      </w:r>
    </w:p>
    <w:p w14:paraId="716B9307" w14:textId="6B820C59" w:rsidR="008115F3" w:rsidRPr="00B23B0D" w:rsidRDefault="008115F3" w:rsidP="00310F12">
      <w:pPr>
        <w:pStyle w:val="ListBullet"/>
      </w:pPr>
      <w:r w:rsidRPr="00B23B0D">
        <w:t>Pre-Election Budget Update (PEBU) in election years.</w:t>
      </w:r>
    </w:p>
    <w:p w14:paraId="46F4571F" w14:textId="4D738C00" w:rsidR="008115F3" w:rsidRDefault="008115F3" w:rsidP="008115F3">
      <w:r>
        <w:t xml:space="preserve">Each of these publications </w:t>
      </w:r>
      <w:r w:rsidR="00292945">
        <w:t xml:space="preserve">(see Diagram 1: </w:t>
      </w:r>
      <w:fldSimple w:instr="DOCPROPERTY  FinYearCurrent  \* MERGEFORMAT">
        <w:r w:rsidR="002831D1">
          <w:t>20X1</w:t>
        </w:r>
        <w:r w:rsidR="002831D1" w:rsidRPr="002831D1">
          <w:rPr>
            <w:rFonts w:ascii="Cambria Math" w:hAnsi="Cambria Math" w:cs="Cambria Math"/>
          </w:rPr>
          <w:t>‑</w:t>
        </w:r>
        <w:r w:rsidR="002831D1">
          <w:t>X2</w:t>
        </w:r>
      </w:fldSimple>
      <w:r w:rsidR="00292945">
        <w:t xml:space="preserve"> annual financial publication cycle) </w:t>
      </w:r>
      <w:r>
        <w:t>provides a consolidated set of financial statements and accompanying notes based on data submitted by all agencies. In addition to the consolidated financial statements, all agencies prepare their own entity annual report.</w:t>
      </w:r>
    </w:p>
    <w:p w14:paraId="26BF298A" w14:textId="39B662D0" w:rsidR="008115F3" w:rsidRDefault="008115F3" w:rsidP="008115F3">
      <w:r>
        <w:t>DTF also provides the State’s consolidated financial data to the Australian Bureau of Statistics (ABS) for inclusion in the national accounts and other statistical reports</w:t>
      </w:r>
      <w:r w:rsidR="00A76158">
        <w:t>.</w:t>
      </w:r>
      <w:r w:rsidR="00F51427">
        <w:rPr>
          <w:rStyle w:val="FootnoteReference"/>
        </w:rPr>
        <w:footnoteReference w:id="2"/>
      </w:r>
      <w:r>
        <w:t xml:space="preserve"> The analysis and application of this data has significant consequences for the State. For example, the ABS publishes interstate comparisons of this financial data, which </w:t>
      </w:r>
      <w:r w:rsidR="000328EA">
        <w:t xml:space="preserve">are </w:t>
      </w:r>
      <w:r>
        <w:t>relied upon by national authorities such as the Commonwealth Grants Commission when allocating the GST pool and other Commonwealth grant funding across the states and territories.</w:t>
      </w:r>
    </w:p>
    <w:p w14:paraId="22C37C09" w14:textId="32E89021" w:rsidR="006E60AB" w:rsidRDefault="008115F3" w:rsidP="008115F3">
      <w:r>
        <w:t>High</w:t>
      </w:r>
      <w:r w:rsidR="00FC2DA3">
        <w:t>-</w:t>
      </w:r>
      <w:r>
        <w:t xml:space="preserve">quality financial data </w:t>
      </w:r>
      <w:r w:rsidR="00A84100">
        <w:t>must</w:t>
      </w:r>
      <w:r>
        <w:t xml:space="preserve"> fairly reflect the Government’s financial performance and management of the State’s resources to fairly represent the level of activity in the State</w:t>
      </w:r>
      <w:r w:rsidR="00356F59">
        <w:t>,</w:t>
      </w:r>
      <w:r>
        <w:t xml:space="preserve"> as it may impact on the quantum of funding received by Victoria from the Commonwealth Government.</w:t>
      </w:r>
    </w:p>
    <w:p w14:paraId="01DD3269" w14:textId="1DE38E02" w:rsidR="001C5DED" w:rsidRDefault="001C5DED" w:rsidP="008115F3"/>
    <w:p w14:paraId="3DCBAE7B" w14:textId="49F187AA" w:rsidR="001C5DED" w:rsidRDefault="001C5DED">
      <w:pPr>
        <w:spacing w:before="0" w:after="160"/>
      </w:pPr>
      <w:r>
        <w:br w:type="page"/>
      </w:r>
    </w:p>
    <w:p w14:paraId="55E549EB" w14:textId="77777777" w:rsidR="006C62FF" w:rsidRDefault="006C62FF" w:rsidP="006C62FF">
      <w:pPr>
        <w:pStyle w:val="Heading3"/>
      </w:pPr>
      <w:r>
        <w:lastRenderedPageBreak/>
        <w:t>Resource materials</w:t>
      </w:r>
    </w:p>
    <w:p w14:paraId="5851A233" w14:textId="2782E1E3" w:rsidR="006C62FF" w:rsidRDefault="006C62FF" w:rsidP="006C62FF">
      <w:r>
        <w:t xml:space="preserve">In support of the State’s financial management legislative framework and provision of high-quality financial data, DTF issues budgetary, regulatory and other financial reporting materials to enable consistency in the way public sector bodies record and submit their financial </w:t>
      </w:r>
      <w:r w:rsidR="001A0FEE">
        <w:t>data to DTF</w:t>
      </w:r>
      <w:r>
        <w:t>. Some of the main guidance materials include:</w:t>
      </w:r>
    </w:p>
    <w:p w14:paraId="4EC85299" w14:textId="25025258" w:rsidR="006C62FF" w:rsidRDefault="006C62FF" w:rsidP="00310F12">
      <w:pPr>
        <w:pStyle w:val="ListBullet"/>
      </w:pPr>
      <w:r w:rsidRPr="001A0FEE">
        <w:t>Standing Directions 2018</w:t>
      </w:r>
      <w:r>
        <w:t xml:space="preserve"> under the FMA and associated instructions and guidance</w:t>
      </w:r>
    </w:p>
    <w:p w14:paraId="761589C7" w14:textId="513044C3" w:rsidR="006C62FF" w:rsidRDefault="006C62FF" w:rsidP="00310F12">
      <w:pPr>
        <w:pStyle w:val="ListBullet"/>
      </w:pPr>
      <w:r>
        <w:t>Financial Reporting Directions (FRD)</w:t>
      </w:r>
      <w:r>
        <w:rPr>
          <w:rStyle w:val="FootnoteReference"/>
        </w:rPr>
        <w:footnoteReference w:id="3"/>
      </w:r>
    </w:p>
    <w:p w14:paraId="33537B19" w14:textId="3AE0A551" w:rsidR="006C62FF" w:rsidRDefault="006C62FF" w:rsidP="00310F12">
      <w:pPr>
        <w:pStyle w:val="ListBullet"/>
      </w:pPr>
      <w:r>
        <w:t xml:space="preserve">Resource Management Framework (RMF) </w:t>
      </w:r>
    </w:p>
    <w:p w14:paraId="24A645D3" w14:textId="62B3ECAE" w:rsidR="006C62FF" w:rsidRDefault="006C62FF" w:rsidP="00310F12">
      <w:pPr>
        <w:pStyle w:val="ListBullet"/>
      </w:pPr>
      <w:r>
        <w:t>the Model Report for Victorian Government Departments</w:t>
      </w:r>
      <w:r w:rsidR="00AE776C">
        <w:t xml:space="preserve"> and the Tier 2 Model Financial Report for Victorian </w:t>
      </w:r>
      <w:r w:rsidR="00B83B50">
        <w:t xml:space="preserve">public sector entities </w:t>
      </w:r>
      <w:r>
        <w:t xml:space="preserve">which </w:t>
      </w:r>
      <w:r w:rsidR="00497DDE">
        <w:t>are</w:t>
      </w:r>
      <w:r>
        <w:t xml:space="preserve"> revised and issued annually.</w:t>
      </w:r>
    </w:p>
    <w:p w14:paraId="19D17E08" w14:textId="5FCFAF7C" w:rsidR="006C62FF" w:rsidRDefault="00CF5C64" w:rsidP="006C62FF">
      <w:r>
        <w:t>T</w:t>
      </w:r>
      <w:r w:rsidR="006C62FF">
        <w:t xml:space="preserve">he RMF </w:t>
      </w:r>
      <w:r w:rsidR="005538F9">
        <w:t>is a</w:t>
      </w:r>
      <w:r w:rsidR="006C62FF">
        <w:t xml:space="preserve"> comprehensive framework that underpins the budget funding and accountability processes for Victorian Government departments</w:t>
      </w:r>
      <w:bookmarkStart w:id="17" w:name="_Hlk60127039"/>
      <w:r w:rsidR="00116223" w:rsidRPr="0023566F">
        <w:t>.</w:t>
      </w:r>
    </w:p>
    <w:bookmarkEnd w:id="17"/>
    <w:p w14:paraId="14DCAC3C" w14:textId="6005E0D3" w:rsidR="006C62FF" w:rsidRDefault="001F28D3" w:rsidP="006C62FF">
      <w:r>
        <w:t>The DTF website (</w:t>
      </w:r>
      <w:hyperlink r:id="rId32" w:history="1">
        <w:r w:rsidRPr="001F28D3">
          <w:rPr>
            <w:rStyle w:val="Hyperlink"/>
          </w:rPr>
          <w:t>www.dtf.vic.gov.au/planning-budgeting-and-financial-reporting-frameworks/resource-management-framework</w:t>
        </w:r>
      </w:hyperlink>
      <w:r>
        <w:t>) provides f</w:t>
      </w:r>
      <w:r w:rsidR="006C62FF">
        <w:t>urther information</w:t>
      </w:r>
      <w:r w:rsidR="008875ED">
        <w:t xml:space="preserve">, including </w:t>
      </w:r>
      <w:r w:rsidR="009234DC">
        <w:t xml:space="preserve">a version of </w:t>
      </w:r>
      <w:r w:rsidR="008875ED">
        <w:t>the current RMF</w:t>
      </w:r>
      <w:r w:rsidR="000D7AC3">
        <w:t>.</w:t>
      </w:r>
    </w:p>
    <w:p w14:paraId="77EBB8AA" w14:textId="7C417CE0" w:rsidR="006C62FF" w:rsidRDefault="006C62FF" w:rsidP="006C62FF">
      <w:pPr>
        <w:pStyle w:val="Caption"/>
      </w:pPr>
      <w:r>
        <w:t xml:space="preserve">Diagram 1: </w:t>
      </w:r>
      <w:fldSimple w:instr="DOCPROPERTY  FinYearCurrent  \* MERGEFORMAT">
        <w:r w:rsidR="002831D1">
          <w:t>20X1</w:t>
        </w:r>
        <w:r w:rsidR="002831D1" w:rsidRPr="002831D1">
          <w:rPr>
            <w:rFonts w:ascii="Cambria Math" w:hAnsi="Cambria Math" w:cs="Cambria Math"/>
          </w:rPr>
          <w:t>‑</w:t>
        </w:r>
        <w:r w:rsidR="002831D1">
          <w:t>X2</w:t>
        </w:r>
      </w:fldSimple>
      <w:r>
        <w:t xml:space="preserve"> annual financial publication cycle</w:t>
      </w:r>
    </w:p>
    <w:p w14:paraId="62C80CBE" w14:textId="51412F53" w:rsidR="002C7726" w:rsidRPr="002C7726" w:rsidRDefault="002C7726" w:rsidP="002C7726">
      <w:pPr>
        <w:jc w:val="center"/>
      </w:pPr>
      <w:r w:rsidRPr="00940E38">
        <w:rPr>
          <w:sz w:val="15"/>
          <w:szCs w:val="15"/>
        </w:rPr>
        <w:object w:dxaOrig="10828" w:dyaOrig="10828" w14:anchorId="2F9DB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5pt;height:268.55pt" o:ole="">
            <v:imagedata r:id="rId33" o:title=""/>
          </v:shape>
          <o:OLEObject Type="Embed" ProgID="Visio.Drawing.11" ShapeID="_x0000_i1025" DrawAspect="Content" ObjectID="_1809783812" r:id="rId34"/>
        </w:object>
      </w:r>
    </w:p>
    <w:p w14:paraId="075ADFCD" w14:textId="77777777" w:rsidR="006C62FF" w:rsidRDefault="006C62FF" w:rsidP="006C62FF">
      <w:pPr>
        <w:pStyle w:val="Source"/>
      </w:pPr>
      <w:r>
        <w:t xml:space="preserve">Source: Department of Treasury and Finance </w:t>
      </w:r>
    </w:p>
    <w:p w14:paraId="4448759E" w14:textId="77777777" w:rsidR="006C62FF" w:rsidRPr="00D35336" w:rsidRDefault="006C62FF" w:rsidP="00D35336">
      <w:pPr>
        <w:pStyle w:val="Note"/>
      </w:pPr>
      <w:r w:rsidRPr="00D35336">
        <w:t xml:space="preserve">Notes: </w:t>
      </w:r>
    </w:p>
    <w:p w14:paraId="2AD50671" w14:textId="77777777" w:rsidR="006C62FF" w:rsidRPr="00D35336" w:rsidRDefault="006C62FF" w:rsidP="00D35336">
      <w:pPr>
        <w:pStyle w:val="Note"/>
      </w:pPr>
      <w:r w:rsidRPr="00D35336">
        <w:t>(a)</w:t>
      </w:r>
      <w:r w:rsidRPr="00D35336">
        <w:tab/>
        <w:t>The timelines illustrated above are indicative only.</w:t>
      </w:r>
    </w:p>
    <w:p w14:paraId="4964E0F0" w14:textId="77777777" w:rsidR="006C62FF" w:rsidRPr="00D35336" w:rsidRDefault="006C62FF" w:rsidP="00D35336">
      <w:pPr>
        <w:pStyle w:val="Note"/>
      </w:pPr>
      <w:r w:rsidRPr="00D35336">
        <w:t>(b)</w:t>
      </w:r>
      <w:r w:rsidRPr="00D35336">
        <w:tab/>
        <w:t>Appropriation Bills are prepared and tabled with the Budget.</w:t>
      </w:r>
    </w:p>
    <w:p w14:paraId="3E162065" w14:textId="5877A67D" w:rsidR="006C62FF" w:rsidRPr="00D35336" w:rsidRDefault="006C62FF" w:rsidP="00D35336">
      <w:pPr>
        <w:pStyle w:val="Note"/>
      </w:pPr>
      <w:r w:rsidRPr="00D35336">
        <w:t>(c)</w:t>
      </w:r>
      <w:r w:rsidRPr="00D35336">
        <w:tab/>
        <w:t>PEBU is only published in an election year.</w:t>
      </w:r>
    </w:p>
    <w:p w14:paraId="3B902E63" w14:textId="77777777" w:rsidR="00562221" w:rsidRPr="00562221" w:rsidRDefault="00562221" w:rsidP="00562221">
      <w:r w:rsidRPr="00562221">
        <w:br w:type="page"/>
      </w:r>
    </w:p>
    <w:p w14:paraId="0304351B" w14:textId="5839C6E5" w:rsidR="001C5DED" w:rsidRDefault="001C5DED" w:rsidP="001C5DED">
      <w:pPr>
        <w:pStyle w:val="Heading2"/>
      </w:pPr>
      <w:bookmarkStart w:id="18" w:name="_Toc129260752"/>
      <w:bookmarkStart w:id="19" w:name="_Toc174972160"/>
      <w:bookmarkStart w:id="20" w:name="_Toc199156249"/>
      <w:bookmarkStart w:id="21" w:name="_Toc199167703"/>
      <w:r>
        <w:lastRenderedPageBreak/>
        <w:t>Reporting structure of the State of Victoria</w:t>
      </w:r>
      <w:bookmarkEnd w:id="18"/>
      <w:bookmarkEnd w:id="19"/>
      <w:bookmarkEnd w:id="20"/>
      <w:bookmarkEnd w:id="21"/>
    </w:p>
    <w:p w14:paraId="5375FDD0" w14:textId="4FAE921B" w:rsidR="001C5DED" w:rsidRDefault="001C5DED" w:rsidP="001C5DED">
      <w:r>
        <w:t xml:space="preserve">The Victorian public sector includes a range of agencies established by legislation for specified purposes, including departments, statutory authorities, state-owned corporations, school councils, boards, trusts, and advisory and management committees. Most of these agencies are established as ‘not-for-profit’ organisations, with a small group of entities, mainly from the finance and metropolitan water portfolios, operating as ‘for profit’ organisations. </w:t>
      </w:r>
    </w:p>
    <w:p w14:paraId="7096E675" w14:textId="5732D696" w:rsidR="001C5DED" w:rsidRDefault="001C5DED" w:rsidP="001C5DED">
      <w:r>
        <w:t>The reporting structure for the State is based on the System of National Accounts</w:t>
      </w:r>
      <w:r w:rsidR="00E364E3">
        <w:t>,</w:t>
      </w:r>
      <w:r w:rsidR="00562221">
        <w:rPr>
          <w:rStyle w:val="FootnoteReference"/>
        </w:rPr>
        <w:footnoteReference w:id="4"/>
      </w:r>
      <w:r>
        <w:t xml:space="preserve"> which classifies public sector bodies into either the general government sector, public non-financial corporations (PNFCs) or public financial corporations (PFCs) sectors. Diagram 2 provides an overview of this reporting structure.</w:t>
      </w:r>
    </w:p>
    <w:p w14:paraId="51EE5C93" w14:textId="237E7C0D" w:rsidR="001C5DED" w:rsidRDefault="001C5DED" w:rsidP="001C5DED">
      <w:pPr>
        <w:pStyle w:val="Caption"/>
      </w:pPr>
      <w:r>
        <w:t>Diagram 2: Reporting structure of the State of Victoria</w:t>
      </w:r>
    </w:p>
    <w:p w14:paraId="4669CBC0" w14:textId="46A54266" w:rsidR="00562221" w:rsidRDefault="00D164CD" w:rsidP="00562221">
      <w:pPr>
        <w:jc w:val="center"/>
      </w:pPr>
      <w:r>
        <w:rPr>
          <w:noProof/>
        </w:rPr>
        <mc:AlternateContent>
          <mc:Choice Requires="wpg">
            <w:drawing>
              <wp:inline distT="0" distB="0" distL="0" distR="0" wp14:anchorId="23AA9F70" wp14:editId="2DFC646C">
                <wp:extent cx="4660900" cy="2352675"/>
                <wp:effectExtent l="12700" t="12065" r="12700" b="6985"/>
                <wp:docPr id="102575801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900" cy="2352675"/>
                          <a:chOff x="2025" y="4976"/>
                          <a:chExt cx="8052" cy="3918"/>
                        </a:xfrm>
                      </wpg:grpSpPr>
                      <wps:wsp>
                        <wps:cNvPr id="1520553671" name="Rectangle 643"/>
                        <wps:cNvSpPr>
                          <a:spLocks noChangeArrowheads="1"/>
                        </wps:cNvSpPr>
                        <wps:spPr bwMode="auto">
                          <a:xfrm>
                            <a:off x="2030" y="4976"/>
                            <a:ext cx="8042" cy="602"/>
                          </a:xfrm>
                          <a:prstGeom prst="roundRect">
                            <a:avLst>
                              <a:gd name="adj" fmla="val 16667"/>
                            </a:avLst>
                          </a:prstGeom>
                          <a:solidFill>
                            <a:srgbClr val="FFFFFF"/>
                          </a:solidFill>
                          <a:ln w="9525">
                            <a:solidFill>
                              <a:srgbClr val="000000"/>
                            </a:solidFill>
                            <a:miter lim="800000"/>
                            <a:headEnd/>
                            <a:tailEnd/>
                          </a:ln>
                        </wps:spPr>
                        <wps:txbx>
                          <w:txbxContent>
                            <w:p w14:paraId="1F70303D" w14:textId="77777777" w:rsidR="00A545BA" w:rsidRPr="00540F3F" w:rsidRDefault="00A545BA" w:rsidP="0002688F">
                              <w:pPr>
                                <w:spacing w:before="0" w:after="0"/>
                                <w:jc w:val="center"/>
                              </w:pPr>
                              <w:r w:rsidRPr="00540F3F">
                                <w:t>State of Victoria</w:t>
                              </w:r>
                            </w:p>
                          </w:txbxContent>
                        </wps:txbx>
                        <wps:bodyPr rot="0" vert="horz" wrap="square" lIns="0" tIns="0" rIns="0" bIns="0" anchor="ctr" anchorCtr="0" upright="1">
                          <a:noAutofit/>
                        </wps:bodyPr>
                      </wps:wsp>
                      <wps:wsp>
                        <wps:cNvPr id="1967872701" name="Rectangle 644"/>
                        <wps:cNvSpPr>
                          <a:spLocks noChangeArrowheads="1"/>
                        </wps:cNvSpPr>
                        <wps:spPr bwMode="auto">
                          <a:xfrm>
                            <a:off x="2030" y="6012"/>
                            <a:ext cx="5233" cy="447"/>
                          </a:xfrm>
                          <a:prstGeom prst="roundRect">
                            <a:avLst>
                              <a:gd name="adj" fmla="val 16667"/>
                            </a:avLst>
                          </a:prstGeom>
                          <a:solidFill>
                            <a:srgbClr val="FFFFFF"/>
                          </a:solidFill>
                          <a:ln w="9525">
                            <a:solidFill>
                              <a:srgbClr val="000000"/>
                            </a:solidFill>
                            <a:miter lim="800000"/>
                            <a:headEnd/>
                            <a:tailEnd/>
                          </a:ln>
                        </wps:spPr>
                        <wps:txbx>
                          <w:txbxContent>
                            <w:p w14:paraId="065B1DA9" w14:textId="77777777" w:rsidR="00A545BA" w:rsidRPr="00EE3A30" w:rsidRDefault="00A545BA" w:rsidP="0002688F">
                              <w:pPr>
                                <w:spacing w:before="0" w:after="0"/>
                                <w:jc w:val="center"/>
                              </w:pPr>
                              <w:r w:rsidRPr="00EE3A30">
                                <w:t>Non-financial public sector</w:t>
                              </w:r>
                            </w:p>
                          </w:txbxContent>
                        </wps:txbx>
                        <wps:bodyPr rot="0" vert="horz" wrap="square" lIns="0" tIns="0" rIns="0" bIns="0" anchor="ctr" anchorCtr="0" upright="1">
                          <a:noAutofit/>
                        </wps:bodyPr>
                      </wps:wsp>
                      <wps:wsp>
                        <wps:cNvPr id="432880754" name="Rectangle 645"/>
                        <wps:cNvSpPr>
                          <a:spLocks noChangeArrowheads="1"/>
                        </wps:cNvSpPr>
                        <wps:spPr bwMode="auto">
                          <a:xfrm>
                            <a:off x="2030" y="7117"/>
                            <a:ext cx="2699" cy="672"/>
                          </a:xfrm>
                          <a:prstGeom prst="roundRect">
                            <a:avLst>
                              <a:gd name="adj" fmla="val 16667"/>
                            </a:avLst>
                          </a:prstGeom>
                          <a:solidFill>
                            <a:srgbClr val="FFFFFF"/>
                          </a:solidFill>
                          <a:ln w="9525">
                            <a:solidFill>
                              <a:srgbClr val="000000"/>
                            </a:solidFill>
                            <a:miter lim="800000"/>
                            <a:headEnd/>
                            <a:tailEnd/>
                          </a:ln>
                        </wps:spPr>
                        <wps:txbx>
                          <w:txbxContent>
                            <w:p w14:paraId="03451F22" w14:textId="77777777" w:rsidR="00A545BA" w:rsidRPr="00EE3A30" w:rsidRDefault="00A545BA" w:rsidP="0002688F">
                              <w:pPr>
                                <w:spacing w:before="0" w:after="0"/>
                                <w:jc w:val="center"/>
                              </w:pPr>
                              <w:r w:rsidRPr="00EE3A30">
                                <w:t>General government</w:t>
                              </w:r>
                            </w:p>
                          </w:txbxContent>
                        </wps:txbx>
                        <wps:bodyPr rot="0" vert="horz" wrap="square" lIns="0" tIns="0" rIns="0" bIns="0" anchor="ctr" anchorCtr="0" upright="1">
                          <a:noAutofit/>
                        </wps:bodyPr>
                      </wps:wsp>
                      <wps:wsp>
                        <wps:cNvPr id="1121758632" name="Rectangle 646"/>
                        <wps:cNvSpPr>
                          <a:spLocks noChangeArrowheads="1"/>
                        </wps:cNvSpPr>
                        <wps:spPr bwMode="auto">
                          <a:xfrm>
                            <a:off x="4828" y="7117"/>
                            <a:ext cx="2434" cy="672"/>
                          </a:xfrm>
                          <a:prstGeom prst="roundRect">
                            <a:avLst>
                              <a:gd name="adj" fmla="val 16667"/>
                            </a:avLst>
                          </a:prstGeom>
                          <a:solidFill>
                            <a:srgbClr val="FFFFFF"/>
                          </a:solidFill>
                          <a:ln w="9525">
                            <a:solidFill>
                              <a:srgbClr val="000000"/>
                            </a:solidFill>
                            <a:miter lim="800000"/>
                            <a:headEnd/>
                            <a:tailEnd/>
                          </a:ln>
                        </wps:spPr>
                        <wps:txbx>
                          <w:txbxContent>
                            <w:p w14:paraId="50521CA7" w14:textId="77777777" w:rsidR="00A545BA" w:rsidRPr="00EE3A30" w:rsidRDefault="00A545BA" w:rsidP="0002688F">
                              <w:pPr>
                                <w:spacing w:before="0" w:after="0"/>
                                <w:jc w:val="center"/>
                              </w:pPr>
                              <w:r w:rsidRPr="00EE3A30">
                                <w:t>Public non-financial corporations</w:t>
                              </w:r>
                            </w:p>
                          </w:txbxContent>
                        </wps:txbx>
                        <wps:bodyPr rot="0" vert="horz" wrap="square" lIns="0" tIns="0" rIns="0" bIns="0" anchor="ctr" anchorCtr="0" upright="1">
                          <a:noAutofit/>
                        </wps:bodyPr>
                      </wps:wsp>
                      <wps:wsp>
                        <wps:cNvPr id="44474513" name="Rectangle 647"/>
                        <wps:cNvSpPr>
                          <a:spLocks noChangeArrowheads="1"/>
                        </wps:cNvSpPr>
                        <wps:spPr bwMode="auto">
                          <a:xfrm>
                            <a:off x="7373" y="7117"/>
                            <a:ext cx="2703" cy="672"/>
                          </a:xfrm>
                          <a:prstGeom prst="roundRect">
                            <a:avLst>
                              <a:gd name="adj" fmla="val 16667"/>
                            </a:avLst>
                          </a:prstGeom>
                          <a:solidFill>
                            <a:srgbClr val="FFFFFF"/>
                          </a:solidFill>
                          <a:ln w="9525">
                            <a:solidFill>
                              <a:srgbClr val="000000"/>
                            </a:solidFill>
                            <a:miter lim="800000"/>
                            <a:headEnd/>
                            <a:tailEnd/>
                          </a:ln>
                        </wps:spPr>
                        <wps:txbx>
                          <w:txbxContent>
                            <w:p w14:paraId="2BD0772F" w14:textId="77777777" w:rsidR="00A545BA" w:rsidRPr="00EE3A30" w:rsidRDefault="00A545BA" w:rsidP="0002688F">
                              <w:pPr>
                                <w:spacing w:before="0" w:after="0"/>
                                <w:jc w:val="center"/>
                              </w:pPr>
                              <w:r w:rsidRPr="00EE3A30">
                                <w:t>Public financial corporations</w:t>
                              </w:r>
                            </w:p>
                          </w:txbxContent>
                        </wps:txbx>
                        <wps:bodyPr rot="0" vert="horz" wrap="square" lIns="0" tIns="0" rIns="0" bIns="0" anchor="ctr" anchorCtr="0" upright="1">
                          <a:noAutofit/>
                        </wps:bodyPr>
                      </wps:wsp>
                      <wps:wsp>
                        <wps:cNvPr id="744869659" name="Rectangle 648"/>
                        <wps:cNvSpPr>
                          <a:spLocks noChangeArrowheads="1"/>
                        </wps:cNvSpPr>
                        <wps:spPr bwMode="auto">
                          <a:xfrm>
                            <a:off x="2025" y="8222"/>
                            <a:ext cx="2054" cy="672"/>
                          </a:xfrm>
                          <a:custGeom>
                            <a:avLst/>
                            <a:gdLst>
                              <a:gd name="T0" fmla="*/ 0 w 1102588"/>
                              <a:gd name="T1" fmla="*/ 112 h 403522"/>
                              <a:gd name="T2" fmla="*/ 125 w 1102588"/>
                              <a:gd name="T3" fmla="*/ 0 h 403522"/>
                              <a:gd name="T4" fmla="*/ 2054 w 1102588"/>
                              <a:gd name="T5" fmla="*/ 0 h 403522"/>
                              <a:gd name="T6" fmla="*/ 2054 w 1102588"/>
                              <a:gd name="T7" fmla="*/ 672 h 403522"/>
                              <a:gd name="T8" fmla="*/ 125 w 1102588"/>
                              <a:gd name="T9" fmla="*/ 672 h 403522"/>
                              <a:gd name="T10" fmla="*/ 0 w 1102588"/>
                              <a:gd name="T11" fmla="*/ 560 h 403522"/>
                              <a:gd name="T12" fmla="*/ 0 w 1102588"/>
                              <a:gd name="T13" fmla="*/ 112 h 403522"/>
                              <a:gd name="T14" fmla="*/ 0 60000 65536"/>
                              <a:gd name="T15" fmla="*/ 0 60000 65536"/>
                              <a:gd name="T16" fmla="*/ 0 60000 65536"/>
                              <a:gd name="T17" fmla="*/ 0 60000 65536"/>
                              <a:gd name="T18" fmla="*/ 0 60000 65536"/>
                              <a:gd name="T19" fmla="*/ 0 60000 65536"/>
                              <a:gd name="T20" fmla="*/ 0 60000 65536"/>
                              <a:gd name="T21" fmla="*/ 0 w 1102588"/>
                              <a:gd name="T22" fmla="*/ 0 h 403522"/>
                              <a:gd name="T23" fmla="*/ 1102588 w 1102588"/>
                              <a:gd name="T24" fmla="*/ 403522 h 4035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102588" h="403522">
                                <a:moveTo>
                                  <a:pt x="0" y="67255"/>
                                </a:moveTo>
                                <a:cubicBezTo>
                                  <a:pt x="0" y="30111"/>
                                  <a:pt x="30111" y="0"/>
                                  <a:pt x="67255" y="0"/>
                                </a:cubicBezTo>
                                <a:lnTo>
                                  <a:pt x="1102588" y="0"/>
                                </a:lnTo>
                                <a:lnTo>
                                  <a:pt x="1102588" y="403522"/>
                                </a:lnTo>
                                <a:lnTo>
                                  <a:pt x="67255" y="403522"/>
                                </a:lnTo>
                                <a:cubicBezTo>
                                  <a:pt x="30111" y="403522"/>
                                  <a:pt x="0" y="373411"/>
                                  <a:pt x="0" y="336267"/>
                                </a:cubicBezTo>
                                <a:lnTo>
                                  <a:pt x="0" y="67255"/>
                                </a:lnTo>
                                <a:close/>
                              </a:path>
                            </a:pathLst>
                          </a:custGeom>
                          <a:solidFill>
                            <a:srgbClr val="56535A"/>
                          </a:solidFill>
                          <a:ln w="9525">
                            <a:solidFill>
                              <a:srgbClr val="000000"/>
                            </a:solidFill>
                            <a:miter lim="800000"/>
                            <a:headEnd/>
                            <a:tailEnd/>
                          </a:ln>
                        </wps:spPr>
                        <wps:txbx>
                          <w:txbxContent>
                            <w:p w14:paraId="789CD5C9" w14:textId="77777777" w:rsidR="00A545BA" w:rsidRPr="00BF0074" w:rsidRDefault="00A545BA" w:rsidP="0002688F">
                              <w:pPr>
                                <w:spacing w:before="0" w:after="0"/>
                                <w:jc w:val="center"/>
                                <w:rPr>
                                  <w:color w:val="FFFFFF" w:themeColor="background1"/>
                                </w:rPr>
                              </w:pPr>
                              <w:r w:rsidRPr="00BF0074">
                                <w:rPr>
                                  <w:color w:val="FFFFFF" w:themeColor="background1"/>
                                </w:rPr>
                                <w:t>Departments</w:t>
                              </w:r>
                            </w:p>
                          </w:txbxContent>
                        </wps:txbx>
                        <wps:bodyPr rot="0" vert="horz" wrap="square" lIns="0" tIns="0" rIns="0" bIns="0" anchor="ctr" anchorCtr="0" upright="1">
                          <a:noAutofit/>
                        </wps:bodyPr>
                      </wps:wsp>
                      <wps:wsp>
                        <wps:cNvPr id="61604074" name="Rectangle 649"/>
                        <wps:cNvSpPr>
                          <a:spLocks noChangeArrowheads="1"/>
                        </wps:cNvSpPr>
                        <wps:spPr bwMode="auto">
                          <a:xfrm>
                            <a:off x="4071" y="8222"/>
                            <a:ext cx="6006" cy="671"/>
                          </a:xfrm>
                          <a:custGeom>
                            <a:avLst/>
                            <a:gdLst>
                              <a:gd name="T0" fmla="*/ 0 w 3832993"/>
                              <a:gd name="T1" fmla="*/ 671 h 403522"/>
                              <a:gd name="T2" fmla="*/ 0 w 3832993"/>
                              <a:gd name="T3" fmla="*/ 0 h 403522"/>
                              <a:gd name="T4" fmla="*/ 5901 w 3832993"/>
                              <a:gd name="T5" fmla="*/ 0 h 403522"/>
                              <a:gd name="T6" fmla="*/ 6006 w 3832993"/>
                              <a:gd name="T7" fmla="*/ 112 h 403522"/>
                              <a:gd name="T8" fmla="*/ 6006 w 3832993"/>
                              <a:gd name="T9" fmla="*/ 559 h 403522"/>
                              <a:gd name="T10" fmla="*/ 5901 w 3832993"/>
                              <a:gd name="T11" fmla="*/ 671 h 403522"/>
                              <a:gd name="T12" fmla="*/ 0 w 3832993"/>
                              <a:gd name="T13" fmla="*/ 671 h 403522"/>
                              <a:gd name="T14" fmla="*/ 0 60000 65536"/>
                              <a:gd name="T15" fmla="*/ 0 60000 65536"/>
                              <a:gd name="T16" fmla="*/ 0 60000 65536"/>
                              <a:gd name="T17" fmla="*/ 0 60000 65536"/>
                              <a:gd name="T18" fmla="*/ 0 60000 65536"/>
                              <a:gd name="T19" fmla="*/ 0 60000 65536"/>
                              <a:gd name="T20" fmla="*/ 0 60000 65536"/>
                              <a:gd name="T21" fmla="*/ 0 w 3832993"/>
                              <a:gd name="T22" fmla="*/ 0 h 403522"/>
                              <a:gd name="T23" fmla="*/ 3832993 w 3832993"/>
                              <a:gd name="T24" fmla="*/ 403522 h 4035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832993" h="403522">
                                <a:moveTo>
                                  <a:pt x="0" y="403522"/>
                                </a:moveTo>
                                <a:lnTo>
                                  <a:pt x="0" y="0"/>
                                </a:lnTo>
                                <a:lnTo>
                                  <a:pt x="3765738" y="0"/>
                                </a:lnTo>
                                <a:cubicBezTo>
                                  <a:pt x="3802882" y="0"/>
                                  <a:pt x="3832993" y="30111"/>
                                  <a:pt x="3832993" y="67255"/>
                                </a:cubicBezTo>
                                <a:lnTo>
                                  <a:pt x="3832993" y="336267"/>
                                </a:lnTo>
                                <a:cubicBezTo>
                                  <a:pt x="3832993" y="373411"/>
                                  <a:pt x="3802882" y="403522"/>
                                  <a:pt x="3765738" y="403522"/>
                                </a:cubicBezTo>
                                <a:lnTo>
                                  <a:pt x="0" y="403522"/>
                                </a:lnTo>
                                <a:close/>
                              </a:path>
                            </a:pathLst>
                          </a:custGeom>
                          <a:solidFill>
                            <a:srgbClr val="FFFFFF"/>
                          </a:solidFill>
                          <a:ln w="9525">
                            <a:solidFill>
                              <a:srgbClr val="000000"/>
                            </a:solidFill>
                            <a:miter lim="800000"/>
                            <a:headEnd/>
                            <a:tailEnd/>
                          </a:ln>
                        </wps:spPr>
                        <wps:txbx>
                          <w:txbxContent>
                            <w:p w14:paraId="4778DF8F" w14:textId="77777777" w:rsidR="00A545BA" w:rsidRPr="00540F3F" w:rsidRDefault="00A545BA" w:rsidP="0002688F">
                              <w:pPr>
                                <w:spacing w:before="0" w:after="0"/>
                                <w:jc w:val="center"/>
                              </w:pPr>
                              <w:r w:rsidRPr="00540F3F">
                                <w:t>Statutory authorities and other agencies controlled by government</w:t>
                              </w:r>
                            </w:p>
                          </w:txbxContent>
                        </wps:txbx>
                        <wps:bodyPr rot="0" vert="horz" wrap="square" lIns="0" tIns="0" rIns="0" bIns="0" anchor="ctr" anchorCtr="0" upright="1">
                          <a:noAutofit/>
                        </wps:bodyPr>
                      </wps:wsp>
                      <wps:wsp>
                        <wps:cNvPr id="768296553" name="Line 650"/>
                        <wps:cNvCnPr>
                          <a:cxnSpLocks noChangeShapeType="1"/>
                        </wps:cNvCnPr>
                        <wps:spPr bwMode="auto">
                          <a:xfrm flipV="1">
                            <a:off x="4748" y="5571"/>
                            <a:ext cx="0" cy="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1018065" name="Line 651"/>
                        <wps:cNvCnPr>
                          <a:cxnSpLocks noChangeShapeType="1"/>
                        </wps:cNvCnPr>
                        <wps:spPr bwMode="auto">
                          <a:xfrm flipV="1">
                            <a:off x="8702" y="5571"/>
                            <a:ext cx="0" cy="1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315533" name="Line 652"/>
                        <wps:cNvCnPr>
                          <a:cxnSpLocks noChangeShapeType="1"/>
                        </wps:cNvCnPr>
                        <wps:spPr bwMode="auto">
                          <a:xfrm flipV="1">
                            <a:off x="3110" y="6452"/>
                            <a:ext cx="0" cy="6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9036295" name="Line 653"/>
                        <wps:cNvCnPr>
                          <a:cxnSpLocks noChangeShapeType="1"/>
                        </wps:cNvCnPr>
                        <wps:spPr bwMode="auto">
                          <a:xfrm flipV="1">
                            <a:off x="6029" y="6452"/>
                            <a:ext cx="0" cy="6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1949391" name="Line 654"/>
                        <wps:cNvCnPr>
                          <a:cxnSpLocks noChangeShapeType="1"/>
                        </wps:cNvCnPr>
                        <wps:spPr bwMode="auto">
                          <a:xfrm flipV="1">
                            <a:off x="3104" y="7782"/>
                            <a:ext cx="0" cy="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4924358" name="Line 655"/>
                        <wps:cNvCnPr>
                          <a:cxnSpLocks noChangeShapeType="1"/>
                        </wps:cNvCnPr>
                        <wps:spPr bwMode="auto">
                          <a:xfrm flipV="1">
                            <a:off x="4398" y="7766"/>
                            <a:ext cx="0" cy="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2318191" name="Line 656"/>
                        <wps:cNvCnPr>
                          <a:cxnSpLocks noChangeShapeType="1"/>
                        </wps:cNvCnPr>
                        <wps:spPr bwMode="auto">
                          <a:xfrm flipV="1">
                            <a:off x="6029" y="7782"/>
                            <a:ext cx="0" cy="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977603" name="Line 657"/>
                        <wps:cNvCnPr>
                          <a:cxnSpLocks noChangeShapeType="1"/>
                        </wps:cNvCnPr>
                        <wps:spPr bwMode="auto">
                          <a:xfrm flipV="1">
                            <a:off x="8702" y="7782"/>
                            <a:ext cx="0" cy="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3AA9F70" id="Group 202" o:spid="_x0000_s1026" style="width:367pt;height:185.25pt;mso-position-horizontal-relative:char;mso-position-vertical-relative:line" coordorigin="2025,4976" coordsize="8052,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">
                <v:roundrect id="Rectangle 643" o:spid="_x0000_s1027" style="position:absolute;left:2030;top:4976;width:8042;height: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">
                  <v:stroke joinstyle="miter"/>
                  <v:textbox inset="0,0,0,0">
                    <w:txbxContent>
                      <w:p w14:paraId="1F70303D" w14:textId="77777777" w:rsidR="00A545BA" w:rsidRPr="00540F3F" w:rsidRDefault="00A545BA" w:rsidP="0002688F">
                        <w:pPr>
                          <w:spacing w:before="0" w:after="0"/>
                          <w:jc w:val="center"/>
                        </w:pPr>
                        <w:r w:rsidRPr="00540F3F">
                          <w:t>State of Victoria</w:t>
                        </w:r>
                      </w:p>
                    </w:txbxContent>
                  </v:textbox>
                </v:roundrect>
                <v:roundrect id="Rectangle 644" o:spid="_x0000_s1028" style="position:absolute;left:2030;top:6012;width:5233;height: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">
                  <v:stroke joinstyle="miter"/>
                  <v:textbox inset="0,0,0,0">
                    <w:txbxContent>
                      <w:p w14:paraId="065B1DA9" w14:textId="77777777" w:rsidR="00A545BA" w:rsidRPr="00EE3A30" w:rsidRDefault="00A545BA" w:rsidP="0002688F">
                        <w:pPr>
                          <w:spacing w:before="0" w:after="0"/>
                          <w:jc w:val="center"/>
                        </w:pPr>
                        <w:r w:rsidRPr="00EE3A30">
                          <w:t>Non-financial public sector</w:t>
                        </w:r>
                      </w:p>
                    </w:txbxContent>
                  </v:textbox>
                </v:roundrect>
                <v:roundrect id="Rectangle 645" o:spid="_x0000_s1029" style="position:absolute;left:2030;top:7117;width:2699;height: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">
                  <v:stroke joinstyle="miter"/>
                  <v:textbox inset="0,0,0,0">
                    <w:txbxContent>
                      <w:p w14:paraId="03451F22" w14:textId="77777777" w:rsidR="00A545BA" w:rsidRPr="00EE3A30" w:rsidRDefault="00A545BA" w:rsidP="0002688F">
                        <w:pPr>
                          <w:spacing w:before="0" w:after="0"/>
                          <w:jc w:val="center"/>
                        </w:pPr>
                        <w:r w:rsidRPr="00EE3A30">
                          <w:t>General government</w:t>
                        </w:r>
                      </w:p>
                    </w:txbxContent>
                  </v:textbox>
                </v:roundrect>
                <v:roundrect id="Rectangle 646" o:spid="_x0000_s1030" style="position:absolute;left:4828;top:7117;width:2434;height: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">
                  <v:stroke joinstyle="miter"/>
                  <v:textbox inset="0,0,0,0">
                    <w:txbxContent>
                      <w:p w14:paraId="50521CA7" w14:textId="77777777" w:rsidR="00A545BA" w:rsidRPr="00EE3A30" w:rsidRDefault="00A545BA" w:rsidP="0002688F">
                        <w:pPr>
                          <w:spacing w:before="0" w:after="0"/>
                          <w:jc w:val="center"/>
                        </w:pPr>
                        <w:r w:rsidRPr="00EE3A30">
                          <w:t>Public non-financial corporations</w:t>
                        </w:r>
                      </w:p>
                    </w:txbxContent>
                  </v:textbox>
                </v:roundrect>
                <v:roundrect id="Rectangle 647" o:spid="_x0000_s1031" style="position:absolute;left:7373;top:7117;width:2703;height: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">
                  <v:stroke joinstyle="miter"/>
                  <v:textbox inset="0,0,0,0">
                    <w:txbxContent>
                      <w:p w14:paraId="2BD0772F" w14:textId="77777777" w:rsidR="00A545BA" w:rsidRPr="00EE3A30" w:rsidRDefault="00A545BA" w:rsidP="0002688F">
                        <w:pPr>
                          <w:spacing w:before="0" w:after="0"/>
                          <w:jc w:val="center"/>
                        </w:pPr>
                        <w:r w:rsidRPr="00EE3A30">
                          <w:t>Public financial corporations</w:t>
                        </w:r>
                      </w:p>
                    </w:txbxContent>
                  </v:textbox>
                </v:roundrect>
                <v:shape id="Rectangle 648" o:spid="_x0000_s1032" style="position:absolute;left:2025;top:8222;width:2054;height:672;visibility:visible;mso-wrap-style:square;v-text-anchor:middle" coordsize="1102588,4035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" adj="-11796480,,5400" path="m,67255c,30111,30111,,67255,l1102588,r,403522l67255,403522c30111,403522,,373411,,336267l,67255xe" fillcolor="#56535a">
                  <v:stroke joinstyle="miter"/>
                  <v:formulas/>
                  <v:path o:connecttype="custom" o:connectlocs="0,0;0,0;4,0;4,1;0,1;0,1;0,0" o:connectangles="0,0,0,0,0,0,0" textboxrect="0,0,1102588,403522"/>
                  <v:textbox inset="0,0,0,0">
                    <w:txbxContent>
                      <w:p w14:paraId="789CD5C9" w14:textId="77777777" w:rsidR="00A545BA" w:rsidRPr="00BF0074" w:rsidRDefault="00A545BA" w:rsidP="0002688F">
                        <w:pPr>
                          <w:spacing w:before="0" w:after="0"/>
                          <w:jc w:val="center"/>
                          <w:rPr>
                            <w:color w:val="FFFFFF" w:themeColor="background1"/>
                          </w:rPr>
                        </w:pPr>
                        <w:r w:rsidRPr="00BF0074">
                          <w:rPr>
                            <w:color w:val="FFFFFF" w:themeColor="background1"/>
                          </w:rPr>
                          <w:t>Departments</w:t>
                        </w:r>
                      </w:p>
                    </w:txbxContent>
                  </v:textbox>
                </v:shape>
                <v:shape id="Rectangle 649" o:spid="_x0000_s1033" style="position:absolute;left:4071;top:8222;width:6006;height:671;visibility:visible;mso-wrap-style:square;v-text-anchor:middle" coordsize="3832993,4035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" adj="-11796480,,5400" path="m,403522l,,3765738,v37144,,67255,30111,67255,67255l3832993,336267v,37144,-30111,67255,-67255,67255l,403522xe">
                  <v:stroke joinstyle="miter"/>
                  <v:formulas/>
                  <v:path o:connecttype="custom" o:connectlocs="0,1;0,0;9,0;9,0;9,1;9,1;0,1" o:connectangles="0,0,0,0,0,0,0" textboxrect="0,0,3832993,403522"/>
                  <v:textbox inset="0,0,0,0">
                    <w:txbxContent>
                      <w:p w14:paraId="4778DF8F" w14:textId="77777777" w:rsidR="00A545BA" w:rsidRPr="00540F3F" w:rsidRDefault="00A545BA" w:rsidP="0002688F">
                        <w:pPr>
                          <w:spacing w:before="0" w:after="0"/>
                          <w:jc w:val="center"/>
                        </w:pPr>
                        <w:r w:rsidRPr="00540F3F">
                          <w:t>Statutory authorities and other agencies controlled by government</w:t>
                        </w:r>
                      </w:p>
                    </w:txbxContent>
                  </v:textbox>
                </v:shape>
                <v:line id="Line 650" o:spid="_x0000_s1034" style="position:absolute;flip:y;visibility:visible;mso-wrap-style:square" from="4748,5571" to="4748,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">
                  <v:stroke endarrow="block"/>
                </v:line>
                <v:line id="Line 651" o:spid="_x0000_s1035" style="position:absolute;flip:y;visibility:visible;mso-wrap-style:square" from="8702,5571" to="8702,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">
                  <v:stroke endarrow="block"/>
                </v:line>
                <v:line id="Line 652" o:spid="_x0000_s1036" style="position:absolute;flip:y;visibility:visible;mso-wrap-style:square" from="3110,6452" to="3110,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">
                  <v:stroke endarrow="block"/>
                </v:line>
                <v:line id="Line 653" o:spid="_x0000_s1037" style="position:absolute;flip:y;visibility:visible;mso-wrap-style:square" from="6029,6452" to="6029,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">
                  <v:stroke endarrow="block"/>
                </v:line>
                <v:line id="Line 654" o:spid="_x0000_s1038" style="position:absolute;flip:y;visibility:visible;mso-wrap-style:square" from="3104,7782" to="3104,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">
                  <v:stroke endarrow="block"/>
                </v:line>
                <v:line id="Line 655" o:spid="_x0000_s1039" style="position:absolute;flip:y;visibility:visible;mso-wrap-style:square" from="4398,7766" to="4398,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">
                  <v:stroke endarrow="block"/>
                </v:line>
                <v:line id="Line 656" o:spid="_x0000_s1040" style="position:absolute;flip:y;visibility:visible;mso-wrap-style:square" from="6029,7782" to="6029,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">
                  <v:stroke endarrow="block"/>
                </v:line>
                <v:line id="Line 657" o:spid="_x0000_s1041" style="position:absolute;flip:y;visibility:visible;mso-wrap-style:square" from="8702,7782" to="8702,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">
                  <v:stroke endarrow="block"/>
                </v:line>
                <w10:anchorlock/>
              </v:group>
            </w:pict>
          </mc:Fallback>
        </mc:AlternateContent>
      </w:r>
    </w:p>
    <w:p w14:paraId="643D7947" w14:textId="6B784928" w:rsidR="001C5DED" w:rsidRDefault="001C5DED" w:rsidP="001C5DED">
      <w:pPr>
        <w:pStyle w:val="Source"/>
      </w:pPr>
      <w:r w:rsidRPr="001C5DED">
        <w:t>Source: Department of Treasury and Finance</w:t>
      </w:r>
    </w:p>
    <w:p w14:paraId="053CEF5C" w14:textId="54A56802" w:rsidR="00562221" w:rsidRDefault="00562221" w:rsidP="00562221">
      <w:r>
        <w:t>The Victorian general government sector is the largest sector and forms the basis of the estimates published in the budget papers. As shown in Diagram 2, the general government sector comprises government departments and other bodies engaged in providing public services free of charge or at prices significantly below the cost of production</w:t>
      </w:r>
      <w:r w:rsidR="00336F6A">
        <w:t>. This includes,</w:t>
      </w:r>
      <w:r>
        <w:t xml:space="preserve"> for example, schools and hospitals. They generally receive </w:t>
      </w:r>
      <w:r w:rsidR="00E87500">
        <w:t xml:space="preserve">most </w:t>
      </w:r>
      <w:r>
        <w:t xml:space="preserve">of their funding from budget appropriations. </w:t>
      </w:r>
    </w:p>
    <w:p w14:paraId="0DB75FF0" w14:textId="712C6FAE" w:rsidR="00562221" w:rsidRDefault="00562221" w:rsidP="00562221">
      <w:r>
        <w:t xml:space="preserve">Organisations in other sectors of government – the PNFCs and PFCs – operate as stand-alone business enterprises, which aim to recover most of their costs involved in delivering their goods or services. Such entities include water and port authorities (PNFCs) and the Transport Accident Commission and Treasury Corporation </w:t>
      </w:r>
      <w:r w:rsidR="0014061F">
        <w:t xml:space="preserve">of </w:t>
      </w:r>
      <w:r>
        <w:t xml:space="preserve">Victoria (PFCs). Both the PNFC and PFC sectors are treated as equity investments of the general government sector. </w:t>
      </w:r>
    </w:p>
    <w:p w14:paraId="4EE8208D" w14:textId="14475790" w:rsidR="00562221" w:rsidRDefault="00562221" w:rsidP="00562221">
      <w:r>
        <w:t>The non-financial public sector (NFPS) represents a consolidation of the general government sector and PNFCs, after eliminating any transactions and debtor/creditor relationships between those sectors to avoid double counting. Similarly, the whole of state is the consolidation (after relevant eliminations) of the NFPS with the PFCs. A more detailed explanation of the characteristics of each of these sectors can be found in the</w:t>
      </w:r>
      <w:r w:rsidR="00D22C83">
        <w:t xml:space="preserve"> </w:t>
      </w:r>
      <w:r w:rsidR="00D22C83" w:rsidRPr="00D22C83">
        <w:t>Australian System of Government Finance Statistics: Concepts, Sources and Methods – 5514.0 – 2015 (ABS GFS manual)</w:t>
      </w:r>
      <w:r w:rsidR="002F5875">
        <w:t>.</w:t>
      </w:r>
    </w:p>
    <w:p w14:paraId="3A359B10" w14:textId="2FD1C312" w:rsidR="00562221" w:rsidRDefault="00562221" w:rsidP="00562221">
      <w:r>
        <w:t xml:space="preserve">Under the FMA, the budget papers mainly relate to the general government sector whereas the mid-year and annual financial reports include both the whole of state and general government sector as required by the accounting standards. </w:t>
      </w:r>
      <w:r w:rsidR="00821376">
        <w:t>For a</w:t>
      </w:r>
      <w:r>
        <w:t xml:space="preserve"> comprehensive list of agencies, identified by sector, that submit financial data for consolidation into the State’s key financial publications</w:t>
      </w:r>
      <w:r w:rsidR="00821376">
        <w:t xml:space="preserve">, </w:t>
      </w:r>
      <w:r w:rsidR="00821376" w:rsidRPr="00427270">
        <w:t xml:space="preserve">refer to </w:t>
      </w:r>
      <w:r w:rsidRPr="00427270">
        <w:t>Note 9.</w:t>
      </w:r>
      <w:r w:rsidR="006D2492" w:rsidRPr="00427270">
        <w:t xml:space="preserve">8 </w:t>
      </w:r>
      <w:r w:rsidRPr="00427270">
        <w:t>of the</w:t>
      </w:r>
      <w:r w:rsidR="00CE7D21" w:rsidRPr="00427270">
        <w:t xml:space="preserve"> </w:t>
      </w:r>
      <w:r w:rsidR="00A545BA" w:rsidRPr="00427270">
        <w:rPr>
          <w:i/>
          <w:iCs/>
        </w:rPr>
        <w:t xml:space="preserve">Annual </w:t>
      </w:r>
      <w:r w:rsidRPr="00427270">
        <w:rPr>
          <w:i/>
          <w:iCs/>
        </w:rPr>
        <w:t>Financial Report</w:t>
      </w:r>
      <w:r w:rsidR="00CE7D21" w:rsidRPr="00427270">
        <w:rPr>
          <w:i/>
          <w:iCs/>
        </w:rPr>
        <w:t xml:space="preserve">, </w:t>
      </w:r>
      <w:r w:rsidR="00CE7D21" w:rsidRPr="00427270">
        <w:t>on the</w:t>
      </w:r>
      <w:r w:rsidR="00CE7D21" w:rsidRPr="002503C3">
        <w:t xml:space="preserve"> </w:t>
      </w:r>
      <w:hyperlink r:id="rId35" w:history="1">
        <w:r w:rsidR="00CE7D21" w:rsidRPr="00A14343">
          <w:rPr>
            <w:rStyle w:val="Hyperlink"/>
          </w:rPr>
          <w:t>DTF website</w:t>
        </w:r>
      </w:hyperlink>
      <w:r w:rsidR="00A14343">
        <w:t>.</w:t>
      </w:r>
    </w:p>
    <w:p w14:paraId="009B85FC" w14:textId="54A9847D" w:rsidR="00B5142A" w:rsidRDefault="00B5142A" w:rsidP="00562221"/>
    <w:p w14:paraId="3817001C" w14:textId="77777777" w:rsidR="00562221" w:rsidRDefault="00562221">
      <w:r>
        <w:br w:type="page"/>
      </w:r>
    </w:p>
    <w:p w14:paraId="7E22C1D9" w14:textId="77777777" w:rsidR="00562221" w:rsidRDefault="00562221" w:rsidP="00562221">
      <w:pPr>
        <w:pStyle w:val="Heading2"/>
      </w:pPr>
      <w:bookmarkStart w:id="22" w:name="_Toc129260753"/>
      <w:bookmarkStart w:id="23" w:name="_Toc174972161"/>
      <w:bookmarkStart w:id="24" w:name="_Toc199156250"/>
      <w:bookmarkStart w:id="25" w:name="_Toc199167704"/>
      <w:r>
        <w:lastRenderedPageBreak/>
        <w:t>Basis of each financial publication</w:t>
      </w:r>
      <w:bookmarkEnd w:id="22"/>
      <w:bookmarkEnd w:id="23"/>
      <w:bookmarkEnd w:id="24"/>
      <w:bookmarkEnd w:id="25"/>
    </w:p>
    <w:p w14:paraId="1673A556" w14:textId="77777777" w:rsidR="00562221" w:rsidRDefault="00562221" w:rsidP="00562221">
      <w:r>
        <w:t xml:space="preserve">Financial statements (including accompanying notes) are prepared in accordance with Australian Accounting Standards (AASs) and relevant FRDs. In addition, the budget papers and AFR need to comply with the Uniform Presentation Framework (UPF), approved by the Australian Loan Council. The UPF is based on the Government finance statistics (GFS) framework, designed to provide statistics related to all Australian public sector entities. </w:t>
      </w:r>
    </w:p>
    <w:p w14:paraId="352BF6B6" w14:textId="3228C247" w:rsidR="00160F74" w:rsidRDefault="00562221" w:rsidP="00160F74">
      <w:r>
        <w:t xml:space="preserve">AASB 1049 </w:t>
      </w:r>
      <w:r w:rsidRPr="00562221">
        <w:rPr>
          <w:i/>
          <w:iCs/>
        </w:rPr>
        <w:t xml:space="preserve">Whole of </w:t>
      </w:r>
      <w:r w:rsidR="00D13A23">
        <w:rPr>
          <w:i/>
          <w:iCs/>
        </w:rPr>
        <w:t>G</w:t>
      </w:r>
      <w:r w:rsidRPr="00562221">
        <w:rPr>
          <w:i/>
          <w:iCs/>
        </w:rPr>
        <w:t xml:space="preserve">overnment and </w:t>
      </w:r>
      <w:r w:rsidR="00D13A23">
        <w:rPr>
          <w:i/>
          <w:iCs/>
        </w:rPr>
        <w:t>G</w:t>
      </w:r>
      <w:r w:rsidRPr="00562221">
        <w:rPr>
          <w:i/>
          <w:iCs/>
        </w:rPr>
        <w:t xml:space="preserve">eneral </w:t>
      </w:r>
      <w:r w:rsidR="009F10E7">
        <w:rPr>
          <w:i/>
          <w:iCs/>
        </w:rPr>
        <w:t>G</w:t>
      </w:r>
      <w:r w:rsidRPr="00562221">
        <w:rPr>
          <w:i/>
          <w:iCs/>
        </w:rPr>
        <w:t xml:space="preserve">overnment </w:t>
      </w:r>
      <w:r w:rsidR="009F10E7">
        <w:rPr>
          <w:i/>
          <w:iCs/>
        </w:rPr>
        <w:t>S</w:t>
      </w:r>
      <w:r w:rsidRPr="00562221">
        <w:rPr>
          <w:i/>
          <w:iCs/>
        </w:rPr>
        <w:t xml:space="preserve">ector </w:t>
      </w:r>
      <w:r w:rsidR="009F10E7">
        <w:rPr>
          <w:i/>
          <w:iCs/>
        </w:rPr>
        <w:t>F</w:t>
      </w:r>
      <w:r w:rsidRPr="00562221">
        <w:rPr>
          <w:i/>
          <w:iCs/>
        </w:rPr>
        <w:t xml:space="preserve">inancial </w:t>
      </w:r>
      <w:r w:rsidR="009F10E7">
        <w:rPr>
          <w:i/>
          <w:iCs/>
        </w:rPr>
        <w:t>R</w:t>
      </w:r>
      <w:r w:rsidRPr="00562221">
        <w:rPr>
          <w:i/>
          <w:iCs/>
        </w:rPr>
        <w:t>eporting</w:t>
      </w:r>
      <w:r>
        <w:t xml:space="preserve"> applie</w:t>
      </w:r>
      <w:r w:rsidR="00696E18">
        <w:t>s</w:t>
      </w:r>
      <w:r>
        <w:t xml:space="preserve"> to whole of government general purpose financial statements and general government sector financial statements. This standard incorporate</w:t>
      </w:r>
      <w:r w:rsidR="002012B3">
        <w:t>s</w:t>
      </w:r>
      <w:r>
        <w:t xml:space="preserve"> the major elements of the GFS framework into an accounting standard. </w:t>
      </w:r>
    </w:p>
    <w:p w14:paraId="5B137E00" w14:textId="2ECEA597" w:rsidR="00562221" w:rsidRDefault="00562221" w:rsidP="00562221">
      <w:r>
        <w:t xml:space="preserve">For further information, please refer to the suite of publications via the </w:t>
      </w:r>
      <w:hyperlink r:id="rId36" w:history="1">
        <w:r w:rsidRPr="00D85AAF">
          <w:rPr>
            <w:rStyle w:val="Hyperlink"/>
          </w:rPr>
          <w:t>Victorian State Budget</w:t>
        </w:r>
      </w:hyperlink>
      <w:r>
        <w:t xml:space="preserve"> and </w:t>
      </w:r>
      <w:hyperlink r:id="rId37" w:history="1">
        <w:r w:rsidRPr="005F3914">
          <w:rPr>
            <w:rStyle w:val="Hyperlink"/>
          </w:rPr>
          <w:t>Economic and Financial Updates</w:t>
        </w:r>
      </w:hyperlink>
      <w:r>
        <w:t xml:space="preserve"> webpages on the DTF website.</w:t>
      </w:r>
    </w:p>
    <w:p w14:paraId="31CC49FC" w14:textId="77777777" w:rsidR="00562221" w:rsidRDefault="00562221" w:rsidP="00562221">
      <w:r>
        <w:t>In addition to financial statements and notes, most annual reports also include a narrative (management discussion and analysis), usually provided in the report of operations. The best practice is to include non-technical analysis and explanation of significant aspects of the financial statements in this narrative report, to assist users in the interpretation of the financial statements.</w:t>
      </w:r>
    </w:p>
    <w:p w14:paraId="086104E0" w14:textId="77777777" w:rsidR="00562221" w:rsidRDefault="00562221">
      <w:pPr>
        <w:rPr>
          <w:rFonts w:asciiTheme="majorHAnsi" w:eastAsiaTheme="majorEastAsia" w:hAnsiTheme="majorHAnsi" w:cstheme="majorBidi"/>
          <w:b/>
          <w:sz w:val="26"/>
          <w:szCs w:val="26"/>
        </w:rPr>
      </w:pPr>
      <w:r>
        <w:br w:type="page"/>
      </w:r>
    </w:p>
    <w:p w14:paraId="5146BE5F" w14:textId="66FCB963" w:rsidR="00562221" w:rsidRDefault="00562221" w:rsidP="00562221">
      <w:pPr>
        <w:pStyle w:val="Heading2"/>
      </w:pPr>
      <w:bookmarkStart w:id="26" w:name="_Toc129260754"/>
      <w:bookmarkStart w:id="27" w:name="_Toc174972162"/>
      <w:bookmarkStart w:id="28" w:name="_Toc199156251"/>
      <w:bookmarkStart w:id="29" w:name="_Toc199167705"/>
      <w:r>
        <w:lastRenderedPageBreak/>
        <w:t>The Model report – Purpose and scope</w:t>
      </w:r>
      <w:bookmarkEnd w:id="26"/>
      <w:bookmarkEnd w:id="27"/>
      <w:bookmarkEnd w:id="28"/>
      <w:bookmarkEnd w:id="29"/>
    </w:p>
    <w:p w14:paraId="2202153C" w14:textId="77777777" w:rsidR="00562221" w:rsidRDefault="00562221" w:rsidP="00562221">
      <w:r>
        <w:t xml:space="preserve">In addition to the State’s financial publications produced by DTF, the FMA also requires audited annual reports of government departments and public bodies to be </w:t>
      </w:r>
      <w:r w:rsidRPr="00356465">
        <w:rPr>
          <w:b/>
          <w:bCs/>
        </w:rPr>
        <w:t>tabled in Parliament within four months after the end of financial year</w:t>
      </w:r>
      <w:r>
        <w:t xml:space="preserve"> or on the first sitting day of the House after the end of that month.</w:t>
      </w:r>
    </w:p>
    <w:p w14:paraId="44F566A7" w14:textId="77777777" w:rsidR="00562221" w:rsidRDefault="00562221" w:rsidP="00562221">
      <w:r>
        <w:t xml:space="preserve">Under Standing Direction 5.2 </w:t>
      </w:r>
      <w:r w:rsidRPr="00562221">
        <w:rPr>
          <w:i/>
          <w:iCs/>
        </w:rPr>
        <w:t>Annual reporting</w:t>
      </w:r>
      <w:r>
        <w:t xml:space="preserve"> (SD), </w:t>
      </w:r>
      <w:r w:rsidRPr="00562221">
        <w:rPr>
          <w:b/>
          <w:bCs/>
        </w:rPr>
        <w:t>all Victorian government departments</w:t>
      </w:r>
      <w:r>
        <w:t xml:space="preserve"> are required to comply with the Model when preparing and tabling their annual reports in Parliament. </w:t>
      </w:r>
    </w:p>
    <w:p w14:paraId="156FF5EE" w14:textId="77777777" w:rsidR="00562221" w:rsidRDefault="00562221" w:rsidP="00562221">
      <w:r>
        <w:t>These departments include the Departments of:</w:t>
      </w:r>
    </w:p>
    <w:p w14:paraId="033A5619" w14:textId="36A83179" w:rsidR="00562221" w:rsidRDefault="00562221" w:rsidP="00310F12">
      <w:pPr>
        <w:pStyle w:val="ListBullet"/>
      </w:pPr>
      <w:r>
        <w:t>Educatio</w:t>
      </w:r>
      <w:r w:rsidR="000072C8">
        <w:t>n</w:t>
      </w:r>
    </w:p>
    <w:p w14:paraId="30B7197D" w14:textId="2BC0C21E" w:rsidR="0049209B" w:rsidRDefault="0049209B" w:rsidP="00310F12">
      <w:pPr>
        <w:pStyle w:val="ListBullet"/>
      </w:pPr>
      <w:r w:rsidRPr="0049209B">
        <w:t>Energy, Environment and Climate Action</w:t>
      </w:r>
    </w:p>
    <w:p w14:paraId="1B3031D6" w14:textId="7DDF290B" w:rsidR="00836CA4" w:rsidRDefault="00836CA4" w:rsidP="00310F12">
      <w:pPr>
        <w:pStyle w:val="ListBullet"/>
      </w:pPr>
      <w:r>
        <w:t>Families</w:t>
      </w:r>
      <w:r w:rsidR="00256027">
        <w:t>,</w:t>
      </w:r>
      <w:r>
        <w:t xml:space="preserve"> Fairness and Housing</w:t>
      </w:r>
    </w:p>
    <w:p w14:paraId="58ADF014" w14:textId="0A9C7A2A" w:rsidR="00836CA4" w:rsidRDefault="00F87F8B" w:rsidP="00310F12">
      <w:pPr>
        <w:pStyle w:val="ListBullet"/>
      </w:pPr>
      <w:r w:rsidRPr="00F87F8B">
        <w:t>Government Services</w:t>
      </w:r>
    </w:p>
    <w:p w14:paraId="20814D11" w14:textId="4BB564F3" w:rsidR="00714ACE" w:rsidRDefault="00714ACE" w:rsidP="00310F12">
      <w:pPr>
        <w:pStyle w:val="ListBullet"/>
      </w:pPr>
      <w:r>
        <w:t>Health</w:t>
      </w:r>
    </w:p>
    <w:p w14:paraId="7ECFD43C" w14:textId="2B4A8581" w:rsidR="00C32811" w:rsidRDefault="002A498B" w:rsidP="00310F12">
      <w:pPr>
        <w:pStyle w:val="ListBullet"/>
      </w:pPr>
      <w:r w:rsidRPr="002A498B">
        <w:t>Jobs, Skills, Industry and Regions</w:t>
      </w:r>
    </w:p>
    <w:p w14:paraId="5659719C" w14:textId="495C1822" w:rsidR="00FD64BC" w:rsidRDefault="00FD64BC" w:rsidP="00310F12">
      <w:pPr>
        <w:pStyle w:val="ListBullet"/>
      </w:pPr>
      <w:r w:rsidRPr="00FD64BC">
        <w:t>Justice and Community Safety</w:t>
      </w:r>
    </w:p>
    <w:p w14:paraId="0529D179" w14:textId="612B04DC" w:rsidR="00526916" w:rsidRDefault="00526916" w:rsidP="00310F12">
      <w:pPr>
        <w:pStyle w:val="ListBullet"/>
      </w:pPr>
      <w:r w:rsidRPr="00526916">
        <w:t>Premier and Cabinet</w:t>
      </w:r>
    </w:p>
    <w:p w14:paraId="3C8BF8FD" w14:textId="3EAC8D5C" w:rsidR="007500EA" w:rsidRDefault="00ED6904" w:rsidP="00310F12">
      <w:pPr>
        <w:pStyle w:val="ListBullet"/>
      </w:pPr>
      <w:r w:rsidRPr="00ED6904">
        <w:t>Transport and Planning</w:t>
      </w:r>
    </w:p>
    <w:p w14:paraId="62AE9872" w14:textId="3B22B10B" w:rsidR="00562221" w:rsidRDefault="00562221" w:rsidP="00310F12">
      <w:pPr>
        <w:pStyle w:val="ListBullet"/>
      </w:pPr>
      <w:r>
        <w:t>Treasury and Finance.</w:t>
      </w:r>
    </w:p>
    <w:p w14:paraId="4E2DDBB7" w14:textId="0DB717AD" w:rsidR="00C22F9A" w:rsidRPr="00642174" w:rsidRDefault="00562221" w:rsidP="00562221">
      <w:r>
        <w:t xml:space="preserve">The </w:t>
      </w:r>
      <w:r w:rsidRPr="00594EE2">
        <w:t>Model</w:t>
      </w:r>
      <w:r w:rsidRPr="00642174">
        <w:t xml:space="preserve"> has adopted the financial statement formats that align with the general government sector and whole of government formats. For consistency and comparability purposes, the Parliament of Victoria and all other Victorian public sector entities are encouraged to produce their annual reports with reference to this </w:t>
      </w:r>
      <w:r w:rsidRPr="00594EE2">
        <w:t>Mode</w:t>
      </w:r>
      <w:r w:rsidRPr="00642174">
        <w:t>l</w:t>
      </w:r>
      <w:r w:rsidR="00593867" w:rsidRPr="00642174">
        <w:t xml:space="preserve"> or the Tier 2 Mode</w:t>
      </w:r>
      <w:r w:rsidR="00D34C78" w:rsidRPr="00642174">
        <w:t xml:space="preserve">l </w:t>
      </w:r>
      <w:r w:rsidR="00CF7A91" w:rsidRPr="00642174">
        <w:t>(</w:t>
      </w:r>
      <w:r w:rsidR="00D34C78" w:rsidRPr="00642174">
        <w:t xml:space="preserve">for </w:t>
      </w:r>
      <w:r w:rsidR="00CF7A91" w:rsidRPr="00642174">
        <w:t>Tier 2 public sector entities)</w:t>
      </w:r>
      <w:r w:rsidRPr="00642174">
        <w:t>.</w:t>
      </w:r>
    </w:p>
    <w:p w14:paraId="5C91DD3A" w14:textId="199BA0CC" w:rsidR="00562221" w:rsidRPr="00642174" w:rsidRDefault="00562221" w:rsidP="00562221">
      <w:pPr>
        <w:pStyle w:val="Heading2"/>
      </w:pPr>
      <w:bookmarkStart w:id="30" w:name="_Toc129260755"/>
      <w:bookmarkStart w:id="31" w:name="_Toc174972163"/>
      <w:bookmarkStart w:id="32" w:name="_Toc199156252"/>
      <w:bookmarkStart w:id="33" w:name="_Toc199167706"/>
      <w:r w:rsidRPr="00642174">
        <w:t xml:space="preserve">How to use the </w:t>
      </w:r>
      <w:r w:rsidRPr="00594EE2">
        <w:t>Model</w:t>
      </w:r>
      <w:r w:rsidRPr="00642174">
        <w:t xml:space="preserve"> report</w:t>
      </w:r>
      <w:bookmarkEnd w:id="30"/>
      <w:bookmarkEnd w:id="31"/>
      <w:bookmarkEnd w:id="32"/>
      <w:bookmarkEnd w:id="33"/>
      <w:r w:rsidR="006D7A3B" w:rsidRPr="00642174">
        <w:rPr>
          <w:rStyle w:val="Reference-Revised"/>
        </w:rPr>
        <w:t xml:space="preserve"> </w:t>
      </w:r>
    </w:p>
    <w:p w14:paraId="62E0DE3F" w14:textId="77777777" w:rsidR="00562221" w:rsidRDefault="00562221" w:rsidP="00562221">
      <w:r w:rsidRPr="00642174">
        <w:t xml:space="preserve">The </w:t>
      </w:r>
      <w:r w:rsidRPr="00594EE2">
        <w:t>Model</w:t>
      </w:r>
      <w:r w:rsidRPr="00642174">
        <w:t xml:space="preserve"> prescribes a consistent approach to the preparation of both the financial</w:t>
      </w:r>
      <w:r>
        <w:t xml:space="preserve"> and non-financial reporting requirements of </w:t>
      </w:r>
      <w:r w:rsidRPr="00562221">
        <w:rPr>
          <w:b/>
          <w:bCs/>
        </w:rPr>
        <w:t>departmental</w:t>
      </w:r>
      <w:r>
        <w:t xml:space="preserve"> annual reports. It includes:</w:t>
      </w:r>
    </w:p>
    <w:p w14:paraId="67BB1178" w14:textId="19F132D8" w:rsidR="00562221" w:rsidRDefault="00562221" w:rsidP="00367D84">
      <w:pPr>
        <w:pStyle w:val="ListBullet"/>
        <w:numPr>
          <w:ilvl w:val="0"/>
          <w:numId w:val="14"/>
        </w:numPr>
      </w:pPr>
      <w:r>
        <w:t>guidance and commentaries highlighting the minimum disclosure requirements</w:t>
      </w:r>
      <w:r w:rsidR="00100C47">
        <w:t xml:space="preserve"> for a </w:t>
      </w:r>
      <w:r w:rsidR="00427316">
        <w:t>general-purpose</w:t>
      </w:r>
      <w:r w:rsidR="00100C47">
        <w:t xml:space="preserve"> financial </w:t>
      </w:r>
      <w:r w:rsidR="00427316">
        <w:t>report</w:t>
      </w:r>
      <w:r w:rsidR="00100C47">
        <w:t xml:space="preserve"> (</w:t>
      </w:r>
      <w:r w:rsidR="00161093">
        <w:t xml:space="preserve">the </w:t>
      </w:r>
      <w:r w:rsidR="00100C47">
        <w:t>Tier 1</w:t>
      </w:r>
      <w:r w:rsidR="00161093">
        <w:t xml:space="preserve"> Model</w:t>
      </w:r>
      <w:r w:rsidR="00100C47">
        <w:t>)</w:t>
      </w:r>
      <w:r>
        <w:t xml:space="preserve"> </w:t>
      </w:r>
    </w:p>
    <w:p w14:paraId="0E9A08BB" w14:textId="57FB6EF6" w:rsidR="00562221" w:rsidRDefault="00562221" w:rsidP="00367D84">
      <w:pPr>
        <w:pStyle w:val="ListBullet"/>
        <w:numPr>
          <w:ilvl w:val="0"/>
          <w:numId w:val="14"/>
        </w:numPr>
      </w:pPr>
      <w:r>
        <w:t xml:space="preserve">convenient references and interpretations of relevant authoritative pronouncements </w:t>
      </w:r>
    </w:p>
    <w:p w14:paraId="464DA322" w14:textId="6F34D94E" w:rsidR="00562221" w:rsidRDefault="00562221" w:rsidP="00367D84">
      <w:pPr>
        <w:pStyle w:val="ListBullet"/>
        <w:numPr>
          <w:ilvl w:val="0"/>
          <w:numId w:val="14"/>
        </w:numPr>
      </w:pPr>
      <w:r>
        <w:t xml:space="preserve">illustrative AAS and FRD disclosures </w:t>
      </w:r>
      <w:r w:rsidR="00AE5BD2">
        <w:t>for</w:t>
      </w:r>
      <w:r>
        <w:t xml:space="preserve"> common departmental activities.</w:t>
      </w:r>
    </w:p>
    <w:p w14:paraId="2B7827D8" w14:textId="2436A5DA" w:rsidR="00562221" w:rsidRDefault="00562221" w:rsidP="00562221">
      <w:r>
        <w:t xml:space="preserve">The Model addresses the departmental requirements for a complete set of financial statements (refer to the </w:t>
      </w:r>
      <w:r w:rsidRPr="009D51F4">
        <w:rPr>
          <w:i/>
          <w:iCs/>
        </w:rPr>
        <w:t>Model financial statements</w:t>
      </w:r>
      <w:r>
        <w:t xml:space="preserve"> section</w:t>
      </w:r>
      <w:r w:rsidR="004E4117">
        <w:t xml:space="preserve"> (</w:t>
      </w:r>
      <w:r w:rsidR="00347FA2">
        <w:t>Part two</w:t>
      </w:r>
      <w:r w:rsidR="004E4117">
        <w:t>)</w:t>
      </w:r>
      <w:r>
        <w:t>) and in a separate section, the requirements of the FMA and FRDs for non</w:t>
      </w:r>
      <w:r w:rsidR="009D51F4">
        <w:t>-</w:t>
      </w:r>
      <w:r>
        <w:t xml:space="preserve">financial performance disclosures in a report of operations (refer to the </w:t>
      </w:r>
      <w:r w:rsidRPr="009D51F4">
        <w:rPr>
          <w:i/>
          <w:iCs/>
        </w:rPr>
        <w:t>Model report of operations</w:t>
      </w:r>
      <w:r>
        <w:t xml:space="preserve"> section). </w:t>
      </w:r>
    </w:p>
    <w:p w14:paraId="2109F2A7" w14:textId="2E60F4B1" w:rsidR="006E50FF" w:rsidRDefault="00F9462D" w:rsidP="00DC6C6D">
      <w:r>
        <w:t>F</w:t>
      </w:r>
      <w:r w:rsidR="006E50FF">
        <w:t xml:space="preserve">or ease of preparation, placeholder years have </w:t>
      </w:r>
      <w:r>
        <w:t>been used throughout the Model</w:t>
      </w:r>
      <w:r w:rsidR="001E6225">
        <w:t xml:space="preserve">. </w:t>
      </w:r>
      <w:r>
        <w:t>For the purposes of this report,</w:t>
      </w:r>
      <w:r w:rsidR="003F74FF">
        <w:t> </w:t>
      </w:r>
      <w:r w:rsidR="003F74FF">
        <w:br/>
        <w:t>20X1-X2</w:t>
      </w:r>
      <w:r w:rsidR="003F74FF" w:rsidDel="003F74FF">
        <w:t xml:space="preserve"> </w:t>
      </w:r>
      <w:r w:rsidR="00C13DA5">
        <w:t>i</w:t>
      </w:r>
      <w:r w:rsidR="00325CE5">
        <w:t xml:space="preserve">s to be interpreted as the current reporting year, </w:t>
      </w:r>
      <w:r w:rsidR="008B0549">
        <w:t>while 20X0-X1 represents the comparative year</w:t>
      </w:r>
      <w:r w:rsidR="00B945F0">
        <w:t>.</w:t>
      </w:r>
      <w:r w:rsidR="00B66F00">
        <w:t xml:space="preserve"> </w:t>
      </w:r>
      <w:r w:rsidR="008D5FD0">
        <w:t>Refer to the table below for more detail.</w:t>
      </w:r>
    </w:p>
    <w:tbl>
      <w:tblPr>
        <w:tblStyle w:val="DTFTable1"/>
        <w:tblW w:w="0" w:type="auto"/>
        <w:tblLook w:val="04A0" w:firstRow="1" w:lastRow="0" w:firstColumn="1" w:lastColumn="0" w:noHBand="0" w:noVBand="1"/>
      </w:tblPr>
      <w:tblGrid>
        <w:gridCol w:w="1502"/>
        <w:gridCol w:w="1286"/>
      </w:tblGrid>
      <w:tr w:rsidR="008D5FD0" w14:paraId="3E797329" w14:textId="77777777" w:rsidTr="00954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3D96FF24" w14:textId="5D3BAACC" w:rsidR="008D5FD0" w:rsidRDefault="00DD424B" w:rsidP="00562221">
            <w:r>
              <w:t xml:space="preserve">Placeholder </w:t>
            </w:r>
          </w:p>
        </w:tc>
        <w:tc>
          <w:tcPr>
            <w:tcW w:w="1286" w:type="dxa"/>
          </w:tcPr>
          <w:p w14:paraId="64C6ECDB" w14:textId="28CF1C83" w:rsidR="008D5FD0" w:rsidRDefault="00CF0A27" w:rsidP="00CD06B1">
            <w:pPr>
              <w:jc w:val="left"/>
              <w:cnfStyle w:val="100000000000" w:firstRow="1" w:lastRow="0" w:firstColumn="0" w:lastColumn="0" w:oddVBand="0" w:evenVBand="0" w:oddHBand="0" w:evenHBand="0" w:firstRowFirstColumn="0" w:firstRowLastColumn="0" w:lastRowFirstColumn="0" w:lastRowLastColumn="0"/>
            </w:pPr>
            <w:r>
              <w:t>Year</w:t>
            </w:r>
          </w:p>
        </w:tc>
      </w:tr>
      <w:tr w:rsidR="00630886" w14:paraId="5727C5B6" w14:textId="77777777" w:rsidTr="00954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5BAF65FC" w14:textId="410F536D" w:rsidR="00630886" w:rsidRDefault="00630886" w:rsidP="00562221">
            <w:r>
              <w:t>20XX</w:t>
            </w:r>
          </w:p>
        </w:tc>
        <w:tc>
          <w:tcPr>
            <w:tcW w:w="1286" w:type="dxa"/>
          </w:tcPr>
          <w:p w14:paraId="72E85C3F" w14:textId="345D8688" w:rsidR="00630886" w:rsidRDefault="00630886" w:rsidP="00AA0186">
            <w:pPr>
              <w:jc w:val="left"/>
              <w:cnfStyle w:val="000000100000" w:firstRow="0" w:lastRow="0" w:firstColumn="0" w:lastColumn="0" w:oddVBand="0" w:evenVBand="0" w:oddHBand="1" w:evenHBand="0" w:firstRowFirstColumn="0" w:firstRowLastColumn="0" w:lastRowFirstColumn="0" w:lastRowLastColumn="0"/>
            </w:pPr>
            <w:r>
              <w:t>202</w:t>
            </w:r>
            <w:r w:rsidR="008465CB">
              <w:t>2</w:t>
            </w:r>
          </w:p>
        </w:tc>
      </w:tr>
      <w:tr w:rsidR="008D5FD0" w14:paraId="6E33206D" w14:textId="77777777" w:rsidTr="00954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5443D16C" w14:textId="5B6843AE" w:rsidR="008D5FD0" w:rsidRDefault="00CF0A27" w:rsidP="00562221">
            <w:r>
              <w:t>20X0</w:t>
            </w:r>
          </w:p>
        </w:tc>
        <w:tc>
          <w:tcPr>
            <w:tcW w:w="1286" w:type="dxa"/>
          </w:tcPr>
          <w:p w14:paraId="48C5FACB" w14:textId="625C5F9A" w:rsidR="008D5FD0" w:rsidRDefault="00575BC6" w:rsidP="00CD06B1">
            <w:pPr>
              <w:jc w:val="left"/>
              <w:cnfStyle w:val="000000010000" w:firstRow="0" w:lastRow="0" w:firstColumn="0" w:lastColumn="0" w:oddVBand="0" w:evenVBand="0" w:oddHBand="0" w:evenHBand="1" w:firstRowFirstColumn="0" w:firstRowLastColumn="0" w:lastRowFirstColumn="0" w:lastRowLastColumn="0"/>
            </w:pPr>
            <w:r>
              <w:t>202</w:t>
            </w:r>
            <w:r w:rsidR="008465CB">
              <w:t>3</w:t>
            </w:r>
          </w:p>
        </w:tc>
      </w:tr>
      <w:tr w:rsidR="008D5FD0" w14:paraId="6568D974" w14:textId="77777777" w:rsidTr="00954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3A6FD7E7" w14:textId="219CE283" w:rsidR="008D5FD0" w:rsidRDefault="00CF0A27" w:rsidP="00562221">
            <w:r>
              <w:t>20X</w:t>
            </w:r>
            <w:r w:rsidR="00933929">
              <w:t>1</w:t>
            </w:r>
          </w:p>
        </w:tc>
        <w:tc>
          <w:tcPr>
            <w:tcW w:w="1286" w:type="dxa"/>
          </w:tcPr>
          <w:p w14:paraId="6FBA9EBE" w14:textId="4BFF9110" w:rsidR="008D5FD0" w:rsidRDefault="00575BC6" w:rsidP="00CD06B1">
            <w:pPr>
              <w:jc w:val="left"/>
              <w:cnfStyle w:val="000000100000" w:firstRow="0" w:lastRow="0" w:firstColumn="0" w:lastColumn="0" w:oddVBand="0" w:evenVBand="0" w:oddHBand="1" w:evenHBand="0" w:firstRowFirstColumn="0" w:firstRowLastColumn="0" w:lastRowFirstColumn="0" w:lastRowLastColumn="0"/>
            </w:pPr>
            <w:r>
              <w:t>202</w:t>
            </w:r>
            <w:r w:rsidR="008465CB">
              <w:t>4</w:t>
            </w:r>
          </w:p>
        </w:tc>
      </w:tr>
      <w:tr w:rsidR="008D5FD0" w14:paraId="53059BE7" w14:textId="77777777" w:rsidTr="00954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26B2FDB" w14:textId="1B3D359A" w:rsidR="008D5FD0" w:rsidRDefault="00CF0A27" w:rsidP="00562221">
            <w:r>
              <w:t>20X2</w:t>
            </w:r>
          </w:p>
        </w:tc>
        <w:tc>
          <w:tcPr>
            <w:tcW w:w="1286" w:type="dxa"/>
          </w:tcPr>
          <w:p w14:paraId="65178992" w14:textId="34FE1D5D" w:rsidR="008D5FD0" w:rsidRDefault="00575BC6" w:rsidP="00CD06B1">
            <w:pPr>
              <w:jc w:val="left"/>
              <w:cnfStyle w:val="000000010000" w:firstRow="0" w:lastRow="0" w:firstColumn="0" w:lastColumn="0" w:oddVBand="0" w:evenVBand="0" w:oddHBand="0" w:evenHBand="1" w:firstRowFirstColumn="0" w:firstRowLastColumn="0" w:lastRowFirstColumn="0" w:lastRowLastColumn="0"/>
            </w:pPr>
            <w:r>
              <w:t>202</w:t>
            </w:r>
            <w:r w:rsidR="008465CB">
              <w:t>5</w:t>
            </w:r>
          </w:p>
        </w:tc>
      </w:tr>
      <w:tr w:rsidR="00CF0A27" w14:paraId="5E8C9078" w14:textId="77777777" w:rsidTr="00954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2A1D0E30" w14:textId="3B8DD77E" w:rsidR="00CF0A27" w:rsidRDefault="00CF0A27" w:rsidP="00562221">
            <w:r>
              <w:t>20X3</w:t>
            </w:r>
          </w:p>
        </w:tc>
        <w:tc>
          <w:tcPr>
            <w:tcW w:w="1286" w:type="dxa"/>
          </w:tcPr>
          <w:p w14:paraId="37B60FE5" w14:textId="17FE72BA" w:rsidR="00CF0A27" w:rsidRDefault="00575BC6" w:rsidP="00CD06B1">
            <w:pPr>
              <w:jc w:val="left"/>
              <w:cnfStyle w:val="000000100000" w:firstRow="0" w:lastRow="0" w:firstColumn="0" w:lastColumn="0" w:oddVBand="0" w:evenVBand="0" w:oddHBand="1" w:evenHBand="0" w:firstRowFirstColumn="0" w:firstRowLastColumn="0" w:lastRowFirstColumn="0" w:lastRowLastColumn="0"/>
            </w:pPr>
            <w:r>
              <w:t>202</w:t>
            </w:r>
            <w:r w:rsidR="008465CB">
              <w:t>6</w:t>
            </w:r>
          </w:p>
        </w:tc>
      </w:tr>
    </w:tbl>
    <w:p w14:paraId="3B9D50CD" w14:textId="65B5DF78" w:rsidR="00562221" w:rsidRDefault="00F9462D" w:rsidP="00562221">
      <w:r>
        <w:t xml:space="preserve">It should be noted </w:t>
      </w:r>
      <w:r w:rsidR="00562221">
        <w:t xml:space="preserve">that the Model is based on a fictitious department, and therefore the narrative illustrations should be used as a guide only. </w:t>
      </w:r>
    </w:p>
    <w:p w14:paraId="1D319F51" w14:textId="5FF0A727" w:rsidR="00562221" w:rsidRDefault="00562221" w:rsidP="00562221">
      <w:r>
        <w:t xml:space="preserve">This Model will enable preparers to readily identify applicable legislative and accounting reporting requirements, and to view related illustrative examples. </w:t>
      </w:r>
      <w:r w:rsidR="002A5138">
        <w:t xml:space="preserve">Tier 2 public sector entities may </w:t>
      </w:r>
      <w:r w:rsidR="00A377BA">
        <w:t>use the</w:t>
      </w:r>
      <w:r w:rsidR="002A5138">
        <w:t xml:space="preserve"> disclosures in this Model as a guide</w:t>
      </w:r>
      <w:r w:rsidR="001C2A6A">
        <w:t xml:space="preserve"> </w:t>
      </w:r>
      <w:r w:rsidR="006C0A2F">
        <w:t>for</w:t>
      </w:r>
      <w:r w:rsidR="001C2A6A">
        <w:t xml:space="preserve"> additional disclosures </w:t>
      </w:r>
      <w:r w:rsidR="00615CC4">
        <w:t xml:space="preserve">required as part of their </w:t>
      </w:r>
      <w:r w:rsidR="001C2A6A">
        <w:t>general-purpose financial statements.</w:t>
      </w:r>
    </w:p>
    <w:p w14:paraId="4699D00E" w14:textId="1E9BAC6E" w:rsidR="00891B1C" w:rsidRDefault="006C6072" w:rsidP="00515472">
      <w:pPr>
        <w:pStyle w:val="GuidanceBox"/>
      </w:pPr>
      <w:r>
        <w:t>T</w:t>
      </w:r>
      <w:r w:rsidR="00562221">
        <w:t>he Model should not be used as a substitute for referring to actual legislation, AASs and FRDs that are relevant to the entity.</w:t>
      </w:r>
    </w:p>
    <w:p w14:paraId="1B64E518" w14:textId="0EED9320" w:rsidR="00547623" w:rsidRDefault="00547623" w:rsidP="00547623">
      <w:pPr>
        <w:pStyle w:val="Heading1"/>
      </w:pPr>
      <w:bookmarkStart w:id="34" w:name="_Toc129260756"/>
      <w:bookmarkStart w:id="35" w:name="_Toc174972164"/>
      <w:bookmarkStart w:id="36" w:name="_Toc199156253"/>
      <w:bookmarkStart w:id="37" w:name="_Toc199167707"/>
      <w:r>
        <w:lastRenderedPageBreak/>
        <w:t>Setting the scene</w:t>
      </w:r>
      <w:bookmarkEnd w:id="34"/>
      <w:bookmarkEnd w:id="35"/>
      <w:bookmarkEnd w:id="36"/>
      <w:bookmarkEnd w:id="37"/>
    </w:p>
    <w:p w14:paraId="08B5957A" w14:textId="77777777" w:rsidR="00547623" w:rsidRDefault="00547623" w:rsidP="00547623">
      <w:pPr>
        <w:pStyle w:val="Heading2"/>
      </w:pPr>
      <w:bookmarkStart w:id="38" w:name="_Toc129260757"/>
      <w:bookmarkStart w:id="39" w:name="_Toc174972165"/>
      <w:bookmarkStart w:id="40" w:name="_Toc199156254"/>
      <w:bookmarkStart w:id="41" w:name="_Toc199167708"/>
      <w:r>
        <w:t>A model to assist with public sector financial reporting requirements</w:t>
      </w:r>
      <w:bookmarkEnd w:id="38"/>
      <w:bookmarkEnd w:id="39"/>
      <w:bookmarkEnd w:id="40"/>
      <w:bookmarkEnd w:id="41"/>
    </w:p>
    <w:p w14:paraId="39340EEF" w14:textId="77777777" w:rsidR="00547623" w:rsidRDefault="00547623" w:rsidP="00547623">
      <w:r>
        <w:t>The Model is published as the primary guide to assist public sector entities with their financial reporting requirements.</w:t>
      </w:r>
    </w:p>
    <w:p w14:paraId="1D2DC7B5" w14:textId="0874D2A0" w:rsidR="00547623" w:rsidRDefault="00547623" w:rsidP="00547623">
      <w:r>
        <w:t>All agencies</w:t>
      </w:r>
      <w:r w:rsidR="00E4135F">
        <w:t>, subject to FMA requirements,</w:t>
      </w:r>
      <w:r>
        <w:t xml:space="preserve"> are required to table audited annual reports in Parliament in compliance with the FMA, including the </w:t>
      </w:r>
      <w:r w:rsidRPr="001A0FEE">
        <w:t>Standing Directions (SD) 2018</w:t>
      </w:r>
      <w:r>
        <w:t xml:space="preserve"> under the FMA. </w:t>
      </w:r>
    </w:p>
    <w:p w14:paraId="00533F47" w14:textId="5897EF02" w:rsidR="00547623" w:rsidRDefault="00547623" w:rsidP="00547623">
      <w:r>
        <w:t xml:space="preserve">Those annual reports, which consist of the </w:t>
      </w:r>
      <w:r w:rsidR="00F70547">
        <w:t>r</w:t>
      </w:r>
      <w:r>
        <w:t xml:space="preserve">eport of operations and financial statements, </w:t>
      </w:r>
      <w:r w:rsidR="00F22E3D">
        <w:t xml:space="preserve">must </w:t>
      </w:r>
      <w:r>
        <w:t>be prepared in accordance with:</w:t>
      </w:r>
    </w:p>
    <w:p w14:paraId="14AF3613" w14:textId="63BB2587" w:rsidR="00547623" w:rsidRDefault="00547623" w:rsidP="00310F12">
      <w:pPr>
        <w:pStyle w:val="ListBullet"/>
      </w:pPr>
      <w:r>
        <w:t xml:space="preserve">Australian </w:t>
      </w:r>
      <w:r w:rsidRPr="00515472">
        <w:t>Accounting</w:t>
      </w:r>
      <w:r>
        <w:t xml:space="preserve"> Standards (AAS), which includes Interpretations</w:t>
      </w:r>
    </w:p>
    <w:p w14:paraId="41F56502" w14:textId="77777777" w:rsidR="00547623" w:rsidRDefault="00547623" w:rsidP="00367D84">
      <w:pPr>
        <w:pStyle w:val="ListBullet"/>
        <w:numPr>
          <w:ilvl w:val="0"/>
          <w:numId w:val="37"/>
        </w:numPr>
        <w:tabs>
          <w:tab w:val="num" w:pos="284"/>
        </w:tabs>
        <w:ind w:left="284" w:hanging="284"/>
      </w:pPr>
      <w:r>
        <w:t>Financial Reporting Directions (FRD)</w:t>
      </w:r>
    </w:p>
    <w:p w14:paraId="7E30E5F3" w14:textId="6852806E" w:rsidR="00042CE3" w:rsidRDefault="00547623" w:rsidP="00367D84">
      <w:pPr>
        <w:pStyle w:val="ListBullet"/>
        <w:numPr>
          <w:ilvl w:val="0"/>
          <w:numId w:val="37"/>
        </w:numPr>
        <w:tabs>
          <w:tab w:val="num" w:pos="284"/>
        </w:tabs>
        <w:ind w:left="284" w:hanging="284"/>
      </w:pPr>
      <w:r>
        <w:t>Resource Management Framework (RMF)</w:t>
      </w:r>
    </w:p>
    <w:p w14:paraId="0D040FDF" w14:textId="77777777" w:rsidR="00547623" w:rsidRDefault="00547623" w:rsidP="00A67071">
      <w:pPr>
        <w:pStyle w:val="ListBullet"/>
        <w:numPr>
          <w:ilvl w:val="0"/>
          <w:numId w:val="0"/>
        </w:numPr>
      </w:pPr>
      <w:r>
        <w:t>To assist public sector entities in discharging their responsibilities, this Model adopts the financial statement formats that align with the general government sector and whole of government formats.</w:t>
      </w:r>
    </w:p>
    <w:p w14:paraId="6FE19D79" w14:textId="369E0C5A" w:rsidR="00547623" w:rsidRDefault="00547623" w:rsidP="00547623">
      <w:r>
        <w:t>The Model illustrates the minimum disclosure requirements in accordance with applicable AASs and FRDs.</w:t>
      </w:r>
    </w:p>
    <w:p w14:paraId="3D632564" w14:textId="77777777" w:rsidR="00547623" w:rsidRPr="002E3231" w:rsidRDefault="00547623" w:rsidP="00547623">
      <w:pPr>
        <w:pStyle w:val="Heading3"/>
        <w:rPr>
          <w:rStyle w:val="Guidance"/>
        </w:rPr>
      </w:pPr>
      <w:r w:rsidRPr="002E3231">
        <w:rPr>
          <w:rStyle w:val="Guidance"/>
        </w:rPr>
        <w:t>Key reminders</w:t>
      </w:r>
    </w:p>
    <w:p w14:paraId="1F9E3FAD" w14:textId="77777777" w:rsidR="00547623" w:rsidRPr="002E3231" w:rsidRDefault="00547623" w:rsidP="00547623">
      <w:pPr>
        <w:rPr>
          <w:rStyle w:val="Guidance"/>
        </w:rPr>
      </w:pPr>
      <w:r w:rsidRPr="002E3231">
        <w:rPr>
          <w:rStyle w:val="Guidance"/>
        </w:rPr>
        <w:t>Do:</w:t>
      </w:r>
    </w:p>
    <w:p w14:paraId="14FD9B3A" w14:textId="3043B850" w:rsidR="00547623" w:rsidRDefault="00547623" w:rsidP="00C52C4B">
      <w:pPr>
        <w:pStyle w:val="ListBullet"/>
        <w:numPr>
          <w:ilvl w:val="0"/>
          <w:numId w:val="80"/>
        </w:numPr>
        <w:rPr>
          <w:rStyle w:val="Guidance"/>
        </w:rPr>
      </w:pPr>
      <w:r w:rsidRPr="002E3231">
        <w:rPr>
          <w:rStyle w:val="Guidance"/>
        </w:rPr>
        <w:t>apply the disclosure requirements included within the Model for all government departments (mandatory)</w:t>
      </w:r>
    </w:p>
    <w:p w14:paraId="546702B9" w14:textId="7BDA5AD9" w:rsidR="00C45BEB" w:rsidRPr="002E3231" w:rsidRDefault="001171EF" w:rsidP="00C52C4B">
      <w:pPr>
        <w:pStyle w:val="ListBullet"/>
        <w:numPr>
          <w:ilvl w:val="0"/>
          <w:numId w:val="80"/>
        </w:numPr>
        <w:rPr>
          <w:rStyle w:val="Guidance"/>
        </w:rPr>
      </w:pPr>
      <w:r>
        <w:rPr>
          <w:rStyle w:val="Guidance"/>
        </w:rPr>
        <w:t>refer to</w:t>
      </w:r>
      <w:r w:rsidR="00C45BEB">
        <w:rPr>
          <w:rStyle w:val="Guidance"/>
        </w:rPr>
        <w:t xml:space="preserve"> the </w:t>
      </w:r>
      <w:r w:rsidR="00490470">
        <w:rPr>
          <w:rStyle w:val="Guidance"/>
        </w:rPr>
        <w:t>illustrations of the Report of Operations for all other public sector</w:t>
      </w:r>
      <w:r w:rsidR="00FC16EC">
        <w:rPr>
          <w:rStyle w:val="Guidance"/>
        </w:rPr>
        <w:t xml:space="preserve"> </w:t>
      </w:r>
      <w:r w:rsidR="00132DCF">
        <w:rPr>
          <w:rStyle w:val="Guidance"/>
        </w:rPr>
        <w:t xml:space="preserve">entities </w:t>
      </w:r>
      <w:r w:rsidR="00C51A34">
        <w:rPr>
          <w:rStyle w:val="Guidance"/>
        </w:rPr>
        <w:t>(where relevant</w:t>
      </w:r>
      <w:r w:rsidR="00825850">
        <w:rPr>
          <w:rStyle w:val="Guidance"/>
        </w:rPr>
        <w:t xml:space="preserve"> and applicable</w:t>
      </w:r>
      <w:r w:rsidR="00C51A34">
        <w:rPr>
          <w:rStyle w:val="Guidance"/>
        </w:rPr>
        <w:t xml:space="preserve">) </w:t>
      </w:r>
      <w:r w:rsidR="00FC16EC">
        <w:rPr>
          <w:rStyle w:val="Guidance"/>
        </w:rPr>
        <w:t xml:space="preserve">as a guide </w:t>
      </w:r>
    </w:p>
    <w:p w14:paraId="7E7FE329" w14:textId="4F414683" w:rsidR="00547623" w:rsidRPr="002E3231" w:rsidRDefault="00547623" w:rsidP="00C52C4B">
      <w:pPr>
        <w:pStyle w:val="ListBullet"/>
        <w:numPr>
          <w:ilvl w:val="0"/>
          <w:numId w:val="80"/>
        </w:numPr>
        <w:rPr>
          <w:rStyle w:val="Guidance"/>
        </w:rPr>
      </w:pPr>
      <w:r w:rsidRPr="002E3231">
        <w:rPr>
          <w:rStyle w:val="Guidance"/>
        </w:rPr>
        <w:t>apply judgement in determining whether the Model needs to be modified to meet entity specific reporting requirements</w:t>
      </w:r>
    </w:p>
    <w:p w14:paraId="0B3A94E8" w14:textId="5AA4DB7A" w:rsidR="00547623" w:rsidRPr="002E3231" w:rsidRDefault="00547623" w:rsidP="00C52C4B">
      <w:pPr>
        <w:pStyle w:val="ListBullet"/>
        <w:numPr>
          <w:ilvl w:val="0"/>
          <w:numId w:val="80"/>
        </w:numPr>
        <w:rPr>
          <w:rStyle w:val="Guidance"/>
        </w:rPr>
      </w:pPr>
      <w:r w:rsidRPr="002E3231">
        <w:rPr>
          <w:rStyle w:val="Guidance"/>
        </w:rPr>
        <w:t xml:space="preserve">apply all AASs and FRDs </w:t>
      </w:r>
      <w:r w:rsidR="00B71B2A">
        <w:rPr>
          <w:rStyle w:val="Guidance"/>
        </w:rPr>
        <w:t>applicable to the financial year</w:t>
      </w:r>
      <w:r w:rsidRPr="002E3231">
        <w:rPr>
          <w:rStyle w:val="Guidance"/>
        </w:rPr>
        <w:t>– even those issued after the publication of the Model</w:t>
      </w:r>
    </w:p>
    <w:p w14:paraId="616F493E" w14:textId="6F9FB97F" w:rsidR="00547623" w:rsidRPr="002E3231" w:rsidRDefault="00547623" w:rsidP="00C52C4B">
      <w:pPr>
        <w:pStyle w:val="ListBullet"/>
        <w:numPr>
          <w:ilvl w:val="0"/>
          <w:numId w:val="80"/>
        </w:numPr>
        <w:rPr>
          <w:rStyle w:val="Guidance"/>
        </w:rPr>
      </w:pPr>
      <w:r w:rsidRPr="002E3231">
        <w:rPr>
          <w:rStyle w:val="Guidance"/>
        </w:rPr>
        <w:t xml:space="preserve">apply FRD 30 </w:t>
      </w:r>
      <w:r w:rsidR="006F4ACC" w:rsidRPr="001A0FEE">
        <w:rPr>
          <w:rStyle w:val="Guidance"/>
          <w:i/>
          <w:iCs/>
        </w:rPr>
        <w:t>Standard requirements for the publication</w:t>
      </w:r>
      <w:r w:rsidR="006F4ACC" w:rsidRPr="006F4ACC">
        <w:rPr>
          <w:rStyle w:val="Guidance"/>
        </w:rPr>
        <w:t xml:space="preserve"> </w:t>
      </w:r>
      <w:r w:rsidRPr="002E3231">
        <w:rPr>
          <w:rStyle w:val="Guidance"/>
        </w:rPr>
        <w:t>specifications when preparing annual reports</w:t>
      </w:r>
    </w:p>
    <w:p w14:paraId="0559BBE0" w14:textId="493AACD8" w:rsidR="00547623" w:rsidRPr="002E3231" w:rsidRDefault="00547623" w:rsidP="00C52C4B">
      <w:pPr>
        <w:pStyle w:val="ListBullet"/>
        <w:numPr>
          <w:ilvl w:val="0"/>
          <w:numId w:val="80"/>
        </w:numPr>
        <w:rPr>
          <w:rStyle w:val="Guidance"/>
        </w:rPr>
      </w:pPr>
      <w:r w:rsidRPr="002E3231">
        <w:rPr>
          <w:rStyle w:val="Guidance"/>
        </w:rPr>
        <w:t xml:space="preserve">determine which disclosures could be omitted </w:t>
      </w:r>
      <w:r w:rsidR="009945D2">
        <w:rPr>
          <w:rStyle w:val="Guidance"/>
        </w:rPr>
        <w:t>on the basis of</w:t>
      </w:r>
      <w:r w:rsidRPr="002E3231">
        <w:rPr>
          <w:rStyle w:val="Guidance"/>
        </w:rPr>
        <w:t xml:space="preserve"> </w:t>
      </w:r>
      <w:r w:rsidR="00B53CA8">
        <w:rPr>
          <w:rStyle w:val="Guidance"/>
        </w:rPr>
        <w:t>material</w:t>
      </w:r>
      <w:r w:rsidR="00DA5CE3">
        <w:rPr>
          <w:rStyle w:val="Guidance"/>
        </w:rPr>
        <w:t>ity</w:t>
      </w:r>
      <w:r w:rsidR="00B53CA8">
        <w:rPr>
          <w:rStyle w:val="Guidance"/>
        </w:rPr>
        <w:t xml:space="preserve"> </w:t>
      </w:r>
      <w:r w:rsidR="00D83092">
        <w:rPr>
          <w:rStyle w:val="Guidance"/>
        </w:rPr>
        <w:t>(</w:t>
      </w:r>
      <w:r w:rsidRPr="002E3231">
        <w:rPr>
          <w:rStyle w:val="Guidance"/>
        </w:rPr>
        <w:t xml:space="preserve">quantitatively </w:t>
      </w:r>
      <w:r w:rsidR="00123879">
        <w:rPr>
          <w:rStyle w:val="Guidance"/>
        </w:rPr>
        <w:t>and</w:t>
      </w:r>
      <w:r w:rsidR="00123879" w:rsidRPr="002E3231">
        <w:rPr>
          <w:rStyle w:val="Guidance"/>
        </w:rPr>
        <w:t xml:space="preserve"> </w:t>
      </w:r>
      <w:r w:rsidRPr="002E3231">
        <w:rPr>
          <w:rStyle w:val="Guidance"/>
        </w:rPr>
        <w:t>qualitatively</w:t>
      </w:r>
      <w:r w:rsidR="00D83092">
        <w:rPr>
          <w:rStyle w:val="Guidance"/>
        </w:rPr>
        <w:t>)</w:t>
      </w:r>
      <w:r w:rsidRPr="002E3231">
        <w:rPr>
          <w:rStyle w:val="Guidance"/>
        </w:rPr>
        <w:t>.</w:t>
      </w:r>
    </w:p>
    <w:p w14:paraId="4E975AE3" w14:textId="77777777" w:rsidR="00547623" w:rsidRPr="002E3231" w:rsidRDefault="00547623" w:rsidP="00DD0C25">
      <w:pPr>
        <w:pStyle w:val="ListBullet"/>
        <w:rPr>
          <w:rStyle w:val="Guidance"/>
        </w:rPr>
      </w:pPr>
      <w:r w:rsidRPr="002E3231">
        <w:rPr>
          <w:rStyle w:val="Guidance"/>
        </w:rPr>
        <w:t>Don’t:</w:t>
      </w:r>
    </w:p>
    <w:p w14:paraId="1F869481" w14:textId="6021ACA3" w:rsidR="00547623" w:rsidRPr="002E3231" w:rsidRDefault="00547623" w:rsidP="00C52C4B">
      <w:pPr>
        <w:pStyle w:val="ListBullet"/>
        <w:numPr>
          <w:ilvl w:val="0"/>
          <w:numId w:val="80"/>
        </w:numPr>
        <w:rPr>
          <w:rStyle w:val="Guidance"/>
        </w:rPr>
      </w:pPr>
      <w:r w:rsidRPr="002E3231">
        <w:rPr>
          <w:rStyle w:val="Guidance"/>
        </w:rPr>
        <w:t xml:space="preserve">use the Model as a template – it provides presentation formats and illustrative disclosures that need to be </w:t>
      </w:r>
      <w:r w:rsidR="00877981" w:rsidRPr="002E3231">
        <w:rPr>
          <w:rStyle w:val="Guidance"/>
        </w:rPr>
        <w:t xml:space="preserve">modified </w:t>
      </w:r>
      <w:r w:rsidRPr="002E3231">
        <w:rPr>
          <w:rStyle w:val="Guidance"/>
        </w:rPr>
        <w:t xml:space="preserve">for circumstances and requirements that are specific to the </w:t>
      </w:r>
      <w:r w:rsidR="00423699">
        <w:rPr>
          <w:rStyle w:val="Guidance"/>
        </w:rPr>
        <w:t>entity</w:t>
      </w:r>
    </w:p>
    <w:p w14:paraId="08FBCAC5" w14:textId="405A6AAE" w:rsidR="00547623" w:rsidRPr="002E3231" w:rsidRDefault="00547623" w:rsidP="00C52C4B">
      <w:pPr>
        <w:pStyle w:val="ListBullet"/>
        <w:numPr>
          <w:ilvl w:val="0"/>
          <w:numId w:val="80"/>
        </w:numPr>
        <w:rPr>
          <w:rStyle w:val="Guidance"/>
        </w:rPr>
      </w:pPr>
      <w:r w:rsidRPr="002E3231">
        <w:rPr>
          <w:rStyle w:val="Guidance"/>
        </w:rPr>
        <w:t xml:space="preserve">use the Model as a substitute for referring to </w:t>
      </w:r>
      <w:r w:rsidR="00CB4EB5">
        <w:rPr>
          <w:rStyle w:val="Guidance"/>
        </w:rPr>
        <w:t xml:space="preserve">the relevant </w:t>
      </w:r>
      <w:r w:rsidRPr="002E3231">
        <w:rPr>
          <w:rStyle w:val="Guidance"/>
        </w:rPr>
        <w:t>AASs and FRDs.</w:t>
      </w:r>
    </w:p>
    <w:p w14:paraId="69636C89" w14:textId="3E84DAC4" w:rsidR="009D51F4" w:rsidRDefault="009D51F4" w:rsidP="00515472"/>
    <w:p w14:paraId="4E31A95E" w14:textId="77777777" w:rsidR="002E3231" w:rsidRDefault="002E3231">
      <w:pPr>
        <w:keepLines w:val="0"/>
        <w:rPr>
          <w:rFonts w:asciiTheme="majorHAnsi" w:eastAsiaTheme="majorEastAsia" w:hAnsiTheme="majorHAnsi" w:cstheme="majorBidi"/>
          <w:b/>
          <w:sz w:val="26"/>
          <w:szCs w:val="26"/>
        </w:rPr>
      </w:pPr>
      <w:r>
        <w:br w:type="page"/>
      </w:r>
    </w:p>
    <w:p w14:paraId="09C8072F" w14:textId="5197F8D3" w:rsidR="002C7726" w:rsidRDefault="002C7726" w:rsidP="002C7726">
      <w:pPr>
        <w:pStyle w:val="Heading2"/>
      </w:pPr>
      <w:bookmarkStart w:id="42" w:name="_Toc129260758"/>
      <w:bookmarkStart w:id="43" w:name="_Toc174972166"/>
      <w:bookmarkStart w:id="44" w:name="_Toc199156255"/>
      <w:bookmarkStart w:id="45" w:name="_Toc199167709"/>
      <w:r>
        <w:lastRenderedPageBreak/>
        <w:t>Setting out the disclosures and guidance</w:t>
      </w:r>
      <w:bookmarkEnd w:id="42"/>
      <w:bookmarkEnd w:id="43"/>
      <w:bookmarkEnd w:id="44"/>
      <w:bookmarkEnd w:id="45"/>
    </w:p>
    <w:p w14:paraId="59C84893" w14:textId="77777777" w:rsidR="002C7726" w:rsidRDefault="002C7726" w:rsidP="002C7726">
      <w:r>
        <w:t>The reporting requirements as set out in this Model are presented as follows:</w:t>
      </w:r>
    </w:p>
    <w:p w14:paraId="73951993" w14:textId="1024975D" w:rsidR="002C7726" w:rsidRDefault="002C7726" w:rsidP="005F094F">
      <w:pPr>
        <w:pStyle w:val="ListNumber"/>
      </w:pPr>
      <w:r>
        <w:t xml:space="preserve">Illustrative disclosures are presented first. These are predominantly in black text and for a fictitious department, </w:t>
      </w:r>
      <w:r w:rsidRPr="008E1E71">
        <w:rPr>
          <w:i/>
          <w:iCs/>
        </w:rPr>
        <w:t>The Department of Technology</w:t>
      </w:r>
      <w:r>
        <w:t>. These disclosures provide the minimum requirements for compliance with AASs and FRDs.</w:t>
      </w:r>
    </w:p>
    <w:p w14:paraId="3A030501" w14:textId="5BB70544" w:rsidR="002C7726" w:rsidRDefault="002C7726" w:rsidP="00310F12">
      <w:pPr>
        <w:pStyle w:val="ListNumber"/>
      </w:pPr>
      <w:r>
        <w:t xml:space="preserve">Guidance (or commentary) is provided on the illustrative disclosures </w:t>
      </w:r>
      <w:r w:rsidRPr="008C2DE3">
        <w:t xml:space="preserve">in blue </w:t>
      </w:r>
      <w:r w:rsidR="003506D0">
        <w:t xml:space="preserve">font </w:t>
      </w:r>
      <w:r>
        <w:t xml:space="preserve">and includes references to more detailed guidance, additional examples and illustrations. </w:t>
      </w:r>
    </w:p>
    <w:p w14:paraId="3D85B148" w14:textId="77777777" w:rsidR="004C060A" w:rsidRDefault="002C7726" w:rsidP="004C060A">
      <w:pPr>
        <w:pStyle w:val="ListNumber"/>
      </w:pPr>
      <w:r>
        <w:t xml:space="preserve">Source references are </w:t>
      </w:r>
      <w:r w:rsidR="00421B82">
        <w:t xml:space="preserve">included </w:t>
      </w:r>
      <w:r>
        <w:t>throughout the illustrative disclosures and the guidance, and are prefixed by AASB, FRD, SD and FMA.</w:t>
      </w:r>
    </w:p>
    <w:p w14:paraId="09C96A39" w14:textId="214A615B" w:rsidR="002C7726" w:rsidRDefault="002C7726" w:rsidP="004C060A">
      <w:pPr>
        <w:pStyle w:val="ListNumber"/>
      </w:pPr>
      <w:r w:rsidRPr="004C060A">
        <w:t>Guidance Section 1</w:t>
      </w:r>
      <w:r w:rsidR="009C637B" w:rsidRPr="004C060A">
        <w:t xml:space="preserve"> </w:t>
      </w:r>
      <w:r w:rsidR="007F3CEB" w:rsidRPr="004C060A">
        <w:t>highlights</w:t>
      </w:r>
      <w:r w:rsidR="007F3CEB" w:rsidRPr="007F3CEB">
        <w:t xml:space="preserve"> </w:t>
      </w:r>
      <w:r w:rsidR="007A1AB5" w:rsidRPr="007A1AB5">
        <w:t>general</w:t>
      </w:r>
      <w:r>
        <w:t xml:space="preserve"> and specific disclosure requirements, including presentation requirements that </w:t>
      </w:r>
      <w:r w:rsidR="007F3CEB" w:rsidRPr="007F3CEB">
        <w:t>all agencies need to adhere to in preparing</w:t>
      </w:r>
      <w:r>
        <w:t xml:space="preserve"> financial statements.</w:t>
      </w:r>
    </w:p>
    <w:p w14:paraId="77885F8D" w14:textId="5A3354C8" w:rsidR="002C7726" w:rsidRDefault="002C7726" w:rsidP="002C7726">
      <w:pPr>
        <w:pStyle w:val="Heading2"/>
      </w:pPr>
      <w:bookmarkStart w:id="46" w:name="_Toc129260760"/>
      <w:bookmarkStart w:id="47" w:name="_Toc174972167"/>
      <w:bookmarkStart w:id="48" w:name="_Toc199156256"/>
      <w:bookmarkStart w:id="49" w:name="_Toc199167710"/>
      <w:r>
        <w:t>Structure of the Model report and disclosure requirements</w:t>
      </w:r>
      <w:bookmarkEnd w:id="46"/>
      <w:bookmarkEnd w:id="47"/>
      <w:bookmarkEnd w:id="48"/>
      <w:bookmarkEnd w:id="49"/>
    </w:p>
    <w:p w14:paraId="45C6AA58" w14:textId="6844576A" w:rsidR="002C7726" w:rsidRDefault="002C7726" w:rsidP="002C7726">
      <w:r>
        <w:t>The Model is based on a fictitious Department of Technology to highlight and illustrate disclosure requirements. It is divided into the following sections.</w:t>
      </w:r>
    </w:p>
    <w:p w14:paraId="303FE62D" w14:textId="0A4A697E" w:rsidR="007246C7" w:rsidRPr="00C93934" w:rsidRDefault="00C93934" w:rsidP="00C93934">
      <w:pPr>
        <w:pStyle w:val="ListBullet"/>
      </w:pPr>
      <w:r w:rsidRPr="00C93934">
        <w:rPr>
          <w:b/>
          <w:bCs/>
        </w:rPr>
        <w:t>Part one – Introduction and t</w:t>
      </w:r>
      <w:r w:rsidR="0071091D" w:rsidRPr="00C93934">
        <w:rPr>
          <w:b/>
          <w:bCs/>
        </w:rPr>
        <w:t>he</w:t>
      </w:r>
      <w:r w:rsidR="0071091D" w:rsidRPr="00C93934">
        <w:rPr>
          <w:b/>
        </w:rPr>
        <w:t xml:space="preserve"> </w:t>
      </w:r>
      <w:r w:rsidR="002C7726" w:rsidRPr="00C93934">
        <w:rPr>
          <w:b/>
        </w:rPr>
        <w:t xml:space="preserve">Model </w:t>
      </w:r>
      <w:r w:rsidR="00202FBF" w:rsidRPr="00C93934">
        <w:rPr>
          <w:b/>
        </w:rPr>
        <w:t>r</w:t>
      </w:r>
      <w:r w:rsidR="002C7726" w:rsidRPr="00C93934">
        <w:rPr>
          <w:b/>
        </w:rPr>
        <w:t xml:space="preserve">eport of </w:t>
      </w:r>
      <w:r w:rsidR="00202FBF" w:rsidRPr="00C93934">
        <w:rPr>
          <w:b/>
        </w:rPr>
        <w:t>o</w:t>
      </w:r>
      <w:r w:rsidR="002C7726" w:rsidRPr="00C93934">
        <w:rPr>
          <w:b/>
        </w:rPr>
        <w:t>perations</w:t>
      </w:r>
      <w:r w:rsidR="0048561C" w:rsidRPr="00C93934">
        <w:rPr>
          <w:b/>
        </w:rPr>
        <w:t xml:space="preserve"> </w:t>
      </w:r>
    </w:p>
    <w:p w14:paraId="718E94CC" w14:textId="14BFD9A9" w:rsidR="007246C7" w:rsidRPr="00C52C4B" w:rsidRDefault="00347FA2" w:rsidP="00C52C4B">
      <w:pPr>
        <w:pStyle w:val="ListBullet"/>
        <w:numPr>
          <w:ilvl w:val="0"/>
          <w:numId w:val="82"/>
        </w:numPr>
        <w:rPr>
          <w:b/>
          <w:bCs/>
        </w:rPr>
      </w:pPr>
      <w:r>
        <w:rPr>
          <w:b/>
          <w:bCs/>
        </w:rPr>
        <w:t>Part two</w:t>
      </w:r>
      <w:r w:rsidR="00F839FC" w:rsidRPr="00C52C4B">
        <w:rPr>
          <w:b/>
          <w:bCs/>
        </w:rPr>
        <w:t xml:space="preserve"> </w:t>
      </w:r>
      <w:r w:rsidR="00CA7960" w:rsidRPr="00C52C4B">
        <w:rPr>
          <w:b/>
          <w:bCs/>
        </w:rPr>
        <w:t xml:space="preserve">– </w:t>
      </w:r>
      <w:r w:rsidR="002C7726" w:rsidRPr="00C52C4B">
        <w:rPr>
          <w:b/>
          <w:bCs/>
        </w:rPr>
        <w:t>Model financial statements</w:t>
      </w:r>
      <w:r w:rsidR="002C7726">
        <w:t xml:space="preserve"> </w:t>
      </w:r>
      <w:r w:rsidR="00A16A4B">
        <w:t>(</w:t>
      </w:r>
      <w:r w:rsidR="002C7726" w:rsidRPr="00CB686D">
        <w:t xml:space="preserve">including supplementary information for the third balance sheet </w:t>
      </w:r>
      <w:r w:rsidR="00491BA2" w:rsidRPr="00CB686D">
        <w:t xml:space="preserve">– refer to </w:t>
      </w:r>
      <w:r w:rsidR="00811276" w:rsidRPr="00CB686D">
        <w:t xml:space="preserve">guidance in </w:t>
      </w:r>
      <w:r w:rsidR="00491BA2" w:rsidRPr="00CB686D">
        <w:t>Note 9.6</w:t>
      </w:r>
      <w:r w:rsidR="002C7726">
        <w:t>)</w:t>
      </w:r>
    </w:p>
    <w:p w14:paraId="24FD9E5C" w14:textId="4D5447CF" w:rsidR="007246C7" w:rsidRDefault="00347FA2" w:rsidP="007246C7">
      <w:pPr>
        <w:pStyle w:val="ListBullet"/>
        <w:rPr>
          <w:b/>
          <w:bCs/>
        </w:rPr>
      </w:pPr>
      <w:r>
        <w:rPr>
          <w:b/>
          <w:bCs/>
        </w:rPr>
        <w:t>Part three</w:t>
      </w:r>
      <w:r w:rsidR="00634C49" w:rsidRPr="007246C7">
        <w:rPr>
          <w:b/>
          <w:bCs/>
        </w:rPr>
        <w:t xml:space="preserve"> </w:t>
      </w:r>
      <w:r w:rsidR="007246C7" w:rsidRPr="007246C7">
        <w:rPr>
          <w:b/>
          <w:bCs/>
        </w:rPr>
        <w:t xml:space="preserve">– </w:t>
      </w:r>
      <w:r w:rsidR="002C7726" w:rsidRPr="007246C7">
        <w:rPr>
          <w:b/>
          <w:bCs/>
        </w:rPr>
        <w:t>Guidance</w:t>
      </w:r>
      <w:r w:rsidR="002C7726" w:rsidRPr="004B12D1">
        <w:t xml:space="preserve"> </w:t>
      </w:r>
    </w:p>
    <w:p w14:paraId="0775620C" w14:textId="320B996B" w:rsidR="002C7726" w:rsidRDefault="002C7726" w:rsidP="00052D9B">
      <w:pPr>
        <w:pStyle w:val="ListBullet2"/>
      </w:pPr>
      <w:r>
        <w:t xml:space="preserve">Guidance – General and specific disclosure requirements, including presentation; and </w:t>
      </w:r>
    </w:p>
    <w:p w14:paraId="303B3F18" w14:textId="77777777" w:rsidR="007246C7" w:rsidRDefault="002C7726" w:rsidP="007246C7">
      <w:pPr>
        <w:pStyle w:val="ListBullet"/>
        <w:rPr>
          <w:b/>
          <w:bCs/>
        </w:rPr>
      </w:pPr>
      <w:bookmarkStart w:id="50" w:name="_Hlk129774334"/>
      <w:r w:rsidRPr="004B12D1">
        <w:rPr>
          <w:b/>
          <w:bCs/>
        </w:rPr>
        <w:t>Appendices</w:t>
      </w:r>
    </w:p>
    <w:p w14:paraId="2B709547" w14:textId="1A651770" w:rsidR="007246C7" w:rsidRDefault="002C7726" w:rsidP="00052D9B">
      <w:pPr>
        <w:pStyle w:val="ListBullet2"/>
      </w:pPr>
      <w:r w:rsidRPr="00310F12">
        <w:t>Appendix 1 – Budgetary reporting: Explanation of material variances between budget and actual outcomes</w:t>
      </w:r>
    </w:p>
    <w:p w14:paraId="0B979CE7" w14:textId="797D9585" w:rsidR="002C7726" w:rsidRDefault="002C7726" w:rsidP="00052D9B">
      <w:pPr>
        <w:pStyle w:val="ListBullet2"/>
      </w:pPr>
      <w:r w:rsidRPr="00310F12">
        <w:t xml:space="preserve">Appendix </w:t>
      </w:r>
      <w:r w:rsidR="00310F12" w:rsidRPr="00310F12">
        <w:t>2</w:t>
      </w:r>
      <w:r w:rsidR="2A8AD5D0">
        <w:t xml:space="preserve"> </w:t>
      </w:r>
      <w:r w:rsidRPr="00310F12">
        <w:t>– Index of accounting guidance and checklists on the DTF webpage.</w:t>
      </w:r>
    </w:p>
    <w:bookmarkEnd w:id="50"/>
    <w:p w14:paraId="526B13A6" w14:textId="02BC7EE6" w:rsidR="002C7726" w:rsidRDefault="002C7726" w:rsidP="002C7726">
      <w:r>
        <w:t xml:space="preserve">Departments are expected to use the </w:t>
      </w:r>
      <w:r w:rsidRPr="001A0FEE">
        <w:t>Model report of operations</w:t>
      </w:r>
      <w:r>
        <w:t xml:space="preserve"> as a guide to</w:t>
      </w:r>
      <w:r w:rsidR="0032746F">
        <w:t xml:space="preserve"> show the</w:t>
      </w:r>
      <w:r>
        <w:t xml:space="preserve"> minimum disclosure requirement</w:t>
      </w:r>
      <w:r w:rsidR="0032746F">
        <w:t>s</w:t>
      </w:r>
      <w:r>
        <w:t xml:space="preserve"> in preparing their year in review. </w:t>
      </w:r>
    </w:p>
    <w:p w14:paraId="70DD96F3" w14:textId="77777777" w:rsidR="002C7726" w:rsidRDefault="002C7726" w:rsidP="002C7726">
      <w:r>
        <w:t xml:space="preserve">With regard to the Model financial statements, </w:t>
      </w:r>
      <w:r w:rsidRPr="004B12D1">
        <w:rPr>
          <w:b/>
          <w:bCs/>
        </w:rPr>
        <w:t>departments are required</w:t>
      </w:r>
      <w:r>
        <w:t xml:space="preserve"> to present their financial statements and notes in the same manner and format as shown in the Model financial statements.</w:t>
      </w:r>
    </w:p>
    <w:p w14:paraId="7FF4EBB3" w14:textId="6A6C05A1" w:rsidR="002C7726" w:rsidRDefault="002C7726" w:rsidP="002C7726">
      <w:r>
        <w:t xml:space="preserve">The Model has been prepared in </w:t>
      </w:r>
      <w:r w:rsidRPr="004D4886">
        <w:t xml:space="preserve">accordance with the FMA and has been updated incorporating the latest applicable requirements of AASs and FRDs that were available as at </w:t>
      </w:r>
      <w:r w:rsidR="004D4886" w:rsidRPr="004D4886">
        <w:t>28 February</w:t>
      </w:r>
      <w:r w:rsidRPr="00811377">
        <w:t xml:space="preserve"> </w:t>
      </w:r>
      <w:r w:rsidR="00FF456A">
        <w:t>(in the current reporting period)</w:t>
      </w:r>
      <w:r>
        <w:t xml:space="preserve">. </w:t>
      </w:r>
    </w:p>
    <w:p w14:paraId="720322F1" w14:textId="68A6016E" w:rsidR="002C7726" w:rsidRDefault="002C7726" w:rsidP="002C7726">
      <w:r>
        <w:t xml:space="preserve">The Model focuses on illustrating disclosure requirements for departments for usual disclosures. Therefore, the Model may not cover </w:t>
      </w:r>
      <w:r w:rsidR="007F1F9D">
        <w:t>transactions that are non-routine</w:t>
      </w:r>
      <w:r w:rsidR="00D12188">
        <w:t xml:space="preserve"> in nature</w:t>
      </w:r>
      <w:r w:rsidR="00AB20D9">
        <w:t xml:space="preserve"> or</w:t>
      </w:r>
      <w:r w:rsidR="00B85C8A">
        <w:t xml:space="preserve"> </w:t>
      </w:r>
      <w:r>
        <w:t xml:space="preserve">all </w:t>
      </w:r>
      <w:r w:rsidR="0057358F">
        <w:t>th</w:t>
      </w:r>
      <w:r w:rsidR="00D55430">
        <w:t>e</w:t>
      </w:r>
      <w:r>
        <w:t xml:space="preserve"> disclosure requirements that might be applicable to non-departmental entities. In particular</w:t>
      </w:r>
      <w:r w:rsidR="0097040C">
        <w:t>,</w:t>
      </w:r>
      <w:r>
        <w:t xml:space="preserve"> it </w:t>
      </w:r>
      <w:r w:rsidRPr="003F7856">
        <w:rPr>
          <w:b/>
          <w:bCs/>
        </w:rPr>
        <w:t>does not</w:t>
      </w:r>
      <w:r>
        <w:t xml:space="preserve"> illustrate income tax equivalent entries applicable to entities in the National Tax Equivalent Regime.</w:t>
      </w:r>
    </w:p>
    <w:p w14:paraId="25C3ADBC" w14:textId="3EFE1683" w:rsidR="00310F12" w:rsidRDefault="00310F12" w:rsidP="00310F12">
      <w:bookmarkStart w:id="51" w:name="_Hlk129773895"/>
      <w:r>
        <w:t>The Model financial statements do not and cannot be expected to cover all situations that may be encountered in practice.</w:t>
      </w:r>
    </w:p>
    <w:p w14:paraId="3870F77B" w14:textId="77777777" w:rsidR="00310F12" w:rsidRDefault="00310F12" w:rsidP="002C7726"/>
    <w:bookmarkEnd w:id="51"/>
    <w:p w14:paraId="7D606D8F" w14:textId="133CCA7C" w:rsidR="002C7726" w:rsidRDefault="002C7726" w:rsidP="002C7726"/>
    <w:p w14:paraId="55F4C09C" w14:textId="676C129C" w:rsidR="002E3231" w:rsidRDefault="002E3231">
      <w:pPr>
        <w:keepLines w:val="0"/>
        <w:rPr>
          <w:rFonts w:asciiTheme="majorHAnsi" w:eastAsiaTheme="majorEastAsia" w:hAnsiTheme="majorHAnsi" w:cstheme="majorBidi"/>
          <w:b/>
          <w:sz w:val="26"/>
          <w:szCs w:val="26"/>
        </w:rPr>
      </w:pPr>
      <w:r>
        <w:br w:type="page"/>
      </w:r>
    </w:p>
    <w:p w14:paraId="77580A72" w14:textId="347A6155" w:rsidR="002C7726" w:rsidRDefault="002C7726" w:rsidP="004B12D1">
      <w:pPr>
        <w:pStyle w:val="Heading2"/>
      </w:pPr>
      <w:bookmarkStart w:id="52" w:name="_Toc129260761"/>
      <w:bookmarkStart w:id="53" w:name="_Toc174972168"/>
      <w:bookmarkStart w:id="54" w:name="_Toc199156257"/>
      <w:bookmarkStart w:id="55" w:name="_Toc199167711"/>
      <w:r>
        <w:lastRenderedPageBreak/>
        <w:t>Source references</w:t>
      </w:r>
      <w:bookmarkEnd w:id="52"/>
      <w:bookmarkEnd w:id="53"/>
      <w:bookmarkEnd w:id="54"/>
      <w:bookmarkEnd w:id="55"/>
    </w:p>
    <w:p w14:paraId="0795AF3A" w14:textId="6DB22B35" w:rsidR="002C7726" w:rsidRDefault="002C7726" w:rsidP="002C7726">
      <w:r w:rsidRPr="008804C5">
        <w:t xml:space="preserve">References to the relevant requirements are provided in </w:t>
      </w:r>
      <w:r w:rsidR="008804C5" w:rsidRPr="008804C5">
        <w:t xml:space="preserve">the headings and body text </w:t>
      </w:r>
      <w:r w:rsidRPr="008804C5">
        <w:t>of this Model</w:t>
      </w:r>
      <w:r w:rsidR="008804C5">
        <w:t xml:space="preserve"> and are noted in red</w:t>
      </w:r>
      <w:r>
        <w:t xml:space="preserve">. If further clarity is </w:t>
      </w:r>
      <w:r w:rsidR="00913FA5">
        <w:t>needed</w:t>
      </w:r>
      <w:r>
        <w:t xml:space="preserve">, </w:t>
      </w:r>
      <w:r w:rsidR="00366075">
        <w:t xml:space="preserve">entities should refer to </w:t>
      </w:r>
      <w:r>
        <w:t xml:space="preserve">the source of the disclosure requirement. </w:t>
      </w:r>
    </w:p>
    <w:p w14:paraId="147008A2" w14:textId="74A627BD" w:rsidR="002C7726" w:rsidRDefault="002C7726" w:rsidP="002C7726">
      <w:r>
        <w:t xml:space="preserve">The current Model also uses </w:t>
      </w:r>
      <w:r w:rsidRPr="00A03D0D">
        <w:t>‘</w:t>
      </w:r>
      <w:r w:rsidR="00B24602" w:rsidRPr="00877FE5">
        <w:rPr>
          <w:rStyle w:val="Reference-New"/>
          <w:color w:val="538135" w:themeColor="accent6" w:themeShade="BF"/>
        </w:rPr>
        <w:t>[</w:t>
      </w:r>
      <w:r w:rsidR="0001145B" w:rsidRPr="00877FE5">
        <w:rPr>
          <w:rStyle w:val="Reference-New"/>
          <w:color w:val="538135" w:themeColor="accent6" w:themeShade="BF"/>
        </w:rPr>
        <w:t>NEW</w:t>
      </w:r>
      <w:r w:rsidR="00B24602" w:rsidRPr="00877FE5">
        <w:rPr>
          <w:rStyle w:val="Reference-New"/>
          <w:color w:val="538135" w:themeColor="accent6" w:themeShade="BF"/>
        </w:rPr>
        <w:t>]</w:t>
      </w:r>
      <w:r w:rsidRPr="00A03D0D">
        <w:t>’ or ‘</w:t>
      </w:r>
      <w:r w:rsidR="00B24602" w:rsidRPr="008804C5">
        <w:rPr>
          <w:rStyle w:val="Reference-Revised"/>
        </w:rPr>
        <w:t>[</w:t>
      </w:r>
      <w:r w:rsidR="0001145B" w:rsidRPr="008804C5">
        <w:rPr>
          <w:rStyle w:val="Reference-Revised"/>
        </w:rPr>
        <w:t>REVISED</w:t>
      </w:r>
      <w:r w:rsidR="00B24602" w:rsidRPr="00B24602">
        <w:rPr>
          <w:rStyle w:val="Reference-Revised"/>
        </w:rPr>
        <w:t>]</w:t>
      </w:r>
      <w:r w:rsidR="0001145B" w:rsidRPr="00A03D0D">
        <w:t xml:space="preserve">’ </w:t>
      </w:r>
      <w:r>
        <w:t>to indicate where changes have occurred since the previous edition of the Model. Abbreviations used in the Model are as follows:</w:t>
      </w:r>
    </w:p>
    <w:tbl>
      <w:tblPr>
        <w:tblStyle w:val="DTFTextTable"/>
        <w:tblW w:w="0" w:type="auto"/>
        <w:tblLook w:val="0620" w:firstRow="1" w:lastRow="0" w:firstColumn="0" w:lastColumn="0" w:noHBand="1" w:noVBand="1"/>
      </w:tblPr>
      <w:tblGrid>
        <w:gridCol w:w="1418"/>
        <w:gridCol w:w="8210"/>
      </w:tblGrid>
      <w:tr w:rsidR="00F92C2D" w:rsidRPr="00F92C2D" w14:paraId="37A2C6D5" w14:textId="77777777" w:rsidTr="00F92C2D">
        <w:trPr>
          <w:cnfStyle w:val="100000000000" w:firstRow="1" w:lastRow="0" w:firstColumn="0" w:lastColumn="0" w:oddVBand="0" w:evenVBand="0" w:oddHBand="0" w:evenHBand="0" w:firstRowFirstColumn="0" w:firstRowLastColumn="0" w:lastRowFirstColumn="0" w:lastRowLastColumn="0"/>
        </w:trPr>
        <w:tc>
          <w:tcPr>
            <w:tcW w:w="1418" w:type="dxa"/>
          </w:tcPr>
          <w:p w14:paraId="2DB6008B" w14:textId="77777777" w:rsidR="00F92C2D" w:rsidRPr="00F92C2D" w:rsidRDefault="00F92C2D" w:rsidP="003D52D7">
            <w:r w:rsidRPr="00F92C2D">
              <w:t xml:space="preserve">Reference </w:t>
            </w:r>
          </w:p>
        </w:tc>
        <w:tc>
          <w:tcPr>
            <w:tcW w:w="8210" w:type="dxa"/>
          </w:tcPr>
          <w:p w14:paraId="3A3FAB7E" w14:textId="77777777" w:rsidR="00F92C2D" w:rsidRPr="00F92C2D" w:rsidRDefault="00F92C2D" w:rsidP="003D52D7">
            <w:r w:rsidRPr="00F92C2D">
              <w:t>Title</w:t>
            </w:r>
          </w:p>
        </w:tc>
      </w:tr>
      <w:tr w:rsidR="00F92C2D" w:rsidRPr="00F92C2D" w14:paraId="4BDA7336" w14:textId="77777777" w:rsidTr="00F92C2D">
        <w:tc>
          <w:tcPr>
            <w:tcW w:w="1418" w:type="dxa"/>
          </w:tcPr>
          <w:p w14:paraId="7AB2ACD9" w14:textId="77777777" w:rsidR="00F92C2D" w:rsidRPr="00F92C2D" w:rsidRDefault="00F92C2D" w:rsidP="003D52D7">
            <w:r w:rsidRPr="00F92C2D">
              <w:t xml:space="preserve">AASB </w:t>
            </w:r>
          </w:p>
        </w:tc>
        <w:tc>
          <w:tcPr>
            <w:tcW w:w="8210" w:type="dxa"/>
          </w:tcPr>
          <w:p w14:paraId="339DE802" w14:textId="77777777" w:rsidR="00F92C2D" w:rsidRPr="00F92C2D" w:rsidRDefault="00F92C2D" w:rsidP="003D52D7">
            <w:r w:rsidRPr="00F92C2D">
              <w:t>Australian Accounting Standards Board</w:t>
            </w:r>
          </w:p>
        </w:tc>
      </w:tr>
      <w:tr w:rsidR="00F92C2D" w:rsidRPr="00F92C2D" w14:paraId="31D11901" w14:textId="77777777" w:rsidTr="00F92C2D">
        <w:tc>
          <w:tcPr>
            <w:tcW w:w="1418" w:type="dxa"/>
          </w:tcPr>
          <w:p w14:paraId="1682BA55" w14:textId="77777777" w:rsidR="00F92C2D" w:rsidRPr="00F92C2D" w:rsidRDefault="00F92C2D" w:rsidP="003D52D7">
            <w:r w:rsidRPr="00F92C2D">
              <w:t>AASs</w:t>
            </w:r>
          </w:p>
        </w:tc>
        <w:tc>
          <w:tcPr>
            <w:tcW w:w="8210" w:type="dxa"/>
          </w:tcPr>
          <w:p w14:paraId="30330EF2" w14:textId="462E0117" w:rsidR="00F92C2D" w:rsidRPr="00F92C2D" w:rsidRDefault="00F92C2D" w:rsidP="003D52D7">
            <w:r w:rsidRPr="00F92C2D">
              <w:t>Australian Accounting Standards, includ</w:t>
            </w:r>
            <w:r w:rsidR="002A103A">
              <w:t>ing</w:t>
            </w:r>
            <w:r w:rsidRPr="00F92C2D">
              <w:t xml:space="preserve"> Interpretations</w:t>
            </w:r>
          </w:p>
        </w:tc>
      </w:tr>
      <w:tr w:rsidR="00F92C2D" w:rsidRPr="00F92C2D" w14:paraId="5A592DFB" w14:textId="77777777" w:rsidTr="00F92C2D">
        <w:tc>
          <w:tcPr>
            <w:tcW w:w="1418" w:type="dxa"/>
          </w:tcPr>
          <w:p w14:paraId="3DB912F4" w14:textId="533E3360" w:rsidR="00F92C2D" w:rsidRPr="00F92C2D" w:rsidRDefault="00F92C2D" w:rsidP="003D52D7">
            <w:r w:rsidRPr="00F92C2D">
              <w:t>DoT</w:t>
            </w:r>
          </w:p>
        </w:tc>
        <w:tc>
          <w:tcPr>
            <w:tcW w:w="8210" w:type="dxa"/>
          </w:tcPr>
          <w:p w14:paraId="00190172" w14:textId="2F8D7D88" w:rsidR="00F92C2D" w:rsidRPr="00F92C2D" w:rsidRDefault="00F92C2D" w:rsidP="003D52D7">
            <w:r w:rsidRPr="00F92C2D">
              <w:t>Department of Technology (</w:t>
            </w:r>
            <w:r w:rsidR="008D321C">
              <w:t xml:space="preserve">a </w:t>
            </w:r>
            <w:r w:rsidRPr="00F92C2D">
              <w:t>fictitious department)</w:t>
            </w:r>
          </w:p>
        </w:tc>
      </w:tr>
      <w:tr w:rsidR="00F92C2D" w:rsidRPr="00F92C2D" w14:paraId="10AE176B" w14:textId="77777777" w:rsidTr="00F92C2D">
        <w:tc>
          <w:tcPr>
            <w:tcW w:w="1418" w:type="dxa"/>
          </w:tcPr>
          <w:p w14:paraId="2A45DF89" w14:textId="77777777" w:rsidR="00F92C2D" w:rsidRPr="00F92C2D" w:rsidRDefault="00F92C2D" w:rsidP="003D52D7">
            <w:r w:rsidRPr="00F92C2D">
              <w:t>FRD</w:t>
            </w:r>
          </w:p>
        </w:tc>
        <w:tc>
          <w:tcPr>
            <w:tcW w:w="8210" w:type="dxa"/>
          </w:tcPr>
          <w:p w14:paraId="559D5AB8" w14:textId="77777777" w:rsidR="00F92C2D" w:rsidRPr="00F92C2D" w:rsidRDefault="00F92C2D" w:rsidP="003D52D7">
            <w:r w:rsidRPr="00F92C2D">
              <w:t>Financial Reporting Direction</w:t>
            </w:r>
          </w:p>
        </w:tc>
      </w:tr>
      <w:tr w:rsidR="00F92C2D" w:rsidRPr="00F92C2D" w14:paraId="6FDF2959" w14:textId="77777777" w:rsidTr="00F92C2D">
        <w:tc>
          <w:tcPr>
            <w:tcW w:w="1418" w:type="dxa"/>
          </w:tcPr>
          <w:p w14:paraId="01C51DCB" w14:textId="77777777" w:rsidR="00F92C2D" w:rsidRPr="00F92C2D" w:rsidRDefault="00F92C2D" w:rsidP="003D52D7">
            <w:r w:rsidRPr="00F92C2D">
              <w:t>SD</w:t>
            </w:r>
          </w:p>
        </w:tc>
        <w:tc>
          <w:tcPr>
            <w:tcW w:w="8210" w:type="dxa"/>
          </w:tcPr>
          <w:p w14:paraId="0214B7E3" w14:textId="77777777" w:rsidR="00F92C2D" w:rsidRPr="00F92C2D" w:rsidRDefault="00F92C2D" w:rsidP="003D52D7">
            <w:r w:rsidRPr="00F92C2D">
              <w:t>Standing Direction</w:t>
            </w:r>
          </w:p>
        </w:tc>
      </w:tr>
    </w:tbl>
    <w:p w14:paraId="429A65A8" w14:textId="2F7BA0D9" w:rsidR="0041623D" w:rsidRDefault="0041623D" w:rsidP="004D56F1">
      <w:bookmarkStart w:id="56" w:name="_Toc129260762"/>
      <w:bookmarkStart w:id="57" w:name="_Toc174972169"/>
      <w:r>
        <w:t xml:space="preserve">In line with recent </w:t>
      </w:r>
      <w:r w:rsidR="00B709D3">
        <w:t>changes</w:t>
      </w:r>
      <w:r>
        <w:t xml:space="preserve"> to </w:t>
      </w:r>
      <w:r w:rsidR="00F53F2D">
        <w:t xml:space="preserve">the </w:t>
      </w:r>
      <w:r>
        <w:t xml:space="preserve">PAEC website, </w:t>
      </w:r>
      <w:r w:rsidR="003A290F">
        <w:t xml:space="preserve">all </w:t>
      </w:r>
      <w:r w:rsidR="00CC61CB">
        <w:t xml:space="preserve">references </w:t>
      </w:r>
      <w:r w:rsidR="008C7591">
        <w:t xml:space="preserve">to the PAEC reports </w:t>
      </w:r>
      <w:r w:rsidR="00CC61CB">
        <w:t xml:space="preserve">in this Model have been updated </w:t>
      </w:r>
      <w:r w:rsidR="005B0D26">
        <w:t xml:space="preserve">(i.e. previous references to the PAEC report number </w:t>
      </w:r>
      <w:r w:rsidR="00633A33">
        <w:t>have</w:t>
      </w:r>
      <w:r w:rsidR="005B0D26">
        <w:t xml:space="preserve"> been updated to</w:t>
      </w:r>
      <w:r w:rsidR="00FB672C">
        <w:t xml:space="preserve"> </w:t>
      </w:r>
      <w:r w:rsidR="00C921F7">
        <w:t xml:space="preserve">reflect </w:t>
      </w:r>
      <w:r w:rsidR="00FB672C">
        <w:t xml:space="preserve">the </w:t>
      </w:r>
      <w:r w:rsidR="00C921F7">
        <w:t xml:space="preserve">actual </w:t>
      </w:r>
      <w:r w:rsidR="00FB672C">
        <w:t>name of the PAEC report</w:t>
      </w:r>
      <w:r w:rsidR="005B0D26">
        <w:t>)</w:t>
      </w:r>
      <w:r w:rsidR="00FC1C2B">
        <w:t xml:space="preserve"> to aid easy location of the relevant reports</w:t>
      </w:r>
      <w:r w:rsidR="002C3E4D">
        <w:t xml:space="preserve"> on the PAEC website</w:t>
      </w:r>
      <w:r w:rsidR="00D60EFA">
        <w:t>.</w:t>
      </w:r>
    </w:p>
    <w:p w14:paraId="7F64FCCE" w14:textId="7DF88886" w:rsidR="002C7726" w:rsidRDefault="002C7726" w:rsidP="00F92C2D">
      <w:pPr>
        <w:pStyle w:val="Heading2"/>
      </w:pPr>
      <w:bookmarkStart w:id="58" w:name="_Toc199156258"/>
      <w:bookmarkStart w:id="59" w:name="_Toc199167712"/>
      <w:r>
        <w:t>The design and printing of annual reports</w:t>
      </w:r>
      <w:bookmarkEnd w:id="56"/>
      <w:bookmarkEnd w:id="57"/>
      <w:bookmarkEnd w:id="58"/>
      <w:bookmarkEnd w:id="59"/>
    </w:p>
    <w:p w14:paraId="60436AA9" w14:textId="482341BE" w:rsidR="002C7726" w:rsidRDefault="002C7726" w:rsidP="002C7726">
      <w:r>
        <w:t xml:space="preserve">FRD </w:t>
      </w:r>
      <w:r w:rsidR="00D023FB">
        <w:t>30 provides</w:t>
      </w:r>
      <w:r w:rsidR="0056087A">
        <w:t xml:space="preserve"> information on the</w:t>
      </w:r>
      <w:r>
        <w:t xml:space="preserve"> design, layout</w:t>
      </w:r>
      <w:r w:rsidR="0097040C">
        <w:t xml:space="preserve">, accessibility requirements, digital first principles </w:t>
      </w:r>
      <w:r>
        <w:t>and printing of annual reports</w:t>
      </w:r>
      <w:r w:rsidR="0056087A">
        <w:t xml:space="preserve">. It also </w:t>
      </w:r>
      <w:r>
        <w:t>prescribes specification requirements for the design of annual reports, use of colour and images, standard sizing, paper stocks and other publishing requirements.</w:t>
      </w:r>
    </w:p>
    <w:p w14:paraId="155FD11B" w14:textId="77777777" w:rsidR="002C7726" w:rsidRDefault="002C7726" w:rsidP="002C7726">
      <w:r>
        <w:t xml:space="preserve">The purpose of this FRD is to reduce the costs of annual reports for public sector entities, reduce the environmental impact of producing annual reports – both in terms of the type of stock used and elements of the process to make them recyclable – and to ensure a more consistent approach in the way public sector annual reports are presented. </w:t>
      </w:r>
    </w:p>
    <w:p w14:paraId="17E5A804" w14:textId="37D8A9C9" w:rsidR="002C7726" w:rsidRDefault="002C7726" w:rsidP="002C7726">
      <w:r>
        <w:t xml:space="preserve">All departments and government agencies defined as public bodies must comply with the requirements of this FRD. </w:t>
      </w:r>
    </w:p>
    <w:bookmarkEnd w:id="8"/>
    <w:p w14:paraId="4F08A5C2" w14:textId="77777777" w:rsidR="00883A90" w:rsidRDefault="00883A90" w:rsidP="002C7726"/>
    <w:p w14:paraId="3E8E6334" w14:textId="77777777" w:rsidR="003C0AEA" w:rsidRDefault="003C0AEA" w:rsidP="002C7726">
      <w:pPr>
        <w:sectPr w:rsidR="003C0AEA" w:rsidSect="00BB1612">
          <w:footerReference w:type="first" r:id="rId38"/>
          <w:pgSz w:w="11906" w:h="16838" w:code="9"/>
          <w:pgMar w:top="1134" w:right="1134" w:bottom="1134" w:left="1134" w:header="624" w:footer="567" w:gutter="0"/>
          <w:pgNumType w:start="1"/>
          <w:cols w:space="708"/>
          <w:titlePg/>
          <w:docGrid w:linePitch="360"/>
        </w:sectPr>
      </w:pPr>
    </w:p>
    <w:p w14:paraId="776CC10E" w14:textId="580E5E14" w:rsidR="003229C5" w:rsidRPr="00F6022B" w:rsidRDefault="00F6022B" w:rsidP="009554BC">
      <w:pPr>
        <w:pStyle w:val="SectionTitle"/>
      </w:pPr>
      <w:bookmarkStart w:id="60" w:name="_Toc66196253"/>
      <w:bookmarkStart w:id="61" w:name="_Toc174976936"/>
      <w:bookmarkStart w:id="62" w:name="_Toc191627491"/>
      <w:bookmarkStart w:id="63" w:name="_Toc199156259"/>
      <w:bookmarkStart w:id="64" w:name="_Toc199156549"/>
      <w:bookmarkStart w:id="65" w:name="ModelReport"/>
      <w:r w:rsidRPr="00F6022B">
        <w:lastRenderedPageBreak/>
        <w:t xml:space="preserve">Department of Technology – </w:t>
      </w:r>
      <w:r w:rsidR="00CF1264">
        <w:br/>
      </w:r>
      <w:r w:rsidRPr="00F6022B">
        <w:t>Model Report of Operations</w:t>
      </w:r>
      <w:bookmarkEnd w:id="60"/>
      <w:bookmarkEnd w:id="61"/>
      <w:bookmarkEnd w:id="62"/>
      <w:bookmarkEnd w:id="63"/>
      <w:bookmarkEnd w:id="64"/>
    </w:p>
    <w:p w14:paraId="22373FF5" w14:textId="5857F2D1" w:rsidR="003229C5" w:rsidRPr="00A602E2" w:rsidRDefault="003229C5" w:rsidP="00A602E2">
      <w:pPr>
        <w:pStyle w:val="Heading2"/>
      </w:pPr>
      <w:bookmarkStart w:id="66" w:name="_Toc199156260"/>
      <w:r w:rsidRPr="00A602E2">
        <w:t>Contents</w:t>
      </w:r>
      <w:bookmarkEnd w:id="66"/>
    </w:p>
    <w:p w14:paraId="316352DF" w14:textId="22F43EA9" w:rsidR="0067533F" w:rsidRDefault="00CF1264" w:rsidP="006D3822">
      <w:pPr>
        <w:pStyle w:val="TOC2"/>
        <w:rPr>
          <w:rFonts w:eastAsiaTheme="minorEastAsia"/>
          <w:noProof/>
          <w:sz w:val="22"/>
          <w:szCs w:val="22"/>
          <w:lang w:eastAsia="en-AU"/>
        </w:rPr>
      </w:pPr>
      <w:r>
        <w:rPr>
          <w:b/>
          <w:noProof/>
        </w:rPr>
        <w:fldChar w:fldCharType="begin"/>
      </w:r>
      <w:r>
        <w:rPr>
          <w:b/>
          <w:noProof/>
        </w:rPr>
        <w:instrText xml:space="preserve"> TOC \o "2-2" \h \z \t "Section Title,2" \b ReportOfOperationsIntroduction </w:instrText>
      </w:r>
      <w:r>
        <w:rPr>
          <w:b/>
          <w:noProof/>
        </w:rPr>
        <w:fldChar w:fldCharType="separate"/>
      </w:r>
      <w:hyperlink w:anchor="_Toc130288129" w:history="1">
        <w:r w:rsidR="0067533F" w:rsidRPr="00EF7D42">
          <w:rPr>
            <w:rStyle w:val="Hyperlink"/>
            <w:noProof/>
          </w:rPr>
          <w:t>About the Model report of operations</w:t>
        </w:r>
        <w:r w:rsidR="0067533F">
          <w:rPr>
            <w:noProof/>
            <w:webHidden/>
          </w:rPr>
          <w:tab/>
        </w:r>
        <w:r w:rsidR="0067533F">
          <w:rPr>
            <w:noProof/>
            <w:webHidden/>
          </w:rPr>
          <w:fldChar w:fldCharType="begin"/>
        </w:r>
        <w:r w:rsidR="0067533F">
          <w:rPr>
            <w:noProof/>
            <w:webHidden/>
          </w:rPr>
          <w:instrText xml:space="preserve"> PAGEREF _Toc130288129 \h </w:instrText>
        </w:r>
        <w:r w:rsidR="0067533F">
          <w:rPr>
            <w:noProof/>
            <w:webHidden/>
          </w:rPr>
        </w:r>
        <w:r w:rsidR="0067533F">
          <w:rPr>
            <w:noProof/>
            <w:webHidden/>
          </w:rPr>
          <w:fldChar w:fldCharType="separate"/>
        </w:r>
        <w:r w:rsidR="00BE612E">
          <w:rPr>
            <w:noProof/>
            <w:webHidden/>
          </w:rPr>
          <w:t>9</w:t>
        </w:r>
        <w:r w:rsidR="0067533F">
          <w:rPr>
            <w:noProof/>
            <w:webHidden/>
          </w:rPr>
          <w:fldChar w:fldCharType="end"/>
        </w:r>
      </w:hyperlink>
    </w:p>
    <w:p w14:paraId="4A6EFA2C" w14:textId="2289D764" w:rsidR="0067533F" w:rsidRDefault="0067533F" w:rsidP="006D3822">
      <w:pPr>
        <w:pStyle w:val="TOC2"/>
        <w:rPr>
          <w:rFonts w:eastAsiaTheme="minorEastAsia"/>
          <w:noProof/>
          <w:sz w:val="22"/>
          <w:szCs w:val="22"/>
          <w:lang w:eastAsia="en-AU"/>
        </w:rPr>
      </w:pPr>
      <w:hyperlink w:anchor="_Toc130288130" w:history="1">
        <w:r w:rsidRPr="00EF7D42">
          <w:rPr>
            <w:rStyle w:val="Hyperlink"/>
            <w:noProof/>
          </w:rPr>
          <w:t>Presentation of report of operations</w:t>
        </w:r>
        <w:r>
          <w:rPr>
            <w:noProof/>
            <w:webHidden/>
          </w:rPr>
          <w:tab/>
        </w:r>
        <w:r>
          <w:rPr>
            <w:noProof/>
            <w:webHidden/>
          </w:rPr>
          <w:fldChar w:fldCharType="begin"/>
        </w:r>
        <w:r>
          <w:rPr>
            <w:noProof/>
            <w:webHidden/>
          </w:rPr>
          <w:instrText xml:space="preserve"> PAGEREF _Toc130288130 \h </w:instrText>
        </w:r>
        <w:r>
          <w:rPr>
            <w:noProof/>
            <w:webHidden/>
          </w:rPr>
        </w:r>
        <w:r>
          <w:rPr>
            <w:noProof/>
            <w:webHidden/>
          </w:rPr>
          <w:fldChar w:fldCharType="separate"/>
        </w:r>
        <w:r w:rsidR="00BE612E">
          <w:rPr>
            <w:noProof/>
            <w:webHidden/>
          </w:rPr>
          <w:t>9</w:t>
        </w:r>
        <w:r>
          <w:rPr>
            <w:noProof/>
            <w:webHidden/>
          </w:rPr>
          <w:fldChar w:fldCharType="end"/>
        </w:r>
      </w:hyperlink>
    </w:p>
    <w:p w14:paraId="1E803690" w14:textId="606A55FB" w:rsidR="0067533F" w:rsidRDefault="0067533F" w:rsidP="006D3822">
      <w:pPr>
        <w:pStyle w:val="TOC2"/>
        <w:rPr>
          <w:rFonts w:eastAsiaTheme="minorEastAsia"/>
          <w:noProof/>
          <w:sz w:val="22"/>
          <w:szCs w:val="22"/>
          <w:lang w:eastAsia="en-AU"/>
        </w:rPr>
      </w:pPr>
      <w:hyperlink w:anchor="_Toc130288131" w:history="1">
        <w:r w:rsidRPr="00EF7D42">
          <w:rPr>
            <w:rStyle w:val="Hyperlink"/>
            <w:noProof/>
          </w:rPr>
          <w:t>Contents of report of operations</w:t>
        </w:r>
        <w:r>
          <w:rPr>
            <w:noProof/>
            <w:webHidden/>
          </w:rPr>
          <w:tab/>
        </w:r>
        <w:r>
          <w:rPr>
            <w:noProof/>
            <w:webHidden/>
          </w:rPr>
          <w:fldChar w:fldCharType="begin"/>
        </w:r>
        <w:r>
          <w:rPr>
            <w:noProof/>
            <w:webHidden/>
          </w:rPr>
          <w:instrText xml:space="preserve"> PAGEREF _Toc130288131 \h </w:instrText>
        </w:r>
        <w:r>
          <w:rPr>
            <w:noProof/>
            <w:webHidden/>
          </w:rPr>
        </w:r>
        <w:r>
          <w:rPr>
            <w:noProof/>
            <w:webHidden/>
          </w:rPr>
          <w:fldChar w:fldCharType="separate"/>
        </w:r>
        <w:r w:rsidR="00BE612E">
          <w:rPr>
            <w:noProof/>
            <w:webHidden/>
          </w:rPr>
          <w:t>10</w:t>
        </w:r>
        <w:r>
          <w:rPr>
            <w:noProof/>
            <w:webHidden/>
          </w:rPr>
          <w:fldChar w:fldCharType="end"/>
        </w:r>
      </w:hyperlink>
    </w:p>
    <w:p w14:paraId="37B9FE37" w14:textId="1D66C085" w:rsidR="0067533F" w:rsidRDefault="0067533F" w:rsidP="006D3822">
      <w:pPr>
        <w:pStyle w:val="TOC2"/>
        <w:rPr>
          <w:rFonts w:eastAsiaTheme="minorEastAsia"/>
          <w:noProof/>
          <w:sz w:val="22"/>
          <w:szCs w:val="22"/>
          <w:lang w:eastAsia="en-AU"/>
        </w:rPr>
      </w:pPr>
      <w:hyperlink w:anchor="_Toc130288132" w:history="1">
        <w:r w:rsidRPr="00EF7D42">
          <w:rPr>
            <w:rStyle w:val="Hyperlink"/>
            <w:noProof/>
          </w:rPr>
          <w:t>Specific requirements under Standing Direction 5.2</w:t>
        </w:r>
        <w:r>
          <w:rPr>
            <w:noProof/>
            <w:webHidden/>
          </w:rPr>
          <w:tab/>
        </w:r>
        <w:r>
          <w:rPr>
            <w:noProof/>
            <w:webHidden/>
          </w:rPr>
          <w:fldChar w:fldCharType="begin"/>
        </w:r>
        <w:r>
          <w:rPr>
            <w:noProof/>
            <w:webHidden/>
          </w:rPr>
          <w:instrText xml:space="preserve"> PAGEREF _Toc130288132 \h </w:instrText>
        </w:r>
        <w:r>
          <w:rPr>
            <w:noProof/>
            <w:webHidden/>
          </w:rPr>
        </w:r>
        <w:r>
          <w:rPr>
            <w:noProof/>
            <w:webHidden/>
          </w:rPr>
          <w:fldChar w:fldCharType="separate"/>
        </w:r>
        <w:r w:rsidR="00BE612E">
          <w:rPr>
            <w:noProof/>
            <w:webHidden/>
          </w:rPr>
          <w:t>10</w:t>
        </w:r>
        <w:r>
          <w:rPr>
            <w:noProof/>
            <w:webHidden/>
          </w:rPr>
          <w:fldChar w:fldCharType="end"/>
        </w:r>
      </w:hyperlink>
    </w:p>
    <w:p w14:paraId="755A5DE4" w14:textId="03354DEF" w:rsidR="0067533F" w:rsidRDefault="0067533F" w:rsidP="006D3822">
      <w:pPr>
        <w:pStyle w:val="TOC2"/>
        <w:rPr>
          <w:rFonts w:eastAsiaTheme="minorEastAsia"/>
          <w:noProof/>
          <w:sz w:val="22"/>
          <w:szCs w:val="22"/>
          <w:lang w:eastAsia="en-AU"/>
        </w:rPr>
      </w:pPr>
      <w:hyperlink w:anchor="_Toc130288133" w:history="1">
        <w:r w:rsidRPr="00EF7D42">
          <w:rPr>
            <w:rStyle w:val="Hyperlink"/>
            <w:noProof/>
          </w:rPr>
          <w:t>Disclosure requirement – estimates presented as actual results</w:t>
        </w:r>
        <w:r>
          <w:rPr>
            <w:noProof/>
            <w:webHidden/>
          </w:rPr>
          <w:tab/>
        </w:r>
        <w:r>
          <w:rPr>
            <w:noProof/>
            <w:webHidden/>
          </w:rPr>
          <w:fldChar w:fldCharType="begin"/>
        </w:r>
        <w:r>
          <w:rPr>
            <w:noProof/>
            <w:webHidden/>
          </w:rPr>
          <w:instrText xml:space="preserve"> PAGEREF _Toc130288133 \h </w:instrText>
        </w:r>
        <w:r>
          <w:rPr>
            <w:noProof/>
            <w:webHidden/>
          </w:rPr>
        </w:r>
        <w:r>
          <w:rPr>
            <w:noProof/>
            <w:webHidden/>
          </w:rPr>
          <w:fldChar w:fldCharType="separate"/>
        </w:r>
        <w:r w:rsidR="00BE612E">
          <w:rPr>
            <w:noProof/>
            <w:webHidden/>
          </w:rPr>
          <w:t>10</w:t>
        </w:r>
        <w:r>
          <w:rPr>
            <w:noProof/>
            <w:webHidden/>
          </w:rPr>
          <w:fldChar w:fldCharType="end"/>
        </w:r>
      </w:hyperlink>
    </w:p>
    <w:p w14:paraId="26D0F2D5" w14:textId="01368253" w:rsidR="0067533F" w:rsidRDefault="0067533F" w:rsidP="006D3822">
      <w:pPr>
        <w:pStyle w:val="TOC2"/>
        <w:rPr>
          <w:rFonts w:eastAsiaTheme="minorEastAsia"/>
          <w:noProof/>
          <w:sz w:val="22"/>
          <w:szCs w:val="22"/>
          <w:lang w:eastAsia="en-AU"/>
        </w:rPr>
      </w:pPr>
      <w:hyperlink w:anchor="_Toc130288134" w:history="1">
        <w:r w:rsidRPr="00EF7D42">
          <w:rPr>
            <w:rStyle w:val="Hyperlink"/>
            <w:noProof/>
          </w:rPr>
          <w:t>Declaration in report of operations</w:t>
        </w:r>
        <w:r>
          <w:rPr>
            <w:noProof/>
            <w:webHidden/>
          </w:rPr>
          <w:tab/>
        </w:r>
        <w:r>
          <w:rPr>
            <w:noProof/>
            <w:webHidden/>
          </w:rPr>
          <w:fldChar w:fldCharType="begin"/>
        </w:r>
        <w:r>
          <w:rPr>
            <w:noProof/>
            <w:webHidden/>
          </w:rPr>
          <w:instrText xml:space="preserve"> PAGEREF _Toc130288134 \h </w:instrText>
        </w:r>
        <w:r>
          <w:rPr>
            <w:noProof/>
            <w:webHidden/>
          </w:rPr>
        </w:r>
        <w:r>
          <w:rPr>
            <w:noProof/>
            <w:webHidden/>
          </w:rPr>
          <w:fldChar w:fldCharType="separate"/>
        </w:r>
        <w:r w:rsidR="00BE612E">
          <w:rPr>
            <w:noProof/>
            <w:webHidden/>
          </w:rPr>
          <w:t>11</w:t>
        </w:r>
        <w:r>
          <w:rPr>
            <w:noProof/>
            <w:webHidden/>
          </w:rPr>
          <w:fldChar w:fldCharType="end"/>
        </w:r>
      </w:hyperlink>
    </w:p>
    <w:p w14:paraId="3796F83E" w14:textId="5C41F20D" w:rsidR="00CF1264" w:rsidRDefault="00CF1264" w:rsidP="006D3822">
      <w:pPr>
        <w:pStyle w:val="TOC2"/>
        <w:rPr>
          <w:rFonts w:eastAsiaTheme="minorEastAsia"/>
          <w:noProof/>
          <w:sz w:val="22"/>
          <w:szCs w:val="22"/>
          <w:lang w:eastAsia="en-AU"/>
        </w:rPr>
      </w:pPr>
      <w:r>
        <w:rPr>
          <w:b/>
          <w:noProof/>
        </w:rPr>
        <w:fldChar w:fldCharType="end"/>
      </w:r>
      <w:r>
        <w:rPr>
          <w:b/>
          <w:noProof/>
        </w:rPr>
        <w:fldChar w:fldCharType="begin"/>
      </w:r>
      <w:r w:rsidR="00AD7DA5">
        <w:rPr>
          <w:b/>
          <w:noProof/>
        </w:rPr>
        <w:instrText xml:space="preserve"> TOC \h \z \t "Heading 1,2,Heading 1 numbered,2" \b ReportOfOperations </w:instrText>
      </w:r>
      <w:r>
        <w:rPr>
          <w:b/>
          <w:noProof/>
        </w:rPr>
        <w:fldChar w:fldCharType="separate"/>
      </w:r>
      <w:hyperlink w:anchor="_Toc65769754" w:history="1">
        <w:r w:rsidRPr="00904909">
          <w:rPr>
            <w:rStyle w:val="Hyperlink"/>
            <w:noProof/>
          </w:rPr>
          <w:t>Section 1: Year in review</w:t>
        </w:r>
        <w:r>
          <w:rPr>
            <w:noProof/>
            <w:webHidden/>
          </w:rPr>
          <w:tab/>
        </w:r>
        <w:r>
          <w:rPr>
            <w:noProof/>
            <w:webHidden/>
          </w:rPr>
          <w:fldChar w:fldCharType="begin"/>
        </w:r>
        <w:r>
          <w:rPr>
            <w:noProof/>
            <w:webHidden/>
          </w:rPr>
          <w:instrText xml:space="preserve"> PAGEREF _Toc65769754 \h </w:instrText>
        </w:r>
        <w:r>
          <w:rPr>
            <w:noProof/>
            <w:webHidden/>
          </w:rPr>
        </w:r>
        <w:r>
          <w:rPr>
            <w:noProof/>
            <w:webHidden/>
          </w:rPr>
          <w:fldChar w:fldCharType="separate"/>
        </w:r>
        <w:r w:rsidR="00BE612E">
          <w:rPr>
            <w:noProof/>
            <w:webHidden/>
          </w:rPr>
          <w:t>12</w:t>
        </w:r>
        <w:r>
          <w:rPr>
            <w:noProof/>
            <w:webHidden/>
          </w:rPr>
          <w:fldChar w:fldCharType="end"/>
        </w:r>
      </w:hyperlink>
    </w:p>
    <w:p w14:paraId="35BE2B6E" w14:textId="50F79FF7" w:rsidR="00CF1264" w:rsidRDefault="00CF1264" w:rsidP="006D3822">
      <w:pPr>
        <w:pStyle w:val="TOC2"/>
        <w:rPr>
          <w:rFonts w:eastAsiaTheme="minorEastAsia"/>
          <w:noProof/>
          <w:sz w:val="22"/>
          <w:szCs w:val="22"/>
          <w:lang w:eastAsia="en-AU"/>
        </w:rPr>
      </w:pPr>
      <w:hyperlink w:anchor="_Toc65769755" w:history="1">
        <w:r w:rsidRPr="00904909">
          <w:rPr>
            <w:rStyle w:val="Hyperlink"/>
            <w:noProof/>
          </w:rPr>
          <w:t>Section 2: Governance and organisational structure</w:t>
        </w:r>
        <w:r>
          <w:rPr>
            <w:noProof/>
            <w:webHidden/>
          </w:rPr>
          <w:tab/>
        </w:r>
        <w:r>
          <w:rPr>
            <w:noProof/>
            <w:webHidden/>
          </w:rPr>
          <w:fldChar w:fldCharType="begin"/>
        </w:r>
        <w:r>
          <w:rPr>
            <w:noProof/>
            <w:webHidden/>
          </w:rPr>
          <w:instrText xml:space="preserve"> PAGEREF _Toc65769755 \h </w:instrText>
        </w:r>
        <w:r>
          <w:rPr>
            <w:noProof/>
            <w:webHidden/>
          </w:rPr>
        </w:r>
        <w:r>
          <w:rPr>
            <w:noProof/>
            <w:webHidden/>
          </w:rPr>
          <w:fldChar w:fldCharType="separate"/>
        </w:r>
        <w:r w:rsidR="00BE612E">
          <w:rPr>
            <w:noProof/>
            <w:webHidden/>
          </w:rPr>
          <w:t>33</w:t>
        </w:r>
        <w:r>
          <w:rPr>
            <w:noProof/>
            <w:webHidden/>
          </w:rPr>
          <w:fldChar w:fldCharType="end"/>
        </w:r>
      </w:hyperlink>
    </w:p>
    <w:p w14:paraId="5B94EAAF" w14:textId="68977ECB" w:rsidR="00CF1264" w:rsidRDefault="00CF1264" w:rsidP="006D3822">
      <w:pPr>
        <w:pStyle w:val="TOC2"/>
        <w:rPr>
          <w:rFonts w:eastAsiaTheme="minorEastAsia"/>
          <w:noProof/>
          <w:sz w:val="22"/>
          <w:szCs w:val="22"/>
          <w:lang w:eastAsia="en-AU"/>
        </w:rPr>
      </w:pPr>
      <w:hyperlink w:anchor="_Toc65769756" w:history="1">
        <w:r w:rsidRPr="00904909">
          <w:rPr>
            <w:rStyle w:val="Hyperlink"/>
            <w:noProof/>
          </w:rPr>
          <w:t>Section 3: Workforce data</w:t>
        </w:r>
        <w:r>
          <w:rPr>
            <w:noProof/>
            <w:webHidden/>
          </w:rPr>
          <w:tab/>
        </w:r>
        <w:r>
          <w:rPr>
            <w:noProof/>
            <w:webHidden/>
          </w:rPr>
          <w:fldChar w:fldCharType="begin"/>
        </w:r>
        <w:r>
          <w:rPr>
            <w:noProof/>
            <w:webHidden/>
          </w:rPr>
          <w:instrText xml:space="preserve"> PAGEREF _Toc65769756 \h </w:instrText>
        </w:r>
        <w:r>
          <w:rPr>
            <w:noProof/>
            <w:webHidden/>
          </w:rPr>
        </w:r>
        <w:r>
          <w:rPr>
            <w:noProof/>
            <w:webHidden/>
          </w:rPr>
          <w:fldChar w:fldCharType="separate"/>
        </w:r>
        <w:r w:rsidR="00BE612E">
          <w:rPr>
            <w:noProof/>
            <w:webHidden/>
          </w:rPr>
          <w:t>40</w:t>
        </w:r>
        <w:r>
          <w:rPr>
            <w:noProof/>
            <w:webHidden/>
          </w:rPr>
          <w:fldChar w:fldCharType="end"/>
        </w:r>
      </w:hyperlink>
    </w:p>
    <w:p w14:paraId="7AFC1F9A" w14:textId="61A0ADAD" w:rsidR="00CF1264" w:rsidRDefault="00CF1264" w:rsidP="006D3822">
      <w:pPr>
        <w:pStyle w:val="TOC2"/>
        <w:rPr>
          <w:rFonts w:eastAsiaTheme="minorEastAsia"/>
          <w:noProof/>
          <w:sz w:val="22"/>
          <w:szCs w:val="22"/>
          <w:lang w:eastAsia="en-AU"/>
        </w:rPr>
      </w:pPr>
      <w:hyperlink w:anchor="_Toc65769757" w:history="1">
        <w:r w:rsidRPr="00904909">
          <w:rPr>
            <w:rStyle w:val="Hyperlink"/>
            <w:noProof/>
          </w:rPr>
          <w:t>Section 4: Other disclosures</w:t>
        </w:r>
        <w:r>
          <w:rPr>
            <w:noProof/>
            <w:webHidden/>
          </w:rPr>
          <w:tab/>
        </w:r>
        <w:r>
          <w:rPr>
            <w:noProof/>
            <w:webHidden/>
          </w:rPr>
          <w:fldChar w:fldCharType="begin"/>
        </w:r>
        <w:r>
          <w:rPr>
            <w:noProof/>
            <w:webHidden/>
          </w:rPr>
          <w:instrText xml:space="preserve"> PAGEREF _Toc65769757 \h </w:instrText>
        </w:r>
        <w:r>
          <w:rPr>
            <w:noProof/>
            <w:webHidden/>
          </w:rPr>
        </w:r>
        <w:r>
          <w:rPr>
            <w:noProof/>
            <w:webHidden/>
          </w:rPr>
          <w:fldChar w:fldCharType="separate"/>
        </w:r>
        <w:r w:rsidR="00BE612E">
          <w:rPr>
            <w:noProof/>
            <w:webHidden/>
          </w:rPr>
          <w:t>46</w:t>
        </w:r>
        <w:r>
          <w:rPr>
            <w:noProof/>
            <w:webHidden/>
          </w:rPr>
          <w:fldChar w:fldCharType="end"/>
        </w:r>
      </w:hyperlink>
    </w:p>
    <w:p w14:paraId="35554398" w14:textId="165C13C3" w:rsidR="00CF1264" w:rsidRDefault="00CF1264" w:rsidP="006D3822">
      <w:pPr>
        <w:pStyle w:val="TOC2"/>
        <w:rPr>
          <w:rFonts w:eastAsiaTheme="minorEastAsia"/>
          <w:noProof/>
          <w:sz w:val="22"/>
          <w:szCs w:val="22"/>
          <w:lang w:eastAsia="en-AU"/>
        </w:rPr>
      </w:pPr>
      <w:hyperlink w:anchor="_Toc65769758" w:history="1">
        <w:r w:rsidRPr="00904909">
          <w:rPr>
            <w:rStyle w:val="Hyperlink"/>
            <w:noProof/>
          </w:rPr>
          <w:t>Disclosure index</w:t>
        </w:r>
        <w:r>
          <w:rPr>
            <w:noProof/>
            <w:webHidden/>
          </w:rPr>
          <w:tab/>
        </w:r>
        <w:r>
          <w:rPr>
            <w:noProof/>
            <w:webHidden/>
          </w:rPr>
          <w:fldChar w:fldCharType="begin"/>
        </w:r>
        <w:r>
          <w:rPr>
            <w:noProof/>
            <w:webHidden/>
          </w:rPr>
          <w:instrText xml:space="preserve"> PAGEREF _Toc65769758 \h </w:instrText>
        </w:r>
        <w:r>
          <w:rPr>
            <w:noProof/>
            <w:webHidden/>
          </w:rPr>
        </w:r>
        <w:r>
          <w:rPr>
            <w:noProof/>
            <w:webHidden/>
          </w:rPr>
          <w:fldChar w:fldCharType="separate"/>
        </w:r>
        <w:r w:rsidR="00BE612E">
          <w:rPr>
            <w:noProof/>
            <w:webHidden/>
          </w:rPr>
          <w:t>80</w:t>
        </w:r>
        <w:r>
          <w:rPr>
            <w:noProof/>
            <w:webHidden/>
          </w:rPr>
          <w:fldChar w:fldCharType="end"/>
        </w:r>
      </w:hyperlink>
    </w:p>
    <w:p w14:paraId="516F347A" w14:textId="5B552302" w:rsidR="003229C5" w:rsidRDefault="00CF1264" w:rsidP="003229C5">
      <w:r>
        <w:rPr>
          <w:b/>
          <w:noProof/>
        </w:rPr>
        <w:fldChar w:fldCharType="end"/>
      </w:r>
    </w:p>
    <w:p w14:paraId="323D1B11" w14:textId="6F658907" w:rsidR="003229C5" w:rsidRPr="00D23DE5" w:rsidRDefault="003229C5" w:rsidP="003229C5">
      <w:pPr>
        <w:pStyle w:val="Heading2"/>
        <w:rPr>
          <w:rStyle w:val="Guidance"/>
        </w:rPr>
      </w:pPr>
      <w:bookmarkStart w:id="67" w:name="_Toc130288129"/>
      <w:bookmarkStart w:id="68" w:name="_Toc129333341"/>
      <w:bookmarkStart w:id="69" w:name="_Toc199156261"/>
      <w:r w:rsidRPr="00D23DE5">
        <w:rPr>
          <w:rStyle w:val="Guidance"/>
        </w:rPr>
        <w:t xml:space="preserve">About the Model </w:t>
      </w:r>
      <w:r w:rsidR="00657BD9" w:rsidRPr="00D23DE5">
        <w:rPr>
          <w:rStyle w:val="Guidance"/>
        </w:rPr>
        <w:t>report of operations</w:t>
      </w:r>
      <w:bookmarkEnd w:id="67"/>
      <w:bookmarkEnd w:id="68"/>
      <w:bookmarkEnd w:id="69"/>
    </w:p>
    <w:p w14:paraId="699F0F8F" w14:textId="000603B1" w:rsidR="003229C5" w:rsidRPr="00D23DE5" w:rsidRDefault="003229C5" w:rsidP="00D23DE5">
      <w:pPr>
        <w:rPr>
          <w:rStyle w:val="Guidance"/>
        </w:rPr>
      </w:pPr>
      <w:r w:rsidRPr="00D23DE5">
        <w:rPr>
          <w:rStyle w:val="Guidance"/>
        </w:rPr>
        <w:t xml:space="preserve">The report of operations is an integral part of a </w:t>
      </w:r>
      <w:r w:rsidRPr="00D23DE5">
        <w:rPr>
          <w:rStyle w:val="Guidance"/>
          <w:b/>
          <w:bCs/>
        </w:rPr>
        <w:t>department’s</w:t>
      </w:r>
      <w:r w:rsidRPr="00D23DE5">
        <w:rPr>
          <w:rStyle w:val="Guidance"/>
        </w:rPr>
        <w:t xml:space="preserve"> annual report. It provides users with general information about the entity and its activities, operational highlights for the reporting period, future directions and other relevant information not included in the financial statements. It is a document akin to the directors’ report, which forms a significant part of the annual reports of </w:t>
      </w:r>
      <w:r w:rsidR="00B72D47">
        <w:rPr>
          <w:rStyle w:val="Guidance"/>
          <w:i/>
          <w:iCs/>
        </w:rPr>
        <w:t xml:space="preserve">Corporations Act 2001 </w:t>
      </w:r>
      <w:r w:rsidRPr="00D23DE5">
        <w:rPr>
          <w:rStyle w:val="Guidance"/>
        </w:rPr>
        <w:t>companies.</w:t>
      </w:r>
      <w:r w:rsidR="003C0AEA" w:rsidRPr="00D23DE5">
        <w:rPr>
          <w:rStyle w:val="Guidance"/>
        </w:rPr>
        <w:t xml:space="preserve"> </w:t>
      </w:r>
      <w:r w:rsidR="003C0AEA" w:rsidRPr="00FC57AF">
        <w:rPr>
          <w:rStyle w:val="Reference"/>
        </w:rPr>
        <w:t>[SD5.2</w:t>
      </w:r>
      <w:r w:rsidR="00D12538">
        <w:rPr>
          <w:rStyle w:val="Reference"/>
        </w:rPr>
        <w:t>/</w:t>
      </w:r>
      <w:r w:rsidR="003C0AEA" w:rsidRPr="00FC57AF">
        <w:rPr>
          <w:rStyle w:val="Reference"/>
        </w:rPr>
        <w:t>FRD 22]</w:t>
      </w:r>
    </w:p>
    <w:p w14:paraId="1624CAFA" w14:textId="4075D77D" w:rsidR="003229C5" w:rsidRPr="00D23DE5" w:rsidRDefault="003229C5" w:rsidP="00D23DE5">
      <w:pPr>
        <w:rPr>
          <w:rStyle w:val="Guidance"/>
        </w:rPr>
      </w:pPr>
      <w:r w:rsidRPr="00D23DE5">
        <w:rPr>
          <w:rStyle w:val="Guidance"/>
        </w:rPr>
        <w:t>The report of operations complements the information presented in the financial statements by providing explanation and analysis of the department’s performance, financial position and cash flow through an objective and balanced discussion and analysis. To that end, it should be comprehensive</w:t>
      </w:r>
      <w:r w:rsidR="00E76B91">
        <w:rPr>
          <w:rStyle w:val="Guidance"/>
        </w:rPr>
        <w:t xml:space="preserve">, </w:t>
      </w:r>
      <w:r w:rsidR="00E76B91" w:rsidRPr="00D23DE5">
        <w:rPr>
          <w:rStyle w:val="Guidance"/>
        </w:rPr>
        <w:t>supported by figures and graphics that assist understanding of the matters discussed</w:t>
      </w:r>
      <w:r w:rsidRPr="00D23DE5">
        <w:rPr>
          <w:rStyle w:val="Guidance"/>
        </w:rPr>
        <w:t xml:space="preserve"> and, where appropriate, adopt a narrative form written in a clear style. The report of operations should be balanced and objective, and free from bias. </w:t>
      </w:r>
    </w:p>
    <w:p w14:paraId="30B1AFDC" w14:textId="03D8A6BD" w:rsidR="003229C5" w:rsidRPr="00D23DE5" w:rsidRDefault="003229C5" w:rsidP="00657BD9">
      <w:pPr>
        <w:rPr>
          <w:rStyle w:val="Guidance"/>
        </w:rPr>
      </w:pPr>
      <w:r w:rsidRPr="00D23DE5">
        <w:rPr>
          <w:rStyle w:val="Guidance"/>
        </w:rPr>
        <w:t xml:space="preserve">The </w:t>
      </w:r>
      <w:r w:rsidRPr="00657BD9">
        <w:rPr>
          <w:rStyle w:val="Guidance"/>
          <w:i/>
          <w:iCs/>
        </w:rPr>
        <w:t>Model report of operations</w:t>
      </w:r>
      <w:r w:rsidRPr="00D23DE5">
        <w:rPr>
          <w:rStyle w:val="Guidance"/>
        </w:rPr>
        <w:t xml:space="preserve"> incorporates reporting requirements that are current at the time of publication. In addition to complying with the Model report of operations, departments should ensure their report of operations complies with all new and revised legislative pronouncements that may be issued and applicable </w:t>
      </w:r>
      <w:r w:rsidR="001E67AB">
        <w:rPr>
          <w:rStyle w:val="Guidance"/>
        </w:rPr>
        <w:t>after</w:t>
      </w:r>
      <w:r w:rsidRPr="00D23DE5">
        <w:rPr>
          <w:rStyle w:val="Guidance"/>
        </w:rPr>
        <w:t xml:space="preserve"> the publication of the Model. </w:t>
      </w:r>
    </w:p>
    <w:p w14:paraId="2BB45D58" w14:textId="77777777" w:rsidR="003229C5" w:rsidRPr="00D23DE5" w:rsidRDefault="003229C5" w:rsidP="00657BD9">
      <w:pPr>
        <w:rPr>
          <w:rStyle w:val="Guidance"/>
        </w:rPr>
      </w:pPr>
      <w:r w:rsidRPr="00D23DE5">
        <w:rPr>
          <w:rStyle w:val="Guidance"/>
        </w:rPr>
        <w:t xml:space="preserve">While the </w:t>
      </w:r>
      <w:r w:rsidRPr="00657BD9">
        <w:rPr>
          <w:rStyle w:val="Guidance"/>
          <w:i/>
          <w:iCs/>
        </w:rPr>
        <w:t>Model report of operations</w:t>
      </w:r>
      <w:r w:rsidRPr="00D23DE5">
        <w:rPr>
          <w:rStyle w:val="Guidance"/>
        </w:rPr>
        <w:t xml:space="preserve"> illustrates examples of disclosures required under FRDs, it </w:t>
      </w:r>
      <w:r w:rsidRPr="00657BD9">
        <w:rPr>
          <w:rStyle w:val="Guidance"/>
          <w:b/>
          <w:bCs/>
        </w:rPr>
        <w:t>does not necessarily illustrate all disclosures</w:t>
      </w:r>
      <w:r w:rsidRPr="00D23DE5">
        <w:rPr>
          <w:rStyle w:val="Guidance"/>
        </w:rPr>
        <w:t xml:space="preserve"> that might be appropriate to report an agency’s objectives, activities and performance. Officers of a department or entity must use their judgement to identify any other matters that should be reported to ensure the report of operations is complete and objective. </w:t>
      </w:r>
    </w:p>
    <w:p w14:paraId="416DCB51" w14:textId="77777777" w:rsidR="003229C5" w:rsidRPr="00D23DE5" w:rsidRDefault="003229C5" w:rsidP="00D23DE5">
      <w:pPr>
        <w:rPr>
          <w:rStyle w:val="Guidance"/>
        </w:rPr>
      </w:pPr>
      <w:r w:rsidRPr="00D23DE5">
        <w:rPr>
          <w:rStyle w:val="Guidance"/>
        </w:rPr>
        <w:t>Entities other than departments need to be aware of the FRDs and legislation that affect them specifically, as not all pronouncements in the Model are applicable to all public sector entities. Professional judgement and awareness of an entity’s reporting obligations are to be applied when using the Model as a reference point.</w:t>
      </w:r>
    </w:p>
    <w:p w14:paraId="14D1BD5F" w14:textId="299B0F80" w:rsidR="003229C5" w:rsidRPr="00096FF6" w:rsidRDefault="003229C5" w:rsidP="003C0AEA">
      <w:pPr>
        <w:pStyle w:val="Heading2"/>
        <w:rPr>
          <w:rStyle w:val="Guidance"/>
        </w:rPr>
      </w:pPr>
      <w:bookmarkStart w:id="70" w:name="_Toc130288130"/>
      <w:bookmarkStart w:id="71" w:name="_Toc129333342"/>
      <w:bookmarkStart w:id="72" w:name="_Toc199156262"/>
      <w:r w:rsidRPr="00096FF6">
        <w:rPr>
          <w:rStyle w:val="Guidance"/>
        </w:rPr>
        <w:t xml:space="preserve">Presentation of </w:t>
      </w:r>
      <w:r w:rsidR="00657BD9" w:rsidRPr="00096FF6">
        <w:rPr>
          <w:rStyle w:val="Guidance"/>
        </w:rPr>
        <w:t>report of operations</w:t>
      </w:r>
      <w:bookmarkEnd w:id="70"/>
      <w:bookmarkEnd w:id="71"/>
      <w:bookmarkEnd w:id="72"/>
      <w:r w:rsidR="00657BD9" w:rsidRPr="00096FF6">
        <w:rPr>
          <w:rStyle w:val="Guidance"/>
        </w:rPr>
        <w:t xml:space="preserve"> </w:t>
      </w:r>
    </w:p>
    <w:p w14:paraId="4D5A91CB" w14:textId="54FEE319" w:rsidR="003229C5" w:rsidRPr="00096FF6" w:rsidRDefault="001E67AB" w:rsidP="003229C5">
      <w:pPr>
        <w:rPr>
          <w:rStyle w:val="Guidance"/>
        </w:rPr>
      </w:pPr>
      <w:r>
        <w:rPr>
          <w:rStyle w:val="Guidance"/>
        </w:rPr>
        <w:t>Presenting the</w:t>
      </w:r>
      <w:r w:rsidR="003229C5" w:rsidRPr="00096FF6">
        <w:rPr>
          <w:rStyle w:val="Guidance"/>
        </w:rPr>
        <w:t xml:space="preserve"> report of operations as a discrete section of a department’s annual report ensures the information required </w:t>
      </w:r>
      <w:r>
        <w:rPr>
          <w:rStyle w:val="Guidance"/>
        </w:rPr>
        <w:t>appears</w:t>
      </w:r>
      <w:r w:rsidR="003229C5" w:rsidRPr="00096FF6">
        <w:rPr>
          <w:rStyle w:val="Guidance"/>
        </w:rPr>
        <w:t xml:space="preserve"> in one place. However, a department has the option to select the format that best complements the presentation of its annual report as a whole.</w:t>
      </w:r>
      <w:r w:rsidR="003C0AEA" w:rsidRPr="00096FF6">
        <w:rPr>
          <w:rStyle w:val="Guidance"/>
        </w:rPr>
        <w:t xml:space="preserve"> </w:t>
      </w:r>
      <w:r w:rsidR="003C0AEA" w:rsidRPr="00FC57AF">
        <w:rPr>
          <w:rStyle w:val="Reference"/>
        </w:rPr>
        <w:t>[SD5.2]</w:t>
      </w:r>
    </w:p>
    <w:p w14:paraId="26980000" w14:textId="0ED1BA2A" w:rsidR="003229C5" w:rsidRPr="00096FF6" w:rsidRDefault="003229C5" w:rsidP="003C0AEA">
      <w:pPr>
        <w:pStyle w:val="Heading2"/>
        <w:rPr>
          <w:rStyle w:val="Guidance"/>
        </w:rPr>
      </w:pPr>
      <w:bookmarkStart w:id="73" w:name="_Toc130288131"/>
      <w:bookmarkStart w:id="74" w:name="_Toc129333343"/>
      <w:bookmarkStart w:id="75" w:name="_Toc199156263"/>
      <w:r w:rsidRPr="00096FF6">
        <w:rPr>
          <w:rStyle w:val="Guidance"/>
        </w:rPr>
        <w:lastRenderedPageBreak/>
        <w:t xml:space="preserve">Contents of </w:t>
      </w:r>
      <w:r w:rsidR="00657BD9" w:rsidRPr="00096FF6">
        <w:rPr>
          <w:rStyle w:val="Guidance"/>
        </w:rPr>
        <w:t>report of op</w:t>
      </w:r>
      <w:r w:rsidR="00AA3734" w:rsidRPr="00096FF6">
        <w:rPr>
          <w:rStyle w:val="Guidance"/>
        </w:rPr>
        <w:t>erations</w:t>
      </w:r>
      <w:bookmarkEnd w:id="73"/>
      <w:bookmarkEnd w:id="74"/>
      <w:bookmarkEnd w:id="75"/>
    </w:p>
    <w:p w14:paraId="3044BF04" w14:textId="6BB86D8A" w:rsidR="003229C5" w:rsidRPr="00096FF6" w:rsidRDefault="003229C5" w:rsidP="003229C5">
      <w:pPr>
        <w:rPr>
          <w:rStyle w:val="Guidance"/>
        </w:rPr>
      </w:pPr>
      <w:r w:rsidRPr="00096FF6">
        <w:rPr>
          <w:rStyle w:val="Guidance"/>
        </w:rPr>
        <w:t xml:space="preserve">The report of operations, for the purposes of the Model, illustrates the minimum disclosures required by the </w:t>
      </w:r>
      <w:r w:rsidRPr="003011D3">
        <w:rPr>
          <w:rStyle w:val="Guidance"/>
        </w:rPr>
        <w:t>Standing Directions (SD) 2018</w:t>
      </w:r>
      <w:r w:rsidRPr="00096FF6">
        <w:rPr>
          <w:rStyle w:val="Guidance"/>
        </w:rPr>
        <w:t xml:space="preserve"> under the FMA and FRDs, </w:t>
      </w:r>
      <w:r w:rsidRPr="009357A5">
        <w:rPr>
          <w:rStyle w:val="Guidance"/>
        </w:rPr>
        <w:t xml:space="preserve">as listed in the </w:t>
      </w:r>
      <w:r w:rsidRPr="009357A5">
        <w:rPr>
          <w:rStyle w:val="Guidance"/>
          <w:i/>
        </w:rPr>
        <w:t>Disclosure Index</w:t>
      </w:r>
      <w:r w:rsidRPr="009357A5">
        <w:rPr>
          <w:rStyle w:val="Guidance"/>
        </w:rPr>
        <w:t xml:space="preserve"> on page</w:t>
      </w:r>
      <w:r w:rsidR="00BC7271">
        <w:rPr>
          <w:rStyle w:val="Guidance"/>
        </w:rPr>
        <w:t xml:space="preserve"> </w:t>
      </w:r>
      <w:r w:rsidR="0024444A">
        <w:rPr>
          <w:rStyle w:val="Guidance"/>
        </w:rPr>
        <w:fldChar w:fldCharType="begin"/>
      </w:r>
      <w:r w:rsidR="0024444A">
        <w:rPr>
          <w:rStyle w:val="Guidance"/>
        </w:rPr>
        <w:instrText xml:space="preserve"> PAGEREF _Ref192750432 \h </w:instrText>
      </w:r>
      <w:r w:rsidR="0024444A">
        <w:rPr>
          <w:rStyle w:val="Guidance"/>
        </w:rPr>
      </w:r>
      <w:r w:rsidR="0024444A">
        <w:rPr>
          <w:rStyle w:val="Guidance"/>
        </w:rPr>
        <w:fldChar w:fldCharType="separate"/>
      </w:r>
      <w:r w:rsidR="00BE612E">
        <w:rPr>
          <w:rStyle w:val="Guidance"/>
          <w:noProof/>
        </w:rPr>
        <w:t>80</w:t>
      </w:r>
      <w:r w:rsidR="0024444A">
        <w:rPr>
          <w:rStyle w:val="Guidance"/>
        </w:rPr>
        <w:fldChar w:fldCharType="end"/>
      </w:r>
      <w:r w:rsidRPr="00096FF6">
        <w:rPr>
          <w:rStyle w:val="Guidance"/>
        </w:rPr>
        <w:t>, as well as sections of the FMA and Premier’s Circulars. Given the different nature of activities carried out by departments, varying levels of detail will be needed to fulfil particular requirements of the SD, FMA, FRDs and Premier’s Circulars. As with the financial statements, professional judgement is required to identify relevant significant matters and present them in a way that properly informs the reader.</w:t>
      </w:r>
    </w:p>
    <w:p w14:paraId="5860CD13" w14:textId="77777777" w:rsidR="003229C5" w:rsidRPr="00096FF6" w:rsidRDefault="003229C5" w:rsidP="00AA3734">
      <w:pPr>
        <w:pStyle w:val="Heading2"/>
        <w:rPr>
          <w:rStyle w:val="Guidance"/>
        </w:rPr>
      </w:pPr>
      <w:bookmarkStart w:id="76" w:name="RequirementsUnderSD5_2"/>
      <w:bookmarkStart w:id="77" w:name="_Toc130288132"/>
      <w:bookmarkStart w:id="78" w:name="_Toc129333344"/>
      <w:bookmarkStart w:id="79" w:name="_Toc199156264"/>
      <w:bookmarkEnd w:id="76"/>
      <w:r w:rsidRPr="00096FF6">
        <w:rPr>
          <w:rStyle w:val="Guidance"/>
        </w:rPr>
        <w:t>Specific requirements under Standing Direction 5.2</w:t>
      </w:r>
      <w:bookmarkEnd w:id="77"/>
      <w:bookmarkEnd w:id="78"/>
      <w:bookmarkEnd w:id="79"/>
      <w:r w:rsidRPr="00096FF6">
        <w:rPr>
          <w:rStyle w:val="Guidance"/>
        </w:rPr>
        <w:t xml:space="preserve"> </w:t>
      </w:r>
    </w:p>
    <w:p w14:paraId="14A83CD4" w14:textId="6442A69F" w:rsidR="003229C5" w:rsidRPr="00515472" w:rsidRDefault="003229C5" w:rsidP="00310F12">
      <w:pPr>
        <w:pStyle w:val="ListBullet"/>
        <w:rPr>
          <w:rStyle w:val="Guidance"/>
        </w:rPr>
      </w:pPr>
      <w:r w:rsidRPr="00096FF6">
        <w:rPr>
          <w:rStyle w:val="Guidance"/>
        </w:rPr>
        <w:t>The report of operations must be prepared in accordance with the requirements of the FMA, SD and associated instructions, applicable Australian Accounting Standards and FRDs.</w:t>
      </w:r>
      <w:r w:rsidR="00AA3734" w:rsidRPr="00096FF6">
        <w:rPr>
          <w:rStyle w:val="Guidance"/>
        </w:rPr>
        <w:t xml:space="preserve"> </w:t>
      </w:r>
      <w:r w:rsidR="00AA3734" w:rsidRPr="00AF5F9B">
        <w:rPr>
          <w:rStyle w:val="Guidance"/>
          <w:color w:val="C00000"/>
        </w:rPr>
        <w:t>[SD5.2.1(a)]</w:t>
      </w:r>
    </w:p>
    <w:p w14:paraId="15324C36" w14:textId="18E4E37D" w:rsidR="003229C5" w:rsidRPr="00096FF6" w:rsidRDefault="003229C5" w:rsidP="00310F12">
      <w:pPr>
        <w:pStyle w:val="ListBullet"/>
        <w:rPr>
          <w:rStyle w:val="Guidance"/>
        </w:rPr>
      </w:pPr>
      <w:r w:rsidRPr="00096FF6">
        <w:rPr>
          <w:rStyle w:val="Guidance"/>
        </w:rPr>
        <w:t>The report of operations for government departments must be presented in accordance with the guidelines contained in the Model.</w:t>
      </w:r>
      <w:r w:rsidR="00AA3734" w:rsidRPr="00096FF6">
        <w:rPr>
          <w:rStyle w:val="Guidance"/>
        </w:rPr>
        <w:t xml:space="preserve"> </w:t>
      </w:r>
      <w:r w:rsidR="00AA3734" w:rsidRPr="00AF5F9B">
        <w:rPr>
          <w:rStyle w:val="Guidance"/>
          <w:color w:val="C00000"/>
        </w:rPr>
        <w:t>[SD5.2.1(b)]</w:t>
      </w:r>
    </w:p>
    <w:p w14:paraId="45A27A20" w14:textId="4623C4FA" w:rsidR="003229C5" w:rsidRPr="00096FF6" w:rsidRDefault="003229C5" w:rsidP="00310F12">
      <w:pPr>
        <w:pStyle w:val="ListBullet"/>
        <w:rPr>
          <w:rStyle w:val="Guidance"/>
        </w:rPr>
      </w:pPr>
      <w:r w:rsidRPr="00096FF6">
        <w:rPr>
          <w:rStyle w:val="Guidance"/>
        </w:rPr>
        <w:t>The report of operations must be signed and dated by the Responsible Body or a member of the Responsible Body.</w:t>
      </w:r>
      <w:r w:rsidR="00AA3734" w:rsidRPr="00096FF6">
        <w:rPr>
          <w:rStyle w:val="Guidance"/>
        </w:rPr>
        <w:t xml:space="preserve"> </w:t>
      </w:r>
      <w:r w:rsidR="00AA3734" w:rsidRPr="00AF5F9B">
        <w:rPr>
          <w:rStyle w:val="Guidance"/>
          <w:color w:val="C00000"/>
        </w:rPr>
        <w:t>[SD5.2.3]</w:t>
      </w:r>
    </w:p>
    <w:p w14:paraId="0533F48C" w14:textId="7CFFC4B7" w:rsidR="003229C5" w:rsidRPr="00096FF6" w:rsidRDefault="003229C5" w:rsidP="003229C5">
      <w:pPr>
        <w:rPr>
          <w:rStyle w:val="Guidance"/>
        </w:rPr>
      </w:pPr>
      <w:r w:rsidRPr="00096FF6">
        <w:rPr>
          <w:rStyle w:val="Guidance"/>
        </w:rPr>
        <w:t xml:space="preserve">The information and analysis contained in the report should be balanced and objective, free from bias and complete, dealing even-handedly with positive and negative aspects of operations, financial condition, risks and opportunities. </w:t>
      </w:r>
      <w:r w:rsidR="0097040C">
        <w:rPr>
          <w:rStyle w:val="Guidance"/>
        </w:rPr>
        <w:t>G</w:t>
      </w:r>
      <w:r w:rsidRPr="00096FF6">
        <w:rPr>
          <w:rStyle w:val="Guidance"/>
        </w:rPr>
        <w:t xml:space="preserve">ood design and presentation assists </w:t>
      </w:r>
      <w:r w:rsidR="0032746F">
        <w:rPr>
          <w:rStyle w:val="Guidance"/>
        </w:rPr>
        <w:t>both</w:t>
      </w:r>
      <w:r w:rsidR="0097040C">
        <w:rPr>
          <w:rStyle w:val="Guidance"/>
        </w:rPr>
        <w:t xml:space="preserve"> </w:t>
      </w:r>
      <w:r w:rsidRPr="00096FF6">
        <w:rPr>
          <w:rStyle w:val="Guidance"/>
        </w:rPr>
        <w:t>communication efficiency</w:t>
      </w:r>
      <w:r w:rsidR="0032746F">
        <w:rPr>
          <w:rStyle w:val="Guidance"/>
        </w:rPr>
        <w:t xml:space="preserve"> and</w:t>
      </w:r>
      <w:r w:rsidR="0097040C">
        <w:rPr>
          <w:rStyle w:val="Guidance"/>
        </w:rPr>
        <w:t xml:space="preserve"> </w:t>
      </w:r>
      <w:r w:rsidRPr="00096FF6">
        <w:rPr>
          <w:rStyle w:val="Guidance"/>
        </w:rPr>
        <w:t>effectiveness</w:t>
      </w:r>
      <w:r w:rsidR="0032746F">
        <w:rPr>
          <w:rStyle w:val="Guidance"/>
        </w:rPr>
        <w:t>,</w:t>
      </w:r>
      <w:r w:rsidRPr="00096FF6">
        <w:rPr>
          <w:rStyle w:val="Guidance"/>
        </w:rPr>
        <w:t xml:space="preserve"> </w:t>
      </w:r>
      <w:r w:rsidR="0097040C">
        <w:rPr>
          <w:rStyle w:val="Guidance"/>
        </w:rPr>
        <w:t xml:space="preserve">however </w:t>
      </w:r>
      <w:r w:rsidRPr="00096FF6">
        <w:rPr>
          <w:rStyle w:val="Guidance"/>
        </w:rPr>
        <w:t xml:space="preserve">value for money must also be considered. </w:t>
      </w:r>
    </w:p>
    <w:p w14:paraId="353946F2" w14:textId="3AD30B68" w:rsidR="003229C5" w:rsidRPr="00096FF6" w:rsidRDefault="003229C5" w:rsidP="003229C5">
      <w:pPr>
        <w:rPr>
          <w:rStyle w:val="Guidance"/>
        </w:rPr>
      </w:pPr>
      <w:r w:rsidRPr="00096FF6">
        <w:rPr>
          <w:rStyle w:val="Guidance"/>
        </w:rPr>
        <w:t xml:space="preserve">The format given in the Model may not be suitable for all departments, </w:t>
      </w:r>
      <w:r w:rsidR="00000405">
        <w:rPr>
          <w:rStyle w:val="Guidance"/>
        </w:rPr>
        <w:t>as</w:t>
      </w:r>
      <w:r w:rsidR="00000405" w:rsidRPr="00096FF6">
        <w:rPr>
          <w:rStyle w:val="Guidance"/>
        </w:rPr>
        <w:t xml:space="preserve"> </w:t>
      </w:r>
      <w:r w:rsidRPr="00096FF6">
        <w:rPr>
          <w:rStyle w:val="Guidance"/>
        </w:rPr>
        <w:t>departments differ in both structure and outputs. Each department may choose where they report disclosures</w:t>
      </w:r>
      <w:r w:rsidR="00745F3E">
        <w:rPr>
          <w:rStyle w:val="Guidance"/>
        </w:rPr>
        <w:t>,</w:t>
      </w:r>
      <w:r w:rsidRPr="00096FF6">
        <w:rPr>
          <w:rStyle w:val="Guidance"/>
        </w:rPr>
        <w:t xml:space="preserve"> </w:t>
      </w:r>
      <w:r w:rsidR="001B2C11">
        <w:rPr>
          <w:rStyle w:val="Guidance"/>
        </w:rPr>
        <w:t>provided</w:t>
      </w:r>
      <w:r w:rsidRPr="00096FF6">
        <w:rPr>
          <w:rStyle w:val="Guidance"/>
        </w:rPr>
        <w:t xml:space="preserve"> it complies with all relevant reporting directions and legislation. </w:t>
      </w:r>
    </w:p>
    <w:p w14:paraId="71639292" w14:textId="77777777" w:rsidR="003229C5" w:rsidRPr="00096FF6" w:rsidRDefault="003229C5" w:rsidP="003229C5">
      <w:pPr>
        <w:rPr>
          <w:rStyle w:val="Guidance"/>
        </w:rPr>
      </w:pPr>
      <w:r w:rsidRPr="00096FF6">
        <w:rPr>
          <w:rStyle w:val="Guidance"/>
        </w:rPr>
        <w:t>For ease of understanding and clarity, it is sometimes more appropriate to include detailed information in an appendix. Where this is done, the report of operations should include a summary of the information together with a cross reference to the applicable appendices.</w:t>
      </w:r>
    </w:p>
    <w:p w14:paraId="13FAD105" w14:textId="779593C5" w:rsidR="003229C5" w:rsidRPr="00096FF6" w:rsidRDefault="003229C5" w:rsidP="00AA3734">
      <w:pPr>
        <w:pStyle w:val="Heading2"/>
        <w:rPr>
          <w:rStyle w:val="Guidance"/>
        </w:rPr>
      </w:pPr>
      <w:bookmarkStart w:id="80" w:name="_Toc130288133"/>
      <w:bookmarkStart w:id="81" w:name="_Toc129333345"/>
      <w:bookmarkStart w:id="82" w:name="_Toc199156265"/>
      <w:r w:rsidRPr="00096FF6">
        <w:rPr>
          <w:rStyle w:val="Guidance"/>
        </w:rPr>
        <w:t xml:space="preserve">Disclosure requirement – </w:t>
      </w:r>
      <w:r w:rsidR="00336F6A">
        <w:rPr>
          <w:rStyle w:val="Guidance"/>
        </w:rPr>
        <w:t>e</w:t>
      </w:r>
      <w:r w:rsidR="00AA3734" w:rsidRPr="00096FF6">
        <w:rPr>
          <w:rStyle w:val="Guidance"/>
        </w:rPr>
        <w:t xml:space="preserve">stimates </w:t>
      </w:r>
      <w:r w:rsidRPr="00096FF6">
        <w:rPr>
          <w:rStyle w:val="Guidance"/>
        </w:rPr>
        <w:t>presented as actual results</w:t>
      </w:r>
      <w:bookmarkEnd w:id="80"/>
      <w:bookmarkEnd w:id="81"/>
      <w:bookmarkEnd w:id="82"/>
    </w:p>
    <w:p w14:paraId="18316889" w14:textId="52387721" w:rsidR="003229C5" w:rsidRPr="008F1261" w:rsidRDefault="003229C5" w:rsidP="003229C5">
      <w:pPr>
        <w:rPr>
          <w:rStyle w:val="Guidance"/>
        </w:rPr>
      </w:pPr>
      <w:r w:rsidRPr="00096FF6">
        <w:rPr>
          <w:rStyle w:val="Guidance"/>
        </w:rPr>
        <w:t>Presenting an estimate in the departmental annual report can be appropriate under some circumstances, such as when actual results are not available at the time of compiling the annual report. It is crucial users of the report of operations appreciate where estimates are presented as actual results, especially if significant variances are expected between the estimates presented in the annual report and the actual result communicated subsequently.</w:t>
      </w:r>
      <w:r w:rsidR="00D23DE5" w:rsidRPr="00096FF6">
        <w:rPr>
          <w:rStyle w:val="Guidance"/>
        </w:rPr>
        <w:t xml:space="preserve"> </w:t>
      </w:r>
      <w:r w:rsidR="00D23DE5" w:rsidRPr="00FC57AF">
        <w:rPr>
          <w:rStyle w:val="Reference"/>
        </w:rPr>
        <w:t>[Recommendation 42, PAEC</w:t>
      </w:r>
      <w:r w:rsidR="008D321C">
        <w:rPr>
          <w:rStyle w:val="Reference"/>
        </w:rPr>
        <w:t> </w:t>
      </w:r>
      <w:r w:rsidR="00B1313F" w:rsidRPr="00B1313F">
        <w:rPr>
          <w:rStyle w:val="Reference"/>
        </w:rPr>
        <w:t>Report on the 2009-10 and 2010-11 Financial and Performance Outcomes</w:t>
      </w:r>
      <w:r w:rsidR="00D23DE5" w:rsidRPr="00FC57AF">
        <w:rPr>
          <w:rStyle w:val="Reference"/>
        </w:rPr>
        <w:t>]</w:t>
      </w:r>
    </w:p>
    <w:p w14:paraId="6C6FC577" w14:textId="72E9307D" w:rsidR="002C7726" w:rsidRPr="00096FF6" w:rsidRDefault="003229C5" w:rsidP="003229C5">
      <w:pPr>
        <w:rPr>
          <w:rStyle w:val="Guidance"/>
        </w:rPr>
      </w:pPr>
      <w:r w:rsidRPr="00096FF6">
        <w:rPr>
          <w:rStyle w:val="Guidance"/>
        </w:rPr>
        <w:t xml:space="preserve">Therefore, </w:t>
      </w:r>
      <w:r w:rsidR="002F5BF5">
        <w:rPr>
          <w:rStyle w:val="Guidance"/>
        </w:rPr>
        <w:t xml:space="preserve">where </w:t>
      </w:r>
      <w:r w:rsidRPr="00096FF6">
        <w:rPr>
          <w:rStyle w:val="Guidance"/>
        </w:rPr>
        <w:t xml:space="preserve">departments disclose </w:t>
      </w:r>
      <w:r w:rsidR="002F5BF5">
        <w:rPr>
          <w:rStyle w:val="Guidance"/>
        </w:rPr>
        <w:t xml:space="preserve">estimates </w:t>
      </w:r>
      <w:r w:rsidRPr="00096FF6">
        <w:rPr>
          <w:rStyle w:val="Guidance"/>
        </w:rPr>
        <w:t>in the report of operations</w:t>
      </w:r>
      <w:r w:rsidR="002F5BF5">
        <w:rPr>
          <w:rStyle w:val="Guidance"/>
        </w:rPr>
        <w:t xml:space="preserve">, it should be clearly indicated as such </w:t>
      </w:r>
      <w:r w:rsidRPr="00096FF6">
        <w:rPr>
          <w:rStyle w:val="Guidance"/>
        </w:rPr>
        <w:t>for clari</w:t>
      </w:r>
      <w:r w:rsidR="001E6D15">
        <w:rPr>
          <w:rStyle w:val="Guidance"/>
        </w:rPr>
        <w:t>ty</w:t>
      </w:r>
      <w:r w:rsidRPr="00096FF6">
        <w:rPr>
          <w:rStyle w:val="Guidance"/>
        </w:rPr>
        <w:t>.</w:t>
      </w:r>
    </w:p>
    <w:p w14:paraId="727C3945" w14:textId="77777777" w:rsidR="00FC57AF" w:rsidRPr="0001145B" w:rsidRDefault="00FC57AF" w:rsidP="0001145B">
      <w:r w:rsidRPr="0001145B">
        <w:br w:type="page"/>
      </w:r>
    </w:p>
    <w:p w14:paraId="26DAAFE7" w14:textId="03B283F0" w:rsidR="00D23DE5" w:rsidRPr="00E023F4" w:rsidRDefault="00D23DE5" w:rsidP="00D23DE5">
      <w:pPr>
        <w:pStyle w:val="Heading2"/>
        <w:rPr>
          <w:rStyle w:val="Guidance"/>
        </w:rPr>
      </w:pPr>
      <w:bookmarkStart w:id="83" w:name="DeclarationInRoO"/>
      <w:bookmarkStart w:id="84" w:name="_Toc130288134"/>
      <w:bookmarkStart w:id="85" w:name="_Toc129333346"/>
      <w:bookmarkStart w:id="86" w:name="_Toc199156266"/>
      <w:bookmarkEnd w:id="83"/>
      <w:r w:rsidRPr="00E023F4">
        <w:rPr>
          <w:rStyle w:val="Guidance"/>
        </w:rPr>
        <w:lastRenderedPageBreak/>
        <w:t>Declaration in report of operations</w:t>
      </w:r>
      <w:bookmarkEnd w:id="84"/>
      <w:bookmarkEnd w:id="85"/>
      <w:bookmarkEnd w:id="86"/>
    </w:p>
    <w:p w14:paraId="2E9B08A9" w14:textId="665472D8" w:rsidR="00D23DE5" w:rsidRDefault="00D23DE5" w:rsidP="00E023F4">
      <w:pPr>
        <w:pStyle w:val="Heading3"/>
      </w:pPr>
      <w:r>
        <w:t>Responsible Body’s declaration</w:t>
      </w:r>
      <w:r w:rsidR="00E023F4">
        <w:t xml:space="preserve"> </w:t>
      </w:r>
      <w:r w:rsidR="00E023F4" w:rsidRPr="0033519E">
        <w:rPr>
          <w:rStyle w:val="Reference"/>
        </w:rPr>
        <w:t>[SD5.2.3]</w:t>
      </w:r>
    </w:p>
    <w:p w14:paraId="0CA809C6" w14:textId="0EB6CEFB" w:rsidR="00D23DE5" w:rsidRDefault="00D23DE5" w:rsidP="00D23DE5">
      <w:r>
        <w:t xml:space="preserve">In accordance with the </w:t>
      </w:r>
      <w:r w:rsidRPr="00E023F4">
        <w:rPr>
          <w:i/>
          <w:iCs/>
        </w:rPr>
        <w:t>Financial Management Act 1994</w:t>
      </w:r>
      <w:r>
        <w:t xml:space="preserve">, I am pleased to present the Department of Technology’s Annual Report for the year ending 30 June </w:t>
      </w:r>
      <w:fldSimple w:instr="DOCPROPERTY  YearCurrent  \* MERGEFORMAT">
        <w:r w:rsidR="00BA3619">
          <w:t>20X2</w:t>
        </w:r>
      </w:fldSimple>
      <w:r w:rsidR="001C6077">
        <w:t>.</w:t>
      </w:r>
    </w:p>
    <w:p w14:paraId="258BA442" w14:textId="77777777" w:rsidR="00D23DE5" w:rsidRPr="00E023F4" w:rsidRDefault="00D23DE5" w:rsidP="00D23DE5">
      <w:pPr>
        <w:rPr>
          <w:rStyle w:val="Guidance"/>
        </w:rPr>
      </w:pPr>
      <w:r w:rsidRPr="00E023F4">
        <w:rPr>
          <w:rStyle w:val="Guidance"/>
        </w:rPr>
        <w:t>[Signature]</w:t>
      </w:r>
    </w:p>
    <w:p w14:paraId="79293BB5" w14:textId="77777777" w:rsidR="00D23DE5" w:rsidRDefault="00D23DE5" w:rsidP="00D23DE5"/>
    <w:p w14:paraId="3DE496C0" w14:textId="77777777" w:rsidR="00D23DE5" w:rsidRDefault="00D23DE5" w:rsidP="00D23DE5"/>
    <w:p w14:paraId="30896D5D" w14:textId="52FF9A5A" w:rsidR="00D23DE5" w:rsidRDefault="00D23DE5" w:rsidP="00D23DE5">
      <w:r>
        <w:t>J Smith</w:t>
      </w:r>
      <w:r w:rsidR="00E023F4">
        <w:br/>
      </w:r>
      <w:r>
        <w:t>Secretary</w:t>
      </w:r>
      <w:r w:rsidR="00E023F4">
        <w:br/>
      </w:r>
      <w:r>
        <w:t>Department of Technology</w:t>
      </w:r>
    </w:p>
    <w:p w14:paraId="2335664C" w14:textId="36CD8F04" w:rsidR="00D23DE5" w:rsidRDefault="00D23DE5" w:rsidP="00D23DE5">
      <w:r>
        <w:t xml:space="preserve">14 August </w:t>
      </w:r>
      <w:fldSimple w:instr="DOCPROPERTY  YearCurrent  \* MERGEFORMAT">
        <w:r w:rsidR="00BA3619">
          <w:t>20X2</w:t>
        </w:r>
      </w:fldSimple>
    </w:p>
    <w:p w14:paraId="06D5F407" w14:textId="77777777" w:rsidR="004D5FC0" w:rsidRDefault="004D5FC0" w:rsidP="00D23DE5"/>
    <w:p w14:paraId="3BF84E08" w14:textId="4D10F93A" w:rsidR="00E023F4" w:rsidRDefault="00E023F4" w:rsidP="00E023F4">
      <w:pPr>
        <w:pStyle w:val="GuidanceBlockHeading"/>
      </w:pPr>
      <w:r>
        <w:t>Guidance – Responsible Body’s declaration</w:t>
      </w:r>
      <w:bookmarkStart w:id="87" w:name="ReportOfOperationsIntroduction"/>
    </w:p>
    <w:p w14:paraId="3FD64CB7" w14:textId="269F5492" w:rsidR="00E023F4" w:rsidRPr="00E023F4" w:rsidRDefault="00E023F4" w:rsidP="004D5FC0">
      <w:pPr>
        <w:pStyle w:val="GuidanceHeading"/>
        <w:rPr>
          <w:rStyle w:val="Guidance"/>
        </w:rPr>
      </w:pPr>
      <w:r w:rsidRPr="00E023F4">
        <w:rPr>
          <w:rStyle w:val="Guidance"/>
        </w:rPr>
        <w:t>Legislative and documented references</w:t>
      </w:r>
    </w:p>
    <w:p w14:paraId="1B49F115" w14:textId="13C5A9BD" w:rsidR="00E023F4" w:rsidRPr="00E023F4" w:rsidRDefault="00E023F4" w:rsidP="00E023F4">
      <w:pPr>
        <w:rPr>
          <w:rStyle w:val="Guidance"/>
        </w:rPr>
      </w:pPr>
      <w:r w:rsidRPr="00E023F4">
        <w:rPr>
          <w:rStyle w:val="Guidance"/>
        </w:rPr>
        <w:t>SD 5.2.3 requires the report of operations to be signed and dated by the Responsible Body or a member of the Responsible Body. For an agency with a statutory board or equivalent governing body established by or under statute, the Board or governing body is the Responsible Body. For an agency without a statutory board or equivalent governing body established by or under statute, the Accountable Officer is the Responsible Body.</w:t>
      </w:r>
      <w:r>
        <w:rPr>
          <w:rStyle w:val="Guidance"/>
        </w:rPr>
        <w:t xml:space="preserve"> </w:t>
      </w:r>
      <w:r w:rsidRPr="00E023F4">
        <w:rPr>
          <w:rStyle w:val="Reference"/>
        </w:rPr>
        <w:t>[SD5.2.3]</w:t>
      </w:r>
    </w:p>
    <w:p w14:paraId="7EB27BFB" w14:textId="77777777" w:rsidR="00E023F4" w:rsidRPr="00E023F4" w:rsidRDefault="00E023F4" w:rsidP="004D5FC0">
      <w:pPr>
        <w:pStyle w:val="GuidanceHeading"/>
        <w:rPr>
          <w:rStyle w:val="Guidance"/>
        </w:rPr>
      </w:pPr>
      <w:r w:rsidRPr="00E023F4">
        <w:rPr>
          <w:rStyle w:val="Guidance"/>
        </w:rPr>
        <w:t>Guidance</w:t>
      </w:r>
    </w:p>
    <w:p w14:paraId="6174CB78" w14:textId="204B45B8" w:rsidR="00E023F4" w:rsidRPr="00E023F4" w:rsidRDefault="00E023F4" w:rsidP="00E023F4">
      <w:pPr>
        <w:rPr>
          <w:rStyle w:val="Guidance"/>
        </w:rPr>
      </w:pPr>
      <w:r w:rsidRPr="00E023F4">
        <w:rPr>
          <w:rStyle w:val="Guidance"/>
        </w:rPr>
        <w:t xml:space="preserve">The Responsible Body sign off is usually the first item in the report of operations, and formally presents the report in accordance with requirements in the </w:t>
      </w:r>
      <w:r w:rsidRPr="00E023F4">
        <w:rPr>
          <w:rStyle w:val="Guidance"/>
          <w:i/>
          <w:iCs/>
        </w:rPr>
        <w:t>Financial Management Act 1994</w:t>
      </w:r>
      <w:r w:rsidRPr="00E023F4">
        <w:rPr>
          <w:rStyle w:val="Guidance"/>
        </w:rPr>
        <w:t>.</w:t>
      </w:r>
    </w:p>
    <w:p w14:paraId="27030E34" w14:textId="77777777" w:rsidR="00E023F4" w:rsidRDefault="00E023F4" w:rsidP="0033519E">
      <w:pPr>
        <w:pStyle w:val="GuidanceEnd"/>
      </w:pPr>
    </w:p>
    <w:bookmarkEnd w:id="87"/>
    <w:p w14:paraId="28D616AA" w14:textId="1FA20E15" w:rsidR="003C0AEA" w:rsidRDefault="003C0AEA">
      <w:r>
        <w:br w:type="page"/>
      </w:r>
    </w:p>
    <w:p w14:paraId="652FC5B3" w14:textId="08D577DA" w:rsidR="00DC39DE" w:rsidRDefault="00CF1264" w:rsidP="00CF1264">
      <w:pPr>
        <w:pStyle w:val="Heading1"/>
      </w:pPr>
      <w:bookmarkStart w:id="88" w:name="Report_Section1"/>
      <w:bookmarkStart w:id="89" w:name="_Toc65769754"/>
      <w:bookmarkStart w:id="90" w:name="_Toc199156267"/>
      <w:bookmarkStart w:id="91" w:name="_Toc199156550"/>
      <w:bookmarkEnd w:id="88"/>
      <w:r>
        <w:lastRenderedPageBreak/>
        <w:t>Section 1: Year in review</w:t>
      </w:r>
      <w:bookmarkEnd w:id="89"/>
      <w:bookmarkEnd w:id="90"/>
      <w:bookmarkEnd w:id="91"/>
    </w:p>
    <w:p w14:paraId="101A936B" w14:textId="2AE4E3A2" w:rsidR="00FC57AF" w:rsidRDefault="00FC57AF" w:rsidP="00FC57AF">
      <w:pPr>
        <w:pStyle w:val="GuidanceBlockHeading"/>
      </w:pPr>
      <w:r>
        <w:t>Guidance – Year in review (overview)</w:t>
      </w:r>
    </w:p>
    <w:p w14:paraId="66963A1F" w14:textId="36C777B6" w:rsidR="00FC57AF" w:rsidRPr="00FC57AF" w:rsidRDefault="00FC57AF" w:rsidP="00FC57AF">
      <w:pPr>
        <w:pStyle w:val="GuidanceHeading"/>
        <w:rPr>
          <w:rStyle w:val="Guidance"/>
        </w:rPr>
      </w:pPr>
      <w:r w:rsidRPr="00FC57AF">
        <w:rPr>
          <w:rStyle w:val="Guidance"/>
        </w:rPr>
        <w:t>Legislative and documented references</w:t>
      </w:r>
    </w:p>
    <w:p w14:paraId="2C40B7B1" w14:textId="77BFE4E0" w:rsidR="00FC57AF" w:rsidRPr="00FC57AF" w:rsidRDefault="00FC57AF" w:rsidP="00FC57AF">
      <w:pPr>
        <w:rPr>
          <w:rStyle w:val="Guidance"/>
        </w:rPr>
      </w:pPr>
      <w:r w:rsidRPr="00FC57AF">
        <w:rPr>
          <w:rStyle w:val="Guidance"/>
        </w:rPr>
        <w:t>FRD 22</w:t>
      </w:r>
      <w:r w:rsidR="006F4ACC">
        <w:rPr>
          <w:rStyle w:val="Guidance"/>
        </w:rPr>
        <w:t xml:space="preserve"> </w:t>
      </w:r>
      <w:r w:rsidR="006F4ACC" w:rsidRPr="003011D3">
        <w:rPr>
          <w:rStyle w:val="Guidance"/>
          <w:i/>
          <w:iCs/>
        </w:rPr>
        <w:t>Standard disclosures in the Report of Operations</w:t>
      </w:r>
      <w:r w:rsidRPr="00FC57AF">
        <w:rPr>
          <w:rStyle w:val="Guidance"/>
        </w:rPr>
        <w:t xml:space="preserve"> requires the entity to disclose general and financial information to outline and explain </w:t>
      </w:r>
      <w:r w:rsidR="00336F6A">
        <w:rPr>
          <w:rStyle w:val="Guidance"/>
        </w:rPr>
        <w:t>its</w:t>
      </w:r>
      <w:r w:rsidR="00336F6A" w:rsidRPr="00FC57AF">
        <w:rPr>
          <w:rStyle w:val="Guidance"/>
        </w:rPr>
        <w:t xml:space="preserve"> </w:t>
      </w:r>
      <w:r w:rsidRPr="00FC57AF">
        <w:rPr>
          <w:rStyle w:val="Guidance"/>
        </w:rPr>
        <w:t xml:space="preserve">operations and activities for the reporting period. </w:t>
      </w:r>
      <w:r w:rsidRPr="00FC57AF">
        <w:rPr>
          <w:rStyle w:val="Reference"/>
        </w:rPr>
        <w:t>[FRD 22]</w:t>
      </w:r>
    </w:p>
    <w:p w14:paraId="49D3C184" w14:textId="42B80534" w:rsidR="00FC57AF" w:rsidRPr="00FC57AF" w:rsidRDefault="00FC57AF" w:rsidP="00FC57AF">
      <w:pPr>
        <w:rPr>
          <w:rStyle w:val="Guidance"/>
        </w:rPr>
      </w:pPr>
      <w:r w:rsidRPr="00FC57AF">
        <w:rPr>
          <w:rStyle w:val="Guidance"/>
        </w:rPr>
        <w:t xml:space="preserve">General information includes the entity’s activities, operational highlights for the reporting period, future initiatives and other relevant information not included in the financial statements. General information should also include the entity’s purpose, functions, powers and duties, which are linked to a summary of </w:t>
      </w:r>
      <w:r w:rsidR="00336F6A">
        <w:rPr>
          <w:rStyle w:val="Guidance"/>
        </w:rPr>
        <w:t xml:space="preserve">its </w:t>
      </w:r>
      <w:r w:rsidRPr="00FC57AF">
        <w:rPr>
          <w:rStyle w:val="Guidance"/>
        </w:rPr>
        <w:t xml:space="preserve">activities, programs and achievements for the reporting period. </w:t>
      </w:r>
    </w:p>
    <w:p w14:paraId="5BB3B1FA" w14:textId="77777777" w:rsidR="00FC57AF" w:rsidRPr="00FC57AF" w:rsidRDefault="00FC57AF" w:rsidP="00FC57AF">
      <w:pPr>
        <w:rPr>
          <w:rStyle w:val="Guidance"/>
        </w:rPr>
      </w:pPr>
      <w:r w:rsidRPr="00FC57AF">
        <w:rPr>
          <w:rStyle w:val="Guidance"/>
        </w:rPr>
        <w:t>Under the Government’s performance management system, a department’s medium-term departmental objectives should clearly align with its key ‘purpose, functions, powers and duties’. Goods and services (outputs) funded by the Government and delivered in a financial year should support the achievement of departmental objectives over time. The effectiveness of a department in delivering on its objectives will be assessed through the reporting of objective indicators.</w:t>
      </w:r>
    </w:p>
    <w:p w14:paraId="17BFB989" w14:textId="1D24EAE2" w:rsidR="00FC57AF" w:rsidRPr="00FC57AF" w:rsidRDefault="00FC57AF" w:rsidP="00FC57AF">
      <w:pPr>
        <w:rPr>
          <w:rStyle w:val="Guidance"/>
        </w:rPr>
      </w:pPr>
      <w:r w:rsidRPr="00FC57AF">
        <w:rPr>
          <w:rStyle w:val="Guidance"/>
        </w:rPr>
        <w:t>In addition, FRD 22 requires that the manner of establishment of the entity and relevant ministers be included, as well as the nature and range of services provided, including the communities served.</w:t>
      </w:r>
    </w:p>
    <w:p w14:paraId="313D7DF5" w14:textId="2C53996C" w:rsidR="00FC57AF" w:rsidRPr="00FC57AF" w:rsidRDefault="00FC57AF" w:rsidP="004D5FC0">
      <w:pPr>
        <w:pStyle w:val="GuidanceHeading"/>
        <w:rPr>
          <w:rStyle w:val="Reference"/>
        </w:rPr>
      </w:pPr>
      <w:r w:rsidRPr="00FC57AF">
        <w:rPr>
          <w:rStyle w:val="Guidance"/>
        </w:rPr>
        <w:t xml:space="preserve">Guidance </w:t>
      </w:r>
      <w:r w:rsidRPr="00FC57AF">
        <w:rPr>
          <w:rStyle w:val="Reference"/>
        </w:rPr>
        <w:t>[FRD 22]</w:t>
      </w:r>
    </w:p>
    <w:p w14:paraId="1F15FAE5" w14:textId="7438CE17" w:rsidR="00FC57AF" w:rsidRPr="00FC57AF" w:rsidRDefault="00FC57AF" w:rsidP="00FC57AF">
      <w:pPr>
        <w:rPr>
          <w:rStyle w:val="Guidance"/>
        </w:rPr>
      </w:pPr>
      <w:r w:rsidRPr="00FC57AF">
        <w:rPr>
          <w:rStyle w:val="Guidance"/>
        </w:rPr>
        <w:t>The year in review section is the opening section of a department’s annual report. The introduction should clearly articulate the department’s vision, mission, values, high level purpose, strategic priorities and key achievements.</w:t>
      </w:r>
    </w:p>
    <w:p w14:paraId="121B8C0B" w14:textId="533A49C5" w:rsidR="00FC57AF" w:rsidRDefault="00FC57AF" w:rsidP="00FC57AF">
      <w:pPr>
        <w:rPr>
          <w:rStyle w:val="Guidance"/>
        </w:rPr>
      </w:pPr>
      <w:r w:rsidRPr="00FC57AF">
        <w:rPr>
          <w:rStyle w:val="Guidance"/>
        </w:rPr>
        <w:t xml:space="preserve">Reference should be made to </w:t>
      </w:r>
      <w:r w:rsidRPr="004D5FC0">
        <w:rPr>
          <w:rStyle w:val="Guidance"/>
          <w:i/>
          <w:iCs/>
        </w:rPr>
        <w:t>the progress towards achieving departmental objectives, performance against output performance measures</w:t>
      </w:r>
      <w:r w:rsidRPr="00FC57AF">
        <w:rPr>
          <w:rStyle w:val="Guidance"/>
        </w:rPr>
        <w:t xml:space="preserve"> and </w:t>
      </w:r>
      <w:r w:rsidRPr="004D5FC0">
        <w:rPr>
          <w:rStyle w:val="Guidance"/>
          <w:i/>
          <w:iCs/>
        </w:rPr>
        <w:t>financial review</w:t>
      </w:r>
      <w:r w:rsidRPr="00FC57AF">
        <w:rPr>
          <w:rStyle w:val="Guidance"/>
        </w:rPr>
        <w:t xml:space="preserve"> sections when commenting on how the department has achieved its targets. This section should also include the Secretary’s report, which outlines the achievements by the department for the year and a reference to the aims of the department for the year ahead.</w:t>
      </w:r>
    </w:p>
    <w:p w14:paraId="7E2CDE8F" w14:textId="77777777" w:rsidR="0033519E" w:rsidRPr="0033519E" w:rsidRDefault="0033519E" w:rsidP="0033519E">
      <w:pPr>
        <w:pStyle w:val="GuidanceEnd"/>
      </w:pPr>
    </w:p>
    <w:p w14:paraId="1B74165B" w14:textId="3D3E1795" w:rsidR="00DC39DE" w:rsidRPr="0033519E" w:rsidRDefault="00DC39DE" w:rsidP="0033519E">
      <w:pPr>
        <w:rPr>
          <w:i/>
          <w:iCs/>
        </w:rPr>
      </w:pPr>
      <w:r w:rsidRPr="0033519E">
        <w:rPr>
          <w:i/>
          <w:iCs/>
        </w:rPr>
        <w:t>Our vision</w:t>
      </w:r>
    </w:p>
    <w:p w14:paraId="4F8A610C" w14:textId="19EDA4BD" w:rsidR="00DC39DE" w:rsidRDefault="00DC39DE" w:rsidP="00DC39DE">
      <w:r>
        <w:t xml:space="preserve">The </w:t>
      </w:r>
      <w:r w:rsidR="002C35CA">
        <w:t>D</w:t>
      </w:r>
      <w:r>
        <w:t xml:space="preserve">epartment’s vision is for Victoria to be recognised as the highest performing, most innovative and trusted technological state in Australia. </w:t>
      </w:r>
    </w:p>
    <w:p w14:paraId="0AB9E7D9" w14:textId="77777777" w:rsidR="00DC39DE" w:rsidRPr="0033519E" w:rsidRDefault="00DC39DE" w:rsidP="0033519E">
      <w:pPr>
        <w:rPr>
          <w:i/>
          <w:iCs/>
        </w:rPr>
      </w:pPr>
      <w:r w:rsidRPr="0033519E">
        <w:rPr>
          <w:i/>
          <w:iCs/>
        </w:rPr>
        <w:t>Our mission</w:t>
      </w:r>
    </w:p>
    <w:p w14:paraId="1900252F" w14:textId="77777777" w:rsidR="00DC39DE" w:rsidRDefault="00DC39DE" w:rsidP="00DC39DE">
      <w:r>
        <w:t>As a first point of call for public sector technological improvement, to proactively lead and engage the Victorian public sector in continually improving services, standards, governance and workforce development.</w:t>
      </w:r>
    </w:p>
    <w:p w14:paraId="359F3C24" w14:textId="77777777" w:rsidR="00DC39DE" w:rsidRPr="0033519E" w:rsidRDefault="00DC39DE" w:rsidP="0033519E">
      <w:pPr>
        <w:rPr>
          <w:i/>
          <w:iCs/>
        </w:rPr>
      </w:pPr>
      <w:r w:rsidRPr="0033519E">
        <w:rPr>
          <w:i/>
          <w:iCs/>
        </w:rPr>
        <w:t>Our values</w:t>
      </w:r>
    </w:p>
    <w:p w14:paraId="38D2F02B" w14:textId="77777777" w:rsidR="00DC39DE" w:rsidRDefault="00DC39DE" w:rsidP="00DC39DE">
      <w:r w:rsidRPr="004D5FC0">
        <w:rPr>
          <w:b/>
          <w:bCs/>
        </w:rPr>
        <w:t>Be open</w:t>
      </w:r>
      <w:r>
        <w:t xml:space="preserve">: Listen to and consider the views and opinions of our people. Provide accurate and objective information. </w:t>
      </w:r>
    </w:p>
    <w:p w14:paraId="0F547937" w14:textId="77777777" w:rsidR="00DC39DE" w:rsidRDefault="00DC39DE" w:rsidP="00DC39DE">
      <w:r w:rsidRPr="003D52D7">
        <w:rPr>
          <w:b/>
          <w:bCs/>
        </w:rPr>
        <w:t>Work together:</w:t>
      </w:r>
      <w:r>
        <w:t xml:space="preserve"> Demonstrate effective team behaviours. Collaborate across and outside the Department of Technology to achieve desired outcomes. Value the contributions of teams as a whole.</w:t>
      </w:r>
    </w:p>
    <w:p w14:paraId="36BAF36B" w14:textId="77777777" w:rsidR="00DC39DE" w:rsidRDefault="00DC39DE" w:rsidP="00DC39DE">
      <w:r w:rsidRPr="004D5FC0">
        <w:rPr>
          <w:b/>
          <w:bCs/>
        </w:rPr>
        <w:t>Respect others</w:t>
      </w:r>
      <w:r>
        <w:t>: Treat others as we would like to be treated. Make intelligent use of the range of knowledge and skills held by our people. Apply work practices effectively to our people.</w:t>
      </w:r>
    </w:p>
    <w:p w14:paraId="3D1931CE" w14:textId="77777777" w:rsidR="00DC39DE" w:rsidRDefault="00DC39DE" w:rsidP="00DC39DE">
      <w:r w:rsidRPr="004D5FC0">
        <w:rPr>
          <w:b/>
          <w:bCs/>
        </w:rPr>
        <w:t>Make a difference</w:t>
      </w:r>
      <w:r>
        <w:t>: Strive to achieve outcomes that make a difference. Plan how best to achieve our desired outcomes. Measure our impact and apply learning from evaluations to future actions.</w:t>
      </w:r>
    </w:p>
    <w:p w14:paraId="0A986ED3" w14:textId="77777777" w:rsidR="00DC39DE" w:rsidRDefault="00DC39DE" w:rsidP="00DC39DE">
      <w:r w:rsidRPr="004D5FC0">
        <w:rPr>
          <w:b/>
          <w:bCs/>
        </w:rPr>
        <w:t>Lead with purpose</w:t>
      </w:r>
      <w:r>
        <w:t>: Provide a clear direction for the people we lead. Help people get their jobs done. Set an example by our actions.</w:t>
      </w:r>
    </w:p>
    <w:p w14:paraId="14E056F8" w14:textId="77777777" w:rsidR="00DC39DE" w:rsidRDefault="00DC39DE" w:rsidP="00DC39DE">
      <w:r w:rsidRPr="004D5FC0">
        <w:rPr>
          <w:b/>
          <w:bCs/>
        </w:rPr>
        <w:t>Focus on safety</w:t>
      </w:r>
      <w:r>
        <w:t>: Be aware of safety requirements, potential hazards and procedures in the work area. Take action to minimise or eliminate hazards. Be mindful of potential health and safety risks in all decision making.</w:t>
      </w:r>
    </w:p>
    <w:p w14:paraId="47E524F7" w14:textId="77777777" w:rsidR="0033519E" w:rsidRDefault="0033519E">
      <w:pPr>
        <w:rPr>
          <w:rFonts w:asciiTheme="majorHAnsi" w:eastAsiaTheme="majorEastAsia" w:hAnsiTheme="majorHAnsi" w:cstheme="majorBidi"/>
          <w:b/>
          <w:sz w:val="22"/>
          <w:szCs w:val="24"/>
        </w:rPr>
      </w:pPr>
      <w:r>
        <w:br w:type="page"/>
      </w:r>
    </w:p>
    <w:p w14:paraId="03217479" w14:textId="4773FE07" w:rsidR="00DC39DE" w:rsidRDefault="00DC39DE" w:rsidP="0033519E">
      <w:pPr>
        <w:pStyle w:val="Heading3"/>
      </w:pPr>
      <w:r>
        <w:lastRenderedPageBreak/>
        <w:t>Secretary’s report</w:t>
      </w:r>
    </w:p>
    <w:p w14:paraId="357DEB92" w14:textId="6BDBF474" w:rsidR="00DC39DE" w:rsidRPr="00AF3C2F" w:rsidRDefault="00DC39DE" w:rsidP="00DC39DE">
      <w:pPr>
        <w:rPr>
          <w:rStyle w:val="Guidance"/>
        </w:rPr>
      </w:pPr>
      <w:r w:rsidRPr="00AF3C2F">
        <w:rPr>
          <w:rStyle w:val="Guidance"/>
        </w:rPr>
        <w:t>[</w:t>
      </w:r>
      <w:r w:rsidR="00DB587B">
        <w:rPr>
          <w:rStyle w:val="Guidance"/>
        </w:rPr>
        <w:t xml:space="preserve">Departments to provide </w:t>
      </w:r>
      <w:r w:rsidR="00DB587B" w:rsidRPr="00AF3C2F">
        <w:rPr>
          <w:rStyle w:val="Guidance"/>
        </w:rPr>
        <w:t>u</w:t>
      </w:r>
      <w:r w:rsidRPr="00AF3C2F">
        <w:rPr>
          <w:rStyle w:val="Guidance"/>
        </w:rPr>
        <w:t>seful guidance regarding appropriate content can be found in the ‘Year in review’ commentary]</w:t>
      </w:r>
    </w:p>
    <w:p w14:paraId="3AC320ED" w14:textId="77777777" w:rsidR="00DC39DE" w:rsidRPr="00AF3C2F" w:rsidRDefault="00DC39DE" w:rsidP="00DC39DE">
      <w:pPr>
        <w:rPr>
          <w:rStyle w:val="Guidance"/>
        </w:rPr>
      </w:pPr>
      <w:r w:rsidRPr="00AF3C2F">
        <w:rPr>
          <w:rStyle w:val="Guidance"/>
        </w:rPr>
        <w:t>[Signature is optional]</w:t>
      </w:r>
    </w:p>
    <w:p w14:paraId="384B558E" w14:textId="63D7929E" w:rsidR="00DC39DE" w:rsidRDefault="00DC39DE" w:rsidP="00DC39DE">
      <w:r>
        <w:t>Jane Smith</w:t>
      </w:r>
      <w:r w:rsidR="00AF3C2F">
        <w:br/>
      </w:r>
      <w:r>
        <w:t>Secretary</w:t>
      </w:r>
    </w:p>
    <w:p w14:paraId="3D1DF4A3" w14:textId="77777777" w:rsidR="00DC39DE" w:rsidRDefault="00DC39DE" w:rsidP="00DC39DE"/>
    <w:p w14:paraId="413EF911" w14:textId="77777777" w:rsidR="00DC39DE" w:rsidRDefault="00DC39DE" w:rsidP="00AF3C2F">
      <w:pPr>
        <w:pStyle w:val="Heading3"/>
      </w:pPr>
      <w:bookmarkStart w:id="92" w:name="INDEXPurposeFunc"/>
      <w:bookmarkEnd w:id="92"/>
      <w:r>
        <w:t>Purpose and functions</w:t>
      </w:r>
    </w:p>
    <w:p w14:paraId="09B2F3D8" w14:textId="58E219F0" w:rsidR="00AF3C2F" w:rsidRDefault="00AF3C2F" w:rsidP="00DC39DE">
      <w:r w:rsidRPr="00AF3C2F">
        <w:t xml:space="preserve">The Department of Technology (‘the Department’) was established in 1998 to centralise and </w:t>
      </w:r>
      <w:r w:rsidR="00B70E21">
        <w:t xml:space="preserve">provide </w:t>
      </w:r>
      <w:r w:rsidRPr="00AF3C2F">
        <w:t xml:space="preserve">strategic policy advice to the Government and the Victorian community </w:t>
      </w:r>
      <w:r w:rsidR="00B70E21" w:rsidRPr="00AF3C2F">
        <w:t>regarding</w:t>
      </w:r>
      <w:r w:rsidRPr="00AF3C2F">
        <w:t xml:space="preserve"> the adoption of new technology. With the establishment of the Department, the Government was able to centralise its research and development efforts (R&amp;D), particularly research and development activities in respect of biological technology, and the provision of information technology and telecommunication (IT&amp;T) activities to other government departments. The Department is now recognised as a leading</w:t>
      </w:r>
      <w:r w:rsidR="005E1DF3">
        <w:t>-</w:t>
      </w:r>
      <w:r w:rsidRPr="00AF3C2F">
        <w:t>edge provider of technical and strategic advice and support on technology and IT&amp;T issues.</w:t>
      </w:r>
      <w:r>
        <w:t xml:space="preserve"> </w:t>
      </w:r>
      <w:r w:rsidRPr="00AF3C2F">
        <w:rPr>
          <w:rStyle w:val="Reference"/>
        </w:rPr>
        <w:t>[FRD 22]</w:t>
      </w:r>
    </w:p>
    <w:p w14:paraId="27E5D193" w14:textId="2E1587D4" w:rsidR="00DC39DE" w:rsidRDefault="00DC39DE" w:rsidP="00DC39DE">
      <w:r>
        <w:t>The Department’s function is to ensure the Government and the general Victorian commun</w:t>
      </w:r>
      <w:r w:rsidR="0084561C">
        <w:t>i</w:t>
      </w:r>
      <w:r>
        <w:t xml:space="preserve">ty obtain the benefits of technology, including biological technology </w:t>
      </w:r>
      <w:r w:rsidR="00B70E21">
        <w:t>to</w:t>
      </w:r>
      <w:r>
        <w:t xml:space="preserve"> enhance the economic and social prosperity of the community. As a central government agency, the Department plays an important role in advising the Government on technology issues and the provision of technological services for the community.</w:t>
      </w:r>
    </w:p>
    <w:p w14:paraId="115358CB" w14:textId="297A4E16" w:rsidR="00DC39DE" w:rsidRDefault="00DC39DE" w:rsidP="00AF3C2F">
      <w:pPr>
        <w:pStyle w:val="Caption"/>
      </w:pPr>
      <w:r>
        <w:t xml:space="preserve">Changes to the Department during </w:t>
      </w:r>
      <w:fldSimple w:instr="DOCPROPERTY  FinYearCurrent  \* MERGEFORMAT">
        <w:r w:rsidR="008E5189">
          <w:t>20X1</w:t>
        </w:r>
        <w:r w:rsidR="008E5189" w:rsidRPr="008E5189">
          <w:rPr>
            <w:rFonts w:ascii="Cambria Math" w:hAnsi="Cambria Math" w:cs="Cambria Math"/>
          </w:rPr>
          <w:t>‑</w:t>
        </w:r>
        <w:r w:rsidR="008E5189">
          <w:t>X2</w:t>
        </w:r>
      </w:fldSimple>
    </w:p>
    <w:tbl>
      <w:tblPr>
        <w:tblStyle w:val="DTFTextTable"/>
        <w:tblW w:w="0" w:type="auto"/>
        <w:tblLook w:val="0620" w:firstRow="1" w:lastRow="0" w:firstColumn="0" w:lastColumn="0" w:noHBand="1" w:noVBand="1"/>
      </w:tblPr>
      <w:tblGrid>
        <w:gridCol w:w="3119"/>
        <w:gridCol w:w="2977"/>
        <w:gridCol w:w="3532"/>
      </w:tblGrid>
      <w:tr w:rsidR="00AF3C2F" w:rsidRPr="00052D9B" w14:paraId="27A46B24" w14:textId="77777777" w:rsidTr="00AF3C2F">
        <w:trPr>
          <w:cnfStyle w:val="100000000000" w:firstRow="1" w:lastRow="0" w:firstColumn="0" w:lastColumn="0" w:oddVBand="0" w:evenVBand="0" w:oddHBand="0" w:evenHBand="0" w:firstRowFirstColumn="0" w:firstRowLastColumn="0" w:lastRowFirstColumn="0" w:lastRowLastColumn="0"/>
        </w:trPr>
        <w:tc>
          <w:tcPr>
            <w:tcW w:w="3119" w:type="dxa"/>
          </w:tcPr>
          <w:p w14:paraId="63E31B5D" w14:textId="6A397309" w:rsidR="00AF3C2F" w:rsidRPr="00052D9B" w:rsidRDefault="008E5189" w:rsidP="003D52D7">
            <w:pPr>
              <w:rPr>
                <w:sz w:val="17"/>
                <w:szCs w:val="17"/>
              </w:rPr>
            </w:pPr>
            <w:r w:rsidRPr="00052D9B">
              <w:rPr>
                <w:sz w:val="17"/>
                <w:szCs w:val="17"/>
              </w:rPr>
              <w:fldChar w:fldCharType="begin"/>
            </w:r>
            <w:r w:rsidRPr="00052D9B">
              <w:rPr>
                <w:sz w:val="17"/>
                <w:szCs w:val="17"/>
              </w:rPr>
              <w:instrText>DOCPROPERTY  FinYearCurrent  \* MERGEFORMAT</w:instrText>
            </w:r>
            <w:r w:rsidRPr="00052D9B">
              <w:rPr>
                <w:sz w:val="17"/>
                <w:szCs w:val="17"/>
              </w:rPr>
              <w:fldChar w:fldCharType="separate"/>
            </w:r>
            <w:r w:rsidRPr="00052D9B">
              <w:rPr>
                <w:sz w:val="17"/>
                <w:szCs w:val="17"/>
              </w:rPr>
              <w:t>20X1</w:t>
            </w:r>
            <w:r w:rsidRPr="00052D9B">
              <w:rPr>
                <w:rFonts w:ascii="Cambria Math" w:hAnsi="Cambria Math" w:cs="Cambria Math"/>
                <w:sz w:val="17"/>
                <w:szCs w:val="17"/>
              </w:rPr>
              <w:t>‑</w:t>
            </w:r>
            <w:r w:rsidRPr="00052D9B">
              <w:rPr>
                <w:sz w:val="17"/>
                <w:szCs w:val="17"/>
              </w:rPr>
              <w:t>X2</w:t>
            </w:r>
            <w:r w:rsidRPr="00052D9B">
              <w:rPr>
                <w:sz w:val="17"/>
                <w:szCs w:val="17"/>
              </w:rPr>
              <w:fldChar w:fldCharType="end"/>
            </w:r>
            <w:r w:rsidR="001C6077" w:rsidRPr="00052D9B">
              <w:rPr>
                <w:sz w:val="17"/>
                <w:szCs w:val="17"/>
              </w:rPr>
              <w:t xml:space="preserve"> </w:t>
            </w:r>
            <w:r w:rsidR="00AF3C2F" w:rsidRPr="00052D9B">
              <w:rPr>
                <w:sz w:val="17"/>
                <w:szCs w:val="17"/>
              </w:rPr>
              <w:t>departmental objective</w:t>
            </w:r>
          </w:p>
        </w:tc>
        <w:tc>
          <w:tcPr>
            <w:tcW w:w="2977" w:type="dxa"/>
          </w:tcPr>
          <w:p w14:paraId="1A9DB39A" w14:textId="62A463AD" w:rsidR="00AF3C2F" w:rsidRPr="00052D9B" w:rsidRDefault="008E5189" w:rsidP="001C6077">
            <w:pPr>
              <w:rPr>
                <w:sz w:val="17"/>
                <w:szCs w:val="17"/>
              </w:rPr>
            </w:pPr>
            <w:r w:rsidRPr="00052D9B">
              <w:rPr>
                <w:sz w:val="17"/>
                <w:szCs w:val="17"/>
              </w:rPr>
              <w:fldChar w:fldCharType="begin"/>
            </w:r>
            <w:r w:rsidRPr="00052D9B">
              <w:rPr>
                <w:sz w:val="17"/>
                <w:szCs w:val="17"/>
              </w:rPr>
              <w:instrText>DOCPROPERTY  FinYearCurrent  \* MERGEFORMAT</w:instrText>
            </w:r>
            <w:r w:rsidRPr="00052D9B">
              <w:rPr>
                <w:sz w:val="17"/>
                <w:szCs w:val="17"/>
              </w:rPr>
              <w:fldChar w:fldCharType="separate"/>
            </w:r>
            <w:r w:rsidRPr="00052D9B">
              <w:rPr>
                <w:sz w:val="17"/>
                <w:szCs w:val="17"/>
              </w:rPr>
              <w:t>20X1</w:t>
            </w:r>
            <w:r w:rsidRPr="00052D9B">
              <w:rPr>
                <w:rFonts w:ascii="Cambria Math" w:hAnsi="Cambria Math" w:cs="Cambria Math"/>
                <w:sz w:val="17"/>
                <w:szCs w:val="17"/>
              </w:rPr>
              <w:t>‑</w:t>
            </w:r>
            <w:r w:rsidRPr="00052D9B">
              <w:rPr>
                <w:sz w:val="17"/>
                <w:szCs w:val="17"/>
              </w:rPr>
              <w:t>X2</w:t>
            </w:r>
            <w:r w:rsidRPr="00052D9B">
              <w:rPr>
                <w:sz w:val="17"/>
                <w:szCs w:val="17"/>
              </w:rPr>
              <w:fldChar w:fldCharType="end"/>
            </w:r>
            <w:r w:rsidR="001C6077" w:rsidRPr="00052D9B">
              <w:rPr>
                <w:sz w:val="17"/>
                <w:szCs w:val="17"/>
              </w:rPr>
              <w:t xml:space="preserve"> </w:t>
            </w:r>
            <w:r w:rsidR="00AF3C2F" w:rsidRPr="00052D9B">
              <w:rPr>
                <w:sz w:val="17"/>
                <w:szCs w:val="17"/>
              </w:rPr>
              <w:t>output</w:t>
            </w:r>
          </w:p>
        </w:tc>
        <w:tc>
          <w:tcPr>
            <w:tcW w:w="3532" w:type="dxa"/>
          </w:tcPr>
          <w:p w14:paraId="2EFFD53E" w14:textId="77777777" w:rsidR="00AF3C2F" w:rsidRPr="00052D9B" w:rsidRDefault="00AF3C2F" w:rsidP="003D52D7">
            <w:pPr>
              <w:rPr>
                <w:sz w:val="17"/>
                <w:szCs w:val="17"/>
              </w:rPr>
            </w:pPr>
            <w:r w:rsidRPr="00052D9B">
              <w:rPr>
                <w:sz w:val="17"/>
                <w:szCs w:val="17"/>
              </w:rPr>
              <w:t>Reason for change</w:t>
            </w:r>
          </w:p>
        </w:tc>
      </w:tr>
      <w:tr w:rsidR="00AF3C2F" w:rsidRPr="00052D9B" w14:paraId="318727A0" w14:textId="77777777" w:rsidTr="00AF3C2F">
        <w:tc>
          <w:tcPr>
            <w:tcW w:w="3119" w:type="dxa"/>
          </w:tcPr>
          <w:p w14:paraId="69AEFFB8" w14:textId="77777777" w:rsidR="00AF3C2F" w:rsidRPr="00052D9B" w:rsidRDefault="00AF3C2F" w:rsidP="003D52D7">
            <w:pPr>
              <w:rPr>
                <w:sz w:val="17"/>
                <w:szCs w:val="17"/>
              </w:rPr>
            </w:pPr>
            <w:r w:rsidRPr="00052D9B">
              <w:rPr>
                <w:sz w:val="17"/>
                <w:szCs w:val="17"/>
              </w:rPr>
              <w:t>Improve the quality of life of Victorians through eradicating certain diseases and enhancing nutrition</w:t>
            </w:r>
          </w:p>
        </w:tc>
        <w:tc>
          <w:tcPr>
            <w:tcW w:w="2977" w:type="dxa"/>
          </w:tcPr>
          <w:p w14:paraId="79952628" w14:textId="77777777" w:rsidR="00AF3C2F" w:rsidRPr="00052D9B" w:rsidRDefault="00AF3C2F" w:rsidP="003D52D7">
            <w:pPr>
              <w:rPr>
                <w:sz w:val="17"/>
                <w:szCs w:val="17"/>
              </w:rPr>
            </w:pPr>
            <w:r w:rsidRPr="00052D9B">
              <w:rPr>
                <w:sz w:val="17"/>
                <w:szCs w:val="17"/>
              </w:rPr>
              <w:t>Research and development of biological technology</w:t>
            </w:r>
          </w:p>
        </w:tc>
        <w:tc>
          <w:tcPr>
            <w:tcW w:w="3532" w:type="dxa"/>
          </w:tcPr>
          <w:p w14:paraId="69E5D772" w14:textId="503BF117" w:rsidR="00AF3C2F" w:rsidRPr="00052D9B" w:rsidRDefault="00AF3C2F" w:rsidP="003D52D7">
            <w:pPr>
              <w:rPr>
                <w:sz w:val="17"/>
                <w:szCs w:val="17"/>
              </w:rPr>
            </w:pPr>
            <w:r w:rsidRPr="00052D9B">
              <w:rPr>
                <w:sz w:val="17"/>
                <w:szCs w:val="17"/>
              </w:rPr>
              <w:t>New departmental objective and associated output resulting from machinery of government administrative restructure – 2</w:t>
            </w:r>
            <w:r w:rsidR="008426CC">
              <w:rPr>
                <w:sz w:val="17"/>
                <w:szCs w:val="17"/>
              </w:rPr>
              <w:t> </w:t>
            </w:r>
            <w:r w:rsidRPr="00052D9B">
              <w:rPr>
                <w:sz w:val="17"/>
                <w:szCs w:val="17"/>
              </w:rPr>
              <w:t xml:space="preserve">August </w:t>
            </w:r>
            <w:r w:rsidR="00B62AA9" w:rsidRPr="00052D9B">
              <w:rPr>
                <w:sz w:val="17"/>
                <w:szCs w:val="17"/>
              </w:rPr>
              <w:fldChar w:fldCharType="begin"/>
            </w:r>
            <w:r w:rsidR="00B62AA9" w:rsidRPr="00052D9B">
              <w:rPr>
                <w:sz w:val="17"/>
                <w:szCs w:val="17"/>
              </w:rPr>
              <w:instrText>DOCPROPERTY  YearPrevious  \* MERGEFORMAT</w:instrText>
            </w:r>
            <w:r w:rsidR="00B62AA9" w:rsidRPr="00052D9B">
              <w:rPr>
                <w:sz w:val="17"/>
                <w:szCs w:val="17"/>
              </w:rPr>
              <w:fldChar w:fldCharType="separate"/>
            </w:r>
            <w:r w:rsidR="00B62AA9" w:rsidRPr="00052D9B">
              <w:rPr>
                <w:sz w:val="17"/>
                <w:szCs w:val="17"/>
              </w:rPr>
              <w:t>20X1</w:t>
            </w:r>
            <w:r w:rsidR="00B62AA9" w:rsidRPr="00052D9B">
              <w:rPr>
                <w:sz w:val="17"/>
                <w:szCs w:val="17"/>
              </w:rPr>
              <w:fldChar w:fldCharType="end"/>
            </w:r>
            <w:r w:rsidRPr="00052D9B">
              <w:rPr>
                <w:sz w:val="17"/>
                <w:szCs w:val="17"/>
              </w:rPr>
              <w:t>.</w:t>
            </w:r>
          </w:p>
        </w:tc>
      </w:tr>
    </w:tbl>
    <w:p w14:paraId="3CBED9D7" w14:textId="77777777" w:rsidR="00AF3C2F" w:rsidRDefault="00AF3C2F" w:rsidP="00AF3C2F"/>
    <w:tbl>
      <w:tblPr>
        <w:tblStyle w:val="DTFTextTable"/>
        <w:tblW w:w="0" w:type="auto"/>
        <w:tblLook w:val="0620" w:firstRow="1" w:lastRow="0" w:firstColumn="0" w:lastColumn="0" w:noHBand="1" w:noVBand="1"/>
      </w:tblPr>
      <w:tblGrid>
        <w:gridCol w:w="3209"/>
        <w:gridCol w:w="2887"/>
        <w:gridCol w:w="3532"/>
      </w:tblGrid>
      <w:tr w:rsidR="00AF3C2F" w:rsidRPr="00052D9B" w14:paraId="6C4E59F0" w14:textId="77777777" w:rsidTr="00AF3C2F">
        <w:trPr>
          <w:cnfStyle w:val="100000000000" w:firstRow="1" w:lastRow="0" w:firstColumn="0" w:lastColumn="0" w:oddVBand="0" w:evenVBand="0" w:oddHBand="0" w:evenHBand="0" w:firstRowFirstColumn="0" w:firstRowLastColumn="0" w:lastRowFirstColumn="0" w:lastRowLastColumn="0"/>
        </w:trPr>
        <w:tc>
          <w:tcPr>
            <w:tcW w:w="3209" w:type="dxa"/>
          </w:tcPr>
          <w:p w14:paraId="3B1DEA29" w14:textId="04BE8984" w:rsidR="00AF3C2F" w:rsidRPr="00052D9B" w:rsidRDefault="00A545BA" w:rsidP="003D52D7">
            <w:pPr>
              <w:rPr>
                <w:sz w:val="17"/>
                <w:szCs w:val="17"/>
              </w:rPr>
            </w:pPr>
            <w:r w:rsidRPr="00052D9B">
              <w:rPr>
                <w:sz w:val="17"/>
                <w:szCs w:val="17"/>
              </w:rPr>
              <w:fldChar w:fldCharType="begin"/>
            </w:r>
            <w:r w:rsidRPr="00052D9B">
              <w:rPr>
                <w:sz w:val="17"/>
                <w:szCs w:val="17"/>
              </w:rPr>
              <w:instrText>DOCPROPERTY  FinYearPrevious  \* MERGEFORMAT</w:instrText>
            </w:r>
            <w:r w:rsidRPr="00052D9B">
              <w:rPr>
                <w:sz w:val="17"/>
                <w:szCs w:val="17"/>
              </w:rPr>
              <w:fldChar w:fldCharType="separate"/>
            </w:r>
            <w:r w:rsidRPr="00052D9B">
              <w:rPr>
                <w:sz w:val="17"/>
                <w:szCs w:val="17"/>
              </w:rPr>
              <w:t>20X0</w:t>
            </w:r>
            <w:r w:rsidRPr="00052D9B">
              <w:rPr>
                <w:rFonts w:ascii="Cambria Math" w:hAnsi="Cambria Math" w:cs="Cambria Math"/>
                <w:sz w:val="17"/>
                <w:szCs w:val="17"/>
              </w:rPr>
              <w:t>‑</w:t>
            </w:r>
            <w:r w:rsidRPr="00052D9B">
              <w:rPr>
                <w:sz w:val="17"/>
                <w:szCs w:val="17"/>
              </w:rPr>
              <w:t>X1</w:t>
            </w:r>
            <w:r w:rsidRPr="00052D9B">
              <w:rPr>
                <w:sz w:val="17"/>
                <w:szCs w:val="17"/>
              </w:rPr>
              <w:fldChar w:fldCharType="end"/>
            </w:r>
            <w:r w:rsidR="001C6077" w:rsidRPr="00052D9B">
              <w:rPr>
                <w:sz w:val="17"/>
                <w:szCs w:val="17"/>
              </w:rPr>
              <w:t xml:space="preserve"> </w:t>
            </w:r>
            <w:r w:rsidR="00AF3C2F" w:rsidRPr="00052D9B">
              <w:rPr>
                <w:sz w:val="17"/>
                <w:szCs w:val="17"/>
              </w:rPr>
              <w:t>departmental objective</w:t>
            </w:r>
          </w:p>
        </w:tc>
        <w:tc>
          <w:tcPr>
            <w:tcW w:w="2887" w:type="dxa"/>
          </w:tcPr>
          <w:p w14:paraId="05ACE9CF" w14:textId="669C6E98" w:rsidR="00AF3C2F" w:rsidRPr="00052D9B" w:rsidRDefault="00A545BA" w:rsidP="003D52D7">
            <w:pPr>
              <w:rPr>
                <w:sz w:val="17"/>
                <w:szCs w:val="17"/>
              </w:rPr>
            </w:pPr>
            <w:r w:rsidRPr="00052D9B">
              <w:rPr>
                <w:sz w:val="17"/>
                <w:szCs w:val="17"/>
              </w:rPr>
              <w:fldChar w:fldCharType="begin"/>
            </w:r>
            <w:r w:rsidRPr="00052D9B">
              <w:rPr>
                <w:sz w:val="17"/>
                <w:szCs w:val="17"/>
              </w:rPr>
              <w:instrText>DOCPROPERTY  FinYearPrevious  \* MERGEFORMAT</w:instrText>
            </w:r>
            <w:r w:rsidRPr="00052D9B">
              <w:rPr>
                <w:sz w:val="17"/>
                <w:szCs w:val="17"/>
              </w:rPr>
              <w:fldChar w:fldCharType="separate"/>
            </w:r>
            <w:r w:rsidRPr="00052D9B">
              <w:rPr>
                <w:sz w:val="17"/>
                <w:szCs w:val="17"/>
              </w:rPr>
              <w:t>20X0</w:t>
            </w:r>
            <w:r w:rsidRPr="00052D9B">
              <w:rPr>
                <w:rFonts w:ascii="Cambria Math" w:hAnsi="Cambria Math" w:cs="Cambria Math"/>
                <w:sz w:val="17"/>
                <w:szCs w:val="17"/>
              </w:rPr>
              <w:t>‑</w:t>
            </w:r>
            <w:r w:rsidRPr="00052D9B">
              <w:rPr>
                <w:sz w:val="17"/>
                <w:szCs w:val="17"/>
              </w:rPr>
              <w:t>X1</w:t>
            </w:r>
            <w:r w:rsidRPr="00052D9B">
              <w:rPr>
                <w:sz w:val="17"/>
                <w:szCs w:val="17"/>
              </w:rPr>
              <w:fldChar w:fldCharType="end"/>
            </w:r>
            <w:r w:rsidR="00AF3C2F" w:rsidRPr="00052D9B">
              <w:rPr>
                <w:sz w:val="17"/>
                <w:szCs w:val="17"/>
              </w:rPr>
              <w:t xml:space="preserve"> output</w:t>
            </w:r>
          </w:p>
        </w:tc>
        <w:tc>
          <w:tcPr>
            <w:tcW w:w="3532" w:type="dxa"/>
          </w:tcPr>
          <w:p w14:paraId="5592658B" w14:textId="77777777" w:rsidR="00AF3C2F" w:rsidRPr="00052D9B" w:rsidRDefault="00AF3C2F" w:rsidP="003D52D7">
            <w:pPr>
              <w:rPr>
                <w:sz w:val="17"/>
                <w:szCs w:val="17"/>
              </w:rPr>
            </w:pPr>
            <w:r w:rsidRPr="00052D9B">
              <w:rPr>
                <w:sz w:val="17"/>
                <w:szCs w:val="17"/>
              </w:rPr>
              <w:t>Reason for change</w:t>
            </w:r>
          </w:p>
        </w:tc>
      </w:tr>
      <w:tr w:rsidR="00AF3C2F" w:rsidRPr="00052D9B" w14:paraId="39BBFF20" w14:textId="77777777" w:rsidTr="00AF3C2F">
        <w:tc>
          <w:tcPr>
            <w:tcW w:w="3209" w:type="dxa"/>
          </w:tcPr>
          <w:p w14:paraId="14DD413A" w14:textId="6FDA1FE3" w:rsidR="00AF3C2F" w:rsidRPr="00052D9B" w:rsidRDefault="00AF3C2F" w:rsidP="003D52D7">
            <w:pPr>
              <w:rPr>
                <w:sz w:val="17"/>
                <w:szCs w:val="17"/>
              </w:rPr>
            </w:pPr>
            <w:r w:rsidRPr="00052D9B">
              <w:rPr>
                <w:sz w:val="17"/>
                <w:szCs w:val="17"/>
              </w:rPr>
              <w:t xml:space="preserve">[Insert </w:t>
            </w:r>
            <w:r w:rsidR="00BA3619" w:rsidRPr="00052D9B">
              <w:rPr>
                <w:sz w:val="17"/>
                <w:szCs w:val="17"/>
              </w:rPr>
              <w:fldChar w:fldCharType="begin"/>
            </w:r>
            <w:r w:rsidR="00BA3619" w:rsidRPr="00052D9B">
              <w:rPr>
                <w:sz w:val="17"/>
                <w:szCs w:val="17"/>
              </w:rPr>
              <w:instrText>DOCPROPERTY  FinYearPrevious  \* MERGEFORMAT</w:instrText>
            </w:r>
            <w:r w:rsidR="00BA3619" w:rsidRPr="00052D9B">
              <w:rPr>
                <w:sz w:val="17"/>
                <w:szCs w:val="17"/>
              </w:rPr>
              <w:fldChar w:fldCharType="separate"/>
            </w:r>
            <w:r w:rsidR="00BA3619" w:rsidRPr="00052D9B">
              <w:rPr>
                <w:sz w:val="17"/>
                <w:szCs w:val="17"/>
              </w:rPr>
              <w:t>20X0</w:t>
            </w:r>
            <w:r w:rsidR="00BA3619" w:rsidRPr="00052D9B">
              <w:rPr>
                <w:rFonts w:ascii="Cambria Math" w:hAnsi="Cambria Math" w:cs="Cambria Math"/>
                <w:sz w:val="17"/>
                <w:szCs w:val="17"/>
              </w:rPr>
              <w:t>‑</w:t>
            </w:r>
            <w:r w:rsidR="00BA3619" w:rsidRPr="00052D9B">
              <w:rPr>
                <w:sz w:val="17"/>
                <w:szCs w:val="17"/>
              </w:rPr>
              <w:t>X1</w:t>
            </w:r>
            <w:r w:rsidR="00BA3619" w:rsidRPr="00052D9B">
              <w:rPr>
                <w:sz w:val="17"/>
                <w:szCs w:val="17"/>
              </w:rPr>
              <w:fldChar w:fldCharType="end"/>
            </w:r>
            <w:r w:rsidRPr="00052D9B">
              <w:rPr>
                <w:sz w:val="17"/>
                <w:szCs w:val="17"/>
              </w:rPr>
              <w:t xml:space="preserve"> departmental objective if different from current year]</w:t>
            </w:r>
          </w:p>
        </w:tc>
        <w:tc>
          <w:tcPr>
            <w:tcW w:w="2887" w:type="dxa"/>
          </w:tcPr>
          <w:p w14:paraId="071C1D6C" w14:textId="77777777" w:rsidR="00AF3C2F" w:rsidRPr="00052D9B" w:rsidRDefault="00AF3C2F" w:rsidP="003D52D7">
            <w:pPr>
              <w:rPr>
                <w:sz w:val="17"/>
                <w:szCs w:val="17"/>
              </w:rPr>
            </w:pPr>
            <w:r w:rsidRPr="00052D9B">
              <w:rPr>
                <w:sz w:val="17"/>
                <w:szCs w:val="17"/>
              </w:rPr>
              <w:t>New technology administration</w:t>
            </w:r>
          </w:p>
        </w:tc>
        <w:tc>
          <w:tcPr>
            <w:tcW w:w="3532" w:type="dxa"/>
          </w:tcPr>
          <w:p w14:paraId="5CA1796C" w14:textId="7AA11C62" w:rsidR="00AF3C2F" w:rsidRPr="00052D9B" w:rsidRDefault="00AF3C2F" w:rsidP="003D52D7">
            <w:pPr>
              <w:rPr>
                <w:sz w:val="17"/>
                <w:szCs w:val="17"/>
              </w:rPr>
            </w:pPr>
            <w:r w:rsidRPr="00052D9B">
              <w:rPr>
                <w:sz w:val="17"/>
                <w:szCs w:val="17"/>
              </w:rPr>
              <w:t xml:space="preserve">Transferred departmental objective and associated output resulting from machinery of government administrative restructure – 2 August </w:t>
            </w:r>
            <w:r w:rsidR="00A545BA" w:rsidRPr="00052D9B">
              <w:rPr>
                <w:sz w:val="17"/>
                <w:szCs w:val="17"/>
              </w:rPr>
              <w:fldChar w:fldCharType="begin"/>
            </w:r>
            <w:r w:rsidR="00A545BA" w:rsidRPr="00052D9B">
              <w:rPr>
                <w:sz w:val="17"/>
                <w:szCs w:val="17"/>
              </w:rPr>
              <w:instrText>DOCPROPERTY  YearPrevious  \* MERGEFORMAT</w:instrText>
            </w:r>
            <w:r w:rsidR="00A545BA" w:rsidRPr="00052D9B">
              <w:rPr>
                <w:sz w:val="17"/>
                <w:szCs w:val="17"/>
              </w:rPr>
              <w:fldChar w:fldCharType="separate"/>
            </w:r>
            <w:r w:rsidR="00A545BA" w:rsidRPr="00052D9B">
              <w:rPr>
                <w:sz w:val="17"/>
                <w:szCs w:val="17"/>
              </w:rPr>
              <w:t>20X1</w:t>
            </w:r>
            <w:r w:rsidR="00A545BA" w:rsidRPr="00052D9B">
              <w:rPr>
                <w:sz w:val="17"/>
                <w:szCs w:val="17"/>
              </w:rPr>
              <w:fldChar w:fldCharType="end"/>
            </w:r>
            <w:r w:rsidRPr="00052D9B">
              <w:rPr>
                <w:sz w:val="17"/>
                <w:szCs w:val="17"/>
              </w:rPr>
              <w:t>.</w:t>
            </w:r>
          </w:p>
        </w:tc>
      </w:tr>
    </w:tbl>
    <w:p w14:paraId="45822921" w14:textId="77777777" w:rsidR="00DC39DE" w:rsidRDefault="00DC39DE" w:rsidP="00DC39DE"/>
    <w:p w14:paraId="2D70B879" w14:textId="2DD545CB" w:rsidR="00DC39DE" w:rsidRDefault="00DC39DE" w:rsidP="00DC39DE">
      <w:r>
        <w:t xml:space="preserve">As a consequence of policy decisions announced by the Government on 2 August </w:t>
      </w:r>
      <w:fldSimple w:instr="DOCPROPERTY  YearPrevious  \* MERGEFORMAT">
        <w:r w:rsidR="00A545BA">
          <w:t>20X1</w:t>
        </w:r>
      </w:fldSimple>
      <w:r>
        <w:t xml:space="preserve">, changes were made to the departmental objectives and output structure of the Department during the financial year. </w:t>
      </w:r>
    </w:p>
    <w:p w14:paraId="5861B97F" w14:textId="6E08624B" w:rsidR="00DC39DE" w:rsidRDefault="00DC39DE" w:rsidP="00DC39DE">
      <w:r>
        <w:t xml:space="preserve">This report of operations presents the progress made by the Department towards achieving its departmental objectives and full year performance of the outputs, received through the administrative restructure, for which the Department was responsible </w:t>
      </w:r>
      <w:r w:rsidR="00B70E21">
        <w:t xml:space="preserve">for </w:t>
      </w:r>
      <w:r>
        <w:t xml:space="preserve">at the end of the financial year. Correspondingly, the departmental objective and full year performance of the output transferred to another department is reported in the transferee department’s report of operations. However, it is the responsibility of the transferor to ensure all financial accounts and reports of the transferred outputs were kept and provided for the purposes of the </w:t>
      </w:r>
      <w:r w:rsidRPr="00C86E90">
        <w:rPr>
          <w:i/>
          <w:iCs/>
        </w:rPr>
        <w:t>Financial Management Act 1994</w:t>
      </w:r>
      <w:r>
        <w:t xml:space="preserve"> until 31 August </w:t>
      </w:r>
      <w:fldSimple w:instr="DOCPROPERTY  YearPrevious  \* MERGEFORMAT">
        <w:r w:rsidR="00BA3619">
          <w:t>20X1</w:t>
        </w:r>
      </w:fldSimple>
      <w:r>
        <w:t xml:space="preserve">. </w:t>
      </w:r>
    </w:p>
    <w:p w14:paraId="3816182D" w14:textId="77777777" w:rsidR="00DC39DE" w:rsidRPr="00C86E90" w:rsidRDefault="00DC39DE" w:rsidP="00DC39DE">
      <w:pPr>
        <w:rPr>
          <w:rStyle w:val="Guidance"/>
        </w:rPr>
      </w:pPr>
      <w:r w:rsidRPr="00C86E90">
        <w:rPr>
          <w:rStyle w:val="Guidance"/>
        </w:rPr>
        <w:t xml:space="preserve">[Departments should also outline changes to departmental objectives and output structure as a result of an internal review of its medium-term objectives and output structure as part of this disclosure.] </w:t>
      </w:r>
    </w:p>
    <w:p w14:paraId="42AA446C" w14:textId="77777777" w:rsidR="00DC39DE" w:rsidRDefault="00DC39DE" w:rsidP="00DC39DE">
      <w:r>
        <w:t>As part of the administrative restructure, the Department is now responsible for achieving the departmental objective of improving the quality of life of Victorians through eradicating certain diseases and enhancing nutrition by delivering services associated with the output Research and Development of Biological Technology. Responsibility for this objective and output was previously held by the Department of Natural Resources. All output performance measures are now reported by the Department for the full financial year.</w:t>
      </w:r>
    </w:p>
    <w:p w14:paraId="190FC76B" w14:textId="77777777" w:rsidR="00DC39DE" w:rsidRDefault="00DC39DE" w:rsidP="00DC39DE">
      <w:r>
        <w:t xml:space="preserve">The Department was previously also responsible for achieving </w:t>
      </w:r>
      <w:r w:rsidRPr="00C86E90">
        <w:rPr>
          <w:rStyle w:val="Guidance"/>
        </w:rPr>
        <w:t>[insert affected departmental objective]</w:t>
      </w:r>
      <w:r>
        <w:t xml:space="preserve"> with the delivery of services associated with the output New Technology Administration. As a result of the administrative restructure, the affected departmental objective and indicator and all output performance measures are now reported by the Department of Cabinet Administration.</w:t>
      </w:r>
    </w:p>
    <w:p w14:paraId="59EA78F4" w14:textId="3F5940D0" w:rsidR="00C86E90" w:rsidRDefault="00C86E90" w:rsidP="00C86E90">
      <w:pPr>
        <w:pStyle w:val="GuidanceBlockHeading"/>
      </w:pPr>
      <w:r>
        <w:lastRenderedPageBreak/>
        <w:t xml:space="preserve">Guidance – Changes to a department during </w:t>
      </w:r>
      <w:fldSimple w:instr="DOCPROPERTY  FinYearCurrent  \* MERGEFORMAT">
        <w:r w:rsidR="008E5189">
          <w:t>20X1</w:t>
        </w:r>
        <w:r w:rsidR="008E5189" w:rsidRPr="008E5189">
          <w:rPr>
            <w:rFonts w:ascii="Cambria Math" w:hAnsi="Cambria Math" w:cs="Cambria Math"/>
          </w:rPr>
          <w:t>‑</w:t>
        </w:r>
        <w:r w:rsidR="008E5189">
          <w:t>X2</w:t>
        </w:r>
      </w:fldSimple>
    </w:p>
    <w:p w14:paraId="132F13F1" w14:textId="4D59B5EC" w:rsidR="00C86E90" w:rsidRDefault="00C86E90" w:rsidP="00C86E90">
      <w:pPr>
        <w:pStyle w:val="GuidanceHeading"/>
      </w:pPr>
      <w:r>
        <w:t>Expanded guidance on machinery of government changes is provided as follows:</w:t>
      </w:r>
    </w:p>
    <w:p w14:paraId="101CBC3A" w14:textId="7047F38C" w:rsidR="00C86E90" w:rsidRPr="000028A3" w:rsidRDefault="00C86E90" w:rsidP="00310F12">
      <w:pPr>
        <w:pStyle w:val="ListBullet"/>
        <w:rPr>
          <w:rStyle w:val="Guidance"/>
        </w:rPr>
      </w:pPr>
      <w:r w:rsidRPr="00C86E90">
        <w:rPr>
          <w:rStyle w:val="Guidance"/>
        </w:rPr>
        <w:t>For illustration on disclosure of comparatives for assets and liabilities transferred, refer to Illustrative disclosures in Notes 4.1 and 4.2 of the Model financial statements</w:t>
      </w:r>
      <w:r w:rsidR="004212E5">
        <w:rPr>
          <w:rStyle w:val="Guidance"/>
        </w:rPr>
        <w:t>.</w:t>
      </w:r>
    </w:p>
    <w:p w14:paraId="396DAEF9" w14:textId="3E57C518" w:rsidR="00C86E90" w:rsidRPr="00C86E90" w:rsidRDefault="00C86E90" w:rsidP="00310F12">
      <w:pPr>
        <w:pStyle w:val="ListBullet"/>
        <w:rPr>
          <w:rStyle w:val="Guidance"/>
        </w:rPr>
      </w:pPr>
      <w:r w:rsidRPr="00C86E90">
        <w:rPr>
          <w:rStyle w:val="Guidance"/>
        </w:rPr>
        <w:t>For general guidance on machinery of government changes and disclosure in the financial statements, refer to illustrative disclosure and guidance provided in Note 4.3 of the Model financial statements.</w:t>
      </w:r>
    </w:p>
    <w:p w14:paraId="3FDE5F3F" w14:textId="045FC678" w:rsidR="00C86E90" w:rsidRPr="00C86E90" w:rsidRDefault="00C86E90" w:rsidP="00C86E90">
      <w:pPr>
        <w:rPr>
          <w:rStyle w:val="Guidance"/>
        </w:rPr>
      </w:pPr>
      <w:r w:rsidRPr="00C86E90">
        <w:rPr>
          <w:rStyle w:val="Guidance"/>
        </w:rPr>
        <w:t>Any machinery of government changes impacting on departmental objective</w:t>
      </w:r>
      <w:r w:rsidR="00B70E21">
        <w:rPr>
          <w:rStyle w:val="Guidance"/>
        </w:rPr>
        <w:t>s</w:t>
      </w:r>
      <w:r w:rsidRPr="00C86E90">
        <w:rPr>
          <w:rStyle w:val="Guidance"/>
        </w:rPr>
        <w:t xml:space="preserve"> and output performance reporting needs to be described in the report of operations. The departmental objective and output performance reporting should be disclosed </w:t>
      </w:r>
      <w:r w:rsidRPr="00C86E90">
        <w:rPr>
          <w:rStyle w:val="Guidance"/>
          <w:b/>
          <w:bCs/>
        </w:rPr>
        <w:t>for the full year</w:t>
      </w:r>
      <w:r w:rsidRPr="00C86E90">
        <w:rPr>
          <w:rStyle w:val="Guidance"/>
        </w:rPr>
        <w:t xml:space="preserve"> by the department administratively responsible for the functions and output delivery </w:t>
      </w:r>
      <w:r w:rsidRPr="00C86E90">
        <w:rPr>
          <w:rStyle w:val="Guidance"/>
          <w:b/>
          <w:bCs/>
        </w:rPr>
        <w:t>at the end of the financial year</w:t>
      </w:r>
      <w:r w:rsidRPr="00C86E90">
        <w:rPr>
          <w:rStyle w:val="Guidance"/>
        </w:rPr>
        <w:t>.</w:t>
      </w:r>
    </w:p>
    <w:p w14:paraId="50F8D717" w14:textId="77777777" w:rsidR="00C86E90" w:rsidRPr="00C86E90" w:rsidRDefault="00C86E90" w:rsidP="00C86E90">
      <w:pPr>
        <w:rPr>
          <w:rStyle w:val="Guidance"/>
        </w:rPr>
      </w:pPr>
      <w:r w:rsidRPr="00C86E90">
        <w:rPr>
          <w:rStyle w:val="Guidance"/>
        </w:rPr>
        <w:t>For a department that is abolished because of machinery of government changes, the abolished department is also required to report on the departmental objectives and output performance up to the date it ceases to exist in its final report of operations.</w:t>
      </w:r>
    </w:p>
    <w:p w14:paraId="75607A13" w14:textId="70355A81" w:rsidR="00C86E90" w:rsidRPr="00C86E90" w:rsidRDefault="00C86E90" w:rsidP="00C86E90">
      <w:pPr>
        <w:rPr>
          <w:rStyle w:val="Guidance"/>
        </w:rPr>
      </w:pPr>
      <w:r w:rsidRPr="00C86E90">
        <w:rPr>
          <w:rStyle w:val="Guidance"/>
          <w:b/>
          <w:bCs/>
        </w:rPr>
        <w:t>Note:</w:t>
      </w:r>
      <w:r w:rsidRPr="00C86E90">
        <w:rPr>
          <w:rStyle w:val="Guidance"/>
        </w:rPr>
        <w:t xml:space="preserve"> </w:t>
      </w:r>
      <w:r w:rsidR="003D7F61">
        <w:rPr>
          <w:rStyle w:val="Guidance"/>
        </w:rPr>
        <w:t>I</w:t>
      </w:r>
      <w:r w:rsidRPr="00C86E90">
        <w:rPr>
          <w:rStyle w:val="Guidance"/>
        </w:rPr>
        <w:t xml:space="preserve">f only part of an output is transferred, reporting should be on the relevant performance measures that relate to the function being transferred.  </w:t>
      </w:r>
    </w:p>
    <w:p w14:paraId="11381A40" w14:textId="3E42DC3B" w:rsidR="00C86E90" w:rsidRPr="00C86E90" w:rsidRDefault="00C86E90" w:rsidP="00C86E90">
      <w:pPr>
        <w:rPr>
          <w:rStyle w:val="Guidance"/>
        </w:rPr>
      </w:pPr>
      <w:r w:rsidRPr="00C86E90">
        <w:rPr>
          <w:rStyle w:val="Guidance"/>
        </w:rPr>
        <w:t xml:space="preserve">Detailed guidance in planning and implementing machinery of government changes are contained in the </w:t>
      </w:r>
      <w:hyperlink r:id="rId39" w:history="1">
        <w:r w:rsidRPr="009C2673">
          <w:rPr>
            <w:rStyle w:val="Hyperlink"/>
            <w:i/>
            <w:iCs/>
          </w:rPr>
          <w:t>VPS operating manual on machinery of government changes</w:t>
        </w:r>
      </w:hyperlink>
      <w:r w:rsidRPr="00C86E90">
        <w:rPr>
          <w:rStyle w:val="Guidance"/>
        </w:rPr>
        <w:t xml:space="preserve"> which can be found </w:t>
      </w:r>
      <w:r w:rsidR="00B70E21">
        <w:rPr>
          <w:rStyle w:val="Guidance"/>
        </w:rPr>
        <w:t>on the DTF website</w:t>
      </w:r>
      <w:r w:rsidR="00D023FB">
        <w:rPr>
          <w:rStyle w:val="Guidance"/>
        </w:rPr>
        <w:t xml:space="preserve"> </w:t>
      </w:r>
      <w:r w:rsidRPr="00CB1C83">
        <w:rPr>
          <w:rStyle w:val="Guidance"/>
          <w:color w:val="C00000"/>
        </w:rPr>
        <w:t>[FRD 8</w:t>
      </w:r>
      <w:r w:rsidR="00B66192" w:rsidRPr="00CB1C83">
        <w:rPr>
          <w:rStyle w:val="Guidance"/>
          <w:i/>
          <w:color w:val="C00000"/>
        </w:rPr>
        <w:t xml:space="preserve"> Consistency of budget and departmental reporting</w:t>
      </w:r>
      <w:r w:rsidRPr="00CB1C83">
        <w:rPr>
          <w:rStyle w:val="Guidance"/>
          <w:color w:val="C00000"/>
        </w:rPr>
        <w:t>]</w:t>
      </w:r>
      <w:r w:rsidR="00D023FB" w:rsidRPr="00275E1E">
        <w:rPr>
          <w:rStyle w:val="Guidance"/>
          <w:i/>
          <w:color w:val="C00000"/>
        </w:rPr>
        <w:t>.</w:t>
      </w:r>
    </w:p>
    <w:p w14:paraId="3053B9BB" w14:textId="2A27A5A1" w:rsidR="00C86E90" w:rsidRDefault="00C86E90" w:rsidP="00C86E90">
      <w:pPr>
        <w:pStyle w:val="GuidanceHeading"/>
      </w:pPr>
      <w:r>
        <w:t>Departmental objective and output performance reporting of the transferee department</w:t>
      </w:r>
    </w:p>
    <w:p w14:paraId="1709026B" w14:textId="12475D65" w:rsidR="00C86E90" w:rsidRPr="00C86E90" w:rsidRDefault="00C86E90" w:rsidP="00C86E90">
      <w:pPr>
        <w:rPr>
          <w:rStyle w:val="Guidance"/>
        </w:rPr>
      </w:pPr>
      <w:r w:rsidRPr="00C86E90">
        <w:rPr>
          <w:rStyle w:val="Guidance"/>
        </w:rPr>
        <w:t>As the transferee department is administratively responsible for the outputs at the end of the financial year, it will now report the relevant departmental objective</w:t>
      </w:r>
      <w:r w:rsidR="00B70E21">
        <w:rPr>
          <w:rStyle w:val="Guidance"/>
        </w:rPr>
        <w:t>s</w:t>
      </w:r>
      <w:r w:rsidRPr="00C86E90">
        <w:rPr>
          <w:rStyle w:val="Guidance"/>
        </w:rPr>
        <w:t xml:space="preserve"> and associated indicator(s), output and associated output performance measures received due to the machinery of government changes for the full year, consistent with FRD 8</w:t>
      </w:r>
      <w:r w:rsidR="00723663">
        <w:rPr>
          <w:rStyle w:val="Guidance"/>
        </w:rPr>
        <w:t>.</w:t>
      </w:r>
      <w:r w:rsidR="006F4ACC">
        <w:rPr>
          <w:rStyle w:val="Guidance"/>
        </w:rPr>
        <w:t xml:space="preserve"> </w:t>
      </w:r>
      <w:r w:rsidRPr="00C86E90">
        <w:rPr>
          <w:rStyle w:val="Guidance"/>
        </w:rPr>
        <w:t>The transferee department will provide commentary on all impacted outputs and associated departmental objectives explaining:</w:t>
      </w:r>
    </w:p>
    <w:p w14:paraId="4FAE8149" w14:textId="2AB544F5" w:rsidR="00C86E90" w:rsidRPr="00C86E90" w:rsidRDefault="00C86E90" w:rsidP="00310F12">
      <w:pPr>
        <w:pStyle w:val="ListBullet"/>
        <w:rPr>
          <w:rStyle w:val="Guidance"/>
        </w:rPr>
      </w:pPr>
      <w:r w:rsidRPr="00C86E90">
        <w:rPr>
          <w:rStyle w:val="Guidance"/>
        </w:rPr>
        <w:t>the departmental objective and associated indicator(s) and output and associated performance measures that were transferred to the department</w:t>
      </w:r>
    </w:p>
    <w:p w14:paraId="74A2B31F" w14:textId="6AAE16D6" w:rsidR="00C86E90" w:rsidRPr="00C86E90" w:rsidRDefault="00C86E90" w:rsidP="00310F12">
      <w:pPr>
        <w:pStyle w:val="ListBullet"/>
        <w:rPr>
          <w:rStyle w:val="Guidance"/>
        </w:rPr>
      </w:pPr>
      <w:r w:rsidRPr="00C86E90">
        <w:rPr>
          <w:rStyle w:val="Guidance"/>
        </w:rPr>
        <w:t>details of the transferor department</w:t>
      </w:r>
    </w:p>
    <w:p w14:paraId="20BE91CB" w14:textId="1E8D5D39" w:rsidR="00C86E90" w:rsidRPr="00C86E90" w:rsidRDefault="00C86E90" w:rsidP="00310F12">
      <w:pPr>
        <w:pStyle w:val="ListBullet"/>
        <w:rPr>
          <w:rStyle w:val="Guidance"/>
        </w:rPr>
      </w:pPr>
      <w:r w:rsidRPr="00C86E90">
        <w:rPr>
          <w:rStyle w:val="Guidance"/>
        </w:rPr>
        <w:t>the date on which the administrative arrangement occurred.</w:t>
      </w:r>
    </w:p>
    <w:p w14:paraId="49EBD104" w14:textId="77777777" w:rsidR="00C86E90" w:rsidRDefault="00C86E90" w:rsidP="00C86E90">
      <w:pPr>
        <w:pStyle w:val="GuidanceHeading"/>
      </w:pPr>
      <w:r>
        <w:t>Departmental objective and output performance reporting of the transferor department</w:t>
      </w:r>
    </w:p>
    <w:p w14:paraId="76BE7019" w14:textId="77777777" w:rsidR="00C86E90" w:rsidRPr="00C86E90" w:rsidRDefault="00C86E90" w:rsidP="00C86E90">
      <w:pPr>
        <w:rPr>
          <w:rStyle w:val="Guidance"/>
        </w:rPr>
      </w:pPr>
      <w:r w:rsidRPr="00C86E90">
        <w:rPr>
          <w:rStyle w:val="Guidance"/>
        </w:rPr>
        <w:t>As the transferor department will no longer be administratively responsible for the outputs at the end of the financial year, it does not need to report on the transferred output and associated output performance, related departmental objective (whole or in part) and associated indicator(s) transferred to another department. The transferor department will need to provide commentary on all impacted departmental objectives and outputs explaining:</w:t>
      </w:r>
    </w:p>
    <w:p w14:paraId="02DF73A2" w14:textId="33AEED54" w:rsidR="00C86E90" w:rsidRPr="00C86E90" w:rsidRDefault="00C86E90" w:rsidP="00310F12">
      <w:pPr>
        <w:pStyle w:val="ListBullet"/>
        <w:rPr>
          <w:rStyle w:val="Guidance"/>
        </w:rPr>
      </w:pPr>
      <w:r w:rsidRPr="00C86E90">
        <w:rPr>
          <w:rStyle w:val="Guidance"/>
        </w:rPr>
        <w:t>the outputs that were transferred to another department and related departmental objective (whole or in part) and indicator(s)</w:t>
      </w:r>
    </w:p>
    <w:p w14:paraId="5163CDC4" w14:textId="58D38455" w:rsidR="00C86E90" w:rsidRPr="00C86E90" w:rsidRDefault="00C86E90" w:rsidP="00310F12">
      <w:pPr>
        <w:pStyle w:val="ListBullet"/>
        <w:rPr>
          <w:rStyle w:val="Guidance"/>
        </w:rPr>
      </w:pPr>
      <w:r w:rsidRPr="00C86E90">
        <w:rPr>
          <w:rStyle w:val="Guidance"/>
        </w:rPr>
        <w:t>details of the transferee department</w:t>
      </w:r>
    </w:p>
    <w:p w14:paraId="7CD9AFB8" w14:textId="67944044" w:rsidR="00C86E90" w:rsidRPr="00C86E90" w:rsidRDefault="00C86E90" w:rsidP="00310F12">
      <w:pPr>
        <w:pStyle w:val="ListBullet"/>
        <w:rPr>
          <w:rStyle w:val="Guidance"/>
        </w:rPr>
      </w:pPr>
      <w:r w:rsidRPr="00C86E90">
        <w:rPr>
          <w:rStyle w:val="Guidance"/>
        </w:rPr>
        <w:t>the date on which the administrative arrangement occurred.</w:t>
      </w:r>
    </w:p>
    <w:p w14:paraId="0D6201BB" w14:textId="4588A265" w:rsidR="00DC39DE" w:rsidRPr="00C86E90" w:rsidRDefault="00C86E90" w:rsidP="00C86E90">
      <w:pPr>
        <w:rPr>
          <w:rStyle w:val="Guidance"/>
        </w:rPr>
      </w:pPr>
      <w:r w:rsidRPr="00C86E90">
        <w:rPr>
          <w:rStyle w:val="Guidance"/>
          <w:b/>
          <w:bCs/>
        </w:rPr>
        <w:t>Note:</w:t>
      </w:r>
      <w:r w:rsidRPr="00C86E90">
        <w:rPr>
          <w:rStyle w:val="Guidance"/>
        </w:rPr>
        <w:t xml:space="preserve"> The departmental objective and output performance reporting as described above is different from the financial reporting of an administrative restructure. Departments must continue to recognise assets, liabilities, income and expenses arising from the transferred/received outputs during the period in the financial year in which entities were responsible for those outputs.</w:t>
      </w:r>
    </w:p>
    <w:p w14:paraId="03E91CB5" w14:textId="77777777" w:rsidR="00DC39DE" w:rsidRDefault="00DC39DE" w:rsidP="0070513A">
      <w:pPr>
        <w:pStyle w:val="GuidanceEnd"/>
      </w:pPr>
    </w:p>
    <w:p w14:paraId="6BC5E06F" w14:textId="77777777" w:rsidR="0070513A" w:rsidRDefault="0070513A">
      <w:pPr>
        <w:rPr>
          <w:rFonts w:asciiTheme="majorHAnsi" w:eastAsiaTheme="majorEastAsia" w:hAnsiTheme="majorHAnsi" w:cstheme="majorBidi"/>
          <w:b/>
          <w:sz w:val="26"/>
          <w:szCs w:val="26"/>
        </w:rPr>
      </w:pPr>
      <w:r>
        <w:br w:type="page"/>
      </w:r>
    </w:p>
    <w:p w14:paraId="71D46921" w14:textId="42E1CEC3" w:rsidR="00DC39DE" w:rsidRDefault="00DC39DE" w:rsidP="0070513A">
      <w:pPr>
        <w:pStyle w:val="Heading2"/>
      </w:pPr>
      <w:bookmarkStart w:id="93" w:name="_Toc199156268"/>
      <w:r>
        <w:lastRenderedPageBreak/>
        <w:t>Direct costs attributable to machinery of government changes</w:t>
      </w:r>
      <w:bookmarkEnd w:id="93"/>
    </w:p>
    <w:p w14:paraId="1445A18F" w14:textId="7F8344F9" w:rsidR="0070513A" w:rsidRDefault="0070513A" w:rsidP="00DC39DE">
      <w:pPr>
        <w:rPr>
          <w:rStyle w:val="Reference"/>
        </w:rPr>
      </w:pPr>
      <w:r w:rsidRPr="0070513A">
        <w:t xml:space="preserve">In August </w:t>
      </w:r>
      <w:fldSimple w:instr="DOCPROPERTY  YearPrevious  \* MERGEFORMAT">
        <w:r w:rsidR="00A545BA">
          <w:t>20X1</w:t>
        </w:r>
      </w:fldSimple>
      <w:r w:rsidRPr="0070513A">
        <w:t>, the Government issued an administrative order restructuring some of its activities via machinery of government (MoG) changes, taking effect from 1 September</w:t>
      </w:r>
      <w:r w:rsidR="009A0A57" w:rsidRPr="0070513A">
        <w:t xml:space="preserve"> </w:t>
      </w:r>
      <w:fldSimple w:instr="DOCPROPERTY  YearPrevious  \* MERGEFORMAT">
        <w:r w:rsidR="00A545BA">
          <w:t>20X1</w:t>
        </w:r>
      </w:fldSimple>
      <w:r w:rsidRPr="0070513A">
        <w:t>. As result of the MoG changes, the departments have incurred the following additional direct costs:</w:t>
      </w:r>
      <w:r>
        <w:t xml:space="preserve"> </w:t>
      </w:r>
      <w:r w:rsidRPr="0070513A">
        <w:rPr>
          <w:rStyle w:val="Reference"/>
        </w:rPr>
        <w:t>[Recommendation 39, PAEC Report on the 2015-16 Budget Estimates]</w:t>
      </w:r>
    </w:p>
    <w:tbl>
      <w:tblPr>
        <w:tblStyle w:val="DTFFinancialTable"/>
        <w:tblW w:w="9639" w:type="dxa"/>
        <w:tblLayout w:type="fixed"/>
        <w:tblLook w:val="06E0" w:firstRow="1" w:lastRow="1" w:firstColumn="1" w:lastColumn="0" w:noHBand="1" w:noVBand="1"/>
      </w:tblPr>
      <w:tblGrid>
        <w:gridCol w:w="5812"/>
        <w:gridCol w:w="1701"/>
        <w:gridCol w:w="2126"/>
      </w:tblGrid>
      <w:tr w:rsidR="00C77F36" w:rsidRPr="00940E38" w14:paraId="2D0B2DE6" w14:textId="77777777" w:rsidTr="00C77F36">
        <w:trPr>
          <w:cnfStyle w:val="100000000000" w:firstRow="1" w:lastRow="0" w:firstColumn="0" w:lastColumn="0" w:oddVBand="0" w:evenVBand="0" w:oddHBand="0" w:evenHBand="0" w:firstRowFirstColumn="0" w:firstRowLastColumn="0" w:lastRowFirstColumn="0" w:lastRowLastColumn="0"/>
          <w:trHeight w:val="442"/>
        </w:trPr>
        <w:tc>
          <w:tcPr>
            <w:cnfStyle w:val="001000000100" w:firstRow="0" w:lastRow="0" w:firstColumn="1" w:lastColumn="0" w:oddVBand="0" w:evenVBand="0" w:oddHBand="0" w:evenHBand="0" w:firstRowFirstColumn="1" w:firstRowLastColumn="0" w:lastRowFirstColumn="0" w:lastRowLastColumn="0"/>
            <w:tcW w:w="5812" w:type="dxa"/>
          </w:tcPr>
          <w:p w14:paraId="67E3C51E" w14:textId="77777777" w:rsidR="00C77F36" w:rsidRPr="000C6611" w:rsidRDefault="00C77F36" w:rsidP="00C77F36">
            <w:r w:rsidRPr="000C6611">
              <w:t>Department of Technology</w:t>
            </w:r>
          </w:p>
        </w:tc>
        <w:tc>
          <w:tcPr>
            <w:tcW w:w="1701" w:type="dxa"/>
          </w:tcPr>
          <w:p w14:paraId="280E04F0" w14:textId="77777777" w:rsidR="00C77F36" w:rsidRPr="005025E3" w:rsidRDefault="00C77F36" w:rsidP="00C77F36">
            <w:pPr>
              <w:cnfStyle w:val="100000000000" w:firstRow="1" w:lastRow="0" w:firstColumn="0" w:lastColumn="0" w:oddVBand="0" w:evenVBand="0" w:oddHBand="0" w:evenHBand="0" w:firstRowFirstColumn="0" w:firstRowLastColumn="0" w:lastRowFirstColumn="0" w:lastRowLastColumn="0"/>
            </w:pPr>
            <w:r w:rsidRPr="005025E3">
              <w:t xml:space="preserve">Costs </w:t>
            </w:r>
            <w:r>
              <w:br/>
            </w:r>
            <w:r w:rsidRPr="005025E3">
              <w:t xml:space="preserve">incurred </w:t>
            </w:r>
          </w:p>
        </w:tc>
        <w:tc>
          <w:tcPr>
            <w:tcW w:w="2126" w:type="dxa"/>
          </w:tcPr>
          <w:p w14:paraId="3CE03A63" w14:textId="77777777" w:rsidR="00C77F36" w:rsidRPr="005025E3" w:rsidRDefault="00C77F36" w:rsidP="00C77F36">
            <w:pPr>
              <w:cnfStyle w:val="100000000000" w:firstRow="1" w:lastRow="0" w:firstColumn="0" w:lastColumn="0" w:oddVBand="0" w:evenVBand="0" w:oddHBand="0" w:evenHBand="0" w:firstRowFirstColumn="0" w:firstRowLastColumn="0" w:lastRowFirstColumn="0" w:lastRowLastColumn="0"/>
            </w:pPr>
            <w:r w:rsidRPr="005025E3">
              <w:t xml:space="preserve">Anticipated future costs </w:t>
            </w:r>
          </w:p>
          <w:p w14:paraId="012CC195" w14:textId="75BBC30D" w:rsidR="00C77F36" w:rsidRPr="005025E3" w:rsidRDefault="00C77F36" w:rsidP="00C77F36">
            <w:pPr>
              <w:cnfStyle w:val="100000000000" w:firstRow="1" w:lastRow="0" w:firstColumn="0" w:lastColumn="0" w:oddVBand="0" w:evenVBand="0" w:oddHBand="0" w:evenHBand="0" w:firstRowFirstColumn="0" w:firstRowLastColumn="0" w:lastRowFirstColumn="0" w:lastRowLastColumn="0"/>
            </w:pPr>
            <w:r w:rsidRPr="005025E3">
              <w:t xml:space="preserve">(1 July </w:t>
            </w:r>
            <w:fldSimple w:instr="DOCPROPERTY  YearCurrent  \* MERGEFORMAT">
              <w:r w:rsidR="00A545BA">
                <w:t>20X2</w:t>
              </w:r>
            </w:fldSimple>
            <w:r>
              <w:t xml:space="preserve"> </w:t>
            </w:r>
            <w:r w:rsidRPr="005025E3">
              <w:t>onwards)</w:t>
            </w:r>
          </w:p>
        </w:tc>
      </w:tr>
      <w:tr w:rsidR="00C77F36" w:rsidRPr="00940E38" w14:paraId="20285E37" w14:textId="77777777" w:rsidTr="00C77F36">
        <w:trPr>
          <w:trHeight w:val="257"/>
        </w:trPr>
        <w:tc>
          <w:tcPr>
            <w:cnfStyle w:val="001000000000" w:firstRow="0" w:lastRow="0" w:firstColumn="1" w:lastColumn="0" w:oddVBand="0" w:evenVBand="0" w:oddHBand="0" w:evenHBand="0" w:firstRowFirstColumn="0" w:firstRowLastColumn="0" w:lastRowFirstColumn="0" w:lastRowLastColumn="0"/>
            <w:tcW w:w="5812" w:type="dxa"/>
          </w:tcPr>
          <w:p w14:paraId="20EC8FF3" w14:textId="77777777" w:rsidR="00C77F36" w:rsidRPr="005025E3" w:rsidRDefault="00C77F36" w:rsidP="00C77F36">
            <w:r w:rsidRPr="005025E3">
              <w:t>Direct costs</w:t>
            </w:r>
          </w:p>
        </w:tc>
        <w:tc>
          <w:tcPr>
            <w:tcW w:w="1701" w:type="dxa"/>
          </w:tcPr>
          <w:p w14:paraId="2E5B0F85"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p>
        </w:tc>
        <w:tc>
          <w:tcPr>
            <w:tcW w:w="2126" w:type="dxa"/>
          </w:tcPr>
          <w:p w14:paraId="766F1FEA"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p>
        </w:tc>
      </w:tr>
      <w:tr w:rsidR="00C77F36" w:rsidRPr="00940E38" w14:paraId="06B590DA" w14:textId="77777777" w:rsidTr="00C77F36">
        <w:trPr>
          <w:trHeight w:val="242"/>
        </w:trPr>
        <w:tc>
          <w:tcPr>
            <w:cnfStyle w:val="001000000000" w:firstRow="0" w:lastRow="0" w:firstColumn="1" w:lastColumn="0" w:oddVBand="0" w:evenVBand="0" w:oddHBand="0" w:evenHBand="0" w:firstRowFirstColumn="0" w:firstRowLastColumn="0" w:lastRowFirstColumn="0" w:lastRowLastColumn="0"/>
            <w:tcW w:w="5812" w:type="dxa"/>
          </w:tcPr>
          <w:p w14:paraId="47B32C23" w14:textId="77777777" w:rsidR="00C77F36" w:rsidRPr="005025E3" w:rsidRDefault="00C77F36" w:rsidP="00C77F36">
            <w:r w:rsidRPr="005025E3">
              <w:t>Consultants and contractors</w:t>
            </w:r>
          </w:p>
        </w:tc>
        <w:tc>
          <w:tcPr>
            <w:tcW w:w="1701" w:type="dxa"/>
          </w:tcPr>
          <w:p w14:paraId="3FB1117B"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c>
          <w:tcPr>
            <w:tcW w:w="2126" w:type="dxa"/>
          </w:tcPr>
          <w:p w14:paraId="06F88290"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r>
      <w:tr w:rsidR="00C77F36" w:rsidRPr="00940E38" w14:paraId="644A6398" w14:textId="77777777" w:rsidTr="00C77F36">
        <w:trPr>
          <w:trHeight w:val="242"/>
        </w:trPr>
        <w:tc>
          <w:tcPr>
            <w:cnfStyle w:val="001000000000" w:firstRow="0" w:lastRow="0" w:firstColumn="1" w:lastColumn="0" w:oddVBand="0" w:evenVBand="0" w:oddHBand="0" w:evenHBand="0" w:firstRowFirstColumn="0" w:firstRowLastColumn="0" w:lastRowFirstColumn="0" w:lastRowLastColumn="0"/>
            <w:tcW w:w="5812" w:type="dxa"/>
          </w:tcPr>
          <w:p w14:paraId="7E82BA0F" w14:textId="77777777" w:rsidR="00C77F36" w:rsidRPr="005025E3" w:rsidRDefault="00C77F36" w:rsidP="00C77F36">
            <w:r w:rsidRPr="005025E3">
              <w:t>Relocation</w:t>
            </w:r>
          </w:p>
        </w:tc>
        <w:tc>
          <w:tcPr>
            <w:tcW w:w="1701" w:type="dxa"/>
          </w:tcPr>
          <w:p w14:paraId="7828BA7F"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7 750</w:t>
            </w:r>
          </w:p>
        </w:tc>
        <w:tc>
          <w:tcPr>
            <w:tcW w:w="2126" w:type="dxa"/>
          </w:tcPr>
          <w:p w14:paraId="4D878D73"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2 501</w:t>
            </w:r>
          </w:p>
        </w:tc>
      </w:tr>
      <w:tr w:rsidR="00C77F36" w:rsidRPr="00940E38" w14:paraId="194B9F03" w14:textId="77777777" w:rsidTr="00C77F36">
        <w:trPr>
          <w:trHeight w:val="257"/>
        </w:trPr>
        <w:tc>
          <w:tcPr>
            <w:cnfStyle w:val="001000000000" w:firstRow="0" w:lastRow="0" w:firstColumn="1" w:lastColumn="0" w:oddVBand="0" w:evenVBand="0" w:oddHBand="0" w:evenHBand="0" w:firstRowFirstColumn="0" w:firstRowLastColumn="0" w:lastRowFirstColumn="0" w:lastRowLastColumn="0"/>
            <w:tcW w:w="5812" w:type="dxa"/>
          </w:tcPr>
          <w:p w14:paraId="14DBB0DD" w14:textId="77777777" w:rsidR="00C77F36" w:rsidRPr="005025E3" w:rsidRDefault="00C77F36" w:rsidP="00C77F36">
            <w:r w:rsidRPr="005025E3">
              <w:t>Telephony</w:t>
            </w:r>
          </w:p>
        </w:tc>
        <w:tc>
          <w:tcPr>
            <w:tcW w:w="1701" w:type="dxa"/>
          </w:tcPr>
          <w:p w14:paraId="4B1CBE50"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c>
          <w:tcPr>
            <w:tcW w:w="2126" w:type="dxa"/>
          </w:tcPr>
          <w:p w14:paraId="28BDED76"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r>
      <w:tr w:rsidR="00C77F36" w:rsidRPr="00940E38" w14:paraId="4FA4DD2F" w14:textId="77777777" w:rsidTr="00C77F36">
        <w:trPr>
          <w:trHeight w:val="242"/>
        </w:trPr>
        <w:tc>
          <w:tcPr>
            <w:cnfStyle w:val="001000000000" w:firstRow="0" w:lastRow="0" w:firstColumn="1" w:lastColumn="0" w:oddVBand="0" w:evenVBand="0" w:oddHBand="0" w:evenHBand="0" w:firstRowFirstColumn="0" w:firstRowLastColumn="0" w:lastRowFirstColumn="0" w:lastRowLastColumn="0"/>
            <w:tcW w:w="5812" w:type="dxa"/>
          </w:tcPr>
          <w:p w14:paraId="051FF316" w14:textId="77777777" w:rsidR="00C77F36" w:rsidRPr="005025E3" w:rsidRDefault="00C77F36" w:rsidP="00C77F36">
            <w:r w:rsidRPr="005025E3">
              <w:t>IT and records management</w:t>
            </w:r>
          </w:p>
        </w:tc>
        <w:tc>
          <w:tcPr>
            <w:tcW w:w="1701" w:type="dxa"/>
          </w:tcPr>
          <w:p w14:paraId="35BD40ED"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4 111</w:t>
            </w:r>
          </w:p>
        </w:tc>
        <w:tc>
          <w:tcPr>
            <w:tcW w:w="2126" w:type="dxa"/>
          </w:tcPr>
          <w:p w14:paraId="387084D6"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r>
      <w:tr w:rsidR="00C77F36" w:rsidRPr="00940E38" w14:paraId="5CE8F587" w14:textId="77777777" w:rsidTr="00C77F36">
        <w:trPr>
          <w:trHeight w:val="242"/>
        </w:trPr>
        <w:tc>
          <w:tcPr>
            <w:cnfStyle w:val="001000000000" w:firstRow="0" w:lastRow="0" w:firstColumn="1" w:lastColumn="0" w:oddVBand="0" w:evenVBand="0" w:oddHBand="0" w:evenHBand="0" w:firstRowFirstColumn="0" w:firstRowLastColumn="0" w:lastRowFirstColumn="0" w:lastRowLastColumn="0"/>
            <w:tcW w:w="5812" w:type="dxa"/>
          </w:tcPr>
          <w:p w14:paraId="02C62CF1" w14:textId="77777777" w:rsidR="00C77F36" w:rsidRPr="005025E3" w:rsidRDefault="00C77F36" w:rsidP="00C77F36">
            <w:r w:rsidRPr="005025E3">
              <w:t>Rebranding</w:t>
            </w:r>
          </w:p>
        </w:tc>
        <w:tc>
          <w:tcPr>
            <w:tcW w:w="1701" w:type="dxa"/>
          </w:tcPr>
          <w:p w14:paraId="07B6DD5D"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6 505</w:t>
            </w:r>
          </w:p>
        </w:tc>
        <w:tc>
          <w:tcPr>
            <w:tcW w:w="2126" w:type="dxa"/>
          </w:tcPr>
          <w:p w14:paraId="0D56FB07"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2 430</w:t>
            </w:r>
          </w:p>
        </w:tc>
      </w:tr>
      <w:tr w:rsidR="00C77F36" w:rsidRPr="00940E38" w14:paraId="7B6B3811" w14:textId="77777777" w:rsidTr="00C77F36">
        <w:trPr>
          <w:trHeight w:val="257"/>
        </w:trPr>
        <w:tc>
          <w:tcPr>
            <w:cnfStyle w:val="001000000000" w:firstRow="0" w:lastRow="0" w:firstColumn="1" w:lastColumn="0" w:oddVBand="0" w:evenVBand="0" w:oddHBand="0" w:evenHBand="0" w:firstRowFirstColumn="0" w:firstRowLastColumn="0" w:lastRowFirstColumn="0" w:lastRowLastColumn="0"/>
            <w:tcW w:w="5812" w:type="dxa"/>
          </w:tcPr>
          <w:p w14:paraId="70201D40" w14:textId="77777777" w:rsidR="00C77F36" w:rsidRPr="005025E3" w:rsidRDefault="00C77F36" w:rsidP="00C77F36">
            <w:r w:rsidRPr="005025E3">
              <w:t>Redundancies</w:t>
            </w:r>
          </w:p>
        </w:tc>
        <w:tc>
          <w:tcPr>
            <w:tcW w:w="1701" w:type="dxa"/>
          </w:tcPr>
          <w:p w14:paraId="1B0F1810"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c>
          <w:tcPr>
            <w:tcW w:w="2126" w:type="dxa"/>
          </w:tcPr>
          <w:p w14:paraId="2D1AE260"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r>
      <w:tr w:rsidR="00C77F36" w:rsidRPr="00940E38" w14:paraId="44880F12" w14:textId="77777777" w:rsidTr="00C77F36">
        <w:trPr>
          <w:trHeight w:val="242"/>
        </w:trPr>
        <w:tc>
          <w:tcPr>
            <w:cnfStyle w:val="001000000000" w:firstRow="0" w:lastRow="0" w:firstColumn="1" w:lastColumn="0" w:oddVBand="0" w:evenVBand="0" w:oddHBand="0" w:evenHBand="0" w:firstRowFirstColumn="0" w:firstRowLastColumn="0" w:lastRowFirstColumn="0" w:lastRowLastColumn="0"/>
            <w:tcW w:w="5812" w:type="dxa"/>
          </w:tcPr>
          <w:p w14:paraId="5B52D10C" w14:textId="77777777" w:rsidR="00C77F36" w:rsidRPr="005025E3" w:rsidRDefault="00C77F36" w:rsidP="00C77F36">
            <w:r w:rsidRPr="005025E3">
              <w:t>New staff</w:t>
            </w:r>
          </w:p>
        </w:tc>
        <w:tc>
          <w:tcPr>
            <w:tcW w:w="1701" w:type="dxa"/>
          </w:tcPr>
          <w:p w14:paraId="132A905B"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c>
          <w:tcPr>
            <w:tcW w:w="2126" w:type="dxa"/>
          </w:tcPr>
          <w:p w14:paraId="62F0A21D"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r>
      <w:tr w:rsidR="00C77F36" w:rsidRPr="00940E38" w14:paraId="7AFF525A" w14:textId="77777777" w:rsidTr="00C77F36">
        <w:trPr>
          <w:trHeight w:val="242"/>
        </w:trPr>
        <w:tc>
          <w:tcPr>
            <w:cnfStyle w:val="001000000000" w:firstRow="0" w:lastRow="0" w:firstColumn="1" w:lastColumn="0" w:oddVBand="0" w:evenVBand="0" w:oddHBand="0" w:evenHBand="0" w:firstRowFirstColumn="0" w:firstRowLastColumn="0" w:lastRowFirstColumn="0" w:lastRowLastColumn="0"/>
            <w:tcW w:w="5812" w:type="dxa"/>
          </w:tcPr>
          <w:p w14:paraId="32B70BE4" w14:textId="77777777" w:rsidR="00C77F36" w:rsidRPr="005025E3" w:rsidRDefault="00C77F36" w:rsidP="00C77F36">
            <w:r w:rsidRPr="005025E3">
              <w:t>Other</w:t>
            </w:r>
          </w:p>
        </w:tc>
        <w:tc>
          <w:tcPr>
            <w:tcW w:w="1701" w:type="dxa"/>
          </w:tcPr>
          <w:p w14:paraId="33500850"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c>
          <w:tcPr>
            <w:tcW w:w="2126" w:type="dxa"/>
          </w:tcPr>
          <w:p w14:paraId="205BC0C7" w14:textId="77777777" w:rsidR="00C77F36" w:rsidRPr="005025E3" w:rsidRDefault="00C77F36" w:rsidP="00C77F36">
            <w:pPr>
              <w:cnfStyle w:val="000000000000" w:firstRow="0" w:lastRow="0" w:firstColumn="0" w:lastColumn="0" w:oddVBand="0" w:evenVBand="0" w:oddHBand="0" w:evenHBand="0" w:firstRowFirstColumn="0" w:firstRowLastColumn="0" w:lastRowFirstColumn="0" w:lastRowLastColumn="0"/>
            </w:pPr>
            <w:r w:rsidRPr="005025E3">
              <w:t>..</w:t>
            </w:r>
          </w:p>
        </w:tc>
      </w:tr>
      <w:tr w:rsidR="00C77F36" w:rsidRPr="00940E38" w14:paraId="0908B14E" w14:textId="77777777" w:rsidTr="00C77F36">
        <w:trPr>
          <w:cnfStyle w:val="010000000000" w:firstRow="0" w:lastRow="1"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812" w:type="dxa"/>
          </w:tcPr>
          <w:p w14:paraId="30075283" w14:textId="77777777" w:rsidR="00C77F36" w:rsidRPr="005025E3" w:rsidRDefault="00C77F36" w:rsidP="00C77F36">
            <w:r w:rsidRPr="005025E3">
              <w:t>Total</w:t>
            </w:r>
          </w:p>
        </w:tc>
        <w:tc>
          <w:tcPr>
            <w:tcW w:w="1701" w:type="dxa"/>
          </w:tcPr>
          <w:p w14:paraId="23F54355" w14:textId="77777777" w:rsidR="00C77F36" w:rsidRPr="005025E3" w:rsidRDefault="00C77F36" w:rsidP="00C77F36">
            <w:pPr>
              <w:cnfStyle w:val="010000000000" w:firstRow="0" w:lastRow="1" w:firstColumn="0" w:lastColumn="0" w:oddVBand="0" w:evenVBand="0" w:oddHBand="0" w:evenHBand="0" w:firstRowFirstColumn="0" w:firstRowLastColumn="0" w:lastRowFirstColumn="0" w:lastRowLastColumn="0"/>
            </w:pPr>
            <w:r w:rsidRPr="005025E3">
              <w:t>18 366</w:t>
            </w:r>
          </w:p>
        </w:tc>
        <w:tc>
          <w:tcPr>
            <w:tcW w:w="2126" w:type="dxa"/>
          </w:tcPr>
          <w:p w14:paraId="1324E242" w14:textId="77777777" w:rsidR="00C77F36" w:rsidRPr="005025E3" w:rsidRDefault="00C77F36" w:rsidP="00C77F36">
            <w:pPr>
              <w:cnfStyle w:val="010000000000" w:firstRow="0" w:lastRow="1" w:firstColumn="0" w:lastColumn="0" w:oddVBand="0" w:evenVBand="0" w:oddHBand="0" w:evenHBand="0" w:firstRowFirstColumn="0" w:firstRowLastColumn="0" w:lastRowFirstColumn="0" w:lastRowLastColumn="0"/>
            </w:pPr>
            <w:r w:rsidRPr="005025E3">
              <w:t>4 931</w:t>
            </w:r>
          </w:p>
        </w:tc>
      </w:tr>
    </w:tbl>
    <w:p w14:paraId="4E86C46D" w14:textId="7C893793" w:rsidR="00DC39DE" w:rsidRDefault="00DC39DE" w:rsidP="00DC39DE">
      <w:r>
        <w:t xml:space="preserve">Direct costs incurred from 1 July </w:t>
      </w:r>
      <w:fldSimple w:instr="DOCPROPERTY  YearPrevious  \* MERGEFORMAT">
        <w:r w:rsidR="00A545BA">
          <w:t>20X1</w:t>
        </w:r>
      </w:fldSimple>
      <w:r w:rsidR="0070513A">
        <w:t xml:space="preserve"> </w:t>
      </w:r>
      <w:r>
        <w:t xml:space="preserve">to 30 June </w:t>
      </w:r>
      <w:fldSimple w:instr="DOCPROPERTY  YearCurrent  \* MERGEFORMAT">
        <w:r w:rsidR="00A545BA">
          <w:t>20X2</w:t>
        </w:r>
      </w:fldSimple>
      <w:r>
        <w:t xml:space="preserve"> that are attributable to the August </w:t>
      </w:r>
      <w:fldSimple w:instr="DOCPROPERTY  YearPrevious  \* MERGEFORMAT">
        <w:r w:rsidR="00A545BA">
          <w:t>20X1</w:t>
        </w:r>
      </w:fldSimple>
      <w:r>
        <w:t xml:space="preserve"> MoG change mainly relate to </w:t>
      </w:r>
      <w:r w:rsidRPr="0070513A">
        <w:rPr>
          <w:rStyle w:val="Guidance"/>
        </w:rPr>
        <w:t>[insert detail]</w:t>
      </w:r>
      <w:r>
        <w:t>.</w:t>
      </w:r>
    </w:p>
    <w:p w14:paraId="232A7559" w14:textId="77777777" w:rsidR="00DC39DE" w:rsidRDefault="00DC39DE" w:rsidP="00DC39DE">
      <w:r>
        <w:t xml:space="preserve">Anticipated future costs attributable to the MoG change mainly relate to </w:t>
      </w:r>
      <w:r w:rsidRPr="0070513A">
        <w:rPr>
          <w:rStyle w:val="Guidance"/>
        </w:rPr>
        <w:t>[insert detail]</w:t>
      </w:r>
      <w:r>
        <w:t>.</w:t>
      </w:r>
    </w:p>
    <w:p w14:paraId="2EE49274" w14:textId="25CADDA7" w:rsidR="00DC39DE" w:rsidRDefault="00DC39DE" w:rsidP="00DC39DE">
      <w:r>
        <w:t xml:space="preserve">There were no direct costs attributable to the MoG change that have been incurred by the entities that are consolidated into the </w:t>
      </w:r>
      <w:r w:rsidR="006D6F55">
        <w:t>D</w:t>
      </w:r>
      <w:r>
        <w:t xml:space="preserve">epartment’s annual report pursuant to section 53(1)(b) of the </w:t>
      </w:r>
      <w:r w:rsidRPr="0070513A">
        <w:rPr>
          <w:i/>
          <w:iCs/>
        </w:rPr>
        <w:t>Financial Management Act 1994</w:t>
      </w:r>
      <w:r>
        <w:t>.</w:t>
      </w:r>
    </w:p>
    <w:p w14:paraId="15B37790" w14:textId="77777777" w:rsidR="0070513A" w:rsidRDefault="0070513A" w:rsidP="0070513A">
      <w:pPr>
        <w:pStyle w:val="GuidanceBlockHeading"/>
      </w:pPr>
      <w:r>
        <w:t>Guidance – Direct costs attributable to machinery of government changes</w:t>
      </w:r>
    </w:p>
    <w:p w14:paraId="20FE8E68" w14:textId="77777777" w:rsidR="0070513A" w:rsidRPr="0070513A" w:rsidRDefault="0070513A" w:rsidP="0070513A">
      <w:pPr>
        <w:rPr>
          <w:rStyle w:val="Guidance"/>
        </w:rPr>
      </w:pPr>
      <w:r w:rsidRPr="0070513A">
        <w:rPr>
          <w:rStyle w:val="Guidance"/>
        </w:rPr>
        <w:t xml:space="preserve">Direct costs are the costs that can be attributed solely to implementing the MoG change and are incurred over and above business-as-usual (BAU). </w:t>
      </w:r>
    </w:p>
    <w:p w14:paraId="60A9DD02" w14:textId="418F4E76" w:rsidR="0070513A" w:rsidRPr="0070513A" w:rsidRDefault="0070513A" w:rsidP="0070513A">
      <w:pPr>
        <w:rPr>
          <w:rStyle w:val="Guidance"/>
        </w:rPr>
      </w:pPr>
      <w:r w:rsidRPr="0070513A">
        <w:rPr>
          <w:rStyle w:val="Guidance"/>
        </w:rPr>
        <w:t>For example, telephony charges that have been incurred for ongoing activities or operations of the department should not be included in the direct costs attributable to MoG changes as those are not additional costs incurred over and above BAU which are solely attributable to MoG change</w:t>
      </w:r>
      <w:r w:rsidR="00B70E21">
        <w:rPr>
          <w:rStyle w:val="Guidance"/>
        </w:rPr>
        <w:t>s</w:t>
      </w:r>
      <w:r w:rsidRPr="0070513A">
        <w:rPr>
          <w:rStyle w:val="Guidance"/>
        </w:rPr>
        <w:t xml:space="preserve">. </w:t>
      </w:r>
    </w:p>
    <w:p w14:paraId="6F907C87" w14:textId="77777777" w:rsidR="0070513A" w:rsidRPr="0070513A" w:rsidRDefault="0070513A" w:rsidP="0070513A">
      <w:pPr>
        <w:rPr>
          <w:rStyle w:val="Guidance"/>
        </w:rPr>
      </w:pPr>
      <w:r w:rsidRPr="0070513A">
        <w:rPr>
          <w:rStyle w:val="Guidance"/>
        </w:rPr>
        <w:t>Anticipated future costs that meet the definition of direct costs above but are yet to be incurred shall be reported separately.</w:t>
      </w:r>
    </w:p>
    <w:p w14:paraId="150628FA" w14:textId="77777777" w:rsidR="0070513A" w:rsidRPr="0070513A" w:rsidRDefault="0070513A" w:rsidP="0070513A">
      <w:pPr>
        <w:rPr>
          <w:rStyle w:val="Guidance"/>
        </w:rPr>
      </w:pPr>
      <w:r w:rsidRPr="0070513A">
        <w:rPr>
          <w:rStyle w:val="Guidance"/>
        </w:rPr>
        <w:t xml:space="preserve">Indirect costs are those associated with redirected staff time or lost productivity as a result of splitting, merging and realigning back-office functions (i.e. HR, procurement, legal and finance). </w:t>
      </w:r>
    </w:p>
    <w:p w14:paraId="2A38BA7C" w14:textId="55F31B66" w:rsidR="00DC39DE" w:rsidRPr="0070513A" w:rsidRDefault="0070513A" w:rsidP="0070513A">
      <w:pPr>
        <w:rPr>
          <w:rStyle w:val="Guidance"/>
        </w:rPr>
      </w:pPr>
      <w:r w:rsidRPr="0070513A">
        <w:rPr>
          <w:rStyle w:val="Guidance"/>
        </w:rPr>
        <w:t>As the MoG changes are largely an administrative process, productivity losses in service delivery or advisory functions are generally negligible.</w:t>
      </w:r>
    </w:p>
    <w:p w14:paraId="6A6EF38A" w14:textId="40F86D30" w:rsidR="0070513A" w:rsidRDefault="0070513A" w:rsidP="0070513A">
      <w:pPr>
        <w:pStyle w:val="GuidanceEnd"/>
      </w:pPr>
    </w:p>
    <w:p w14:paraId="1581A1A8" w14:textId="77777777" w:rsidR="0070513A" w:rsidRPr="0070513A" w:rsidRDefault="0070513A" w:rsidP="0070513A"/>
    <w:p w14:paraId="558BFDD0" w14:textId="77777777" w:rsidR="0070513A" w:rsidRPr="0070513A" w:rsidRDefault="0070513A" w:rsidP="0070513A">
      <w:r w:rsidRPr="0070513A">
        <w:br w:type="page"/>
      </w:r>
    </w:p>
    <w:p w14:paraId="5D56E2D7" w14:textId="7998F7FE" w:rsidR="00DC39DE" w:rsidRDefault="00DC39DE" w:rsidP="008426CC">
      <w:pPr>
        <w:pStyle w:val="Heading2"/>
        <w:ind w:right="3878"/>
      </w:pPr>
      <w:bookmarkStart w:id="94" w:name="_Toc199156269"/>
      <w:r>
        <w:lastRenderedPageBreak/>
        <w:t>PORTFOLIO PERFORMANCE REPORTING – NON</w:t>
      </w:r>
      <w:r w:rsidR="0070513A">
        <w:t>-</w:t>
      </w:r>
      <w:r>
        <w:t>FINANCIAL SECTION</w:t>
      </w:r>
      <w:bookmarkEnd w:id="94"/>
      <w:r>
        <w:t xml:space="preserve"> </w:t>
      </w:r>
    </w:p>
    <w:p w14:paraId="1FD039E0" w14:textId="64C8C83D" w:rsidR="00B54486" w:rsidRDefault="00B54486" w:rsidP="00B54486">
      <w:pPr>
        <w:pStyle w:val="Heading2"/>
      </w:pPr>
      <w:bookmarkStart w:id="95" w:name="INDEXDeptObj"/>
      <w:bookmarkStart w:id="96" w:name="_Toc199156270"/>
      <w:bookmarkEnd w:id="95"/>
      <w:r>
        <w:t xml:space="preserve">Departmental objectives, indicators and outputs </w:t>
      </w:r>
      <w:r w:rsidRPr="00B54486">
        <w:rPr>
          <w:rStyle w:val="Reference"/>
        </w:rPr>
        <w:t>[FRD 8]</w:t>
      </w:r>
      <w:bookmarkEnd w:id="96"/>
    </w:p>
    <w:p w14:paraId="1249077E" w14:textId="6AA5383D" w:rsidR="00B54486" w:rsidRDefault="00B54486" w:rsidP="00B54486">
      <w:r>
        <w:t xml:space="preserve">The medium-term departmental objectives, associated indicators and linked outputs as set out in the </w:t>
      </w:r>
      <w:fldSimple w:instr="DOCPROPERTY  FinYearCurrent  \* MERGEFORMAT">
        <w:r w:rsidR="000E6299">
          <w:t>20X1</w:t>
        </w:r>
        <w:r w:rsidR="000E6299" w:rsidRPr="26E951C0">
          <w:rPr>
            <w:rFonts w:ascii="Cambria Math" w:hAnsi="Cambria Math" w:cs="Cambria Math"/>
          </w:rPr>
          <w:t>‑</w:t>
        </w:r>
        <w:r w:rsidR="000E6299">
          <w:t>X2</w:t>
        </w:r>
      </w:fldSimple>
      <w:r w:rsidR="003E2051" w:rsidRPr="26E951C0">
        <w:rPr>
          <w:rStyle w:val="Guidance"/>
        </w:rPr>
        <w:t xml:space="preserve"> </w:t>
      </w:r>
      <w:r>
        <w:t xml:space="preserve">Budget Paper No. 3 </w:t>
      </w:r>
      <w:r w:rsidRPr="26E951C0">
        <w:rPr>
          <w:i/>
          <w:iCs/>
        </w:rPr>
        <w:t>Service Delivery</w:t>
      </w:r>
      <w:r>
        <w:t xml:space="preserve"> are shown in Table 1. </w:t>
      </w:r>
      <w:r w:rsidRPr="26E951C0">
        <w:rPr>
          <w:rStyle w:val="Reference"/>
        </w:rPr>
        <w:t>[Recommendation 15,</w:t>
      </w:r>
      <w:r w:rsidR="1C5C868D" w:rsidRPr="26E951C0">
        <w:rPr>
          <w:rStyle w:val="Reference"/>
        </w:rPr>
        <w:t xml:space="preserve"> </w:t>
      </w:r>
      <w:r w:rsidR="484695CD" w:rsidRPr="26E951C0">
        <w:rPr>
          <w:rStyle w:val="Reference"/>
        </w:rPr>
        <w:t xml:space="preserve">PAEC </w:t>
      </w:r>
      <w:r w:rsidR="1C5C868D" w:rsidRPr="26E951C0">
        <w:rPr>
          <w:rStyle w:val="Reference"/>
        </w:rPr>
        <w:t>Review of the Performance Measurement and Reporting System</w:t>
      </w:r>
      <w:r w:rsidR="00BB763A">
        <w:rPr>
          <w:rStyle w:val="Reference"/>
        </w:rPr>
        <w:t>]</w:t>
      </w:r>
    </w:p>
    <w:p w14:paraId="694929FF" w14:textId="3204FD5C" w:rsidR="00DC39DE" w:rsidRDefault="00B54486" w:rsidP="00B54486">
      <w:pPr>
        <w:pStyle w:val="Caption"/>
      </w:pPr>
      <w:r>
        <w:t>Table 1</w:t>
      </w:r>
      <w:r w:rsidR="008426CC">
        <w:t>:</w:t>
      </w:r>
      <w:r w:rsidR="008426CC">
        <w:tab/>
      </w:r>
      <w:r>
        <w:t>Departmental objectives, indicators and linked outputs</w:t>
      </w:r>
    </w:p>
    <w:tbl>
      <w:tblPr>
        <w:tblStyle w:val="DTFTextTable"/>
        <w:tblW w:w="0" w:type="auto"/>
        <w:tblLook w:val="0620" w:firstRow="1" w:lastRow="0" w:firstColumn="0" w:lastColumn="0" w:noHBand="1" w:noVBand="1"/>
      </w:tblPr>
      <w:tblGrid>
        <w:gridCol w:w="3209"/>
        <w:gridCol w:w="3209"/>
        <w:gridCol w:w="3210"/>
      </w:tblGrid>
      <w:tr w:rsidR="00B54486" w:rsidRPr="00B54486" w14:paraId="7A4BD090" w14:textId="77777777" w:rsidTr="00B54486">
        <w:trPr>
          <w:cnfStyle w:val="100000000000" w:firstRow="1" w:lastRow="0" w:firstColumn="0" w:lastColumn="0" w:oddVBand="0" w:evenVBand="0" w:oddHBand="0" w:evenHBand="0" w:firstRowFirstColumn="0" w:firstRowLastColumn="0" w:lastRowFirstColumn="0" w:lastRowLastColumn="0"/>
        </w:trPr>
        <w:tc>
          <w:tcPr>
            <w:tcW w:w="3209" w:type="dxa"/>
          </w:tcPr>
          <w:p w14:paraId="2947AC26" w14:textId="77777777" w:rsidR="00B54486" w:rsidRPr="00B54486" w:rsidRDefault="00B54486" w:rsidP="003D52D7">
            <w:r w:rsidRPr="00B54486">
              <w:t xml:space="preserve">Departmental objectives </w:t>
            </w:r>
          </w:p>
        </w:tc>
        <w:tc>
          <w:tcPr>
            <w:tcW w:w="3209" w:type="dxa"/>
          </w:tcPr>
          <w:p w14:paraId="3DA3E806" w14:textId="77777777" w:rsidR="00B54486" w:rsidRPr="00B54486" w:rsidRDefault="00B54486" w:rsidP="003D52D7">
            <w:r w:rsidRPr="00B54486">
              <w:t>Indicators</w:t>
            </w:r>
          </w:p>
        </w:tc>
        <w:tc>
          <w:tcPr>
            <w:tcW w:w="3210" w:type="dxa"/>
          </w:tcPr>
          <w:p w14:paraId="54090D30" w14:textId="77777777" w:rsidR="00B54486" w:rsidRPr="00B54486" w:rsidRDefault="00B54486" w:rsidP="003D52D7">
            <w:r w:rsidRPr="00B54486">
              <w:t>Outputs</w:t>
            </w:r>
          </w:p>
        </w:tc>
      </w:tr>
      <w:tr w:rsidR="00B54486" w:rsidRPr="00B54486" w14:paraId="641EE9F5" w14:textId="77777777" w:rsidTr="00B54486">
        <w:tc>
          <w:tcPr>
            <w:tcW w:w="3209" w:type="dxa"/>
          </w:tcPr>
          <w:p w14:paraId="498D1441" w14:textId="2A96B14A" w:rsidR="00B54486" w:rsidRPr="00B54486" w:rsidRDefault="00B54486" w:rsidP="003D52D7">
            <w:pPr>
              <w:rPr>
                <w:rStyle w:val="Guidance"/>
              </w:rPr>
            </w:pPr>
            <w:r w:rsidRPr="00B54486">
              <w:rPr>
                <w:rStyle w:val="Guidance"/>
              </w:rPr>
              <w:t xml:space="preserve">[Departments to insert specific departmental objectives as published in the </w:t>
            </w:r>
            <w:r w:rsidRPr="006856AF">
              <w:rPr>
                <w:rStyle w:val="Guidance"/>
                <w:i/>
                <w:iCs/>
              </w:rPr>
              <w:fldChar w:fldCharType="begin"/>
            </w:r>
            <w:r w:rsidRPr="006856AF">
              <w:rPr>
                <w:rStyle w:val="Guidance"/>
                <w:i/>
                <w:iCs/>
              </w:rPr>
              <w:instrText xml:space="preserve"> DOCPROPERTY  FinYearCurrent  \* MERGEFORMAT </w:instrText>
            </w:r>
            <w:r w:rsidRPr="006856AF">
              <w:rPr>
                <w:rStyle w:val="Guidance"/>
                <w:i/>
                <w:iCs/>
              </w:rPr>
              <w:fldChar w:fldCharType="separate"/>
            </w:r>
            <w:r w:rsidR="008E5189">
              <w:rPr>
                <w:rStyle w:val="Guidance"/>
                <w:i/>
                <w:iCs/>
              </w:rPr>
              <w:t>20X1</w:t>
            </w:r>
            <w:r w:rsidR="008E5189" w:rsidRPr="008E5189">
              <w:rPr>
                <w:rStyle w:val="Guidance"/>
                <w:rFonts w:ascii="Cambria Math" w:hAnsi="Cambria Math" w:cs="Cambria Math"/>
                <w:i/>
                <w:iCs/>
              </w:rPr>
              <w:t>‑</w:t>
            </w:r>
            <w:r w:rsidR="008E5189">
              <w:rPr>
                <w:rStyle w:val="Guidance"/>
                <w:i/>
                <w:iCs/>
              </w:rPr>
              <w:t>X2</w:t>
            </w:r>
            <w:r w:rsidRPr="006856AF">
              <w:rPr>
                <w:rStyle w:val="Guidance"/>
                <w:i/>
                <w:iCs/>
              </w:rPr>
              <w:fldChar w:fldCharType="end"/>
            </w:r>
            <w:r w:rsidRPr="006856AF">
              <w:rPr>
                <w:rStyle w:val="Guidance"/>
                <w:i/>
                <w:iCs/>
              </w:rPr>
              <w:t xml:space="preserve"> Budget</w:t>
            </w:r>
            <w:r w:rsidRPr="00B54486">
              <w:rPr>
                <w:rStyle w:val="Guidance"/>
              </w:rPr>
              <w:t>]</w:t>
            </w:r>
          </w:p>
        </w:tc>
        <w:tc>
          <w:tcPr>
            <w:tcW w:w="3209" w:type="dxa"/>
          </w:tcPr>
          <w:p w14:paraId="444EE9D7" w14:textId="343063EB" w:rsidR="00B54486" w:rsidRPr="00B54486" w:rsidRDefault="00B54486" w:rsidP="003D52D7">
            <w:pPr>
              <w:rPr>
                <w:rStyle w:val="Guidance"/>
              </w:rPr>
            </w:pPr>
            <w:r w:rsidRPr="00B54486">
              <w:rPr>
                <w:rStyle w:val="Guidance"/>
              </w:rPr>
              <w:t xml:space="preserve">[Departments to insert specific indicators as published in the </w:t>
            </w:r>
            <w:r w:rsidRPr="006856AF">
              <w:rPr>
                <w:rStyle w:val="Guidance"/>
                <w:i/>
                <w:iCs/>
              </w:rPr>
              <w:fldChar w:fldCharType="begin"/>
            </w:r>
            <w:r w:rsidRPr="006856AF">
              <w:rPr>
                <w:rStyle w:val="Guidance"/>
                <w:i/>
                <w:iCs/>
              </w:rPr>
              <w:instrText xml:space="preserve"> DOCPROPERTY  FinYearCurrent  \* MERGEFORMAT </w:instrText>
            </w:r>
            <w:r w:rsidRPr="006856AF">
              <w:rPr>
                <w:rStyle w:val="Guidance"/>
                <w:i/>
                <w:iCs/>
              </w:rPr>
              <w:fldChar w:fldCharType="separate"/>
            </w:r>
            <w:r w:rsidR="008E5189">
              <w:rPr>
                <w:rStyle w:val="Guidance"/>
                <w:i/>
                <w:iCs/>
              </w:rPr>
              <w:t>20X1</w:t>
            </w:r>
            <w:r w:rsidR="008E5189" w:rsidRPr="008E5189">
              <w:rPr>
                <w:rStyle w:val="Guidance"/>
                <w:rFonts w:ascii="Cambria Math" w:hAnsi="Cambria Math" w:cs="Cambria Math"/>
                <w:i/>
                <w:iCs/>
              </w:rPr>
              <w:t>‑</w:t>
            </w:r>
            <w:r w:rsidR="008E5189">
              <w:rPr>
                <w:rStyle w:val="Guidance"/>
                <w:i/>
                <w:iCs/>
              </w:rPr>
              <w:t>X2</w:t>
            </w:r>
            <w:r w:rsidRPr="006856AF">
              <w:rPr>
                <w:rStyle w:val="Guidance"/>
                <w:i/>
                <w:iCs/>
              </w:rPr>
              <w:fldChar w:fldCharType="end"/>
            </w:r>
            <w:r w:rsidRPr="006856AF">
              <w:rPr>
                <w:rStyle w:val="Guidance"/>
                <w:i/>
                <w:iCs/>
              </w:rPr>
              <w:t xml:space="preserve"> Budget</w:t>
            </w:r>
            <w:r w:rsidRPr="00B54486">
              <w:rPr>
                <w:rStyle w:val="Guidance"/>
              </w:rPr>
              <w:t>]</w:t>
            </w:r>
          </w:p>
        </w:tc>
        <w:tc>
          <w:tcPr>
            <w:tcW w:w="3210" w:type="dxa"/>
          </w:tcPr>
          <w:p w14:paraId="226DA9FC" w14:textId="72716182" w:rsidR="00B54486" w:rsidRPr="00B54486" w:rsidRDefault="00B54486" w:rsidP="003D52D7">
            <w:pPr>
              <w:rPr>
                <w:rStyle w:val="Guidance"/>
              </w:rPr>
            </w:pPr>
            <w:r w:rsidRPr="00B54486">
              <w:rPr>
                <w:rStyle w:val="Guidance"/>
              </w:rPr>
              <w:t xml:space="preserve">[Departments to insert specific outputs as published in the </w:t>
            </w:r>
            <w:r w:rsidRPr="006856AF">
              <w:rPr>
                <w:rStyle w:val="Guidance"/>
                <w:i/>
                <w:iCs/>
              </w:rPr>
              <w:fldChar w:fldCharType="begin"/>
            </w:r>
            <w:r w:rsidRPr="006856AF">
              <w:rPr>
                <w:rStyle w:val="Guidance"/>
                <w:i/>
                <w:iCs/>
              </w:rPr>
              <w:instrText xml:space="preserve"> DOCPROPERTY  FinYearCurrent  \* MERGEFORMAT </w:instrText>
            </w:r>
            <w:r w:rsidRPr="006856AF">
              <w:rPr>
                <w:rStyle w:val="Guidance"/>
                <w:i/>
                <w:iCs/>
              </w:rPr>
              <w:fldChar w:fldCharType="separate"/>
            </w:r>
            <w:r w:rsidR="008E5189">
              <w:rPr>
                <w:rStyle w:val="Guidance"/>
                <w:i/>
                <w:iCs/>
              </w:rPr>
              <w:t>20X1</w:t>
            </w:r>
            <w:r w:rsidR="008E5189" w:rsidRPr="008E5189">
              <w:rPr>
                <w:rStyle w:val="Guidance"/>
                <w:rFonts w:ascii="Cambria Math" w:hAnsi="Cambria Math" w:cs="Cambria Math"/>
                <w:i/>
                <w:iCs/>
              </w:rPr>
              <w:t>‑</w:t>
            </w:r>
            <w:r w:rsidR="008E5189">
              <w:rPr>
                <w:rStyle w:val="Guidance"/>
                <w:i/>
                <w:iCs/>
              </w:rPr>
              <w:t>X2</w:t>
            </w:r>
            <w:r w:rsidRPr="006856AF">
              <w:rPr>
                <w:rStyle w:val="Guidance"/>
                <w:i/>
                <w:iCs/>
              </w:rPr>
              <w:fldChar w:fldCharType="end"/>
            </w:r>
            <w:r w:rsidRPr="006856AF">
              <w:rPr>
                <w:rStyle w:val="Guidance"/>
                <w:i/>
                <w:iCs/>
              </w:rPr>
              <w:t xml:space="preserve"> Budget</w:t>
            </w:r>
            <w:r w:rsidRPr="00B54486">
              <w:rPr>
                <w:rStyle w:val="Guidance"/>
              </w:rPr>
              <w:t>]</w:t>
            </w:r>
          </w:p>
        </w:tc>
      </w:tr>
    </w:tbl>
    <w:p w14:paraId="0488315E" w14:textId="4F2E0D0C" w:rsidR="000932B2" w:rsidRPr="000932B2" w:rsidRDefault="000932B2" w:rsidP="000932B2">
      <w:pPr>
        <w:rPr>
          <w:rStyle w:val="Reference"/>
        </w:rPr>
      </w:pPr>
      <w:r w:rsidRPr="000932B2">
        <w:rPr>
          <w:rStyle w:val="Reference"/>
        </w:rPr>
        <w:t>[</w:t>
      </w:r>
      <w:r w:rsidR="004B52E9">
        <w:rPr>
          <w:rStyle w:val="Reference"/>
        </w:rPr>
        <w:fldChar w:fldCharType="begin"/>
      </w:r>
      <w:r w:rsidR="004B52E9">
        <w:rPr>
          <w:rStyle w:val="Reference"/>
        </w:rPr>
        <w:instrText xml:space="preserve"> DOCPROPERTY  FinYearCurrent  \* MERGEFORMAT </w:instrText>
      </w:r>
      <w:r w:rsidR="004B52E9">
        <w:rPr>
          <w:rStyle w:val="Reference"/>
        </w:rPr>
        <w:fldChar w:fldCharType="separate"/>
      </w:r>
      <w:r w:rsidR="002831D1">
        <w:rPr>
          <w:rStyle w:val="Reference"/>
        </w:rPr>
        <w:t>20X1</w:t>
      </w:r>
      <w:r w:rsidR="002831D1" w:rsidRPr="002831D1">
        <w:rPr>
          <w:rStyle w:val="Reference"/>
          <w:rFonts w:ascii="Cambria Math" w:hAnsi="Cambria Math" w:cs="Cambria Math"/>
        </w:rPr>
        <w:t>‑</w:t>
      </w:r>
      <w:r w:rsidR="002831D1">
        <w:rPr>
          <w:rStyle w:val="Reference"/>
        </w:rPr>
        <w:t>X2</w:t>
      </w:r>
      <w:r w:rsidR="004B52E9">
        <w:rPr>
          <w:rStyle w:val="Reference"/>
        </w:rPr>
        <w:fldChar w:fldCharType="end"/>
      </w:r>
      <w:r w:rsidRPr="000932B2">
        <w:rPr>
          <w:rStyle w:val="Reference"/>
        </w:rPr>
        <w:t xml:space="preserve"> Budget Paper No. 3 </w:t>
      </w:r>
      <w:r w:rsidRPr="000932B2">
        <w:rPr>
          <w:rStyle w:val="Reference"/>
          <w:i/>
          <w:iCs/>
        </w:rPr>
        <w:t>Service Delivery</w:t>
      </w:r>
      <w:r w:rsidRPr="000932B2">
        <w:rPr>
          <w:rStyle w:val="Reference"/>
        </w:rPr>
        <w:t>]</w:t>
      </w:r>
    </w:p>
    <w:p w14:paraId="36DCF7F3" w14:textId="11585381" w:rsidR="00DC39DE" w:rsidRDefault="00DC39DE" w:rsidP="00B54486">
      <w:pPr>
        <w:pStyle w:val="Heading2"/>
      </w:pPr>
      <w:bookmarkStart w:id="97" w:name="_Toc199156271"/>
      <w:r>
        <w:t>Reporting progress towards achieving departmental objectives in the report of operations</w:t>
      </w:r>
      <w:bookmarkEnd w:id="97"/>
      <w:r>
        <w:t xml:space="preserve"> </w:t>
      </w:r>
    </w:p>
    <w:p w14:paraId="5620F6B9" w14:textId="77777777" w:rsidR="00DC39DE" w:rsidRDefault="00DC39DE" w:rsidP="00DC39DE">
      <w:r>
        <w:t>The Department seeks to measure the progress of the Victorian public sector in adopting new technology in delivering services to the community.</w:t>
      </w:r>
    </w:p>
    <w:p w14:paraId="49A6020E" w14:textId="77777777" w:rsidR="00DC39DE" w:rsidRDefault="00DC39DE" w:rsidP="00DC39DE">
      <w:r>
        <w:t>This section reports the Department’s progress on its departmental objectives through a range of indicators. Trends in these indicators demonstrate the Department’s performance.</w:t>
      </w:r>
    </w:p>
    <w:p w14:paraId="00A9ADAE" w14:textId="77777777" w:rsidR="00DC39DE" w:rsidRDefault="00DC39DE" w:rsidP="00B54486">
      <w:pPr>
        <w:pStyle w:val="Heading3"/>
      </w:pPr>
      <w:r>
        <w:t>Departmental objective 1</w:t>
      </w:r>
    </w:p>
    <w:p w14:paraId="0878907B" w14:textId="1AB181EF" w:rsidR="00DC39DE" w:rsidRPr="00B54486" w:rsidRDefault="00DC39DE" w:rsidP="00DC39DE">
      <w:pPr>
        <w:rPr>
          <w:rStyle w:val="Guidance"/>
        </w:rPr>
      </w:pPr>
      <w:r w:rsidRPr="00B54486">
        <w:rPr>
          <w:rStyle w:val="Guidance"/>
        </w:rPr>
        <w:t>[Departments should describe the departmental objective to make clear the department’s role and contribution to the broader context of their environment. In addition, departments should also include how this departmental objective and associated indicators contribute towards achieving the government priorities where there is a clear government statement of intention</w:t>
      </w:r>
      <w:r w:rsidR="00CD6A50">
        <w:rPr>
          <w:rStyle w:val="Guidance"/>
        </w:rPr>
        <w:t xml:space="preserve"> </w:t>
      </w:r>
      <w:r w:rsidRPr="00B54486">
        <w:rPr>
          <w:rStyle w:val="Guidance"/>
        </w:rPr>
        <w:t>(</w:t>
      </w:r>
      <w:r w:rsidR="00CD6A50">
        <w:rPr>
          <w:rStyle w:val="Guidance"/>
        </w:rPr>
        <w:t>t</w:t>
      </w:r>
      <w:r w:rsidRPr="00B54486">
        <w:rPr>
          <w:rStyle w:val="Guidance"/>
        </w:rPr>
        <w:t>his may include government announcements and commitments)</w:t>
      </w:r>
      <w:r w:rsidR="00CD6A50">
        <w:rPr>
          <w:rStyle w:val="Guidance"/>
        </w:rPr>
        <w:t>.</w:t>
      </w:r>
      <w:r w:rsidRPr="00B54486">
        <w:rPr>
          <w:rStyle w:val="Guidance"/>
        </w:rPr>
        <w:t xml:space="preserve">] </w:t>
      </w:r>
    </w:p>
    <w:p w14:paraId="144B6EDE" w14:textId="7D49591E" w:rsidR="00DC39DE" w:rsidRPr="00B54486" w:rsidRDefault="00DC39DE" w:rsidP="00DC39DE">
      <w:pPr>
        <w:rPr>
          <w:rStyle w:val="Guidance"/>
        </w:rPr>
      </w:pPr>
      <w:r w:rsidRPr="00B54486">
        <w:rPr>
          <w:rStyle w:val="Guidance"/>
        </w:rPr>
        <w:t xml:space="preserve">[Departments should include a performance progress story for departmental objective 1 based on the evaluation and interaction of trend information for the associated indicators provided in this section. Include a description of the environment (past, current and an indication of the future), any relevant issues/shortcomings affecting the performance story as demonstrated by the indicators that should be </w:t>
      </w:r>
      <w:r w:rsidR="00C43D5A" w:rsidRPr="00B54486">
        <w:rPr>
          <w:rStyle w:val="Guidance"/>
        </w:rPr>
        <w:t>considered</w:t>
      </w:r>
      <w:r w:rsidRPr="00B54486">
        <w:rPr>
          <w:rStyle w:val="Guidance"/>
        </w:rPr>
        <w:t xml:space="preserve">, including any areas for future improvements]. </w:t>
      </w:r>
    </w:p>
    <w:p w14:paraId="16300866" w14:textId="76276F84" w:rsidR="00B54486" w:rsidRPr="00B54486" w:rsidRDefault="00B54486" w:rsidP="00B54486">
      <w:pPr>
        <w:rPr>
          <w:rStyle w:val="Guidance"/>
        </w:rPr>
      </w:pPr>
      <w:r w:rsidRPr="00B54486">
        <w:rPr>
          <w:rStyle w:val="Guidance"/>
        </w:rPr>
        <w:t xml:space="preserve">[Departments should also disclose any key initiatives and/or projects that have contributed to changes in the associated indicators. Where appropriate, departments may also introduce the revised indicators as published in </w:t>
      </w:r>
      <w:r w:rsidRPr="006856AF">
        <w:rPr>
          <w:rStyle w:val="Guidance"/>
        </w:rPr>
        <w:t xml:space="preserve">the </w:t>
      </w:r>
      <w:r w:rsidR="00C00020">
        <w:rPr>
          <w:rStyle w:val="Guidance"/>
        </w:rPr>
        <w:fldChar w:fldCharType="begin"/>
      </w:r>
      <w:r w:rsidR="00C00020">
        <w:rPr>
          <w:rStyle w:val="Guidance"/>
        </w:rPr>
        <w:instrText xml:space="preserve"> DOCPROPERTY  FinYearPrevious  \* MERGEFORMAT </w:instrText>
      </w:r>
      <w:r w:rsidR="00C00020">
        <w:rPr>
          <w:rStyle w:val="Guidance"/>
        </w:rPr>
        <w:fldChar w:fldCharType="separate"/>
      </w:r>
      <w:r w:rsidR="00C00020">
        <w:rPr>
          <w:rStyle w:val="Guidance"/>
        </w:rPr>
        <w:t>20X0</w:t>
      </w:r>
      <w:r w:rsidR="00C00020">
        <w:rPr>
          <w:rStyle w:val="Guidance"/>
          <w:rFonts w:ascii="Cambria Math" w:hAnsi="Cambria Math" w:cs="Cambria Math"/>
        </w:rPr>
        <w:t>‑</w:t>
      </w:r>
      <w:r w:rsidR="00C00020">
        <w:rPr>
          <w:rStyle w:val="Guidance"/>
        </w:rPr>
        <w:t>X1</w:t>
      </w:r>
      <w:r w:rsidR="00C00020">
        <w:rPr>
          <w:rStyle w:val="Guidance"/>
        </w:rPr>
        <w:fldChar w:fldCharType="end"/>
      </w:r>
      <w:r w:rsidR="00851F09">
        <w:rPr>
          <w:rStyle w:val="Guidance"/>
          <w:i/>
          <w:iCs/>
        </w:rPr>
        <w:t xml:space="preserve"> </w:t>
      </w:r>
      <w:r w:rsidRPr="006856AF">
        <w:rPr>
          <w:rStyle w:val="Guidance"/>
          <w:i/>
          <w:iCs/>
        </w:rPr>
        <w:t>Budget</w:t>
      </w:r>
      <w:r w:rsidRPr="00B54486">
        <w:rPr>
          <w:rStyle w:val="Guidance"/>
        </w:rPr>
        <w:t xml:space="preserve"> to help explain performance.] </w:t>
      </w:r>
      <w:r w:rsidRPr="00B54486">
        <w:rPr>
          <w:rStyle w:val="Reference"/>
        </w:rPr>
        <w:t>[Recommendation 17, PAEC Report on 2013-14 and 2014-15 Financial and Performance Outcomes]</w:t>
      </w:r>
    </w:p>
    <w:p w14:paraId="34A7DC7D" w14:textId="4BBEDDA4" w:rsidR="00B54486" w:rsidRPr="00B54486" w:rsidRDefault="00B54486" w:rsidP="00B54486">
      <w:pPr>
        <w:rPr>
          <w:rStyle w:val="Guidance"/>
        </w:rPr>
      </w:pPr>
      <w:r w:rsidRPr="00B54486">
        <w:rPr>
          <w:rStyle w:val="Guidance"/>
        </w:rPr>
        <w:t>[Departments should include the relevant trend information for each indicator associated with departmental objective 1. This information should support the performance story provided above in this section. The indicators should also be supported by outputs and associated performance measures. However, in very limited circumstances, the ability to quantify and provide data series may not be possible or relevant (e.g. policy advice). In that case, departments should provide relevant information or supporting evidence to report progress.]</w:t>
      </w:r>
    </w:p>
    <w:p w14:paraId="2CE8F1C2" w14:textId="681CC7DD" w:rsidR="00DC39DE" w:rsidRDefault="00DC39DE" w:rsidP="00B54486">
      <w:pPr>
        <w:pStyle w:val="Caption"/>
      </w:pPr>
      <w:r>
        <w:t>Table 2</w:t>
      </w:r>
      <w:r w:rsidR="008426CC">
        <w:t>:</w:t>
      </w:r>
      <w:r w:rsidR="008426CC">
        <w:tab/>
      </w:r>
      <w:r>
        <w:t>Progress towards objective 1</w:t>
      </w:r>
    </w:p>
    <w:p w14:paraId="7F8F7D05" w14:textId="77777777" w:rsidR="00DC39DE" w:rsidRPr="002E3231" w:rsidRDefault="00DC39DE" w:rsidP="00DC39DE">
      <w:pPr>
        <w:rPr>
          <w:rStyle w:val="Guidance"/>
        </w:rPr>
      </w:pPr>
      <w:r w:rsidRPr="002E3231">
        <w:rPr>
          <w:rStyle w:val="Guidance"/>
        </w:rPr>
        <w:t>[Departments should include the relevant outputs and their performance covered under the ‘Performance against output performance measures’ section to strengthen the link between the departmental objectives and outputs performance reporting.]</w:t>
      </w:r>
    </w:p>
    <w:tbl>
      <w:tblPr>
        <w:tblStyle w:val="DTFFinancialTable"/>
        <w:tblW w:w="0" w:type="auto"/>
        <w:tblLook w:val="06A0" w:firstRow="1" w:lastRow="0" w:firstColumn="1" w:lastColumn="0" w:noHBand="1" w:noVBand="1"/>
      </w:tblPr>
      <w:tblGrid>
        <w:gridCol w:w="3234"/>
        <w:gridCol w:w="1519"/>
        <w:gridCol w:w="1343"/>
        <w:gridCol w:w="1127"/>
        <w:gridCol w:w="1207"/>
        <w:gridCol w:w="1208"/>
      </w:tblGrid>
      <w:tr w:rsidR="003B49A0" w:rsidRPr="00B54486" w14:paraId="4099115A" w14:textId="77777777" w:rsidTr="003F2B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4" w:type="dxa"/>
          </w:tcPr>
          <w:p w14:paraId="3FBA6563" w14:textId="77777777" w:rsidR="006D4B4D" w:rsidRPr="00B54486" w:rsidRDefault="006D4B4D" w:rsidP="006D4B4D">
            <w:r w:rsidRPr="00B54486">
              <w:t>Indicator</w:t>
            </w:r>
          </w:p>
        </w:tc>
        <w:tc>
          <w:tcPr>
            <w:tcW w:w="1519" w:type="dxa"/>
          </w:tcPr>
          <w:p w14:paraId="6CD06BAB" w14:textId="77777777" w:rsidR="006D4B4D" w:rsidRPr="00B54486" w:rsidRDefault="006D4B4D" w:rsidP="003F7856">
            <w:pPr>
              <w:jc w:val="center"/>
              <w:cnfStyle w:val="100000000000" w:firstRow="1" w:lastRow="0" w:firstColumn="0" w:lastColumn="0" w:oddVBand="0" w:evenVBand="0" w:oddHBand="0" w:evenHBand="0" w:firstRowFirstColumn="0" w:firstRowLastColumn="0" w:lastRowFirstColumn="0" w:lastRowLastColumn="0"/>
            </w:pPr>
            <w:r w:rsidRPr="00B54486">
              <w:t>Unit of measure</w:t>
            </w:r>
          </w:p>
        </w:tc>
        <w:tc>
          <w:tcPr>
            <w:tcW w:w="1343" w:type="dxa"/>
            <w:tcBorders>
              <w:bottom w:val="nil"/>
            </w:tcBorders>
          </w:tcPr>
          <w:p w14:paraId="12BF5DC2" w14:textId="37F6B983" w:rsidR="006D4B4D" w:rsidRPr="00B54486" w:rsidRDefault="003B49A0" w:rsidP="000529B6">
            <w:pPr>
              <w:cnfStyle w:val="100000000000" w:firstRow="1" w:lastRow="0" w:firstColumn="0" w:lastColumn="0" w:oddVBand="0" w:evenVBand="0" w:oddHBand="0" w:evenHBand="0" w:firstRowFirstColumn="0" w:firstRowLastColumn="0" w:lastRowFirstColumn="0" w:lastRowLastColumn="0"/>
            </w:pPr>
            <w:r>
              <w:t xml:space="preserve">Year 1 </w:t>
            </w:r>
          </w:p>
        </w:tc>
        <w:tc>
          <w:tcPr>
            <w:tcW w:w="1127" w:type="dxa"/>
            <w:tcBorders>
              <w:bottom w:val="nil"/>
            </w:tcBorders>
          </w:tcPr>
          <w:p w14:paraId="527C9ED6" w14:textId="4A1C2D81" w:rsidR="006D4B4D" w:rsidRPr="00B54486" w:rsidRDefault="003B49A0" w:rsidP="006D4B4D">
            <w:pPr>
              <w:cnfStyle w:val="100000000000" w:firstRow="1" w:lastRow="0" w:firstColumn="0" w:lastColumn="0" w:oddVBand="0" w:evenVBand="0" w:oddHBand="0" w:evenHBand="0" w:firstRowFirstColumn="0" w:firstRowLastColumn="0" w:lastRowFirstColumn="0" w:lastRowLastColumn="0"/>
            </w:pPr>
            <w:r>
              <w:t>Year 2</w:t>
            </w:r>
          </w:p>
        </w:tc>
        <w:tc>
          <w:tcPr>
            <w:tcW w:w="1207" w:type="dxa"/>
          </w:tcPr>
          <w:p w14:paraId="11E65CE6" w14:textId="6E236A5A" w:rsidR="006D4B4D" w:rsidRPr="00B54486" w:rsidRDefault="003B49A0" w:rsidP="006D4B4D">
            <w:pPr>
              <w:cnfStyle w:val="100000000000" w:firstRow="1" w:lastRow="0" w:firstColumn="0" w:lastColumn="0" w:oddVBand="0" w:evenVBand="0" w:oddHBand="0" w:evenHBand="0" w:firstRowFirstColumn="0" w:firstRowLastColumn="0" w:lastRowFirstColumn="0" w:lastRowLastColumn="0"/>
            </w:pPr>
            <w:r>
              <w:t>Year 3</w:t>
            </w:r>
          </w:p>
        </w:tc>
        <w:tc>
          <w:tcPr>
            <w:tcW w:w="1208" w:type="dxa"/>
          </w:tcPr>
          <w:p w14:paraId="4D869F46" w14:textId="3787E5CF" w:rsidR="006D4B4D" w:rsidRPr="00B54486" w:rsidRDefault="00D3345F" w:rsidP="006D4B4D">
            <w:pPr>
              <w:cnfStyle w:val="100000000000" w:firstRow="1" w:lastRow="0" w:firstColumn="0" w:lastColumn="0" w:oddVBand="0" w:evenVBand="0" w:oddHBand="0" w:evenHBand="0" w:firstRowFirstColumn="0" w:firstRowLastColumn="0" w:lastRowFirstColumn="0" w:lastRowLastColumn="0"/>
            </w:pPr>
            <w:r>
              <w:t>Yea</w:t>
            </w:r>
            <w:r w:rsidR="003B49A0">
              <w:t>r 4</w:t>
            </w:r>
            <w:r w:rsidR="00A10F6F" w:rsidRPr="00057214">
              <w:rPr>
                <w:vertAlign w:val="superscript"/>
              </w:rPr>
              <w:t xml:space="preserve"> </w:t>
            </w:r>
            <w:r w:rsidR="00565DAC">
              <w:rPr>
                <w:vertAlign w:val="superscript"/>
              </w:rPr>
              <w:t>(a</w:t>
            </w:r>
            <w:r w:rsidR="00A10F6F" w:rsidRPr="00057214">
              <w:rPr>
                <w:vertAlign w:val="superscript"/>
              </w:rPr>
              <w:t>)</w:t>
            </w:r>
          </w:p>
        </w:tc>
      </w:tr>
      <w:tr w:rsidR="003B49A0" w:rsidRPr="00B54486" w14:paraId="30D13E38" w14:textId="77777777" w:rsidTr="00057214">
        <w:tc>
          <w:tcPr>
            <w:cnfStyle w:val="001000000000" w:firstRow="0" w:lastRow="0" w:firstColumn="1" w:lastColumn="0" w:oddVBand="0" w:evenVBand="0" w:oddHBand="0" w:evenHBand="0" w:firstRowFirstColumn="0" w:firstRowLastColumn="0" w:lastRowFirstColumn="0" w:lastRowLastColumn="0"/>
            <w:tcW w:w="3234" w:type="dxa"/>
          </w:tcPr>
          <w:p w14:paraId="4B3B8A21" w14:textId="77777777" w:rsidR="00B54486" w:rsidRPr="00B54486" w:rsidRDefault="00B54486" w:rsidP="003D52D7"/>
        </w:tc>
        <w:tc>
          <w:tcPr>
            <w:tcW w:w="1519" w:type="dxa"/>
          </w:tcPr>
          <w:p w14:paraId="462EE510" w14:textId="674A1ED6" w:rsidR="00B54486" w:rsidRPr="00B54486" w:rsidRDefault="00B54486" w:rsidP="003F7856">
            <w:pPr>
              <w:jc w:val="center"/>
              <w:cnfStyle w:val="000000000000" w:firstRow="0" w:lastRow="0" w:firstColumn="0" w:lastColumn="0" w:oddVBand="0" w:evenVBand="0" w:oddHBand="0" w:evenHBand="0" w:firstRowFirstColumn="0" w:firstRowLastColumn="0" w:lastRowFirstColumn="0" w:lastRowLastColumn="0"/>
            </w:pPr>
          </w:p>
        </w:tc>
        <w:tc>
          <w:tcPr>
            <w:tcW w:w="1343" w:type="dxa"/>
            <w:tcBorders>
              <w:top w:val="nil"/>
            </w:tcBorders>
          </w:tcPr>
          <w:p w14:paraId="10165ED2" w14:textId="77777777" w:rsidR="00B54486" w:rsidRPr="00B54486" w:rsidRDefault="00B54486" w:rsidP="003D52D7">
            <w:pPr>
              <w:cnfStyle w:val="000000000000" w:firstRow="0" w:lastRow="0" w:firstColumn="0" w:lastColumn="0" w:oddVBand="0" w:evenVBand="0" w:oddHBand="0" w:evenHBand="0" w:firstRowFirstColumn="0" w:firstRowLastColumn="0" w:lastRowFirstColumn="0" w:lastRowLastColumn="0"/>
            </w:pPr>
          </w:p>
        </w:tc>
        <w:tc>
          <w:tcPr>
            <w:tcW w:w="1127" w:type="dxa"/>
            <w:tcBorders>
              <w:top w:val="nil"/>
            </w:tcBorders>
          </w:tcPr>
          <w:p w14:paraId="4540671F" w14:textId="77777777" w:rsidR="00B54486" w:rsidRPr="00B54486" w:rsidRDefault="00B54486" w:rsidP="003D52D7">
            <w:pPr>
              <w:cnfStyle w:val="000000000000" w:firstRow="0" w:lastRow="0" w:firstColumn="0" w:lastColumn="0" w:oddVBand="0" w:evenVBand="0" w:oddHBand="0" w:evenHBand="0" w:firstRowFirstColumn="0" w:firstRowLastColumn="0" w:lastRowFirstColumn="0" w:lastRowLastColumn="0"/>
            </w:pPr>
          </w:p>
        </w:tc>
        <w:tc>
          <w:tcPr>
            <w:tcW w:w="1207" w:type="dxa"/>
          </w:tcPr>
          <w:p w14:paraId="52C0D904" w14:textId="77777777" w:rsidR="00B54486" w:rsidRPr="00B54486" w:rsidRDefault="00B54486" w:rsidP="003D52D7">
            <w:pPr>
              <w:cnfStyle w:val="000000000000" w:firstRow="0" w:lastRow="0" w:firstColumn="0" w:lastColumn="0" w:oddVBand="0" w:evenVBand="0" w:oddHBand="0" w:evenHBand="0" w:firstRowFirstColumn="0" w:firstRowLastColumn="0" w:lastRowFirstColumn="0" w:lastRowLastColumn="0"/>
            </w:pPr>
          </w:p>
        </w:tc>
        <w:tc>
          <w:tcPr>
            <w:tcW w:w="1208" w:type="dxa"/>
          </w:tcPr>
          <w:p w14:paraId="4B52569A" w14:textId="77777777" w:rsidR="00B54486" w:rsidRPr="00B54486" w:rsidRDefault="00B54486" w:rsidP="003D52D7">
            <w:pPr>
              <w:cnfStyle w:val="000000000000" w:firstRow="0" w:lastRow="0" w:firstColumn="0" w:lastColumn="0" w:oddVBand="0" w:evenVBand="0" w:oddHBand="0" w:evenHBand="0" w:firstRowFirstColumn="0" w:firstRowLastColumn="0" w:lastRowFirstColumn="0" w:lastRowLastColumn="0"/>
            </w:pPr>
          </w:p>
        </w:tc>
      </w:tr>
      <w:tr w:rsidR="003B49A0" w:rsidRPr="00B54486" w14:paraId="1E2BF6FB" w14:textId="77777777" w:rsidTr="00057214">
        <w:tc>
          <w:tcPr>
            <w:cnfStyle w:val="001000000000" w:firstRow="0" w:lastRow="0" w:firstColumn="1" w:lastColumn="0" w:oddVBand="0" w:evenVBand="0" w:oddHBand="0" w:evenHBand="0" w:firstRowFirstColumn="0" w:firstRowLastColumn="0" w:lastRowFirstColumn="0" w:lastRowLastColumn="0"/>
            <w:tcW w:w="3234" w:type="dxa"/>
          </w:tcPr>
          <w:p w14:paraId="664CAFE0" w14:textId="77777777" w:rsidR="00B54486" w:rsidRPr="00B54486" w:rsidRDefault="00B54486" w:rsidP="003D52D7"/>
        </w:tc>
        <w:tc>
          <w:tcPr>
            <w:tcW w:w="1519" w:type="dxa"/>
          </w:tcPr>
          <w:p w14:paraId="270413CC" w14:textId="77777777" w:rsidR="00B54486" w:rsidRPr="00B54486" w:rsidRDefault="00B54486" w:rsidP="003F7856">
            <w:pPr>
              <w:jc w:val="center"/>
              <w:cnfStyle w:val="000000000000" w:firstRow="0" w:lastRow="0" w:firstColumn="0" w:lastColumn="0" w:oddVBand="0" w:evenVBand="0" w:oddHBand="0" w:evenHBand="0" w:firstRowFirstColumn="0" w:firstRowLastColumn="0" w:lastRowFirstColumn="0" w:lastRowLastColumn="0"/>
            </w:pPr>
          </w:p>
        </w:tc>
        <w:tc>
          <w:tcPr>
            <w:tcW w:w="1343" w:type="dxa"/>
          </w:tcPr>
          <w:p w14:paraId="62783068" w14:textId="77777777" w:rsidR="00B54486" w:rsidRPr="00B54486" w:rsidRDefault="00B54486" w:rsidP="003D52D7">
            <w:pPr>
              <w:cnfStyle w:val="000000000000" w:firstRow="0" w:lastRow="0" w:firstColumn="0" w:lastColumn="0" w:oddVBand="0" w:evenVBand="0" w:oddHBand="0" w:evenHBand="0" w:firstRowFirstColumn="0" w:firstRowLastColumn="0" w:lastRowFirstColumn="0" w:lastRowLastColumn="0"/>
            </w:pPr>
          </w:p>
        </w:tc>
        <w:tc>
          <w:tcPr>
            <w:tcW w:w="1127" w:type="dxa"/>
          </w:tcPr>
          <w:p w14:paraId="37E5E192" w14:textId="77777777" w:rsidR="00B54486" w:rsidRPr="00B54486" w:rsidRDefault="00B54486" w:rsidP="003D52D7">
            <w:pPr>
              <w:cnfStyle w:val="000000000000" w:firstRow="0" w:lastRow="0" w:firstColumn="0" w:lastColumn="0" w:oddVBand="0" w:evenVBand="0" w:oddHBand="0" w:evenHBand="0" w:firstRowFirstColumn="0" w:firstRowLastColumn="0" w:lastRowFirstColumn="0" w:lastRowLastColumn="0"/>
            </w:pPr>
          </w:p>
        </w:tc>
        <w:tc>
          <w:tcPr>
            <w:tcW w:w="1207" w:type="dxa"/>
          </w:tcPr>
          <w:p w14:paraId="090B6513" w14:textId="77777777" w:rsidR="00B54486" w:rsidRPr="00B54486" w:rsidRDefault="00B54486" w:rsidP="003D52D7">
            <w:pPr>
              <w:cnfStyle w:val="000000000000" w:firstRow="0" w:lastRow="0" w:firstColumn="0" w:lastColumn="0" w:oddVBand="0" w:evenVBand="0" w:oddHBand="0" w:evenHBand="0" w:firstRowFirstColumn="0" w:firstRowLastColumn="0" w:lastRowFirstColumn="0" w:lastRowLastColumn="0"/>
            </w:pPr>
          </w:p>
        </w:tc>
        <w:tc>
          <w:tcPr>
            <w:tcW w:w="1208" w:type="dxa"/>
          </w:tcPr>
          <w:p w14:paraId="153144E0" w14:textId="77777777" w:rsidR="00B54486" w:rsidRPr="00B54486" w:rsidRDefault="00B54486" w:rsidP="003D52D7">
            <w:pPr>
              <w:cnfStyle w:val="000000000000" w:firstRow="0" w:lastRow="0" w:firstColumn="0" w:lastColumn="0" w:oddVBand="0" w:evenVBand="0" w:oddHBand="0" w:evenHBand="0" w:firstRowFirstColumn="0" w:firstRowLastColumn="0" w:lastRowFirstColumn="0" w:lastRowLastColumn="0"/>
            </w:pPr>
          </w:p>
        </w:tc>
      </w:tr>
    </w:tbl>
    <w:p w14:paraId="7F346BCF" w14:textId="75EE213C" w:rsidR="00736448" w:rsidRDefault="00736448" w:rsidP="00736448">
      <w:pPr>
        <w:pStyle w:val="Note"/>
      </w:pPr>
      <w:r>
        <w:t>Note:</w:t>
      </w:r>
    </w:p>
    <w:p w14:paraId="1918CF59" w14:textId="7A9A785F" w:rsidR="00736448" w:rsidRPr="000529B6" w:rsidRDefault="00AF6DB2" w:rsidP="00AF6DB2">
      <w:pPr>
        <w:pStyle w:val="Note"/>
      </w:pPr>
      <w:r>
        <w:t>(a)</w:t>
      </w:r>
      <w:r>
        <w:tab/>
      </w:r>
      <w:r w:rsidR="00E80EF3">
        <w:t xml:space="preserve">This </w:t>
      </w:r>
      <w:r w:rsidR="00E80EF3" w:rsidRPr="00AF6DB2">
        <w:t>table</w:t>
      </w:r>
      <w:r w:rsidR="00E80EF3">
        <w:t xml:space="preserve"> </w:t>
      </w:r>
      <w:r w:rsidR="00A117E7">
        <w:t xml:space="preserve">requires disclosures from the current reporting year with comparative data from </w:t>
      </w:r>
      <w:r w:rsidR="006C3F39">
        <w:t xml:space="preserve">the past </w:t>
      </w:r>
      <w:r w:rsidR="00A117E7">
        <w:t xml:space="preserve">three </w:t>
      </w:r>
      <w:r w:rsidR="006C3F39">
        <w:t xml:space="preserve">reporting </w:t>
      </w:r>
      <w:r w:rsidR="00A117E7">
        <w:t>years</w:t>
      </w:r>
      <w:r w:rsidR="006C3F39">
        <w:t xml:space="preserve">. </w:t>
      </w:r>
      <w:r w:rsidR="00565DAC">
        <w:t>Year 4</w:t>
      </w:r>
      <w:r w:rsidR="00B34EF7">
        <w:t xml:space="preserve"> </w:t>
      </w:r>
      <w:r w:rsidR="006C3F39">
        <w:t>denote</w:t>
      </w:r>
      <w:r w:rsidR="000B31BC">
        <w:t>s</w:t>
      </w:r>
      <w:r w:rsidR="006C3F39">
        <w:t xml:space="preserve"> the </w:t>
      </w:r>
      <w:r w:rsidR="00565DAC">
        <w:t>current</w:t>
      </w:r>
      <w:r w:rsidR="00B34EF7">
        <w:t xml:space="preserve"> reporting </w:t>
      </w:r>
      <w:r w:rsidR="006C3F39">
        <w:t>year</w:t>
      </w:r>
      <w:r w:rsidR="000B31BC">
        <w:t xml:space="preserve"> (</w:t>
      </w:r>
      <w:fldSimple w:instr="DOCPROPERTY  FinYearCurrent  \* MERGEFORMAT">
        <w:r w:rsidR="000B31BC">
          <w:t>20X1</w:t>
        </w:r>
        <w:r w:rsidR="000B31BC">
          <w:rPr>
            <w:rFonts w:ascii="Cambria Math" w:hAnsi="Cambria Math" w:cs="Cambria Math"/>
          </w:rPr>
          <w:t>‑</w:t>
        </w:r>
        <w:r w:rsidR="000B31BC">
          <w:t>X2</w:t>
        </w:r>
      </w:fldSimple>
      <w:r w:rsidR="000B31BC">
        <w:t>)</w:t>
      </w:r>
      <w:r w:rsidR="00B34EF7">
        <w:t>.</w:t>
      </w:r>
    </w:p>
    <w:p w14:paraId="55181419" w14:textId="77777777" w:rsidR="00DC39DE" w:rsidRDefault="00DC39DE" w:rsidP="00DC39DE">
      <w:r>
        <w:t> </w:t>
      </w:r>
    </w:p>
    <w:p w14:paraId="46C3567E" w14:textId="77777777" w:rsidR="006856AF" w:rsidRPr="006856AF" w:rsidRDefault="006856AF" w:rsidP="006856AF">
      <w:r w:rsidRPr="006856AF">
        <w:br w:type="page"/>
      </w:r>
    </w:p>
    <w:p w14:paraId="17C7D428" w14:textId="0BFB67A2" w:rsidR="00DC39DE" w:rsidRDefault="00DC39DE" w:rsidP="006856AF">
      <w:pPr>
        <w:pStyle w:val="Heading3"/>
      </w:pPr>
      <w:r>
        <w:lastRenderedPageBreak/>
        <w:t>Departmental objective 2</w:t>
      </w:r>
    </w:p>
    <w:p w14:paraId="6822CA89" w14:textId="2198F1CA" w:rsidR="00DC39DE" w:rsidRPr="006856AF" w:rsidRDefault="00DC39DE" w:rsidP="00DC39DE">
      <w:pPr>
        <w:rPr>
          <w:rStyle w:val="Guidance"/>
        </w:rPr>
      </w:pPr>
      <w:r w:rsidRPr="006856AF">
        <w:rPr>
          <w:rStyle w:val="Guidance"/>
        </w:rPr>
        <w:t>[Departments should describe the departmental objective to make clear the department’s role and contribution to the broader context of their environment. In addition, departments should also include how this departmental objective and associated indicators contribute towards achieving the government priorities where there is a clear government statement of intention</w:t>
      </w:r>
      <w:r w:rsidR="001A7574">
        <w:rPr>
          <w:rStyle w:val="Guidance"/>
        </w:rPr>
        <w:t xml:space="preserve"> </w:t>
      </w:r>
      <w:r w:rsidRPr="006856AF">
        <w:rPr>
          <w:rStyle w:val="Guidance"/>
        </w:rPr>
        <w:t>(</w:t>
      </w:r>
      <w:r w:rsidR="001A7574">
        <w:rPr>
          <w:rStyle w:val="Guidance"/>
        </w:rPr>
        <w:t>t</w:t>
      </w:r>
      <w:r w:rsidRPr="006856AF">
        <w:rPr>
          <w:rStyle w:val="Guidance"/>
        </w:rPr>
        <w:t>his may include government announcements and commitments)</w:t>
      </w:r>
      <w:r w:rsidR="001A7574">
        <w:rPr>
          <w:rStyle w:val="Guidance"/>
        </w:rPr>
        <w:t>.</w:t>
      </w:r>
      <w:r w:rsidRPr="006856AF">
        <w:rPr>
          <w:rStyle w:val="Guidance"/>
        </w:rPr>
        <w:t>]</w:t>
      </w:r>
    </w:p>
    <w:p w14:paraId="19C0D8F7" w14:textId="1BA5848C" w:rsidR="00DC39DE" w:rsidRPr="006856AF" w:rsidRDefault="00DC39DE" w:rsidP="00DC39DE">
      <w:pPr>
        <w:rPr>
          <w:rStyle w:val="Guidance"/>
        </w:rPr>
      </w:pPr>
      <w:r w:rsidRPr="006856AF">
        <w:rPr>
          <w:rStyle w:val="Guidance"/>
        </w:rPr>
        <w:t xml:space="preserve">[Departments should include a performance progress story for departmental objective 2 based on the evaluation and interaction of trend information for the associated indicators provided in this section. Include a description of the environment (past, current and an indication of the future) and any relevant issues/shortcomings affecting the performance story as demonstrated by the indicators that should be </w:t>
      </w:r>
      <w:r w:rsidR="00C43D5A" w:rsidRPr="006856AF">
        <w:rPr>
          <w:rStyle w:val="Guidance"/>
        </w:rPr>
        <w:t>considered</w:t>
      </w:r>
      <w:r w:rsidRPr="006856AF">
        <w:rPr>
          <w:rStyle w:val="Guidance"/>
        </w:rPr>
        <w:t>, including any areas for future improvements.]</w:t>
      </w:r>
    </w:p>
    <w:p w14:paraId="20CC3CE7" w14:textId="710AEDAA" w:rsidR="006856AF" w:rsidRPr="006856AF" w:rsidRDefault="006856AF" w:rsidP="006856AF">
      <w:pPr>
        <w:rPr>
          <w:rStyle w:val="Guidance"/>
        </w:rPr>
      </w:pPr>
      <w:r w:rsidRPr="006856AF">
        <w:rPr>
          <w:rStyle w:val="Guidance"/>
        </w:rPr>
        <w:t xml:space="preserve">[Departments should also disclose any key initiatives and/or projects that have contributed to changes in the associated indicators. Where appropriate, departments may also introduce the revised indicators as published in the </w:t>
      </w:r>
      <w:r w:rsidRPr="006856AF">
        <w:rPr>
          <w:rStyle w:val="Guidance"/>
          <w:i/>
          <w:iCs/>
        </w:rPr>
        <w:fldChar w:fldCharType="begin"/>
      </w:r>
      <w:r w:rsidRPr="006856AF">
        <w:rPr>
          <w:rStyle w:val="Guidance"/>
          <w:i/>
          <w:iCs/>
        </w:rPr>
        <w:instrText xml:space="preserve"> DOCPROPERTY  FinYearCurrent  \* MERGEFORMAT </w:instrText>
      </w:r>
      <w:r w:rsidRPr="006856AF">
        <w:rPr>
          <w:rStyle w:val="Guidance"/>
          <w:i/>
          <w:iCs/>
        </w:rPr>
        <w:fldChar w:fldCharType="separate"/>
      </w:r>
      <w:r w:rsidR="002831D1">
        <w:rPr>
          <w:rStyle w:val="Guidance"/>
          <w:i/>
          <w:iCs/>
        </w:rPr>
        <w:t>20X1</w:t>
      </w:r>
      <w:r w:rsidR="002831D1" w:rsidRPr="002831D1">
        <w:rPr>
          <w:rStyle w:val="Guidance"/>
          <w:rFonts w:ascii="Cambria Math" w:hAnsi="Cambria Math" w:cs="Cambria Math"/>
          <w:i/>
          <w:iCs/>
        </w:rPr>
        <w:t>‑</w:t>
      </w:r>
      <w:r w:rsidR="002831D1">
        <w:rPr>
          <w:rStyle w:val="Guidance"/>
          <w:i/>
          <w:iCs/>
        </w:rPr>
        <w:t>X2</w:t>
      </w:r>
      <w:r w:rsidRPr="006856AF">
        <w:rPr>
          <w:rStyle w:val="Guidance"/>
          <w:i/>
          <w:iCs/>
        </w:rPr>
        <w:fldChar w:fldCharType="end"/>
      </w:r>
      <w:r w:rsidRPr="006856AF">
        <w:rPr>
          <w:rStyle w:val="Guidance"/>
          <w:i/>
          <w:iCs/>
        </w:rPr>
        <w:t xml:space="preserve"> Budget</w:t>
      </w:r>
      <w:r w:rsidRPr="006856AF">
        <w:rPr>
          <w:rStyle w:val="Guidance"/>
        </w:rPr>
        <w:t xml:space="preserve"> to help explain performance.] </w:t>
      </w:r>
      <w:r w:rsidRPr="006856AF">
        <w:rPr>
          <w:rStyle w:val="Reference"/>
        </w:rPr>
        <w:t>[Recommendation 17, PAEC Report on 2013-14 and 2014-15 Financial and Performance Outcomes]</w:t>
      </w:r>
    </w:p>
    <w:p w14:paraId="62AB1034" w14:textId="56493BAA" w:rsidR="006856AF" w:rsidRPr="006856AF" w:rsidRDefault="006856AF" w:rsidP="006856AF">
      <w:pPr>
        <w:rPr>
          <w:rStyle w:val="Guidance"/>
        </w:rPr>
      </w:pPr>
      <w:r w:rsidRPr="006856AF">
        <w:rPr>
          <w:rStyle w:val="Guidance"/>
        </w:rPr>
        <w:t>[Departments should include the relevant trend information for each indicator associated with departmental objective 2. This information should support the performance story provided above in this section. The indicators should also be supported by outputs and associated performance measures. However, in very limited circumstances, the ability to quantify and provide data series may not be possible or relevant (e.g. policy advice). In that case, departments should provide relevant information or supporting evidence to report progress towards achieving the objective.]</w:t>
      </w:r>
    </w:p>
    <w:p w14:paraId="1650447D" w14:textId="77777777" w:rsidR="00DC39DE" w:rsidRDefault="00DC39DE" w:rsidP="002F323B">
      <w:pPr>
        <w:pStyle w:val="Caption"/>
      </w:pPr>
      <w:r>
        <w:t>Table 3 – Progress towards objective 2</w:t>
      </w:r>
    </w:p>
    <w:tbl>
      <w:tblPr>
        <w:tblStyle w:val="DTFFinancialTable"/>
        <w:tblW w:w="0" w:type="auto"/>
        <w:tblLook w:val="06A0" w:firstRow="1" w:lastRow="0" w:firstColumn="1" w:lastColumn="0" w:noHBand="1" w:noVBand="1"/>
      </w:tblPr>
      <w:tblGrid>
        <w:gridCol w:w="3259"/>
        <w:gridCol w:w="1526"/>
        <w:gridCol w:w="1211"/>
        <w:gridCol w:w="1212"/>
        <w:gridCol w:w="1211"/>
        <w:gridCol w:w="1219"/>
      </w:tblGrid>
      <w:tr w:rsidR="003F2BC6" w:rsidRPr="00B54486" w14:paraId="08934C7B" w14:textId="77777777" w:rsidTr="003F2B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9" w:type="dxa"/>
          </w:tcPr>
          <w:p w14:paraId="41E1B396" w14:textId="716B885C" w:rsidR="003F2BC6" w:rsidRPr="00B54486" w:rsidRDefault="003F2BC6" w:rsidP="003F2BC6">
            <w:r w:rsidRPr="00B54486">
              <w:t>Indicator</w:t>
            </w:r>
          </w:p>
        </w:tc>
        <w:tc>
          <w:tcPr>
            <w:tcW w:w="1526" w:type="dxa"/>
          </w:tcPr>
          <w:p w14:paraId="0AB349F4" w14:textId="455B35F8" w:rsidR="003F2BC6" w:rsidRPr="00B54486" w:rsidRDefault="003F2BC6" w:rsidP="003F2BC6">
            <w:pPr>
              <w:cnfStyle w:val="100000000000" w:firstRow="1" w:lastRow="0" w:firstColumn="0" w:lastColumn="0" w:oddVBand="0" w:evenVBand="0" w:oddHBand="0" w:evenHBand="0" w:firstRowFirstColumn="0" w:firstRowLastColumn="0" w:lastRowFirstColumn="0" w:lastRowLastColumn="0"/>
            </w:pPr>
            <w:r w:rsidRPr="00B54486">
              <w:t>Unit of measure</w:t>
            </w:r>
          </w:p>
        </w:tc>
        <w:tc>
          <w:tcPr>
            <w:tcW w:w="1211" w:type="dxa"/>
          </w:tcPr>
          <w:p w14:paraId="1B28BB8F" w14:textId="042AC961" w:rsidR="003F2BC6" w:rsidRPr="00B54486" w:rsidRDefault="003F2BC6" w:rsidP="003F2BC6">
            <w:pPr>
              <w:cnfStyle w:val="100000000000" w:firstRow="1" w:lastRow="0" w:firstColumn="0" w:lastColumn="0" w:oddVBand="0" w:evenVBand="0" w:oddHBand="0" w:evenHBand="0" w:firstRowFirstColumn="0" w:firstRowLastColumn="0" w:lastRowFirstColumn="0" w:lastRowLastColumn="0"/>
            </w:pPr>
            <w:r>
              <w:t xml:space="preserve">Year 1 </w:t>
            </w:r>
          </w:p>
        </w:tc>
        <w:tc>
          <w:tcPr>
            <w:tcW w:w="1212" w:type="dxa"/>
          </w:tcPr>
          <w:p w14:paraId="04B00CFB" w14:textId="7D46ACCF" w:rsidR="003F2BC6" w:rsidRPr="00B54486" w:rsidRDefault="003F2BC6" w:rsidP="003F2BC6">
            <w:pPr>
              <w:cnfStyle w:val="100000000000" w:firstRow="1" w:lastRow="0" w:firstColumn="0" w:lastColumn="0" w:oddVBand="0" w:evenVBand="0" w:oddHBand="0" w:evenHBand="0" w:firstRowFirstColumn="0" w:firstRowLastColumn="0" w:lastRowFirstColumn="0" w:lastRowLastColumn="0"/>
            </w:pPr>
            <w:r>
              <w:t>Year 2</w:t>
            </w:r>
          </w:p>
        </w:tc>
        <w:tc>
          <w:tcPr>
            <w:tcW w:w="1211" w:type="dxa"/>
          </w:tcPr>
          <w:p w14:paraId="70EEBD37" w14:textId="1B606D19" w:rsidR="003F2BC6" w:rsidRPr="00B54486" w:rsidRDefault="003F2BC6" w:rsidP="003F2BC6">
            <w:pPr>
              <w:cnfStyle w:val="100000000000" w:firstRow="1" w:lastRow="0" w:firstColumn="0" w:lastColumn="0" w:oddVBand="0" w:evenVBand="0" w:oddHBand="0" w:evenHBand="0" w:firstRowFirstColumn="0" w:firstRowLastColumn="0" w:lastRowFirstColumn="0" w:lastRowLastColumn="0"/>
            </w:pPr>
            <w:r>
              <w:t>Year 3</w:t>
            </w:r>
          </w:p>
        </w:tc>
        <w:tc>
          <w:tcPr>
            <w:tcW w:w="1219" w:type="dxa"/>
          </w:tcPr>
          <w:p w14:paraId="11DDE47D" w14:textId="5D462123" w:rsidR="003F2BC6" w:rsidRPr="00B54486" w:rsidRDefault="003F2BC6" w:rsidP="003F2BC6">
            <w:pPr>
              <w:cnfStyle w:val="100000000000" w:firstRow="1" w:lastRow="0" w:firstColumn="0" w:lastColumn="0" w:oddVBand="0" w:evenVBand="0" w:oddHBand="0" w:evenHBand="0" w:firstRowFirstColumn="0" w:firstRowLastColumn="0" w:lastRowFirstColumn="0" w:lastRowLastColumn="0"/>
            </w:pPr>
            <w:r>
              <w:t>Year 4</w:t>
            </w:r>
            <w:r w:rsidRPr="00057214">
              <w:rPr>
                <w:vertAlign w:val="superscript"/>
              </w:rPr>
              <w:t xml:space="preserve"> </w:t>
            </w:r>
            <w:r>
              <w:rPr>
                <w:vertAlign w:val="superscript"/>
              </w:rPr>
              <w:t>(a</w:t>
            </w:r>
            <w:r w:rsidRPr="00057214">
              <w:rPr>
                <w:vertAlign w:val="superscript"/>
              </w:rPr>
              <w:t>)</w:t>
            </w:r>
          </w:p>
        </w:tc>
      </w:tr>
      <w:tr w:rsidR="002F323B" w:rsidRPr="00B54486" w14:paraId="42459713" w14:textId="77777777" w:rsidTr="00B947C9">
        <w:tc>
          <w:tcPr>
            <w:cnfStyle w:val="001000000000" w:firstRow="0" w:lastRow="0" w:firstColumn="1" w:lastColumn="0" w:oddVBand="0" w:evenVBand="0" w:oddHBand="0" w:evenHBand="0" w:firstRowFirstColumn="0" w:firstRowLastColumn="0" w:lastRowFirstColumn="0" w:lastRowLastColumn="0"/>
            <w:tcW w:w="3259" w:type="dxa"/>
          </w:tcPr>
          <w:p w14:paraId="15E9BF96" w14:textId="77777777" w:rsidR="002F323B" w:rsidRPr="00B54486" w:rsidRDefault="002F323B" w:rsidP="003D52D7"/>
        </w:tc>
        <w:tc>
          <w:tcPr>
            <w:tcW w:w="1526" w:type="dxa"/>
          </w:tcPr>
          <w:p w14:paraId="43679A1C"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c>
          <w:tcPr>
            <w:tcW w:w="1211" w:type="dxa"/>
          </w:tcPr>
          <w:p w14:paraId="788FFBFC"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c>
          <w:tcPr>
            <w:tcW w:w="1212" w:type="dxa"/>
          </w:tcPr>
          <w:p w14:paraId="46C2EE41"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c>
          <w:tcPr>
            <w:tcW w:w="1211" w:type="dxa"/>
          </w:tcPr>
          <w:p w14:paraId="3F3B0942"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c>
          <w:tcPr>
            <w:tcW w:w="1219" w:type="dxa"/>
          </w:tcPr>
          <w:p w14:paraId="56DEF40E"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r>
      <w:tr w:rsidR="002F323B" w:rsidRPr="00B54486" w14:paraId="395C39F2" w14:textId="77777777" w:rsidTr="00B947C9">
        <w:tc>
          <w:tcPr>
            <w:cnfStyle w:val="001000000000" w:firstRow="0" w:lastRow="0" w:firstColumn="1" w:lastColumn="0" w:oddVBand="0" w:evenVBand="0" w:oddHBand="0" w:evenHBand="0" w:firstRowFirstColumn="0" w:firstRowLastColumn="0" w:lastRowFirstColumn="0" w:lastRowLastColumn="0"/>
            <w:tcW w:w="3259" w:type="dxa"/>
          </w:tcPr>
          <w:p w14:paraId="02C19384" w14:textId="77777777" w:rsidR="002F323B" w:rsidRPr="00B54486" w:rsidRDefault="002F323B" w:rsidP="003D52D7"/>
        </w:tc>
        <w:tc>
          <w:tcPr>
            <w:tcW w:w="1526" w:type="dxa"/>
          </w:tcPr>
          <w:p w14:paraId="5744D9BC"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c>
          <w:tcPr>
            <w:tcW w:w="1211" w:type="dxa"/>
          </w:tcPr>
          <w:p w14:paraId="0761F6A4"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c>
          <w:tcPr>
            <w:tcW w:w="1212" w:type="dxa"/>
          </w:tcPr>
          <w:p w14:paraId="543FA6ED"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c>
          <w:tcPr>
            <w:tcW w:w="1211" w:type="dxa"/>
          </w:tcPr>
          <w:p w14:paraId="28F3B887"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c>
          <w:tcPr>
            <w:tcW w:w="1219" w:type="dxa"/>
          </w:tcPr>
          <w:p w14:paraId="28FAD222" w14:textId="77777777" w:rsidR="002F323B" w:rsidRPr="00B54486" w:rsidRDefault="002F323B" w:rsidP="003D52D7">
            <w:pPr>
              <w:cnfStyle w:val="000000000000" w:firstRow="0" w:lastRow="0" w:firstColumn="0" w:lastColumn="0" w:oddVBand="0" w:evenVBand="0" w:oddHBand="0" w:evenHBand="0" w:firstRowFirstColumn="0" w:firstRowLastColumn="0" w:lastRowFirstColumn="0" w:lastRowLastColumn="0"/>
            </w:pPr>
          </w:p>
        </w:tc>
      </w:tr>
    </w:tbl>
    <w:p w14:paraId="34AD3EF5" w14:textId="6615DE06" w:rsidR="00B947C9" w:rsidRDefault="00B947C9" w:rsidP="00B947C9">
      <w:pPr>
        <w:pStyle w:val="Note"/>
      </w:pPr>
      <w:r>
        <w:t>Note:</w:t>
      </w:r>
    </w:p>
    <w:p w14:paraId="2830A77E" w14:textId="0781A2BA" w:rsidR="00B947C9" w:rsidRPr="00B66192" w:rsidRDefault="0028316E" w:rsidP="0028316E">
      <w:pPr>
        <w:pStyle w:val="Note"/>
        <w:rPr>
          <w:rStyle w:val="Guidance"/>
          <w:i w:val="0"/>
          <w:sz w:val="22"/>
          <w:szCs w:val="22"/>
        </w:rPr>
      </w:pPr>
      <w:r>
        <w:t>(a)</w:t>
      </w:r>
      <w:r>
        <w:tab/>
      </w:r>
      <w:r w:rsidR="003F2BC6" w:rsidRPr="00B66192">
        <w:t xml:space="preserve">This </w:t>
      </w:r>
      <w:r w:rsidR="003F2BC6" w:rsidRPr="0028316E">
        <w:t>table</w:t>
      </w:r>
      <w:r w:rsidR="003F2BC6" w:rsidRPr="00B66192">
        <w:t xml:space="preserve"> requires disclosures from the current reporting year with comparative data from the past three reporting years. Year 4 denotes the current year (</w:t>
      </w:r>
      <w:fldSimple w:instr=" DOCPROPERTY  FinYearCurrent  \* MERGEFORMAT ">
        <w:r w:rsidR="003F2BC6" w:rsidRPr="00B66192">
          <w:t>20X1</w:t>
        </w:r>
        <w:r w:rsidR="003F2BC6" w:rsidRPr="00B66192">
          <w:rPr>
            <w:rFonts w:ascii="Cambria Math" w:hAnsi="Cambria Math" w:cs="Cambria Math"/>
          </w:rPr>
          <w:t>‑</w:t>
        </w:r>
        <w:r w:rsidR="003F2BC6" w:rsidRPr="00B66192">
          <w:t>X2</w:t>
        </w:r>
      </w:fldSimple>
      <w:r w:rsidR="003F2BC6" w:rsidRPr="00B66192">
        <w:t>).</w:t>
      </w:r>
    </w:p>
    <w:p w14:paraId="77F78938" w14:textId="55A4A3E7" w:rsidR="00DC39DE" w:rsidRPr="002F323B" w:rsidRDefault="002F323B" w:rsidP="00DC39DE">
      <w:pPr>
        <w:rPr>
          <w:rStyle w:val="Guidance"/>
        </w:rPr>
      </w:pPr>
      <w:r w:rsidRPr="002F323B">
        <w:rPr>
          <w:rStyle w:val="Guidance"/>
        </w:rPr>
        <w:t>[Departments should include the relevant outputs and their performance covered under the ‘Performance against output performance measures’ section to strengthen the link between departmental objectives and outputs performance reporting.]</w:t>
      </w:r>
    </w:p>
    <w:p w14:paraId="197B43A0" w14:textId="064CBFEC" w:rsidR="002F323B" w:rsidRDefault="002F323B" w:rsidP="002F323B">
      <w:pPr>
        <w:pStyle w:val="GuidanceBlockHeading"/>
      </w:pPr>
      <w:r>
        <w:t>Guidance – Reporting progress towards achieving departmental objectives in the report of operations</w:t>
      </w:r>
    </w:p>
    <w:p w14:paraId="28DE146A" w14:textId="2C5189F1" w:rsidR="002F323B" w:rsidRPr="002F323B" w:rsidRDefault="002F323B" w:rsidP="002F323B">
      <w:pPr>
        <w:rPr>
          <w:rStyle w:val="Guidance"/>
        </w:rPr>
      </w:pPr>
      <w:r w:rsidRPr="002F323B">
        <w:rPr>
          <w:rStyle w:val="Guidance"/>
        </w:rPr>
        <w:t xml:space="preserve">The Government introduced the use of objective indicators in the 2013-14 Budget Paper No. 3 </w:t>
      </w:r>
      <w:r w:rsidRPr="002F323B">
        <w:rPr>
          <w:rStyle w:val="Guidance"/>
          <w:i/>
          <w:iCs/>
        </w:rPr>
        <w:t>Service Delivery</w:t>
      </w:r>
      <w:r w:rsidRPr="002F323B">
        <w:rPr>
          <w:rStyle w:val="Guidance"/>
        </w:rPr>
        <w:t xml:space="preserve"> (BP3) to provide information on progress </w:t>
      </w:r>
      <w:r w:rsidR="00CC2A3E">
        <w:rPr>
          <w:rStyle w:val="Guidance"/>
        </w:rPr>
        <w:t>towards</w:t>
      </w:r>
      <w:r w:rsidRPr="002F323B">
        <w:rPr>
          <w:rStyle w:val="Guidance"/>
        </w:rPr>
        <w:t xml:space="preserve"> objectives. The </w:t>
      </w:r>
      <w:r w:rsidR="00C43D5A">
        <w:rPr>
          <w:rStyle w:val="Guidance"/>
        </w:rPr>
        <w:t>G</w:t>
      </w:r>
      <w:r w:rsidRPr="002F323B">
        <w:rPr>
          <w:rStyle w:val="Guidance"/>
        </w:rPr>
        <w:t>overnment also made a commitment in BP3 to report progress figures in each department’s annual report.</w:t>
      </w:r>
    </w:p>
    <w:p w14:paraId="6AC1DE54" w14:textId="77777777" w:rsidR="002F323B" w:rsidRPr="002F323B" w:rsidRDefault="002F323B" w:rsidP="002F323B">
      <w:pPr>
        <w:pStyle w:val="GuidanceHeading"/>
        <w:rPr>
          <w:rStyle w:val="Guidance"/>
        </w:rPr>
      </w:pPr>
      <w:r w:rsidRPr="002F323B">
        <w:rPr>
          <w:rStyle w:val="Guidance"/>
        </w:rPr>
        <w:t>Guidance</w:t>
      </w:r>
    </w:p>
    <w:p w14:paraId="2A7B22B8" w14:textId="60958023" w:rsidR="002F323B" w:rsidRPr="002F323B" w:rsidRDefault="002F323B" w:rsidP="002F323B">
      <w:pPr>
        <w:rPr>
          <w:rStyle w:val="Guidance"/>
        </w:rPr>
      </w:pPr>
      <w:r w:rsidRPr="002F323B">
        <w:rPr>
          <w:rStyle w:val="Guidance"/>
        </w:rPr>
        <w:t xml:space="preserve">In this section, departments should communicate the performance story for each departmental objective based on the indicator information over time (minimum four years). </w:t>
      </w:r>
      <w:r w:rsidR="004B52E9">
        <w:rPr>
          <w:rStyle w:val="Guidance"/>
        </w:rPr>
        <w:t>D</w:t>
      </w:r>
      <w:r w:rsidRPr="002F323B">
        <w:rPr>
          <w:rStyle w:val="Guidance"/>
        </w:rPr>
        <w:t>eveloping a baseline and medium-term target/standard for the indicators facilitate</w:t>
      </w:r>
      <w:r w:rsidR="004B52E9">
        <w:rPr>
          <w:rStyle w:val="Guidance"/>
        </w:rPr>
        <w:t>s</w:t>
      </w:r>
      <w:r w:rsidRPr="002F323B">
        <w:rPr>
          <w:rStyle w:val="Guidance"/>
        </w:rPr>
        <w:t xml:space="preserve"> communicating performance progress. In some instances, appropriate graphical representation of this information would potentially enhance performance reporting, for example: </w:t>
      </w:r>
    </w:p>
    <w:p w14:paraId="50EFBD64" w14:textId="7C0B1C66" w:rsidR="002F323B" w:rsidRPr="002F323B" w:rsidRDefault="002F323B" w:rsidP="00310F12">
      <w:pPr>
        <w:pStyle w:val="ListBullet"/>
        <w:rPr>
          <w:rStyle w:val="Guidance"/>
        </w:rPr>
      </w:pPr>
      <w:r w:rsidRPr="002F323B">
        <w:rPr>
          <w:rStyle w:val="Guidance"/>
        </w:rPr>
        <w:t xml:space="preserve">In </w:t>
      </w:r>
      <w:r w:rsidRPr="002F323B">
        <w:rPr>
          <w:rStyle w:val="Guidance"/>
        </w:rPr>
        <w:fldChar w:fldCharType="begin"/>
      </w:r>
      <w:r w:rsidRPr="002F323B">
        <w:rPr>
          <w:rStyle w:val="Guidance"/>
        </w:rPr>
        <w:instrText xml:space="preserve"> DOCPROPERTY  FinYearCurrent  \* MERGEFORMAT </w:instrText>
      </w:r>
      <w:r w:rsidRPr="002F323B">
        <w:rPr>
          <w:rStyle w:val="Guidance"/>
        </w:rPr>
        <w:fldChar w:fldCharType="separate"/>
      </w:r>
      <w:r w:rsidR="00851F09">
        <w:rPr>
          <w:rStyle w:val="Guidance"/>
        </w:rPr>
        <w:t>20X1</w:t>
      </w:r>
      <w:r w:rsidR="00851F09" w:rsidRPr="00851F09">
        <w:rPr>
          <w:rStyle w:val="Guidance"/>
          <w:rFonts w:ascii="Cambria Math" w:hAnsi="Cambria Math" w:cs="Cambria Math"/>
        </w:rPr>
        <w:t>‑</w:t>
      </w:r>
      <w:r w:rsidR="00851F09">
        <w:rPr>
          <w:rStyle w:val="Guidance"/>
        </w:rPr>
        <w:t>X2</w:t>
      </w:r>
      <w:r w:rsidRPr="002F323B">
        <w:rPr>
          <w:rStyle w:val="Guidance"/>
        </w:rPr>
        <w:fldChar w:fldCharType="end"/>
      </w:r>
      <w:r w:rsidRPr="002F323B">
        <w:rPr>
          <w:rStyle w:val="Guidance"/>
        </w:rPr>
        <w:t>, there were a total of 60 000 Victorians being serviced by the Department. The number of Victorians using these services has decreased by 14 per cent from 70 000 over the past four years (see Figure 1).</w:t>
      </w:r>
    </w:p>
    <w:p w14:paraId="18418949" w14:textId="4F7A9A3B" w:rsidR="002F323B" w:rsidRPr="002F323B" w:rsidRDefault="002F323B" w:rsidP="00310F12">
      <w:pPr>
        <w:pStyle w:val="ListBullet"/>
        <w:rPr>
          <w:rStyle w:val="Guidance"/>
        </w:rPr>
      </w:pPr>
      <w:r w:rsidRPr="002F323B">
        <w:rPr>
          <w:rStyle w:val="Guidance"/>
        </w:rPr>
        <w:t xml:space="preserve">In </w:t>
      </w:r>
      <w:r w:rsidRPr="002F323B">
        <w:rPr>
          <w:rStyle w:val="Guidance"/>
        </w:rPr>
        <w:fldChar w:fldCharType="begin"/>
      </w:r>
      <w:r w:rsidRPr="002F323B">
        <w:rPr>
          <w:rStyle w:val="Guidance"/>
        </w:rPr>
        <w:instrText xml:space="preserve"> DOCPROPERTY  FinYearCurrent  \* MERGEFORMAT </w:instrText>
      </w:r>
      <w:r w:rsidRPr="002F323B">
        <w:rPr>
          <w:rStyle w:val="Guidance"/>
        </w:rPr>
        <w:fldChar w:fldCharType="separate"/>
      </w:r>
      <w:r w:rsidR="00851F09">
        <w:rPr>
          <w:rStyle w:val="Guidance"/>
        </w:rPr>
        <w:t>20X1</w:t>
      </w:r>
      <w:r w:rsidR="00851F09" w:rsidRPr="00851F09">
        <w:rPr>
          <w:rStyle w:val="Guidance"/>
          <w:rFonts w:ascii="Cambria Math" w:hAnsi="Cambria Math" w:cs="Cambria Math"/>
        </w:rPr>
        <w:t>‑</w:t>
      </w:r>
      <w:r w:rsidR="00851F09">
        <w:rPr>
          <w:rStyle w:val="Guidance"/>
        </w:rPr>
        <w:t>X2</w:t>
      </w:r>
      <w:r w:rsidRPr="002F323B">
        <w:rPr>
          <w:rStyle w:val="Guidance"/>
        </w:rPr>
        <w:fldChar w:fldCharType="end"/>
      </w:r>
      <w:r w:rsidRPr="002F323B">
        <w:rPr>
          <w:rStyle w:val="Guidance"/>
        </w:rPr>
        <w:t xml:space="preserve">, 61 per cent of clients were satisfied with the level of services provided. This result was above the national average of 60 per cent and represented a 2.2 per cent increase from </w:t>
      </w:r>
      <w:r w:rsidRPr="002F323B">
        <w:rPr>
          <w:rStyle w:val="Guidance"/>
        </w:rPr>
        <w:fldChar w:fldCharType="begin"/>
      </w:r>
      <w:r w:rsidRPr="002F323B">
        <w:rPr>
          <w:rStyle w:val="Guidance"/>
        </w:rPr>
        <w:instrText xml:space="preserve"> DOCPROPERTY  FinYearPrevious  \* MERGEFORMAT </w:instrText>
      </w:r>
      <w:r w:rsidRPr="002F323B">
        <w:rPr>
          <w:rStyle w:val="Guidance"/>
        </w:rPr>
        <w:fldChar w:fldCharType="separate"/>
      </w:r>
      <w:r w:rsidR="00A545BA">
        <w:rPr>
          <w:rStyle w:val="Guidance"/>
        </w:rPr>
        <w:t>20X0</w:t>
      </w:r>
      <w:r w:rsidR="00A545BA" w:rsidRPr="00A545BA">
        <w:rPr>
          <w:rStyle w:val="Guidance"/>
          <w:rFonts w:ascii="Cambria Math" w:hAnsi="Cambria Math" w:cs="Cambria Math"/>
        </w:rPr>
        <w:t>‑</w:t>
      </w:r>
      <w:r w:rsidR="00A545BA">
        <w:rPr>
          <w:rStyle w:val="Guidance"/>
        </w:rPr>
        <w:t>X1</w:t>
      </w:r>
      <w:r w:rsidRPr="002F323B">
        <w:rPr>
          <w:rStyle w:val="Guidance"/>
        </w:rPr>
        <w:fldChar w:fldCharType="end"/>
      </w:r>
      <w:r w:rsidRPr="002F323B">
        <w:rPr>
          <w:rStyle w:val="Guidance"/>
        </w:rPr>
        <w:t>. There has been minimal variation in satisfaction levels over the four years (see Figure 2).</w:t>
      </w:r>
    </w:p>
    <w:p w14:paraId="253C74D6" w14:textId="1D44BA54" w:rsidR="002F323B" w:rsidRPr="0091596A" w:rsidRDefault="0025066D" w:rsidP="002F323B">
      <w:pPr>
        <w:rPr>
          <w:rStyle w:val="Guidance"/>
        </w:rPr>
      </w:pPr>
      <w:r>
        <w:rPr>
          <w:rStyle w:val="Guidance"/>
        </w:rPr>
        <w:t>C</w:t>
      </w:r>
      <w:r w:rsidR="002F323B" w:rsidRPr="002F323B">
        <w:rPr>
          <w:rStyle w:val="Guidance"/>
        </w:rPr>
        <w:t xml:space="preserve">orporate plans disclose key initiatives important to the achievement of departmental objectives. </w:t>
      </w:r>
      <w:r w:rsidR="002F323B" w:rsidRPr="002F323B">
        <w:rPr>
          <w:rStyle w:val="Reference"/>
        </w:rPr>
        <w:t>[Recommendation 17</w:t>
      </w:r>
      <w:r w:rsidR="003D52D7">
        <w:rPr>
          <w:rStyle w:val="Reference"/>
        </w:rPr>
        <w:t>,</w:t>
      </w:r>
      <w:r w:rsidR="002F323B" w:rsidRPr="002F323B">
        <w:rPr>
          <w:rStyle w:val="Reference"/>
        </w:rPr>
        <w:t xml:space="preserve"> PAEC Report on 2013-14 and 2014-15 Financial and Performance Outcomes]</w:t>
      </w:r>
    </w:p>
    <w:p w14:paraId="6418BEF7" w14:textId="06E0A1C7" w:rsidR="002F323B" w:rsidRPr="00CD06B1" w:rsidRDefault="002F323B" w:rsidP="00CD06B1">
      <w:pPr>
        <w:rPr>
          <w:rStyle w:val="Guidance"/>
        </w:rPr>
      </w:pPr>
      <w:r w:rsidRPr="00CD06B1">
        <w:rPr>
          <w:rStyle w:val="Guidance"/>
        </w:rPr>
        <w:t>Departments are required to report against the key initiatives listed in the corporate plan in their annual report.</w:t>
      </w:r>
    </w:p>
    <w:p w14:paraId="078A1632" w14:textId="77777777" w:rsidR="002F323B" w:rsidRPr="002F323B" w:rsidRDefault="002F323B" w:rsidP="002F323B">
      <w:pPr>
        <w:pStyle w:val="GuidanceEnd"/>
      </w:pPr>
    </w:p>
    <w:p w14:paraId="3AA052E1" w14:textId="77777777" w:rsidR="002F323B" w:rsidRDefault="002F323B">
      <w:r>
        <w:br w:type="page"/>
      </w:r>
    </w:p>
    <w:p w14:paraId="6E5818C2" w14:textId="6BD6185F" w:rsidR="00DC39DE" w:rsidRDefault="00DC39DE" w:rsidP="00602698">
      <w:pPr>
        <w:pStyle w:val="Caption"/>
      </w:pPr>
      <w:r>
        <w:lastRenderedPageBreak/>
        <w:t xml:space="preserve">Figure 1: </w:t>
      </w:r>
      <w:r>
        <w:tab/>
        <w:t>Number of Victorians serviced by the Department</w:t>
      </w:r>
    </w:p>
    <w:p w14:paraId="0F71F1DF" w14:textId="72AB041D" w:rsidR="00D71B50" w:rsidRPr="00D71B50" w:rsidRDefault="00617945" w:rsidP="00DE07EC">
      <w:r w:rsidRPr="00617945">
        <w:rPr>
          <w:noProof/>
        </w:rPr>
        <w:t xml:space="preserve"> </w:t>
      </w:r>
      <w:r w:rsidR="00493E43">
        <w:rPr>
          <w:noProof/>
        </w:rPr>
        <w:drawing>
          <wp:inline distT="0" distB="0" distL="0" distR="0" wp14:anchorId="098EA09D" wp14:editId="7B997089">
            <wp:extent cx="4375524" cy="2726727"/>
            <wp:effectExtent l="0" t="0" r="6350" b="0"/>
            <wp:docPr id="459" name="Chart 459" descr="Number ('000)" title="Number ('000)">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4BACE93" w14:textId="3266F193" w:rsidR="00DC39DE" w:rsidRDefault="00DC39DE" w:rsidP="00602698">
      <w:pPr>
        <w:jc w:val="center"/>
      </w:pPr>
    </w:p>
    <w:p w14:paraId="4D93C03B" w14:textId="77777777" w:rsidR="00DC39DE" w:rsidRDefault="00DC39DE" w:rsidP="00602698">
      <w:pPr>
        <w:pStyle w:val="Caption"/>
      </w:pPr>
      <w:r>
        <w:t xml:space="preserve">Figure 2: </w:t>
      </w:r>
      <w:r>
        <w:tab/>
        <w:t>Client satisfaction level for the services provided by the Department</w:t>
      </w:r>
    </w:p>
    <w:p w14:paraId="384287AD" w14:textId="25C9CEEA" w:rsidR="00DC39DE" w:rsidRDefault="00FB7E9D" w:rsidP="00DE07EC">
      <w:r w:rsidRPr="00FB7E9D">
        <w:rPr>
          <w:noProof/>
        </w:rPr>
        <w:t xml:space="preserve"> </w:t>
      </w:r>
      <w:r>
        <w:rPr>
          <w:noProof/>
        </w:rPr>
        <w:drawing>
          <wp:inline distT="0" distB="0" distL="0" distR="0" wp14:anchorId="5ED7FB2B" wp14:editId="610E45D2">
            <wp:extent cx="4329486" cy="2657830"/>
            <wp:effectExtent l="0" t="0" r="0" b="0"/>
            <wp:docPr id="458" name="Chart 458" descr="Number ('000)" title="Number ('000)">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B5BD56E" w14:textId="77777777" w:rsidR="00DC39DE" w:rsidRDefault="00DC39DE" w:rsidP="00DC39DE"/>
    <w:p w14:paraId="3D17D825" w14:textId="6913A0BF" w:rsidR="00DC39DE" w:rsidRDefault="00DC39DE" w:rsidP="00602698">
      <w:pPr>
        <w:pStyle w:val="Heading2"/>
      </w:pPr>
      <w:bookmarkStart w:id="98" w:name="INDEXPerfAgainstOutp"/>
      <w:bookmarkStart w:id="99" w:name="_Toc199156272"/>
      <w:bookmarkStart w:id="100" w:name="_Hlk152510334"/>
      <w:bookmarkEnd w:id="98"/>
      <w:r>
        <w:t>Performance against output performance measures</w:t>
      </w:r>
      <w:r w:rsidR="00E1128E">
        <w:t xml:space="preserve"> </w:t>
      </w:r>
      <w:r w:rsidR="005B7616" w:rsidRPr="00D272A2">
        <w:rPr>
          <w:color w:val="7030A0"/>
        </w:rPr>
        <w:t>[REVISED]</w:t>
      </w:r>
      <w:bookmarkEnd w:id="99"/>
    </w:p>
    <w:p w14:paraId="56CBCE98" w14:textId="77777777" w:rsidR="00DC39DE" w:rsidRDefault="00DC39DE" w:rsidP="00602698">
      <w:pPr>
        <w:pStyle w:val="GuidanceHeading"/>
      </w:pPr>
      <w:r>
        <w:t>[Departments should include the output performance information under the relevant departmental objective to strengthen the link between department objectives and output performance reporting.]</w:t>
      </w:r>
    </w:p>
    <w:p w14:paraId="63C17E2D" w14:textId="38B14BAF" w:rsidR="00DC39DE" w:rsidRPr="00602698" w:rsidRDefault="00602698" w:rsidP="00DC39DE">
      <w:pPr>
        <w:rPr>
          <w:rStyle w:val="Guidance"/>
        </w:rPr>
      </w:pPr>
      <w:r w:rsidRPr="00602698">
        <w:rPr>
          <w:rStyle w:val="Guidance"/>
        </w:rPr>
        <w:t xml:space="preserve">The following sections outline details of the outputs provided by the </w:t>
      </w:r>
      <w:r w:rsidR="007B7DF9">
        <w:rPr>
          <w:rStyle w:val="Guidance"/>
        </w:rPr>
        <w:t>d</w:t>
      </w:r>
      <w:r w:rsidRPr="00602698">
        <w:rPr>
          <w:rStyle w:val="Guidance"/>
        </w:rPr>
        <w:t xml:space="preserve">epartment to the Government, including performance measures and costs for each output, and the actual performance results against budgeted targets by output for the </w:t>
      </w:r>
      <w:r w:rsidR="00AC6FBF">
        <w:rPr>
          <w:rStyle w:val="Guidance"/>
        </w:rPr>
        <w:t>d</w:t>
      </w:r>
      <w:r w:rsidRPr="00602698">
        <w:rPr>
          <w:rStyle w:val="Guidance"/>
        </w:rPr>
        <w:t>epartment over the full year ending 30 June</w:t>
      </w:r>
      <w:r>
        <w:rPr>
          <w:rStyle w:val="Guidance"/>
        </w:rPr>
        <w:t xml:space="preserve"> </w:t>
      </w:r>
      <w:r>
        <w:rPr>
          <w:rStyle w:val="Guidance"/>
        </w:rPr>
        <w:fldChar w:fldCharType="begin"/>
      </w:r>
      <w:r>
        <w:rPr>
          <w:rStyle w:val="Guidance"/>
        </w:rPr>
        <w:instrText xml:space="preserve"> DOCPROPERTY  YearCurrent  \* MERGEFORMAT </w:instrText>
      </w:r>
      <w:r>
        <w:rPr>
          <w:rStyle w:val="Guidance"/>
        </w:rPr>
        <w:fldChar w:fldCharType="separate"/>
      </w:r>
      <w:r w:rsidR="00A545BA">
        <w:rPr>
          <w:rStyle w:val="Guidance"/>
        </w:rPr>
        <w:t>20X2</w:t>
      </w:r>
      <w:r>
        <w:rPr>
          <w:rStyle w:val="Guidance"/>
        </w:rPr>
        <w:fldChar w:fldCharType="end"/>
      </w:r>
      <w:r w:rsidRPr="00602698">
        <w:rPr>
          <w:rStyle w:val="Guidance"/>
        </w:rPr>
        <w:t xml:space="preserve">. </w:t>
      </w:r>
      <w:r w:rsidRPr="00602698">
        <w:rPr>
          <w:rStyle w:val="Reference"/>
        </w:rPr>
        <w:t>[FRD 22]</w:t>
      </w:r>
    </w:p>
    <w:p w14:paraId="4491E8F8" w14:textId="77777777" w:rsidR="00602698" w:rsidRDefault="00602698">
      <w:pPr>
        <w:rPr>
          <w:rFonts w:asciiTheme="majorHAnsi" w:eastAsiaTheme="majorEastAsia" w:hAnsiTheme="majorHAnsi" w:cstheme="majorBidi"/>
          <w:b/>
          <w:bCs/>
          <w:iCs/>
          <w:color w:val="FFFFFF" w:themeColor="background1"/>
          <w:szCs w:val="24"/>
        </w:rPr>
      </w:pPr>
      <w:r>
        <w:br w:type="page"/>
      </w:r>
    </w:p>
    <w:p w14:paraId="789D0163" w14:textId="21B8AB57" w:rsidR="00602698" w:rsidRDefault="00602698" w:rsidP="00602698">
      <w:pPr>
        <w:pStyle w:val="GuidanceBlockHeading"/>
      </w:pPr>
      <w:r>
        <w:lastRenderedPageBreak/>
        <w:t>Guidance – Key initiatives and projects</w:t>
      </w:r>
    </w:p>
    <w:p w14:paraId="3A4B25C1" w14:textId="3CD901F8" w:rsidR="00602698" w:rsidRPr="00602698" w:rsidRDefault="00602698" w:rsidP="00602698">
      <w:pPr>
        <w:rPr>
          <w:rStyle w:val="Guidance"/>
        </w:rPr>
      </w:pPr>
      <w:r w:rsidRPr="00602698">
        <w:rPr>
          <w:rStyle w:val="Guidance"/>
        </w:rPr>
        <w:t>Departments are required to provide information about their key initiatives and projects, including any significant changes in key initiatives and projects from previous years and expectations for the future periods. Key initiatives and projects refer to a department’s initiatives and projects that are identified in their corporate plan or equivalent. Each year the discussion should include outcomes achieved by those key initiatives and projects, and any significant changes to the key initiatives and projects that have been previously disclosed or reported upon. The changes that have a material impact on the outcomes or results should also be discussed, and this may include timeline, scope and costs relevant to the key initiative or project.</w:t>
      </w:r>
    </w:p>
    <w:p w14:paraId="11125FD7" w14:textId="21B50503" w:rsidR="00DC39DE" w:rsidRDefault="00602698" w:rsidP="00602698">
      <w:pPr>
        <w:rPr>
          <w:rStyle w:val="Guidance"/>
        </w:rPr>
      </w:pPr>
      <w:r w:rsidRPr="00602698">
        <w:rPr>
          <w:rStyle w:val="Guidance"/>
        </w:rPr>
        <w:t>A department may describe its key initiatives and projects in relation to its outputs where appropriate, preferably in the section where it provides details on the individual outputs, as shown above. Where an initiative/achievement links to multiple outputs, details should be provided under the output it contributes most to. If necessary, other corresponding outputs may provide reference to it.</w:t>
      </w:r>
    </w:p>
    <w:p w14:paraId="388E03DB" w14:textId="77777777" w:rsidR="00602698" w:rsidRPr="00602698" w:rsidRDefault="00602698" w:rsidP="00602698">
      <w:pPr>
        <w:pStyle w:val="GuidanceEnd"/>
        <w:rPr>
          <w:rStyle w:val="Guidance"/>
        </w:rPr>
      </w:pPr>
    </w:p>
    <w:p w14:paraId="08F36645" w14:textId="77777777" w:rsidR="00DC39DE" w:rsidRDefault="00DC39DE" w:rsidP="00602698">
      <w:pPr>
        <w:pStyle w:val="Heading3"/>
      </w:pPr>
      <w:bookmarkStart w:id="101" w:name="_Hlk152510428"/>
      <w:r>
        <w:t>Strategic policy advice</w:t>
      </w:r>
    </w:p>
    <w:p w14:paraId="74382FE4" w14:textId="1C396199" w:rsidR="00602698" w:rsidRDefault="00602698" w:rsidP="00DC39DE">
      <w:r w:rsidRPr="00602698">
        <w:t>The objective of this output is to improve the economic performance of the State through the application of leading-edge technology and to promote leadership in research and innovation in sciences.</w:t>
      </w:r>
      <w:r>
        <w:t xml:space="preserve"> </w:t>
      </w:r>
      <w:r w:rsidRPr="00602698">
        <w:rPr>
          <w:rStyle w:val="Reference"/>
        </w:rPr>
        <w:t>[FRD 8]</w:t>
      </w:r>
    </w:p>
    <w:p w14:paraId="7CA70A27" w14:textId="4F2A7E20" w:rsidR="00DC39DE" w:rsidRDefault="00DC39DE" w:rsidP="00DC39DE">
      <w:r>
        <w:t xml:space="preserve">This output makes a significant contribution to the achievement of the departmental objective of </w:t>
      </w:r>
      <w:r w:rsidRPr="00602698">
        <w:rPr>
          <w:rStyle w:val="Guidance"/>
        </w:rPr>
        <w:t>[Departments to insert the relevant departmental objective]</w:t>
      </w:r>
      <w:r w:rsidR="00602698">
        <w:t>.</w:t>
      </w:r>
    </w:p>
    <w:p w14:paraId="2F3D7700" w14:textId="258EBD14" w:rsidR="00DC39DE" w:rsidRPr="00FA7C6B" w:rsidRDefault="00DC39DE" w:rsidP="00602698">
      <w:pPr>
        <w:pStyle w:val="Heading4"/>
      </w:pPr>
      <w:bookmarkStart w:id="102" w:name="INDEXKeyInitiatives"/>
      <w:bookmarkEnd w:id="102"/>
      <w:r>
        <w:t>Key initiatives and projects</w:t>
      </w:r>
      <w:r w:rsidR="008A41A6">
        <w:rPr>
          <w:color w:val="FF0000"/>
        </w:rPr>
        <w:t xml:space="preserve"> </w:t>
      </w:r>
      <w:r w:rsidR="00EC0B6B" w:rsidRPr="00602698">
        <w:rPr>
          <w:rStyle w:val="Reference"/>
        </w:rPr>
        <w:t>[FRD 8</w:t>
      </w:r>
      <w:r w:rsidR="00EC0B6B">
        <w:rPr>
          <w:rStyle w:val="Reference"/>
        </w:rPr>
        <w:t xml:space="preserve"> Paragraph 5.2</w:t>
      </w:r>
      <w:r w:rsidR="00EC0B6B" w:rsidRPr="00602698">
        <w:rPr>
          <w:rStyle w:val="Reference"/>
        </w:rPr>
        <w:t>]</w:t>
      </w:r>
      <w:r w:rsidR="005B7616">
        <w:rPr>
          <w:rStyle w:val="Reference"/>
        </w:rPr>
        <w:t xml:space="preserve"> </w:t>
      </w:r>
    </w:p>
    <w:p w14:paraId="4C64E200" w14:textId="61649F7A" w:rsidR="00B21337" w:rsidRDefault="00B21337" w:rsidP="00B21337">
      <w:r>
        <w:t xml:space="preserve">Since 1 July </w:t>
      </w:r>
      <w:fldSimple w:instr="DOCPROPERTY  YearPrevious  \* MERGEFORMAT">
        <w:r w:rsidR="004C7B4D">
          <w:t>20X1</w:t>
        </w:r>
      </w:fldSimple>
      <w:r>
        <w:t xml:space="preserve">, the Department has initiated the Technology Trade and Innovation Program, which assists businesses to develop and integrate new technologies. </w:t>
      </w:r>
      <w:r w:rsidRPr="20EC4723">
        <w:rPr>
          <w:rStyle w:val="Reference"/>
        </w:rPr>
        <w:t>[FRD 22</w:t>
      </w:r>
      <w:r w:rsidR="000966E8" w:rsidRPr="20EC4723">
        <w:rPr>
          <w:rStyle w:val="Reference"/>
        </w:rPr>
        <w:t>/</w:t>
      </w:r>
      <w:r w:rsidRPr="20EC4723">
        <w:rPr>
          <w:rStyle w:val="Reference"/>
        </w:rPr>
        <w:t xml:space="preserve">Recommendation 17, PAEC </w:t>
      </w:r>
      <w:r w:rsidR="79738565" w:rsidRPr="20EC4723">
        <w:rPr>
          <w:rStyle w:val="Reference"/>
        </w:rPr>
        <w:t>Review of the 2009-10 and 2010-11 Annual Report</w:t>
      </w:r>
      <w:r w:rsidRPr="20EC4723">
        <w:rPr>
          <w:rStyle w:val="Reference"/>
        </w:rPr>
        <w:t>]</w:t>
      </w:r>
    </w:p>
    <w:p w14:paraId="640B0627" w14:textId="1B98238B" w:rsidR="00DC39DE" w:rsidRDefault="00DC39DE" w:rsidP="00DC39DE">
      <w:r>
        <w:t xml:space="preserve">Up to 30 June </w:t>
      </w:r>
      <w:fldSimple w:instr="DOCPROPERTY  YearCurrent  \* MERGEFORMAT">
        <w:r w:rsidR="00A545BA">
          <w:t>20X2</w:t>
        </w:r>
      </w:fldSimple>
      <w:r>
        <w:t>, the Department has provided strategic, timely and comprehensive analysis and advice to 40</w:t>
      </w:r>
      <w:r w:rsidR="00B21337">
        <w:t> </w:t>
      </w:r>
      <w:r>
        <w:t xml:space="preserve">Victorian businesses. In the next two years, the Department will continue to monitor and support this program, which is expected to represent an additional $29 million investment to the State and create 219 new jobs in </w:t>
      </w:r>
      <w:fldSimple w:instr="DOCPROPERTY  FinYearNext  \* MERGEFORMAT">
        <w:r w:rsidR="007D046C">
          <w:t>20X2</w:t>
        </w:r>
        <w:r w:rsidR="007D046C" w:rsidRPr="007D046C">
          <w:rPr>
            <w:rFonts w:ascii="Cambria Math" w:hAnsi="Cambria Math" w:cs="Cambria Math"/>
          </w:rPr>
          <w:t>‑</w:t>
        </w:r>
        <w:r w:rsidR="007D046C">
          <w:t>X3</w:t>
        </w:r>
      </w:fldSimple>
      <w:r>
        <w:t>.</w:t>
      </w:r>
    </w:p>
    <w:tbl>
      <w:tblPr>
        <w:tblStyle w:val="DTFFinancialTable"/>
        <w:tblW w:w="9682" w:type="dxa"/>
        <w:tblLook w:val="06A0" w:firstRow="1" w:lastRow="0" w:firstColumn="1" w:lastColumn="0" w:noHBand="1" w:noVBand="1"/>
      </w:tblPr>
      <w:tblGrid>
        <w:gridCol w:w="5038"/>
        <w:gridCol w:w="783"/>
        <w:gridCol w:w="890"/>
        <w:gridCol w:w="890"/>
        <w:gridCol w:w="1219"/>
        <w:gridCol w:w="809"/>
        <w:gridCol w:w="53"/>
      </w:tblGrid>
      <w:tr w:rsidR="00CA5916" w:rsidRPr="00F305E1" w14:paraId="59521BC1" w14:textId="77777777" w:rsidTr="1EDBE770">
        <w:trPr>
          <w:gridAfter w:val="1"/>
          <w:cnfStyle w:val="100000000000" w:firstRow="1" w:lastRow="0" w:firstColumn="0" w:lastColumn="0" w:oddVBand="0" w:evenVBand="0" w:oddHBand="0" w:evenHBand="0" w:firstRowFirstColumn="0" w:firstRowLastColumn="0" w:lastRowFirstColumn="0" w:lastRowLastColumn="0"/>
          <w:wAfter w:w="53" w:type="dxa"/>
          <w:trHeight w:val="675"/>
        </w:trPr>
        <w:tc>
          <w:tcPr>
            <w:cnfStyle w:val="001000000100" w:firstRow="0" w:lastRow="0" w:firstColumn="1" w:lastColumn="0" w:oddVBand="0" w:evenVBand="0" w:oddHBand="0" w:evenHBand="0" w:firstRowFirstColumn="1" w:firstRowLastColumn="0" w:lastRowFirstColumn="0" w:lastRowLastColumn="0"/>
            <w:tcW w:w="5038" w:type="dxa"/>
          </w:tcPr>
          <w:p w14:paraId="391DDCD4" w14:textId="77777777" w:rsidR="00CA5916" w:rsidRPr="00F305E1" w:rsidRDefault="00CA5916" w:rsidP="00396387">
            <w:r w:rsidRPr="00F305E1">
              <w:br w:type="page"/>
            </w:r>
            <w:r w:rsidRPr="00F305E1">
              <w:br w:type="page"/>
            </w:r>
            <w:r w:rsidRPr="00F305E1">
              <w:br w:type="column"/>
              <w:t>Performance measures</w:t>
            </w:r>
          </w:p>
        </w:tc>
        <w:tc>
          <w:tcPr>
            <w:tcW w:w="783" w:type="dxa"/>
          </w:tcPr>
          <w:p w14:paraId="49AD81F0" w14:textId="77777777" w:rsidR="00CA5916" w:rsidRPr="00F305E1" w:rsidRDefault="00CA5916" w:rsidP="00396387">
            <w:pPr>
              <w:jc w:val="center"/>
              <w:cnfStyle w:val="100000000000" w:firstRow="1" w:lastRow="0" w:firstColumn="0" w:lastColumn="0" w:oddVBand="0" w:evenVBand="0" w:oddHBand="0" w:evenHBand="0" w:firstRowFirstColumn="0" w:firstRowLastColumn="0" w:lastRowFirstColumn="0" w:lastRowLastColumn="0"/>
            </w:pPr>
            <w:r w:rsidRPr="00F305E1">
              <w:t>Unit of measure</w:t>
            </w:r>
          </w:p>
        </w:tc>
        <w:tc>
          <w:tcPr>
            <w:tcW w:w="890" w:type="dxa"/>
            <w:tcBorders>
              <w:bottom w:val="nil"/>
            </w:tcBorders>
          </w:tcPr>
          <w:p w14:paraId="205EB49F" w14:textId="32DD44D5" w:rsidR="00CA5916" w:rsidRPr="00F305E1" w:rsidRDefault="00033A7C" w:rsidP="00396387">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sidRPr="00033A7C">
                <w:rPr>
                  <w:rFonts w:ascii="Cambria Math" w:hAnsi="Cambria Math" w:cs="Cambria Math"/>
                </w:rPr>
                <w:t>‑</w:t>
              </w:r>
              <w:r>
                <w:t>X2</w:t>
              </w:r>
            </w:fldSimple>
            <w:r w:rsidR="00CA5916" w:rsidRPr="00F305E1">
              <w:br/>
              <w:t>actual</w:t>
            </w:r>
          </w:p>
        </w:tc>
        <w:tc>
          <w:tcPr>
            <w:tcW w:w="890" w:type="dxa"/>
          </w:tcPr>
          <w:p w14:paraId="6C4408D5" w14:textId="558F9FF0" w:rsidR="00CA5916" w:rsidRPr="00F305E1" w:rsidRDefault="00033A7C" w:rsidP="00396387">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sidRPr="00033A7C">
                <w:rPr>
                  <w:rFonts w:ascii="Cambria Math" w:hAnsi="Cambria Math" w:cs="Cambria Math"/>
                </w:rPr>
                <w:t>‑</w:t>
              </w:r>
              <w:r>
                <w:t>X2</w:t>
              </w:r>
            </w:fldSimple>
            <w:r w:rsidR="00CA5916" w:rsidRPr="00F305E1">
              <w:br/>
              <w:t>target</w:t>
            </w:r>
          </w:p>
        </w:tc>
        <w:tc>
          <w:tcPr>
            <w:tcW w:w="1219" w:type="dxa"/>
          </w:tcPr>
          <w:p w14:paraId="0913C1C1" w14:textId="77777777" w:rsidR="00CA5916" w:rsidRPr="00F305E1" w:rsidRDefault="00CA5916" w:rsidP="00396387">
            <w:pPr>
              <w:cnfStyle w:val="100000000000" w:firstRow="1" w:lastRow="0" w:firstColumn="0" w:lastColumn="0" w:oddVBand="0" w:evenVBand="0" w:oddHBand="0" w:evenHBand="0" w:firstRowFirstColumn="0" w:firstRowLastColumn="0" w:lastRowFirstColumn="0" w:lastRowLastColumn="0"/>
            </w:pPr>
            <w:r w:rsidRPr="00F305E1">
              <w:t>Performance variation (%)</w:t>
            </w:r>
          </w:p>
        </w:tc>
        <w:tc>
          <w:tcPr>
            <w:tcW w:w="809" w:type="dxa"/>
          </w:tcPr>
          <w:p w14:paraId="55FCABA7" w14:textId="77777777" w:rsidR="00CA5916" w:rsidRPr="00F305E1" w:rsidRDefault="00CA5916" w:rsidP="00396387">
            <w:pPr>
              <w:jc w:val="center"/>
              <w:cnfStyle w:val="100000000000" w:firstRow="1" w:lastRow="0" w:firstColumn="0" w:lastColumn="0" w:oddVBand="0" w:evenVBand="0" w:oddHBand="0" w:evenHBand="0" w:firstRowFirstColumn="0" w:firstRowLastColumn="0" w:lastRowFirstColumn="0" w:lastRowLastColumn="0"/>
            </w:pPr>
            <w:r w:rsidRPr="00F305E1">
              <w:t xml:space="preserve">Result </w:t>
            </w:r>
            <w:r w:rsidRPr="00F81AD8">
              <w:rPr>
                <w:vertAlign w:val="superscript"/>
              </w:rPr>
              <w:t>(a)</w:t>
            </w:r>
          </w:p>
        </w:tc>
      </w:tr>
      <w:tr w:rsidR="00CA5916" w:rsidRPr="00F83E40" w14:paraId="1898E915"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Pr>
          <w:p w14:paraId="3DFF9F25" w14:textId="77777777" w:rsidR="00CA5916" w:rsidRPr="00F83E40" w:rsidRDefault="00CA5916" w:rsidP="00396387">
            <w:pPr>
              <w:rPr>
                <w:i/>
                <w:iCs/>
              </w:rPr>
            </w:pPr>
            <w:r w:rsidRPr="00F83E40">
              <w:rPr>
                <w:i/>
                <w:iCs/>
              </w:rPr>
              <w:t>Quantity</w:t>
            </w:r>
          </w:p>
        </w:tc>
        <w:tc>
          <w:tcPr>
            <w:tcW w:w="783" w:type="dxa"/>
          </w:tcPr>
          <w:p w14:paraId="128914BA" w14:textId="77777777" w:rsidR="00CA5916" w:rsidRPr="00F83E40" w:rsidRDefault="00CA5916" w:rsidP="007122AE">
            <w:pPr>
              <w:jc w:val="center"/>
              <w:cnfStyle w:val="000000000000" w:firstRow="0" w:lastRow="0" w:firstColumn="0" w:lastColumn="0" w:oddVBand="0" w:evenVBand="0" w:oddHBand="0" w:evenHBand="0" w:firstRowFirstColumn="0" w:firstRowLastColumn="0" w:lastRowFirstColumn="0" w:lastRowLastColumn="0"/>
              <w:rPr>
                <w:i/>
                <w:iCs/>
              </w:rPr>
            </w:pPr>
          </w:p>
        </w:tc>
        <w:tc>
          <w:tcPr>
            <w:tcW w:w="890" w:type="dxa"/>
            <w:tcBorders>
              <w:bottom w:val="nil"/>
            </w:tcBorders>
            <w:shd w:val="clear" w:color="auto" w:fill="auto"/>
          </w:tcPr>
          <w:p w14:paraId="2FECE595"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0" w:type="dxa"/>
          </w:tcPr>
          <w:p w14:paraId="2E305FF2"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219" w:type="dxa"/>
          </w:tcPr>
          <w:p w14:paraId="10DD8016"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09" w:type="dxa"/>
          </w:tcPr>
          <w:p w14:paraId="1C87962C"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617B2BA2" w14:textId="77777777" w:rsidTr="003A6979">
        <w:trPr>
          <w:gridAfter w:val="1"/>
          <w:wAfter w:w="53" w:type="dxa"/>
          <w:trHeight w:val="20"/>
        </w:trPr>
        <w:tc>
          <w:tcPr>
            <w:cnfStyle w:val="001000000000" w:firstRow="0" w:lastRow="0" w:firstColumn="1" w:lastColumn="0" w:oddVBand="0" w:evenVBand="0" w:oddHBand="0" w:evenHBand="0" w:firstRowFirstColumn="0" w:firstRowLastColumn="0" w:lastRowFirstColumn="0" w:lastRowLastColumn="0"/>
            <w:tcW w:w="5038" w:type="dxa"/>
          </w:tcPr>
          <w:p w14:paraId="3D328EF7" w14:textId="77777777" w:rsidR="00CA5916" w:rsidRPr="00F305E1" w:rsidRDefault="00CA5916" w:rsidP="007122AE">
            <w:pPr>
              <w:ind w:left="210"/>
            </w:pPr>
            <w:r w:rsidRPr="00F305E1">
              <w:t>Provision of policy briefings</w:t>
            </w:r>
          </w:p>
        </w:tc>
        <w:tc>
          <w:tcPr>
            <w:tcW w:w="783" w:type="dxa"/>
          </w:tcPr>
          <w:p w14:paraId="57A36662" w14:textId="77777777" w:rsidR="00CA5916" w:rsidRPr="00F305E1" w:rsidRDefault="00CA5916" w:rsidP="007122AE">
            <w:pPr>
              <w:jc w:val="center"/>
              <w:cnfStyle w:val="000000000000" w:firstRow="0" w:lastRow="0" w:firstColumn="0" w:lastColumn="0" w:oddVBand="0" w:evenVBand="0" w:oddHBand="0" w:evenHBand="0" w:firstRowFirstColumn="0" w:firstRowLastColumn="0" w:lastRowFirstColumn="0" w:lastRowLastColumn="0"/>
            </w:pPr>
            <w:r w:rsidRPr="00F305E1">
              <w:t>number</w:t>
            </w:r>
          </w:p>
        </w:tc>
        <w:tc>
          <w:tcPr>
            <w:tcW w:w="890" w:type="dxa"/>
            <w:tcBorders>
              <w:bottom w:val="nil"/>
            </w:tcBorders>
            <w:shd w:val="clear" w:color="auto" w:fill="auto"/>
          </w:tcPr>
          <w:p w14:paraId="329B9079" w14:textId="0B08ACB5" w:rsidR="00CA5916" w:rsidRPr="00F305E1" w:rsidRDefault="00200947" w:rsidP="00396387">
            <w:pPr>
              <w:cnfStyle w:val="000000000000" w:firstRow="0" w:lastRow="0" w:firstColumn="0" w:lastColumn="0" w:oddVBand="0" w:evenVBand="0" w:oddHBand="0" w:evenHBand="0" w:firstRowFirstColumn="0" w:firstRowLastColumn="0" w:lastRowFirstColumn="0" w:lastRowLastColumn="0"/>
            </w:pPr>
            <w:r>
              <w:t>450</w:t>
            </w:r>
          </w:p>
        </w:tc>
        <w:tc>
          <w:tcPr>
            <w:tcW w:w="890" w:type="dxa"/>
          </w:tcPr>
          <w:p w14:paraId="150247C1"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500</w:t>
            </w:r>
          </w:p>
        </w:tc>
        <w:tc>
          <w:tcPr>
            <w:tcW w:w="1219" w:type="dxa"/>
          </w:tcPr>
          <w:p w14:paraId="138769C5" w14:textId="66D64350" w:rsidR="00CA5916" w:rsidRPr="00F305E1" w:rsidRDefault="00171E3D" w:rsidP="00396387">
            <w:pPr>
              <w:cnfStyle w:val="000000000000" w:firstRow="0" w:lastRow="0" w:firstColumn="0" w:lastColumn="0" w:oddVBand="0" w:evenVBand="0" w:oddHBand="0" w:evenHBand="0" w:firstRowFirstColumn="0" w:firstRowLastColumn="0" w:lastRowFirstColumn="0" w:lastRowLastColumn="0"/>
            </w:pPr>
            <w:r>
              <w:t>-</w:t>
            </w:r>
            <w:r w:rsidR="00200947">
              <w:t>10</w:t>
            </w:r>
          </w:p>
        </w:tc>
        <w:tc>
          <w:tcPr>
            <w:tcW w:w="809" w:type="dxa"/>
          </w:tcPr>
          <w:p w14:paraId="4CF155F3" w14:textId="44E150AB" w:rsidR="00CA5916" w:rsidRPr="00F305E1" w:rsidRDefault="00200947" w:rsidP="007122AE">
            <w:pPr>
              <w:cnfStyle w:val="000000000000" w:firstRow="0" w:lastRow="0" w:firstColumn="0" w:lastColumn="0" w:oddVBand="0" w:evenVBand="0" w:oddHBand="0" w:evenHBand="0" w:firstRowFirstColumn="0" w:firstRowLastColumn="0" w:lastRowFirstColumn="0" w:lastRowLastColumn="0"/>
            </w:pPr>
            <w:r w:rsidRPr="00940E38">
              <w:rPr>
                <w:rFonts w:ascii="Wingdings" w:eastAsia="Wingdings" w:hAnsi="Wingdings" w:cs="Wingdings"/>
              </w:rPr>
              <w:t>n</w:t>
            </w:r>
          </w:p>
        </w:tc>
      </w:tr>
      <w:tr w:rsidR="00CA5916" w:rsidRPr="007122AE" w14:paraId="0B3BD3EB" w14:textId="77777777" w:rsidTr="003A6979">
        <w:trPr>
          <w:gridAfter w:val="1"/>
          <w:wAfter w:w="58" w:type="dxa"/>
          <w:trHeight w:val="20"/>
        </w:trPr>
        <w:tc>
          <w:tcPr>
            <w:cnfStyle w:val="001000000000" w:firstRow="0" w:lastRow="0" w:firstColumn="1" w:lastColumn="0" w:oddVBand="0" w:evenVBand="0" w:oddHBand="0" w:evenHBand="0" w:firstRowFirstColumn="0" w:firstRowLastColumn="0" w:lastRowFirstColumn="0" w:lastRowLastColumn="0"/>
            <w:tcW w:w="9624" w:type="dxa"/>
            <w:gridSpan w:val="6"/>
            <w:tcBorders>
              <w:bottom w:val="nil"/>
            </w:tcBorders>
            <w:shd w:val="clear" w:color="auto" w:fill="auto"/>
          </w:tcPr>
          <w:p w14:paraId="4D45D652" w14:textId="51891480" w:rsidR="00CA5916" w:rsidRPr="007122AE" w:rsidRDefault="00200947" w:rsidP="007122AE">
            <w:pPr>
              <w:ind w:left="210"/>
              <w:rPr>
                <w:i/>
                <w:iCs/>
                <w:sz w:val="15"/>
                <w:szCs w:val="15"/>
              </w:rPr>
            </w:pPr>
            <w:r w:rsidRPr="007122AE">
              <w:rPr>
                <w:i/>
                <w:iCs/>
                <w:sz w:val="15"/>
                <w:szCs w:val="15"/>
              </w:rPr>
              <w:t xml:space="preserve">Less policy briefs were delivered by the Department during the current year. This is due to other policy initiatives taking priority for the current year. In addition, the Department also faced resourcing challenges </w:t>
            </w:r>
            <w:r w:rsidR="007920F1" w:rsidRPr="007122AE">
              <w:rPr>
                <w:i/>
                <w:iCs/>
                <w:sz w:val="15"/>
                <w:szCs w:val="15"/>
              </w:rPr>
              <w:t>because of</w:t>
            </w:r>
            <w:r w:rsidRPr="007122AE">
              <w:rPr>
                <w:i/>
                <w:iCs/>
                <w:sz w:val="15"/>
                <w:szCs w:val="15"/>
              </w:rPr>
              <w:t xml:space="preserve"> a recent reduction to the size of the Department’s workforce.</w:t>
            </w:r>
          </w:p>
        </w:tc>
      </w:tr>
      <w:tr w:rsidR="00CA5916" w:rsidRPr="00F305E1" w14:paraId="31C5C1B0" w14:textId="77777777" w:rsidTr="003A6979">
        <w:trPr>
          <w:gridAfter w:val="1"/>
          <w:wAfter w:w="53" w:type="dxa"/>
          <w:trHeight w:val="20"/>
        </w:trPr>
        <w:tc>
          <w:tcPr>
            <w:cnfStyle w:val="001000000000" w:firstRow="0" w:lastRow="0" w:firstColumn="1" w:lastColumn="0" w:oddVBand="0" w:evenVBand="0" w:oddHBand="0" w:evenHBand="0" w:firstRowFirstColumn="0" w:firstRowLastColumn="0" w:lastRowFirstColumn="0" w:lastRowLastColumn="0"/>
            <w:tcW w:w="5038" w:type="dxa"/>
            <w:tcBorders>
              <w:bottom w:val="single" w:sz="6" w:space="0" w:color="auto"/>
            </w:tcBorders>
          </w:tcPr>
          <w:p w14:paraId="113DA6D4" w14:textId="1F1BBC56" w:rsidR="00CA5916" w:rsidRPr="00F305E1" w:rsidRDefault="00CA5916" w:rsidP="00396387">
            <w:r w:rsidRPr="00F305E1">
              <w:t>Deliver two long</w:t>
            </w:r>
            <w:r w:rsidR="77FDC024">
              <w:t>-</w:t>
            </w:r>
            <w:r w:rsidRPr="00F305E1">
              <w:t>term research projects</w:t>
            </w:r>
          </w:p>
        </w:tc>
        <w:tc>
          <w:tcPr>
            <w:tcW w:w="783" w:type="dxa"/>
            <w:tcBorders>
              <w:bottom w:val="single" w:sz="6" w:space="0" w:color="auto"/>
            </w:tcBorders>
          </w:tcPr>
          <w:p w14:paraId="0535DF4C" w14:textId="77777777" w:rsidR="00CA5916" w:rsidRPr="00F305E1" w:rsidRDefault="00CA5916" w:rsidP="007122AE">
            <w:pPr>
              <w:jc w:val="center"/>
              <w:cnfStyle w:val="000000000000" w:firstRow="0" w:lastRow="0" w:firstColumn="0" w:lastColumn="0" w:oddVBand="0" w:evenVBand="0" w:oddHBand="0" w:evenHBand="0" w:firstRowFirstColumn="0" w:firstRowLastColumn="0" w:lastRowFirstColumn="0" w:lastRowLastColumn="0"/>
            </w:pPr>
            <w:r w:rsidRPr="00F305E1">
              <w:t>number</w:t>
            </w:r>
          </w:p>
        </w:tc>
        <w:tc>
          <w:tcPr>
            <w:tcW w:w="890" w:type="dxa"/>
            <w:tcBorders>
              <w:bottom w:val="single" w:sz="6" w:space="0" w:color="auto"/>
            </w:tcBorders>
            <w:shd w:val="clear" w:color="auto" w:fill="auto"/>
          </w:tcPr>
          <w:p w14:paraId="7EC416A3"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2</w:t>
            </w:r>
          </w:p>
        </w:tc>
        <w:tc>
          <w:tcPr>
            <w:tcW w:w="890" w:type="dxa"/>
            <w:tcBorders>
              <w:bottom w:val="single" w:sz="6" w:space="0" w:color="auto"/>
            </w:tcBorders>
          </w:tcPr>
          <w:p w14:paraId="43A5559D"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2</w:t>
            </w:r>
          </w:p>
        </w:tc>
        <w:tc>
          <w:tcPr>
            <w:tcW w:w="1219" w:type="dxa"/>
            <w:tcBorders>
              <w:bottom w:val="single" w:sz="6" w:space="0" w:color="auto"/>
            </w:tcBorders>
          </w:tcPr>
          <w:p w14:paraId="38D23F2D"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0</w:t>
            </w:r>
          </w:p>
        </w:tc>
        <w:tc>
          <w:tcPr>
            <w:tcW w:w="809" w:type="dxa"/>
            <w:tcBorders>
              <w:bottom w:val="single" w:sz="6" w:space="0" w:color="auto"/>
            </w:tcBorders>
          </w:tcPr>
          <w:p w14:paraId="74CE84B3" w14:textId="1ECD94B7"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D06B1" w:rsidRPr="00F83E40" w14:paraId="50B45DF6"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Borders>
              <w:top w:val="single" w:sz="6" w:space="0" w:color="auto"/>
              <w:bottom w:val="nil"/>
            </w:tcBorders>
          </w:tcPr>
          <w:p w14:paraId="0AA43DC1" w14:textId="77777777" w:rsidR="00CA5916" w:rsidRPr="00F83E40" w:rsidRDefault="00CA5916" w:rsidP="00396387">
            <w:pPr>
              <w:rPr>
                <w:i/>
                <w:iCs/>
              </w:rPr>
            </w:pPr>
            <w:r w:rsidRPr="00F83E40">
              <w:rPr>
                <w:i/>
                <w:iCs/>
              </w:rPr>
              <w:t>Quality</w:t>
            </w:r>
          </w:p>
        </w:tc>
        <w:tc>
          <w:tcPr>
            <w:tcW w:w="783" w:type="dxa"/>
            <w:tcBorders>
              <w:top w:val="single" w:sz="6" w:space="0" w:color="auto"/>
              <w:bottom w:val="nil"/>
            </w:tcBorders>
          </w:tcPr>
          <w:p w14:paraId="59E1CD29"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0" w:type="dxa"/>
            <w:tcBorders>
              <w:top w:val="single" w:sz="6" w:space="0" w:color="auto"/>
              <w:bottom w:val="nil"/>
            </w:tcBorders>
            <w:shd w:val="clear" w:color="auto" w:fill="auto"/>
          </w:tcPr>
          <w:p w14:paraId="468872A3"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0" w:type="dxa"/>
            <w:tcBorders>
              <w:top w:val="single" w:sz="6" w:space="0" w:color="auto"/>
              <w:bottom w:val="nil"/>
            </w:tcBorders>
          </w:tcPr>
          <w:p w14:paraId="7BA2C1C2"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219" w:type="dxa"/>
            <w:tcBorders>
              <w:top w:val="single" w:sz="6" w:space="0" w:color="auto"/>
              <w:bottom w:val="nil"/>
            </w:tcBorders>
          </w:tcPr>
          <w:p w14:paraId="2DF03AEB"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09" w:type="dxa"/>
            <w:tcBorders>
              <w:top w:val="single" w:sz="6" w:space="0" w:color="auto"/>
              <w:bottom w:val="nil"/>
            </w:tcBorders>
          </w:tcPr>
          <w:p w14:paraId="7411248E" w14:textId="77777777" w:rsidR="00CA5916" w:rsidRPr="00F83E40" w:rsidRDefault="00CA5916" w:rsidP="00396387">
            <w:pPr>
              <w:jc w:val="cente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60D5A1BF"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Borders>
              <w:top w:val="nil"/>
            </w:tcBorders>
          </w:tcPr>
          <w:p w14:paraId="3285824E" w14:textId="77777777" w:rsidR="00CA5916" w:rsidRPr="00F305E1" w:rsidRDefault="00CA5916" w:rsidP="007122AE">
            <w:pPr>
              <w:ind w:left="210"/>
            </w:pPr>
            <w:r w:rsidRPr="00F305E1">
              <w:t>Client satisfaction rating</w:t>
            </w:r>
          </w:p>
        </w:tc>
        <w:tc>
          <w:tcPr>
            <w:tcW w:w="783" w:type="dxa"/>
            <w:tcBorders>
              <w:top w:val="nil"/>
            </w:tcBorders>
          </w:tcPr>
          <w:p w14:paraId="46E4BF4E" w14:textId="77777777" w:rsidR="00CA5916" w:rsidRPr="00F305E1" w:rsidRDefault="00CA5916" w:rsidP="007122AE">
            <w:pPr>
              <w:jc w:val="center"/>
              <w:cnfStyle w:val="000000000000" w:firstRow="0" w:lastRow="0" w:firstColumn="0" w:lastColumn="0" w:oddVBand="0" w:evenVBand="0" w:oddHBand="0" w:evenHBand="0" w:firstRowFirstColumn="0" w:firstRowLastColumn="0" w:lastRowFirstColumn="0" w:lastRowLastColumn="0"/>
            </w:pPr>
            <w:r w:rsidRPr="00F305E1">
              <w:t>per cent</w:t>
            </w:r>
          </w:p>
        </w:tc>
        <w:tc>
          <w:tcPr>
            <w:tcW w:w="890" w:type="dxa"/>
            <w:tcBorders>
              <w:top w:val="nil"/>
              <w:bottom w:val="nil"/>
            </w:tcBorders>
            <w:shd w:val="clear" w:color="auto" w:fill="auto"/>
          </w:tcPr>
          <w:p w14:paraId="508BEC6D"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95.0</w:t>
            </w:r>
          </w:p>
        </w:tc>
        <w:tc>
          <w:tcPr>
            <w:tcW w:w="890" w:type="dxa"/>
            <w:tcBorders>
              <w:top w:val="nil"/>
            </w:tcBorders>
          </w:tcPr>
          <w:p w14:paraId="22F9EA51"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90.0</w:t>
            </w:r>
          </w:p>
        </w:tc>
        <w:tc>
          <w:tcPr>
            <w:tcW w:w="1219" w:type="dxa"/>
            <w:tcBorders>
              <w:top w:val="nil"/>
            </w:tcBorders>
          </w:tcPr>
          <w:p w14:paraId="689EDB4C"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5.6</w:t>
            </w:r>
          </w:p>
        </w:tc>
        <w:tc>
          <w:tcPr>
            <w:tcW w:w="809" w:type="dxa"/>
            <w:tcBorders>
              <w:top w:val="nil"/>
            </w:tcBorders>
          </w:tcPr>
          <w:p w14:paraId="314FE374" w14:textId="4FCEFC28"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A5916" w:rsidRPr="007122AE" w14:paraId="7FC34018" w14:textId="77777777" w:rsidTr="003A6979">
        <w:trPr>
          <w:gridAfter w:val="1"/>
          <w:wAfter w:w="58" w:type="dxa"/>
          <w:trHeight w:val="57"/>
        </w:trPr>
        <w:tc>
          <w:tcPr>
            <w:cnfStyle w:val="001000000000" w:firstRow="0" w:lastRow="0" w:firstColumn="1" w:lastColumn="0" w:oddVBand="0" w:evenVBand="0" w:oddHBand="0" w:evenHBand="0" w:firstRowFirstColumn="0" w:firstRowLastColumn="0" w:lastRowFirstColumn="0" w:lastRowLastColumn="0"/>
            <w:tcW w:w="9624" w:type="dxa"/>
            <w:gridSpan w:val="6"/>
            <w:tcBorders>
              <w:bottom w:val="nil"/>
            </w:tcBorders>
            <w:shd w:val="clear" w:color="auto" w:fill="auto"/>
          </w:tcPr>
          <w:p w14:paraId="7EAAF699" w14:textId="77777777" w:rsidR="00CA5916" w:rsidRPr="007122AE" w:rsidRDefault="00CA5916" w:rsidP="007122AE">
            <w:pPr>
              <w:ind w:left="210"/>
              <w:rPr>
                <w:i/>
                <w:iCs/>
                <w:sz w:val="15"/>
                <w:szCs w:val="15"/>
              </w:rPr>
            </w:pPr>
            <w:r w:rsidRPr="007122AE">
              <w:rPr>
                <w:i/>
                <w:iCs/>
                <w:sz w:val="15"/>
                <w:szCs w:val="15"/>
              </w:rPr>
              <w:t>The rating is based on surveys completed by clients. The actual survey rating received exceeded the targeted survey result mainly due to client satisfaction with the timeliness of the briefings provided, and client satisfaction with an improved format and style of briefings.</w:t>
            </w:r>
          </w:p>
        </w:tc>
      </w:tr>
      <w:tr w:rsidR="00CA5916" w:rsidRPr="00F305E1" w14:paraId="262B5B06"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Borders>
              <w:bottom w:val="single" w:sz="6" w:space="0" w:color="auto"/>
            </w:tcBorders>
          </w:tcPr>
          <w:p w14:paraId="007EC3F2" w14:textId="77777777" w:rsidR="00CA5916" w:rsidRPr="00F305E1" w:rsidRDefault="00CA5916" w:rsidP="007122AE">
            <w:pPr>
              <w:ind w:left="210"/>
            </w:pPr>
            <w:r w:rsidRPr="00F305E1">
              <w:t>Policy briefings addressed key issues</w:t>
            </w:r>
          </w:p>
        </w:tc>
        <w:tc>
          <w:tcPr>
            <w:tcW w:w="783" w:type="dxa"/>
            <w:tcBorders>
              <w:bottom w:val="single" w:sz="6" w:space="0" w:color="auto"/>
            </w:tcBorders>
          </w:tcPr>
          <w:p w14:paraId="1A2FCBB2"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F305E1">
              <w:t>per cent</w:t>
            </w:r>
          </w:p>
        </w:tc>
        <w:tc>
          <w:tcPr>
            <w:tcW w:w="890" w:type="dxa"/>
            <w:tcBorders>
              <w:bottom w:val="single" w:sz="6" w:space="0" w:color="auto"/>
            </w:tcBorders>
            <w:shd w:val="clear" w:color="auto" w:fill="auto"/>
          </w:tcPr>
          <w:p w14:paraId="36A628A8"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91.0</w:t>
            </w:r>
          </w:p>
        </w:tc>
        <w:tc>
          <w:tcPr>
            <w:tcW w:w="890" w:type="dxa"/>
            <w:tcBorders>
              <w:bottom w:val="single" w:sz="6" w:space="0" w:color="auto"/>
            </w:tcBorders>
          </w:tcPr>
          <w:p w14:paraId="1F7294D4"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91.0</w:t>
            </w:r>
          </w:p>
        </w:tc>
        <w:tc>
          <w:tcPr>
            <w:tcW w:w="1219" w:type="dxa"/>
            <w:tcBorders>
              <w:bottom w:val="single" w:sz="6" w:space="0" w:color="auto"/>
            </w:tcBorders>
          </w:tcPr>
          <w:p w14:paraId="09C45871"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0</w:t>
            </w:r>
          </w:p>
        </w:tc>
        <w:tc>
          <w:tcPr>
            <w:tcW w:w="809" w:type="dxa"/>
            <w:tcBorders>
              <w:bottom w:val="single" w:sz="6" w:space="0" w:color="auto"/>
            </w:tcBorders>
          </w:tcPr>
          <w:p w14:paraId="4C81AF35" w14:textId="52AC75E7"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D06B1" w:rsidRPr="00F83E40" w14:paraId="3C059B87"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Borders>
              <w:top w:val="single" w:sz="6" w:space="0" w:color="auto"/>
              <w:bottom w:val="nil"/>
            </w:tcBorders>
          </w:tcPr>
          <w:p w14:paraId="684FB5B1" w14:textId="77777777" w:rsidR="00CA5916" w:rsidRPr="00F83E40" w:rsidRDefault="00CA5916" w:rsidP="00396387">
            <w:pPr>
              <w:rPr>
                <w:i/>
                <w:iCs/>
              </w:rPr>
            </w:pPr>
            <w:r w:rsidRPr="00F83E40">
              <w:rPr>
                <w:i/>
                <w:iCs/>
              </w:rPr>
              <w:t>Timeliness</w:t>
            </w:r>
          </w:p>
        </w:tc>
        <w:tc>
          <w:tcPr>
            <w:tcW w:w="783" w:type="dxa"/>
            <w:tcBorders>
              <w:top w:val="single" w:sz="6" w:space="0" w:color="auto"/>
              <w:bottom w:val="nil"/>
            </w:tcBorders>
          </w:tcPr>
          <w:p w14:paraId="54FA3033"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0" w:type="dxa"/>
            <w:tcBorders>
              <w:top w:val="single" w:sz="6" w:space="0" w:color="auto"/>
              <w:bottom w:val="nil"/>
            </w:tcBorders>
            <w:shd w:val="clear" w:color="auto" w:fill="auto"/>
          </w:tcPr>
          <w:p w14:paraId="1D17F9C2"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0" w:type="dxa"/>
            <w:tcBorders>
              <w:top w:val="single" w:sz="6" w:space="0" w:color="auto"/>
              <w:bottom w:val="nil"/>
            </w:tcBorders>
          </w:tcPr>
          <w:p w14:paraId="3BD54A2A"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219" w:type="dxa"/>
            <w:tcBorders>
              <w:top w:val="single" w:sz="6" w:space="0" w:color="auto"/>
              <w:bottom w:val="nil"/>
            </w:tcBorders>
          </w:tcPr>
          <w:p w14:paraId="008AFA10"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09" w:type="dxa"/>
            <w:tcBorders>
              <w:top w:val="single" w:sz="6" w:space="0" w:color="auto"/>
              <w:bottom w:val="nil"/>
            </w:tcBorders>
          </w:tcPr>
          <w:p w14:paraId="6EA7F241" w14:textId="77777777" w:rsidR="00CA5916" w:rsidRPr="00F83E40" w:rsidRDefault="00CA5916" w:rsidP="00396387">
            <w:pPr>
              <w:jc w:val="cente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5636011A"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Borders>
              <w:top w:val="nil"/>
              <w:bottom w:val="nil"/>
            </w:tcBorders>
          </w:tcPr>
          <w:p w14:paraId="3E2C6F6C" w14:textId="77777777" w:rsidR="00CA5916" w:rsidRPr="00F305E1" w:rsidRDefault="00CA5916" w:rsidP="007122AE">
            <w:pPr>
              <w:ind w:left="210"/>
            </w:pPr>
            <w:r w:rsidRPr="00F305E1">
              <w:t>Key deliverables managed on time</w:t>
            </w:r>
          </w:p>
        </w:tc>
        <w:tc>
          <w:tcPr>
            <w:tcW w:w="783" w:type="dxa"/>
            <w:tcBorders>
              <w:top w:val="nil"/>
              <w:bottom w:val="nil"/>
            </w:tcBorders>
          </w:tcPr>
          <w:p w14:paraId="49BB52DB"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F305E1">
              <w:t>per cent</w:t>
            </w:r>
          </w:p>
        </w:tc>
        <w:tc>
          <w:tcPr>
            <w:tcW w:w="890" w:type="dxa"/>
            <w:tcBorders>
              <w:top w:val="nil"/>
              <w:bottom w:val="nil"/>
            </w:tcBorders>
            <w:shd w:val="clear" w:color="auto" w:fill="auto"/>
          </w:tcPr>
          <w:p w14:paraId="3266867B"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100.0</w:t>
            </w:r>
          </w:p>
        </w:tc>
        <w:tc>
          <w:tcPr>
            <w:tcW w:w="890" w:type="dxa"/>
            <w:tcBorders>
              <w:top w:val="nil"/>
              <w:bottom w:val="nil"/>
            </w:tcBorders>
          </w:tcPr>
          <w:p w14:paraId="2241FE3E"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100.0</w:t>
            </w:r>
          </w:p>
        </w:tc>
        <w:tc>
          <w:tcPr>
            <w:tcW w:w="1219" w:type="dxa"/>
            <w:tcBorders>
              <w:top w:val="nil"/>
              <w:bottom w:val="nil"/>
            </w:tcBorders>
          </w:tcPr>
          <w:p w14:paraId="58C35708"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0</w:t>
            </w:r>
          </w:p>
        </w:tc>
        <w:tc>
          <w:tcPr>
            <w:tcW w:w="809" w:type="dxa"/>
            <w:tcBorders>
              <w:top w:val="nil"/>
              <w:bottom w:val="nil"/>
            </w:tcBorders>
          </w:tcPr>
          <w:p w14:paraId="58EEA4D2" w14:textId="3D3403EC"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A5916" w:rsidRPr="00F305E1" w14:paraId="7C8F20AB"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Borders>
              <w:bottom w:val="single" w:sz="6" w:space="0" w:color="auto"/>
            </w:tcBorders>
          </w:tcPr>
          <w:p w14:paraId="70D5231A" w14:textId="77777777" w:rsidR="00CA5916" w:rsidRPr="00F305E1" w:rsidRDefault="00CA5916" w:rsidP="007122AE">
            <w:pPr>
              <w:ind w:left="210"/>
            </w:pPr>
            <w:r w:rsidRPr="00F305E1">
              <w:t>Responses to Ministerial correspondence delivered within agreed timeline</w:t>
            </w:r>
          </w:p>
        </w:tc>
        <w:tc>
          <w:tcPr>
            <w:tcW w:w="783" w:type="dxa"/>
            <w:tcBorders>
              <w:bottom w:val="single" w:sz="6" w:space="0" w:color="auto"/>
            </w:tcBorders>
          </w:tcPr>
          <w:p w14:paraId="3BB0826C"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F305E1">
              <w:t>per cent</w:t>
            </w:r>
          </w:p>
        </w:tc>
        <w:tc>
          <w:tcPr>
            <w:tcW w:w="890" w:type="dxa"/>
            <w:tcBorders>
              <w:bottom w:val="single" w:sz="6" w:space="0" w:color="auto"/>
            </w:tcBorders>
            <w:shd w:val="clear" w:color="auto" w:fill="auto"/>
          </w:tcPr>
          <w:p w14:paraId="7D884B50"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100.0</w:t>
            </w:r>
          </w:p>
        </w:tc>
        <w:tc>
          <w:tcPr>
            <w:tcW w:w="890" w:type="dxa"/>
            <w:tcBorders>
              <w:bottom w:val="single" w:sz="6" w:space="0" w:color="auto"/>
            </w:tcBorders>
          </w:tcPr>
          <w:p w14:paraId="70BE3358"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100.0</w:t>
            </w:r>
          </w:p>
        </w:tc>
        <w:tc>
          <w:tcPr>
            <w:tcW w:w="1219" w:type="dxa"/>
            <w:tcBorders>
              <w:bottom w:val="single" w:sz="6" w:space="0" w:color="auto"/>
            </w:tcBorders>
          </w:tcPr>
          <w:p w14:paraId="4BC4BDC4"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0</w:t>
            </w:r>
          </w:p>
        </w:tc>
        <w:tc>
          <w:tcPr>
            <w:tcW w:w="809" w:type="dxa"/>
            <w:tcBorders>
              <w:bottom w:val="single" w:sz="6" w:space="0" w:color="auto"/>
            </w:tcBorders>
          </w:tcPr>
          <w:p w14:paraId="55B0D959" w14:textId="0F8748E2"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D06B1" w:rsidRPr="00F83E40" w14:paraId="3A2357B4"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Borders>
              <w:top w:val="single" w:sz="6" w:space="0" w:color="auto"/>
              <w:bottom w:val="nil"/>
            </w:tcBorders>
          </w:tcPr>
          <w:p w14:paraId="19E52B32" w14:textId="77777777" w:rsidR="00CA5916" w:rsidRPr="00F83E40" w:rsidRDefault="00CA5916" w:rsidP="00396387">
            <w:pPr>
              <w:rPr>
                <w:i/>
                <w:iCs/>
              </w:rPr>
            </w:pPr>
            <w:r w:rsidRPr="00F83E40">
              <w:rPr>
                <w:i/>
                <w:iCs/>
              </w:rPr>
              <w:t>Cost</w:t>
            </w:r>
          </w:p>
        </w:tc>
        <w:tc>
          <w:tcPr>
            <w:tcW w:w="783" w:type="dxa"/>
            <w:tcBorders>
              <w:top w:val="single" w:sz="6" w:space="0" w:color="auto"/>
              <w:bottom w:val="nil"/>
            </w:tcBorders>
          </w:tcPr>
          <w:p w14:paraId="07B6E65F"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0" w:type="dxa"/>
            <w:tcBorders>
              <w:top w:val="single" w:sz="6" w:space="0" w:color="auto"/>
              <w:bottom w:val="nil"/>
            </w:tcBorders>
            <w:shd w:val="clear" w:color="auto" w:fill="auto"/>
          </w:tcPr>
          <w:p w14:paraId="0EB08FC0"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0" w:type="dxa"/>
            <w:tcBorders>
              <w:top w:val="single" w:sz="6" w:space="0" w:color="auto"/>
              <w:bottom w:val="nil"/>
            </w:tcBorders>
          </w:tcPr>
          <w:p w14:paraId="268765EF"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219" w:type="dxa"/>
            <w:tcBorders>
              <w:top w:val="single" w:sz="6" w:space="0" w:color="auto"/>
              <w:bottom w:val="nil"/>
            </w:tcBorders>
          </w:tcPr>
          <w:p w14:paraId="335E499B"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09" w:type="dxa"/>
            <w:tcBorders>
              <w:top w:val="single" w:sz="6" w:space="0" w:color="auto"/>
              <w:bottom w:val="nil"/>
            </w:tcBorders>
          </w:tcPr>
          <w:p w14:paraId="433A9999" w14:textId="77777777" w:rsidR="00CA5916" w:rsidRPr="00F83E40" w:rsidRDefault="00CA5916" w:rsidP="00396387">
            <w:pPr>
              <w:jc w:val="cente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1EC236DA" w14:textId="77777777" w:rsidTr="003A6979">
        <w:trPr>
          <w:gridAfter w:val="1"/>
          <w:wAfter w:w="53" w:type="dxa"/>
          <w:trHeight w:val="57"/>
        </w:trPr>
        <w:tc>
          <w:tcPr>
            <w:cnfStyle w:val="001000000000" w:firstRow="0" w:lastRow="0" w:firstColumn="1" w:lastColumn="0" w:oddVBand="0" w:evenVBand="0" w:oddHBand="0" w:evenHBand="0" w:firstRowFirstColumn="0" w:firstRowLastColumn="0" w:lastRowFirstColumn="0" w:lastRowLastColumn="0"/>
            <w:tcW w:w="5038" w:type="dxa"/>
            <w:tcBorders>
              <w:top w:val="nil"/>
            </w:tcBorders>
          </w:tcPr>
          <w:p w14:paraId="78E8550D" w14:textId="77777777" w:rsidR="00CA5916" w:rsidRPr="00F305E1" w:rsidRDefault="00CA5916" w:rsidP="007122AE">
            <w:pPr>
              <w:ind w:left="210"/>
            </w:pPr>
            <w:r w:rsidRPr="00F305E1">
              <w:t>Total output cost</w:t>
            </w:r>
          </w:p>
        </w:tc>
        <w:tc>
          <w:tcPr>
            <w:tcW w:w="783" w:type="dxa"/>
            <w:tcBorders>
              <w:top w:val="nil"/>
            </w:tcBorders>
          </w:tcPr>
          <w:p w14:paraId="0413CA90" w14:textId="77777777" w:rsidR="00CA5916" w:rsidRPr="00F305E1" w:rsidRDefault="00CA5916" w:rsidP="007122AE">
            <w:pPr>
              <w:jc w:val="center"/>
              <w:cnfStyle w:val="000000000000" w:firstRow="0" w:lastRow="0" w:firstColumn="0" w:lastColumn="0" w:oddVBand="0" w:evenVBand="0" w:oddHBand="0" w:evenHBand="0" w:firstRowFirstColumn="0" w:firstRowLastColumn="0" w:lastRowFirstColumn="0" w:lastRowLastColumn="0"/>
            </w:pPr>
            <w:r w:rsidRPr="00F305E1">
              <w:t>$ million</w:t>
            </w:r>
          </w:p>
        </w:tc>
        <w:tc>
          <w:tcPr>
            <w:tcW w:w="890" w:type="dxa"/>
            <w:tcBorders>
              <w:top w:val="nil"/>
              <w:bottom w:val="nil"/>
            </w:tcBorders>
            <w:shd w:val="clear" w:color="auto" w:fill="auto"/>
          </w:tcPr>
          <w:p w14:paraId="064EAD17"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27.6</w:t>
            </w:r>
          </w:p>
        </w:tc>
        <w:tc>
          <w:tcPr>
            <w:tcW w:w="890" w:type="dxa"/>
            <w:tcBorders>
              <w:top w:val="nil"/>
            </w:tcBorders>
          </w:tcPr>
          <w:p w14:paraId="1352F65E"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t>32.5</w:t>
            </w:r>
          </w:p>
        </w:tc>
        <w:tc>
          <w:tcPr>
            <w:tcW w:w="1219" w:type="dxa"/>
            <w:tcBorders>
              <w:top w:val="nil"/>
            </w:tcBorders>
          </w:tcPr>
          <w:p w14:paraId="70C231A9"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F305E1">
              <w:noBreakHyphen/>
              <w:t>15</w:t>
            </w:r>
          </w:p>
        </w:tc>
        <w:tc>
          <w:tcPr>
            <w:tcW w:w="809" w:type="dxa"/>
            <w:tcBorders>
              <w:top w:val="nil"/>
            </w:tcBorders>
          </w:tcPr>
          <w:p w14:paraId="64F82577" w14:textId="5403B8E7"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7A5D40" w:rsidRPr="007122AE" w14:paraId="4A298F48"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9682" w:type="dxa"/>
            <w:gridSpan w:val="7"/>
          </w:tcPr>
          <w:p w14:paraId="1BBEFCE6" w14:textId="43B1FEAC" w:rsidR="00200947" w:rsidRPr="007122AE" w:rsidRDefault="007920F1" w:rsidP="007122AE">
            <w:pPr>
              <w:ind w:left="210"/>
              <w:rPr>
                <w:i/>
                <w:iCs/>
                <w:sz w:val="15"/>
                <w:szCs w:val="15"/>
              </w:rPr>
            </w:pPr>
            <w:r w:rsidRPr="007122AE">
              <w:rPr>
                <w:i/>
                <w:iCs/>
                <w:sz w:val="15"/>
                <w:szCs w:val="15"/>
              </w:rPr>
              <w:t>The number of the services provided was less than targeted. This resulted in the output cost being below target and an underspend occurring. This underspend will impact the next reporting period. The Department has a number of policy briefs to provide in the next reporting year, as they were deferred in the current year. It’s expected that the Department will deliver these policy briefings in the next reporting period.</w:t>
            </w:r>
          </w:p>
        </w:tc>
      </w:tr>
    </w:tbl>
    <w:p w14:paraId="462A9E40" w14:textId="57335F9C" w:rsidR="000966E8" w:rsidRPr="000966E8" w:rsidRDefault="000966E8" w:rsidP="003D52D7">
      <w:pPr>
        <w:rPr>
          <w:rStyle w:val="Reference"/>
        </w:rPr>
      </w:pPr>
      <w:r w:rsidRPr="20EC4723">
        <w:rPr>
          <w:rStyle w:val="Reference"/>
        </w:rPr>
        <w:t xml:space="preserve">[Recommendations 12 and 32, PAEC </w:t>
      </w:r>
      <w:r w:rsidR="4EA4B8F8" w:rsidRPr="20EC4723">
        <w:rPr>
          <w:rStyle w:val="Reference"/>
        </w:rPr>
        <w:t>Review of the 2009-10 and 2010-11 Annual Reports</w:t>
      </w:r>
      <w:r w:rsidR="00D12538">
        <w:rPr>
          <w:rStyle w:val="Reference"/>
        </w:rPr>
        <w:t>/</w:t>
      </w:r>
      <w:r w:rsidRPr="20EC4723">
        <w:rPr>
          <w:rStyle w:val="Reference"/>
        </w:rPr>
        <w:t xml:space="preserve">To align with the table format in Budget Paper No. 3 </w:t>
      </w:r>
      <w:r w:rsidRPr="20EC4723">
        <w:rPr>
          <w:rStyle w:val="Reference"/>
          <w:i/>
          <w:iCs/>
        </w:rPr>
        <w:t>Service Delivery</w:t>
      </w:r>
      <w:r w:rsidR="00D12538">
        <w:rPr>
          <w:rStyle w:val="Reference"/>
        </w:rPr>
        <w:t>/</w:t>
      </w:r>
      <w:r w:rsidRPr="20EC4723">
        <w:rPr>
          <w:rStyle w:val="Reference"/>
        </w:rPr>
        <w:t xml:space="preserve">Recommendations 19 and 36, PAEC </w:t>
      </w:r>
      <w:r w:rsidR="744D4EED" w:rsidRPr="20EC4723">
        <w:rPr>
          <w:rStyle w:val="Reference"/>
        </w:rPr>
        <w:t>Review of the Performance Measurement and Reporting System</w:t>
      </w:r>
      <w:r w:rsidRPr="20EC4723">
        <w:rPr>
          <w:rStyle w:val="Reference"/>
        </w:rPr>
        <w:t>]</w:t>
      </w:r>
    </w:p>
    <w:p w14:paraId="79686550" w14:textId="60117C68" w:rsidR="000966E8" w:rsidRDefault="000966E8" w:rsidP="000966E8">
      <w:pPr>
        <w:pStyle w:val="Note"/>
      </w:pPr>
      <w:r>
        <w:t>Note:</w:t>
      </w:r>
      <w:r w:rsidR="00EC615E">
        <w:t xml:space="preserve"> </w:t>
      </w:r>
    </w:p>
    <w:p w14:paraId="658123A5" w14:textId="59A7C2D2" w:rsidR="000966E8" w:rsidRDefault="000966E8" w:rsidP="00427F2F">
      <w:pPr>
        <w:pStyle w:val="Note"/>
        <w:ind w:left="737" w:hanging="737"/>
      </w:pPr>
      <w:r>
        <w:t>(a)</w:t>
      </w:r>
      <w:r>
        <w:tab/>
      </w:r>
      <w:r w:rsidRPr="00940E38">
        <w:rPr>
          <w:rFonts w:ascii="Wingdings" w:eastAsia="Wingdings" w:hAnsi="Wingdings" w:cs="Wingdings"/>
          <w:i w:val="0"/>
        </w:rPr>
        <w:t>ü</w:t>
      </w:r>
      <w:r>
        <w:tab/>
        <w:t>Performance target achieved or exceeded</w:t>
      </w:r>
      <w:r w:rsidR="00EC615E">
        <w:t xml:space="preserve"> – </w:t>
      </w:r>
      <w:r w:rsidR="00427F2F">
        <w:t xml:space="preserve">performance greater than target, </w:t>
      </w:r>
      <w:r w:rsidR="00EC615E">
        <w:t>either within 5 per cent or exceeding 5 per cent variance.</w:t>
      </w:r>
      <w:r>
        <w:t xml:space="preserve"> </w:t>
      </w:r>
      <w:r w:rsidRPr="000966E8">
        <w:rPr>
          <w:rStyle w:val="Guidance"/>
        </w:rPr>
        <w:t xml:space="preserve">[A variance exceeding 5 per cent </w:t>
      </w:r>
      <w:r w:rsidR="00C859C4">
        <w:rPr>
          <w:rStyle w:val="Guidance"/>
        </w:rPr>
        <w:t>(</w:t>
      </w:r>
      <w:r w:rsidRPr="000966E8">
        <w:rPr>
          <w:rStyle w:val="Guidance"/>
        </w:rPr>
        <w:t xml:space="preserve">or $50 million </w:t>
      </w:r>
      <w:r w:rsidR="00C859C4">
        <w:rPr>
          <w:rStyle w:val="Guidance"/>
        </w:rPr>
        <w:t xml:space="preserve">for </w:t>
      </w:r>
      <w:r w:rsidRPr="000966E8">
        <w:rPr>
          <w:rStyle w:val="Guidance"/>
        </w:rPr>
        <w:t>cost measures only) requires an explanation, including internal or external factors that caused the variance.]</w:t>
      </w:r>
    </w:p>
    <w:p w14:paraId="15F7E721" w14:textId="2867057B" w:rsidR="00DC39DE" w:rsidRDefault="000966E8" w:rsidP="000966E8">
      <w:pPr>
        <w:pStyle w:val="Note"/>
        <w:ind w:left="737" w:hanging="737"/>
      </w:pPr>
      <w:r>
        <w:tab/>
      </w:r>
      <w:r w:rsidR="00F5064F" w:rsidRPr="00F5064F">
        <w:rPr>
          <w:rStyle w:val="Guidance"/>
          <w:rFonts w:ascii="Wingdings" w:eastAsia="Wingdings" w:hAnsi="Wingdings" w:cs="Wingdings"/>
          <w:b/>
          <w:bCs/>
          <w:i w:val="0"/>
          <w:iCs/>
          <w:color w:val="auto"/>
        </w:rPr>
        <w:t>¡</w:t>
      </w:r>
      <w:r>
        <w:tab/>
        <w:t xml:space="preserve">Performance target not achieved – </w:t>
      </w:r>
      <w:r w:rsidR="00427F2F">
        <w:t xml:space="preserve">performance less than target </w:t>
      </w:r>
      <w:r w:rsidR="00D75B71">
        <w:t xml:space="preserve">by less than </w:t>
      </w:r>
      <w:r>
        <w:t xml:space="preserve">5 per cent </w:t>
      </w:r>
      <w:r w:rsidR="00D75B71">
        <w:t>(</w:t>
      </w:r>
      <w:r>
        <w:t xml:space="preserve">or $50 million </w:t>
      </w:r>
      <w:r w:rsidR="00D75B71">
        <w:t xml:space="preserve">for </w:t>
      </w:r>
      <w:r>
        <w:t>cost measures only) variance.</w:t>
      </w:r>
    </w:p>
    <w:p w14:paraId="358747DA" w14:textId="7B62A7CB" w:rsidR="00427F2F" w:rsidRDefault="00427F2F" w:rsidP="000966E8">
      <w:pPr>
        <w:pStyle w:val="Note"/>
        <w:ind w:left="737" w:hanging="737"/>
      </w:pPr>
      <w:r>
        <w:rPr>
          <w:rFonts w:ascii="Wingdings" w:eastAsia="Wingdings" w:hAnsi="Wingdings" w:cs="Wingdings"/>
          <w:i w:val="0"/>
        </w:rPr>
        <w:tab/>
      </w:r>
      <w:r w:rsidRPr="00427F2F">
        <w:rPr>
          <w:rFonts w:ascii="Wingdings" w:eastAsia="Wingdings" w:hAnsi="Wingdings" w:cs="Wingdings"/>
          <w:i w:val="0"/>
        </w:rPr>
        <w:t>n</w:t>
      </w:r>
      <w:r>
        <w:tab/>
        <w:t xml:space="preserve">Performance target not achieved – performance less than by more than 5 per cent (or $50 million for cost measures only) variance. </w:t>
      </w:r>
      <w:r w:rsidRPr="000966E8">
        <w:rPr>
          <w:rStyle w:val="Guidance"/>
        </w:rPr>
        <w:t>[This requires an explanation, including internal or external factors that caused the variance.]</w:t>
      </w:r>
    </w:p>
    <w:p w14:paraId="18071739" w14:textId="3E834351" w:rsidR="002E3231" w:rsidRPr="007920F1" w:rsidRDefault="000966E8" w:rsidP="007920F1">
      <w:pPr>
        <w:rPr>
          <w:color w:val="C00000"/>
          <w:sz w:val="16"/>
        </w:rPr>
      </w:pPr>
      <w:r w:rsidRPr="000966E8">
        <w:rPr>
          <w:rStyle w:val="Reference"/>
        </w:rPr>
        <w:lastRenderedPageBreak/>
        <w:t>[Recommendation 11, PAEC Report on the 2015-16 Financial and Performance Outcomes]</w:t>
      </w:r>
    </w:p>
    <w:bookmarkEnd w:id="101"/>
    <w:p w14:paraId="5DFDEEE7" w14:textId="2EC6B47E" w:rsidR="00DC39DE" w:rsidRDefault="00DC39DE" w:rsidP="000966E8">
      <w:pPr>
        <w:pStyle w:val="Heading3"/>
      </w:pPr>
      <w:r>
        <w:t>Information technology and telecommunication services</w:t>
      </w:r>
    </w:p>
    <w:p w14:paraId="34C7FEAE" w14:textId="4D8A5B86" w:rsidR="000966E8" w:rsidRPr="000966E8" w:rsidRDefault="000966E8" w:rsidP="000966E8">
      <w:r w:rsidRPr="000966E8">
        <w:t>The objective of this output is to provide efficient and economical operation of government activities to ensure optimal use of resources</w:t>
      </w:r>
      <w:r w:rsidR="00555C57">
        <w:t>.</w:t>
      </w:r>
      <w:r w:rsidR="00E0314C">
        <w:t xml:space="preserve"> This output also</w:t>
      </w:r>
      <w:r w:rsidRPr="000966E8">
        <w:t xml:space="preserve"> </w:t>
      </w:r>
      <w:r w:rsidR="00E0314C">
        <w:t>aims to provide</w:t>
      </w:r>
      <w:r w:rsidRPr="000966E8">
        <w:t xml:space="preserve"> leadership in information technology and telecommunication services that promotes Victoria as a centre of excellence in the application of new information technology, </w:t>
      </w:r>
      <w:r w:rsidR="004172D5">
        <w:t>which could in turn</w:t>
      </w:r>
      <w:r w:rsidRPr="000966E8">
        <w:t xml:space="preserve"> contribute to the economic growth of the State.</w:t>
      </w:r>
      <w:r>
        <w:t xml:space="preserve"> </w:t>
      </w:r>
      <w:r w:rsidRPr="000966E8">
        <w:rPr>
          <w:rStyle w:val="Reference"/>
        </w:rPr>
        <w:t>[FRD 8]</w:t>
      </w:r>
    </w:p>
    <w:p w14:paraId="71C2EA62" w14:textId="77777777" w:rsidR="00DC39DE" w:rsidRDefault="00DC39DE" w:rsidP="00DC39DE">
      <w:r>
        <w:t xml:space="preserve">This output makes a significant contribution to the achievement of the departmental objective of </w:t>
      </w:r>
      <w:r w:rsidRPr="000966E8">
        <w:rPr>
          <w:rStyle w:val="Guidance"/>
        </w:rPr>
        <w:t>[Departments to insert the relevant departmental objective]</w:t>
      </w:r>
      <w:r>
        <w:t>.</w:t>
      </w:r>
    </w:p>
    <w:p w14:paraId="5DA6A2F7" w14:textId="77777777" w:rsidR="00DC39DE" w:rsidRDefault="00DC39DE" w:rsidP="000966E8">
      <w:pPr>
        <w:pStyle w:val="Heading4"/>
      </w:pPr>
      <w:r>
        <w:t>Key initiatives and projects</w:t>
      </w:r>
    </w:p>
    <w:p w14:paraId="5CC6D730" w14:textId="14140B28" w:rsidR="00DC39DE" w:rsidRDefault="00DC39DE" w:rsidP="00DC39DE">
      <w:pPr>
        <w:rPr>
          <w:rStyle w:val="Guidance"/>
        </w:rPr>
      </w:pPr>
      <w:r w:rsidRPr="000966E8">
        <w:rPr>
          <w:rStyle w:val="Guidance"/>
        </w:rPr>
        <w:t>[Departments to disclose the key initiatives and projects relevant to this output. Refer to page 18 for additional guidance.]</w:t>
      </w:r>
    </w:p>
    <w:tbl>
      <w:tblPr>
        <w:tblStyle w:val="DTFFinancialTable"/>
        <w:tblW w:w="9540" w:type="dxa"/>
        <w:tblLook w:val="06A0" w:firstRow="1" w:lastRow="0" w:firstColumn="1" w:lastColumn="0" w:noHBand="1" w:noVBand="1"/>
      </w:tblPr>
      <w:tblGrid>
        <w:gridCol w:w="4860"/>
        <w:gridCol w:w="892"/>
        <w:gridCol w:w="892"/>
        <w:gridCol w:w="892"/>
        <w:gridCol w:w="1194"/>
        <w:gridCol w:w="810"/>
      </w:tblGrid>
      <w:tr w:rsidR="00CA5916" w:rsidRPr="00F305E1" w14:paraId="3D3A5B63" w14:textId="77777777" w:rsidTr="008C5A3A">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4860" w:type="dxa"/>
          </w:tcPr>
          <w:p w14:paraId="3303B30A" w14:textId="77777777" w:rsidR="00CA5916" w:rsidRPr="00F305E1" w:rsidRDefault="00CA5916" w:rsidP="00396387">
            <w:bookmarkStart w:id="103" w:name="_Hlk58510227"/>
            <w:r w:rsidRPr="00F305E1">
              <w:br w:type="page"/>
            </w:r>
            <w:r w:rsidRPr="00F305E1">
              <w:br w:type="page"/>
            </w:r>
            <w:r w:rsidRPr="00F305E1">
              <w:br w:type="column"/>
              <w:t>Performance measures</w:t>
            </w:r>
          </w:p>
        </w:tc>
        <w:tc>
          <w:tcPr>
            <w:tcW w:w="892" w:type="dxa"/>
          </w:tcPr>
          <w:p w14:paraId="2FF85B61" w14:textId="77777777" w:rsidR="00CA5916" w:rsidRPr="00F305E1" w:rsidRDefault="00CA5916" w:rsidP="00396387">
            <w:pPr>
              <w:jc w:val="center"/>
              <w:cnfStyle w:val="100000000000" w:firstRow="1" w:lastRow="0" w:firstColumn="0" w:lastColumn="0" w:oddVBand="0" w:evenVBand="0" w:oddHBand="0" w:evenHBand="0" w:firstRowFirstColumn="0" w:firstRowLastColumn="0" w:lastRowFirstColumn="0" w:lastRowLastColumn="0"/>
            </w:pPr>
            <w:r w:rsidRPr="00F305E1">
              <w:t>Unit of measure</w:t>
            </w:r>
          </w:p>
        </w:tc>
        <w:tc>
          <w:tcPr>
            <w:tcW w:w="892" w:type="dxa"/>
            <w:tcBorders>
              <w:bottom w:val="nil"/>
            </w:tcBorders>
          </w:tcPr>
          <w:p w14:paraId="65D65C6C" w14:textId="15F581B7" w:rsidR="00CA5916" w:rsidRPr="00F305E1" w:rsidRDefault="0057238C" w:rsidP="00396387">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sidRPr="0057238C">
                <w:rPr>
                  <w:rFonts w:ascii="Cambria Math" w:hAnsi="Cambria Math" w:cs="Cambria Math"/>
                </w:rPr>
                <w:t>‑</w:t>
              </w:r>
              <w:r>
                <w:t>X2</w:t>
              </w:r>
            </w:fldSimple>
            <w:r w:rsidR="00CA5916" w:rsidRPr="00F305E1">
              <w:br/>
              <w:t>actual</w:t>
            </w:r>
          </w:p>
        </w:tc>
        <w:tc>
          <w:tcPr>
            <w:tcW w:w="892" w:type="dxa"/>
          </w:tcPr>
          <w:p w14:paraId="6BA4804F" w14:textId="479FECA5" w:rsidR="00CA5916" w:rsidRPr="00F305E1" w:rsidRDefault="0057238C" w:rsidP="00396387">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sidRPr="0057238C">
                <w:rPr>
                  <w:rFonts w:ascii="Cambria Math" w:hAnsi="Cambria Math" w:cs="Cambria Math"/>
                </w:rPr>
                <w:t>‑</w:t>
              </w:r>
              <w:r>
                <w:t>X2</w:t>
              </w:r>
            </w:fldSimple>
            <w:r w:rsidR="00CA5916" w:rsidRPr="00F305E1">
              <w:br/>
              <w:t>target</w:t>
            </w:r>
          </w:p>
        </w:tc>
        <w:tc>
          <w:tcPr>
            <w:tcW w:w="1194" w:type="dxa"/>
          </w:tcPr>
          <w:p w14:paraId="20DB582D" w14:textId="77777777" w:rsidR="00CA5916" w:rsidRPr="00F305E1" w:rsidRDefault="00CA5916" w:rsidP="00396387">
            <w:pPr>
              <w:cnfStyle w:val="100000000000" w:firstRow="1" w:lastRow="0" w:firstColumn="0" w:lastColumn="0" w:oddVBand="0" w:evenVBand="0" w:oddHBand="0" w:evenHBand="0" w:firstRowFirstColumn="0" w:firstRowLastColumn="0" w:lastRowFirstColumn="0" w:lastRowLastColumn="0"/>
            </w:pPr>
            <w:r w:rsidRPr="00F305E1">
              <w:t>Performance variation (%)</w:t>
            </w:r>
          </w:p>
        </w:tc>
        <w:tc>
          <w:tcPr>
            <w:tcW w:w="810" w:type="dxa"/>
          </w:tcPr>
          <w:p w14:paraId="19D28B65" w14:textId="6D070008" w:rsidR="00CA5916" w:rsidRPr="00F305E1" w:rsidRDefault="00CA5916" w:rsidP="007122AE">
            <w:pPr>
              <w:cnfStyle w:val="100000000000" w:firstRow="1" w:lastRow="0" w:firstColumn="0" w:lastColumn="0" w:oddVBand="0" w:evenVBand="0" w:oddHBand="0" w:evenHBand="0" w:firstRowFirstColumn="0" w:firstRowLastColumn="0" w:lastRowFirstColumn="0" w:lastRowLastColumn="0"/>
            </w:pPr>
            <w:r w:rsidRPr="00F305E1">
              <w:t xml:space="preserve">Result </w:t>
            </w:r>
            <w:r w:rsidRPr="00F81AD8">
              <w:rPr>
                <w:vertAlign w:val="superscript"/>
              </w:rPr>
              <w:t>(a)</w:t>
            </w:r>
          </w:p>
        </w:tc>
      </w:tr>
      <w:tr w:rsidR="00CA5916" w:rsidRPr="00F83E40" w14:paraId="231AADCD" w14:textId="77777777" w:rsidTr="008C5A3A">
        <w:trPr>
          <w:trHeight w:val="57"/>
        </w:trPr>
        <w:tc>
          <w:tcPr>
            <w:cnfStyle w:val="001000000000" w:firstRow="0" w:lastRow="0" w:firstColumn="1" w:lastColumn="0" w:oddVBand="0" w:evenVBand="0" w:oddHBand="0" w:evenHBand="0" w:firstRowFirstColumn="0" w:firstRowLastColumn="0" w:lastRowFirstColumn="0" w:lastRowLastColumn="0"/>
            <w:tcW w:w="4860" w:type="dxa"/>
          </w:tcPr>
          <w:p w14:paraId="02D0B990" w14:textId="77777777" w:rsidR="00CA5916" w:rsidRPr="00F83E40" w:rsidRDefault="00CA5916" w:rsidP="00396387">
            <w:pPr>
              <w:rPr>
                <w:i/>
                <w:iCs/>
              </w:rPr>
            </w:pPr>
            <w:r w:rsidRPr="00F83E40">
              <w:rPr>
                <w:i/>
                <w:iCs/>
              </w:rPr>
              <w:t>Quantity</w:t>
            </w:r>
          </w:p>
        </w:tc>
        <w:tc>
          <w:tcPr>
            <w:tcW w:w="892" w:type="dxa"/>
          </w:tcPr>
          <w:p w14:paraId="1C6B7F90"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nil"/>
              <w:bottom w:val="nil"/>
            </w:tcBorders>
            <w:shd w:val="clear" w:color="auto" w:fill="auto"/>
          </w:tcPr>
          <w:p w14:paraId="63097E45"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Pr>
          <w:p w14:paraId="7E3E0E6E"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194" w:type="dxa"/>
          </w:tcPr>
          <w:p w14:paraId="2DBC8B59"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10" w:type="dxa"/>
          </w:tcPr>
          <w:p w14:paraId="353A92B3"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58B3D33E" w14:textId="77777777" w:rsidTr="003A6979">
        <w:trPr>
          <w:trHeight w:val="20"/>
        </w:trPr>
        <w:tc>
          <w:tcPr>
            <w:cnfStyle w:val="001000000000" w:firstRow="0" w:lastRow="0" w:firstColumn="1" w:lastColumn="0" w:oddVBand="0" w:evenVBand="0" w:oddHBand="0" w:evenHBand="0" w:firstRowFirstColumn="0" w:firstRowLastColumn="0" w:lastRowFirstColumn="0" w:lastRowLastColumn="0"/>
            <w:tcW w:w="4860" w:type="dxa"/>
          </w:tcPr>
          <w:p w14:paraId="518A63F8" w14:textId="77777777" w:rsidR="00CA5916" w:rsidRPr="00F305E1" w:rsidRDefault="00CA5916" w:rsidP="007122AE">
            <w:pPr>
              <w:ind w:left="210"/>
            </w:pPr>
            <w:r w:rsidRPr="000F11D6">
              <w:t>New clients gained</w:t>
            </w:r>
          </w:p>
        </w:tc>
        <w:tc>
          <w:tcPr>
            <w:tcW w:w="892" w:type="dxa"/>
          </w:tcPr>
          <w:p w14:paraId="4529FA69"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0F11D6">
              <w:t>number</w:t>
            </w:r>
          </w:p>
        </w:tc>
        <w:tc>
          <w:tcPr>
            <w:tcW w:w="892" w:type="dxa"/>
            <w:tcBorders>
              <w:bottom w:val="nil"/>
            </w:tcBorders>
            <w:shd w:val="clear" w:color="auto" w:fill="auto"/>
          </w:tcPr>
          <w:p w14:paraId="76785566"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F11D6">
              <w:t>476</w:t>
            </w:r>
          </w:p>
        </w:tc>
        <w:tc>
          <w:tcPr>
            <w:tcW w:w="892" w:type="dxa"/>
          </w:tcPr>
          <w:p w14:paraId="0171204C"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F11D6">
              <w:t>500</w:t>
            </w:r>
          </w:p>
        </w:tc>
        <w:tc>
          <w:tcPr>
            <w:tcW w:w="1194" w:type="dxa"/>
          </w:tcPr>
          <w:p w14:paraId="6BF0A8FF"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F11D6">
              <w:t>-4.8</w:t>
            </w:r>
          </w:p>
        </w:tc>
        <w:tc>
          <w:tcPr>
            <w:tcW w:w="810" w:type="dxa"/>
          </w:tcPr>
          <w:p w14:paraId="0A9030FB" w14:textId="55205EFD" w:rsidR="00CA5916" w:rsidRPr="0079177D" w:rsidRDefault="0079177D" w:rsidP="007122AE">
            <w:pPr>
              <w:cnfStyle w:val="000000000000" w:firstRow="0" w:lastRow="0" w:firstColumn="0" w:lastColumn="0" w:oddVBand="0" w:evenVBand="0" w:oddHBand="0" w:evenHBand="0" w:firstRowFirstColumn="0" w:firstRowLastColumn="0" w:lastRowFirstColumn="0" w:lastRowLastColumn="0"/>
            </w:pPr>
            <w:r w:rsidRPr="00E863B7">
              <w:rPr>
                <w:rStyle w:val="Guidance"/>
                <w:rFonts w:ascii="Wingdings" w:eastAsia="Wingdings" w:hAnsi="Wingdings" w:cs="Wingdings"/>
                <w:b/>
                <w:bCs/>
                <w:color w:val="auto"/>
              </w:rPr>
              <w:t>¡</w:t>
            </w:r>
          </w:p>
        </w:tc>
      </w:tr>
      <w:tr w:rsidR="00CA5916" w:rsidRPr="00F305E1" w14:paraId="35D2A746" w14:textId="77777777" w:rsidTr="003A6979">
        <w:trPr>
          <w:trHeight w:val="20"/>
        </w:trPr>
        <w:tc>
          <w:tcPr>
            <w:cnfStyle w:val="001000000000" w:firstRow="0" w:lastRow="0" w:firstColumn="1" w:lastColumn="0" w:oddVBand="0" w:evenVBand="0" w:oddHBand="0" w:evenHBand="0" w:firstRowFirstColumn="0" w:firstRowLastColumn="0" w:lastRowFirstColumn="0" w:lastRowLastColumn="0"/>
            <w:tcW w:w="4860" w:type="dxa"/>
          </w:tcPr>
          <w:p w14:paraId="05BBC4FF" w14:textId="77777777" w:rsidR="00CA5916" w:rsidRPr="000F11D6" w:rsidRDefault="00CA5916" w:rsidP="007122AE">
            <w:pPr>
              <w:ind w:left="210"/>
            </w:pPr>
            <w:r w:rsidRPr="007906CA">
              <w:t>Database system report delivered</w:t>
            </w:r>
          </w:p>
        </w:tc>
        <w:tc>
          <w:tcPr>
            <w:tcW w:w="892" w:type="dxa"/>
          </w:tcPr>
          <w:p w14:paraId="0F812B74" w14:textId="77777777" w:rsidR="00CA5916" w:rsidRPr="000F11D6" w:rsidRDefault="00CA5916" w:rsidP="00396387">
            <w:pPr>
              <w:jc w:val="center"/>
              <w:cnfStyle w:val="000000000000" w:firstRow="0" w:lastRow="0" w:firstColumn="0" w:lastColumn="0" w:oddVBand="0" w:evenVBand="0" w:oddHBand="0" w:evenHBand="0" w:firstRowFirstColumn="0" w:firstRowLastColumn="0" w:lastRowFirstColumn="0" w:lastRowLastColumn="0"/>
            </w:pPr>
            <w:r>
              <w:t>number</w:t>
            </w:r>
          </w:p>
        </w:tc>
        <w:tc>
          <w:tcPr>
            <w:tcW w:w="892" w:type="dxa"/>
            <w:tcBorders>
              <w:bottom w:val="nil"/>
            </w:tcBorders>
            <w:shd w:val="clear" w:color="auto" w:fill="auto"/>
          </w:tcPr>
          <w:p w14:paraId="696CB92F" w14:textId="77777777" w:rsidR="00CA5916" w:rsidRPr="000F11D6" w:rsidRDefault="00CA5916" w:rsidP="00396387">
            <w:pPr>
              <w:cnfStyle w:val="000000000000" w:firstRow="0" w:lastRow="0" w:firstColumn="0" w:lastColumn="0" w:oddVBand="0" w:evenVBand="0" w:oddHBand="0" w:evenHBand="0" w:firstRowFirstColumn="0" w:firstRowLastColumn="0" w:lastRowFirstColumn="0" w:lastRowLastColumn="0"/>
            </w:pPr>
            <w:r w:rsidRPr="007906CA">
              <w:t>15</w:t>
            </w:r>
          </w:p>
        </w:tc>
        <w:tc>
          <w:tcPr>
            <w:tcW w:w="892" w:type="dxa"/>
          </w:tcPr>
          <w:p w14:paraId="0B093B2F" w14:textId="77777777" w:rsidR="00CA5916" w:rsidRPr="000F11D6" w:rsidRDefault="00CA5916" w:rsidP="00396387">
            <w:pPr>
              <w:cnfStyle w:val="000000000000" w:firstRow="0" w:lastRow="0" w:firstColumn="0" w:lastColumn="0" w:oddVBand="0" w:evenVBand="0" w:oddHBand="0" w:evenHBand="0" w:firstRowFirstColumn="0" w:firstRowLastColumn="0" w:lastRowFirstColumn="0" w:lastRowLastColumn="0"/>
            </w:pPr>
            <w:r w:rsidRPr="007906CA">
              <w:t>12</w:t>
            </w:r>
          </w:p>
        </w:tc>
        <w:tc>
          <w:tcPr>
            <w:tcW w:w="1194" w:type="dxa"/>
          </w:tcPr>
          <w:p w14:paraId="7C303E41" w14:textId="77777777" w:rsidR="00CA5916" w:rsidRPr="000F11D6" w:rsidRDefault="00CA5916" w:rsidP="00396387">
            <w:pPr>
              <w:cnfStyle w:val="000000000000" w:firstRow="0" w:lastRow="0" w:firstColumn="0" w:lastColumn="0" w:oddVBand="0" w:evenVBand="0" w:oddHBand="0" w:evenHBand="0" w:firstRowFirstColumn="0" w:firstRowLastColumn="0" w:lastRowFirstColumn="0" w:lastRowLastColumn="0"/>
            </w:pPr>
            <w:r w:rsidRPr="007906CA">
              <w:t>25</w:t>
            </w:r>
          </w:p>
        </w:tc>
        <w:tc>
          <w:tcPr>
            <w:tcW w:w="810" w:type="dxa"/>
          </w:tcPr>
          <w:p w14:paraId="61D14F0E" w14:textId="05B5CD11"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A5916" w:rsidRPr="007122AE" w14:paraId="4A7F3EFD" w14:textId="77777777" w:rsidTr="003A6979">
        <w:trPr>
          <w:trHeight w:val="20"/>
        </w:trPr>
        <w:tc>
          <w:tcPr>
            <w:cnfStyle w:val="001000000000" w:firstRow="0" w:lastRow="0" w:firstColumn="1" w:lastColumn="0" w:oddVBand="0" w:evenVBand="0" w:oddHBand="0" w:evenHBand="0" w:firstRowFirstColumn="0" w:firstRowLastColumn="0" w:lastRowFirstColumn="0" w:lastRowLastColumn="0"/>
            <w:tcW w:w="9540" w:type="dxa"/>
            <w:gridSpan w:val="6"/>
            <w:shd w:val="clear" w:color="auto" w:fill="auto"/>
          </w:tcPr>
          <w:p w14:paraId="6D680470" w14:textId="77777777" w:rsidR="00CA5916" w:rsidRPr="007122AE" w:rsidRDefault="00CA5916" w:rsidP="007122AE">
            <w:pPr>
              <w:ind w:left="210"/>
              <w:rPr>
                <w:i/>
                <w:iCs/>
                <w:sz w:val="15"/>
                <w:szCs w:val="15"/>
              </w:rPr>
            </w:pPr>
            <w:r w:rsidRPr="007122AE">
              <w:rPr>
                <w:i/>
                <w:iCs/>
                <w:sz w:val="15"/>
                <w:szCs w:val="15"/>
              </w:rPr>
              <w:t>New services received through machinery of government changes resulted in more system reports required to be delivered.</w:t>
            </w:r>
          </w:p>
        </w:tc>
      </w:tr>
      <w:tr w:rsidR="00CA5916" w:rsidRPr="00F83E40" w14:paraId="60F63242"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single" w:sz="6" w:space="0" w:color="auto"/>
              <w:bottom w:val="nil"/>
            </w:tcBorders>
          </w:tcPr>
          <w:p w14:paraId="0EA044F5" w14:textId="77777777" w:rsidR="00CA5916" w:rsidRPr="00F83E40" w:rsidRDefault="00CA5916" w:rsidP="00396387">
            <w:pPr>
              <w:rPr>
                <w:i/>
                <w:iCs/>
              </w:rPr>
            </w:pPr>
            <w:r w:rsidRPr="00F83E40">
              <w:rPr>
                <w:i/>
                <w:iCs/>
              </w:rPr>
              <w:t>Quality</w:t>
            </w:r>
          </w:p>
        </w:tc>
        <w:tc>
          <w:tcPr>
            <w:tcW w:w="892" w:type="dxa"/>
            <w:tcBorders>
              <w:top w:val="single" w:sz="6" w:space="0" w:color="auto"/>
              <w:bottom w:val="nil"/>
            </w:tcBorders>
          </w:tcPr>
          <w:p w14:paraId="358224B3"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shd w:val="clear" w:color="auto" w:fill="auto"/>
          </w:tcPr>
          <w:p w14:paraId="5CC6BB9F"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tcPr>
          <w:p w14:paraId="4F189F5F"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194" w:type="dxa"/>
            <w:tcBorders>
              <w:top w:val="single" w:sz="6" w:space="0" w:color="auto"/>
              <w:bottom w:val="nil"/>
            </w:tcBorders>
          </w:tcPr>
          <w:p w14:paraId="7EA6ECD4"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10" w:type="dxa"/>
            <w:tcBorders>
              <w:top w:val="single" w:sz="6" w:space="0" w:color="auto"/>
              <w:bottom w:val="nil"/>
            </w:tcBorders>
          </w:tcPr>
          <w:p w14:paraId="64D881BE" w14:textId="77777777" w:rsidR="00CA5916" w:rsidRPr="00F83E40" w:rsidRDefault="00CA5916" w:rsidP="007122AE">
            <w:pP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7C5CEB12"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nil"/>
            </w:tcBorders>
          </w:tcPr>
          <w:p w14:paraId="5FF2FED1" w14:textId="77777777" w:rsidR="00CA5916" w:rsidRPr="00F305E1" w:rsidRDefault="00CA5916" w:rsidP="007122AE">
            <w:pPr>
              <w:ind w:left="210"/>
            </w:pPr>
            <w:r w:rsidRPr="002C1E48">
              <w:t>Service provision rating (based on client agencies survey data)</w:t>
            </w:r>
          </w:p>
        </w:tc>
        <w:tc>
          <w:tcPr>
            <w:tcW w:w="892" w:type="dxa"/>
            <w:tcBorders>
              <w:top w:val="nil"/>
            </w:tcBorders>
          </w:tcPr>
          <w:p w14:paraId="082686E6"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2C1E48">
              <w:t>per cent</w:t>
            </w:r>
          </w:p>
        </w:tc>
        <w:tc>
          <w:tcPr>
            <w:tcW w:w="892" w:type="dxa"/>
            <w:tcBorders>
              <w:top w:val="nil"/>
              <w:bottom w:val="nil"/>
            </w:tcBorders>
            <w:shd w:val="clear" w:color="auto" w:fill="auto"/>
          </w:tcPr>
          <w:p w14:paraId="4911D968"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2C1E48">
              <w:t>90.0</w:t>
            </w:r>
          </w:p>
        </w:tc>
        <w:tc>
          <w:tcPr>
            <w:tcW w:w="892" w:type="dxa"/>
            <w:tcBorders>
              <w:top w:val="nil"/>
            </w:tcBorders>
          </w:tcPr>
          <w:p w14:paraId="4CCE38EE"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2C1E48">
              <w:t>80.0</w:t>
            </w:r>
          </w:p>
        </w:tc>
        <w:tc>
          <w:tcPr>
            <w:tcW w:w="1194" w:type="dxa"/>
            <w:tcBorders>
              <w:top w:val="nil"/>
            </w:tcBorders>
          </w:tcPr>
          <w:p w14:paraId="1E6AED9C"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2C1E48">
              <w:t>12.5</w:t>
            </w:r>
          </w:p>
        </w:tc>
        <w:tc>
          <w:tcPr>
            <w:tcW w:w="810" w:type="dxa"/>
            <w:tcBorders>
              <w:top w:val="nil"/>
            </w:tcBorders>
          </w:tcPr>
          <w:p w14:paraId="072A49C6" w14:textId="2A88A9AB"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A5916" w:rsidRPr="007122AE" w14:paraId="57777ADF"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9540" w:type="dxa"/>
            <w:gridSpan w:val="6"/>
            <w:shd w:val="clear" w:color="auto" w:fill="auto"/>
          </w:tcPr>
          <w:p w14:paraId="13B30FF2" w14:textId="77777777" w:rsidR="00CA5916" w:rsidRPr="007122AE" w:rsidRDefault="00CA5916" w:rsidP="007122AE">
            <w:pPr>
              <w:ind w:left="210"/>
              <w:rPr>
                <w:i/>
                <w:iCs/>
                <w:sz w:val="15"/>
                <w:szCs w:val="15"/>
              </w:rPr>
            </w:pPr>
            <w:r w:rsidRPr="007122AE">
              <w:rPr>
                <w:i/>
                <w:iCs/>
                <w:sz w:val="15"/>
                <w:szCs w:val="15"/>
              </w:rPr>
              <w:t>Result reflects the effectiveness of this service provision in addressing the high and complex needs of this client group.</w:t>
            </w:r>
          </w:p>
        </w:tc>
      </w:tr>
      <w:tr w:rsidR="00CA5916" w:rsidRPr="00F83E40" w14:paraId="18095EC5"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single" w:sz="6" w:space="0" w:color="auto"/>
              <w:bottom w:val="nil"/>
            </w:tcBorders>
          </w:tcPr>
          <w:p w14:paraId="1DB1B38D" w14:textId="77777777" w:rsidR="00CA5916" w:rsidRPr="00F83E40" w:rsidRDefault="00CA5916" w:rsidP="00396387">
            <w:pPr>
              <w:rPr>
                <w:i/>
                <w:iCs/>
              </w:rPr>
            </w:pPr>
            <w:r w:rsidRPr="00F83E40">
              <w:rPr>
                <w:i/>
                <w:iCs/>
              </w:rPr>
              <w:t>Timeliness</w:t>
            </w:r>
          </w:p>
        </w:tc>
        <w:tc>
          <w:tcPr>
            <w:tcW w:w="892" w:type="dxa"/>
            <w:tcBorders>
              <w:top w:val="single" w:sz="6" w:space="0" w:color="auto"/>
              <w:bottom w:val="nil"/>
            </w:tcBorders>
          </w:tcPr>
          <w:p w14:paraId="4541E956"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shd w:val="clear" w:color="auto" w:fill="auto"/>
          </w:tcPr>
          <w:p w14:paraId="0CA15C2A"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tcPr>
          <w:p w14:paraId="25597B85"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194" w:type="dxa"/>
            <w:tcBorders>
              <w:top w:val="single" w:sz="6" w:space="0" w:color="auto"/>
              <w:bottom w:val="nil"/>
            </w:tcBorders>
          </w:tcPr>
          <w:p w14:paraId="74E462FF"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10" w:type="dxa"/>
            <w:tcBorders>
              <w:top w:val="single" w:sz="6" w:space="0" w:color="auto"/>
              <w:bottom w:val="nil"/>
            </w:tcBorders>
          </w:tcPr>
          <w:p w14:paraId="78B6CDFD" w14:textId="77777777" w:rsidR="00CA5916" w:rsidRPr="00F83E40" w:rsidRDefault="00CA5916" w:rsidP="007122AE">
            <w:pP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6552D466"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nil"/>
            </w:tcBorders>
          </w:tcPr>
          <w:p w14:paraId="3A8568C9" w14:textId="77777777" w:rsidR="00CA5916" w:rsidRPr="00F305E1" w:rsidRDefault="00CA5916" w:rsidP="007122AE">
            <w:pPr>
              <w:ind w:left="210"/>
            </w:pPr>
            <w:r w:rsidRPr="008F176A">
              <w:t>Broadband network queries responded to within six hours of receipt (number of queries in a day)</w:t>
            </w:r>
          </w:p>
        </w:tc>
        <w:tc>
          <w:tcPr>
            <w:tcW w:w="892" w:type="dxa"/>
            <w:tcBorders>
              <w:top w:val="nil"/>
            </w:tcBorders>
          </w:tcPr>
          <w:p w14:paraId="2B11A9DB"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8F176A">
              <w:t>per cent</w:t>
            </w:r>
          </w:p>
        </w:tc>
        <w:tc>
          <w:tcPr>
            <w:tcW w:w="892" w:type="dxa"/>
            <w:tcBorders>
              <w:top w:val="nil"/>
              <w:bottom w:val="nil"/>
            </w:tcBorders>
            <w:shd w:val="clear" w:color="auto" w:fill="auto"/>
          </w:tcPr>
          <w:p w14:paraId="5FAE114C"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8F176A">
              <w:t>90.0</w:t>
            </w:r>
          </w:p>
        </w:tc>
        <w:tc>
          <w:tcPr>
            <w:tcW w:w="892" w:type="dxa"/>
            <w:tcBorders>
              <w:top w:val="nil"/>
            </w:tcBorders>
          </w:tcPr>
          <w:p w14:paraId="33DA692D"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8F176A">
              <w:t>90.0</w:t>
            </w:r>
          </w:p>
        </w:tc>
        <w:tc>
          <w:tcPr>
            <w:tcW w:w="1194" w:type="dxa"/>
            <w:tcBorders>
              <w:top w:val="nil"/>
            </w:tcBorders>
          </w:tcPr>
          <w:p w14:paraId="5D01B1A5"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8F176A">
              <w:t>0</w:t>
            </w:r>
          </w:p>
        </w:tc>
        <w:tc>
          <w:tcPr>
            <w:tcW w:w="810" w:type="dxa"/>
            <w:tcBorders>
              <w:top w:val="nil"/>
            </w:tcBorders>
          </w:tcPr>
          <w:p w14:paraId="25090007" w14:textId="57E1CA34"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A5916" w:rsidRPr="00F83E40" w14:paraId="01943056"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single" w:sz="6" w:space="0" w:color="auto"/>
              <w:bottom w:val="nil"/>
            </w:tcBorders>
          </w:tcPr>
          <w:p w14:paraId="35AB2E50" w14:textId="77777777" w:rsidR="00CA5916" w:rsidRPr="00F83E40" w:rsidRDefault="00CA5916" w:rsidP="00396387">
            <w:pPr>
              <w:rPr>
                <w:i/>
                <w:iCs/>
              </w:rPr>
            </w:pPr>
            <w:r w:rsidRPr="00F83E40">
              <w:rPr>
                <w:i/>
                <w:iCs/>
              </w:rPr>
              <w:t>Cost</w:t>
            </w:r>
          </w:p>
        </w:tc>
        <w:tc>
          <w:tcPr>
            <w:tcW w:w="892" w:type="dxa"/>
            <w:tcBorders>
              <w:top w:val="single" w:sz="6" w:space="0" w:color="auto"/>
              <w:bottom w:val="nil"/>
            </w:tcBorders>
          </w:tcPr>
          <w:p w14:paraId="031C8410"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shd w:val="clear" w:color="auto" w:fill="auto"/>
          </w:tcPr>
          <w:p w14:paraId="78031AD9"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tcPr>
          <w:p w14:paraId="2A29EA27"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194" w:type="dxa"/>
            <w:tcBorders>
              <w:top w:val="single" w:sz="6" w:space="0" w:color="auto"/>
              <w:bottom w:val="nil"/>
            </w:tcBorders>
          </w:tcPr>
          <w:p w14:paraId="25089331"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10" w:type="dxa"/>
            <w:tcBorders>
              <w:top w:val="single" w:sz="6" w:space="0" w:color="auto"/>
              <w:bottom w:val="nil"/>
            </w:tcBorders>
          </w:tcPr>
          <w:p w14:paraId="55037B0B" w14:textId="77777777" w:rsidR="00CA5916" w:rsidRPr="00F83E40" w:rsidRDefault="00CA5916" w:rsidP="007122AE">
            <w:pP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7B908C75"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nil"/>
            </w:tcBorders>
          </w:tcPr>
          <w:p w14:paraId="2D0F16D4" w14:textId="77777777" w:rsidR="00CA5916" w:rsidRPr="00F305E1" w:rsidRDefault="00CA5916" w:rsidP="007122AE">
            <w:pPr>
              <w:ind w:left="210"/>
            </w:pPr>
            <w:r w:rsidRPr="00F305E1">
              <w:t>Total output cost</w:t>
            </w:r>
          </w:p>
        </w:tc>
        <w:tc>
          <w:tcPr>
            <w:tcW w:w="892" w:type="dxa"/>
            <w:tcBorders>
              <w:top w:val="nil"/>
            </w:tcBorders>
          </w:tcPr>
          <w:p w14:paraId="36EB96B6"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F305E1">
              <w:t>$ million</w:t>
            </w:r>
          </w:p>
        </w:tc>
        <w:tc>
          <w:tcPr>
            <w:tcW w:w="892" w:type="dxa"/>
            <w:tcBorders>
              <w:top w:val="nil"/>
              <w:bottom w:val="nil"/>
            </w:tcBorders>
            <w:shd w:val="clear" w:color="auto" w:fill="auto"/>
          </w:tcPr>
          <w:p w14:paraId="0701A557"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A51590">
              <w:t>45.7</w:t>
            </w:r>
          </w:p>
        </w:tc>
        <w:tc>
          <w:tcPr>
            <w:tcW w:w="892" w:type="dxa"/>
            <w:tcBorders>
              <w:top w:val="nil"/>
            </w:tcBorders>
          </w:tcPr>
          <w:p w14:paraId="6530B4E6"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A51590">
              <w:t>40.5</w:t>
            </w:r>
          </w:p>
        </w:tc>
        <w:tc>
          <w:tcPr>
            <w:tcW w:w="1194" w:type="dxa"/>
            <w:tcBorders>
              <w:top w:val="nil"/>
            </w:tcBorders>
          </w:tcPr>
          <w:p w14:paraId="1898C189"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A51590">
              <w:t>12.8</w:t>
            </w:r>
          </w:p>
        </w:tc>
        <w:tc>
          <w:tcPr>
            <w:tcW w:w="810" w:type="dxa"/>
            <w:tcBorders>
              <w:top w:val="nil"/>
            </w:tcBorders>
          </w:tcPr>
          <w:p w14:paraId="3745606A" w14:textId="0C1718DE"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940E38">
              <w:rPr>
                <w:rFonts w:ascii="Wingdings" w:eastAsia="Wingdings" w:hAnsi="Wingdings" w:cs="Wingdings"/>
              </w:rPr>
              <w:t>n</w:t>
            </w:r>
          </w:p>
        </w:tc>
      </w:tr>
      <w:tr w:rsidR="00CA5916" w:rsidRPr="007122AE" w14:paraId="2EE45315"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9540" w:type="dxa"/>
            <w:gridSpan w:val="6"/>
          </w:tcPr>
          <w:p w14:paraId="73696F6B" w14:textId="77777777" w:rsidR="00CA5916" w:rsidRPr="007122AE" w:rsidRDefault="00CA5916" w:rsidP="007122AE">
            <w:pPr>
              <w:ind w:left="210"/>
              <w:rPr>
                <w:i/>
                <w:iCs/>
                <w:sz w:val="15"/>
                <w:szCs w:val="15"/>
              </w:rPr>
            </w:pPr>
            <w:r w:rsidRPr="007122AE">
              <w:rPr>
                <w:i/>
                <w:iCs/>
                <w:sz w:val="15"/>
                <w:szCs w:val="15"/>
              </w:rPr>
              <w:t>The variance in total output cost between actual and target is due to the increase in demand caused by the provision of new services.</w:t>
            </w:r>
          </w:p>
        </w:tc>
      </w:tr>
    </w:tbl>
    <w:bookmarkEnd w:id="103"/>
    <w:p w14:paraId="0172EDA4" w14:textId="77777777" w:rsidR="000966E8" w:rsidRDefault="000966E8" w:rsidP="000966E8">
      <w:pPr>
        <w:pStyle w:val="Note"/>
      </w:pPr>
      <w:r>
        <w:t>Note:</w:t>
      </w:r>
    </w:p>
    <w:p w14:paraId="31136C91" w14:textId="09AFED93" w:rsidR="000966E8" w:rsidRDefault="000966E8" w:rsidP="000966E8">
      <w:pPr>
        <w:pStyle w:val="Note"/>
        <w:ind w:left="737" w:hanging="737"/>
      </w:pPr>
      <w:r>
        <w:t>(a)</w:t>
      </w:r>
      <w:r>
        <w:tab/>
      </w:r>
      <w:r w:rsidRPr="00940E38">
        <w:rPr>
          <w:rFonts w:ascii="Wingdings" w:eastAsia="Wingdings" w:hAnsi="Wingdings" w:cs="Wingdings"/>
          <w:i w:val="0"/>
        </w:rPr>
        <w:t>ü</w:t>
      </w:r>
      <w:r>
        <w:tab/>
        <w:t>Performance target achieved or exceeded</w:t>
      </w:r>
      <w:r w:rsidR="00272218">
        <w:t xml:space="preserve"> – </w:t>
      </w:r>
      <w:r w:rsidR="001346BE">
        <w:t xml:space="preserve">performance greater than target, </w:t>
      </w:r>
      <w:r w:rsidR="00272218">
        <w:t>either within 5 per cent or exceeding 5 per cent variance</w:t>
      </w:r>
      <w:r>
        <w:t xml:space="preserve">. </w:t>
      </w:r>
      <w:r w:rsidRPr="000966E8">
        <w:rPr>
          <w:rStyle w:val="Guidance"/>
        </w:rPr>
        <w:t xml:space="preserve">[A variance exceeding 5 per cent </w:t>
      </w:r>
      <w:r w:rsidR="00272218">
        <w:rPr>
          <w:rStyle w:val="Guidance"/>
        </w:rPr>
        <w:t>(</w:t>
      </w:r>
      <w:r w:rsidRPr="000966E8">
        <w:rPr>
          <w:rStyle w:val="Guidance"/>
        </w:rPr>
        <w:t xml:space="preserve">or $50 million </w:t>
      </w:r>
      <w:r w:rsidR="00272218">
        <w:rPr>
          <w:rStyle w:val="Guidance"/>
        </w:rPr>
        <w:t xml:space="preserve">for </w:t>
      </w:r>
      <w:r w:rsidRPr="000966E8">
        <w:rPr>
          <w:rStyle w:val="Guidance"/>
        </w:rPr>
        <w:t>cost measures only) requires an explanation, including internal or external factors that caused the variance.]</w:t>
      </w:r>
    </w:p>
    <w:p w14:paraId="0C566D1D" w14:textId="2E133F2C" w:rsidR="000966E8" w:rsidRDefault="000966E8" w:rsidP="001346BE">
      <w:pPr>
        <w:pStyle w:val="Note"/>
        <w:ind w:left="0" w:firstLine="0"/>
      </w:pPr>
      <w:r>
        <w:tab/>
      </w:r>
      <w:r w:rsidR="00F5064F" w:rsidRPr="00F5064F">
        <w:rPr>
          <w:rStyle w:val="Guidance"/>
          <w:rFonts w:ascii="Wingdings" w:eastAsia="Wingdings" w:hAnsi="Wingdings" w:cs="Wingdings"/>
          <w:b/>
          <w:bCs/>
          <w:i w:val="0"/>
          <w:iCs/>
          <w:color w:val="auto"/>
        </w:rPr>
        <w:t>¡</w:t>
      </w:r>
      <w:r>
        <w:tab/>
        <w:t>Performance target not achieved –</w:t>
      </w:r>
      <w:r w:rsidR="001346BE">
        <w:t xml:space="preserve"> performance less than target</w:t>
      </w:r>
      <w:r>
        <w:t xml:space="preserve"> </w:t>
      </w:r>
      <w:r w:rsidR="00272218">
        <w:t xml:space="preserve">by less than </w:t>
      </w:r>
      <w:r>
        <w:t xml:space="preserve">5 per cent </w:t>
      </w:r>
      <w:r w:rsidR="00272218">
        <w:t>(</w:t>
      </w:r>
      <w:r>
        <w:t xml:space="preserve">or $50 million </w:t>
      </w:r>
      <w:r w:rsidR="00B952F9">
        <w:t xml:space="preserve">for </w:t>
      </w:r>
      <w:r>
        <w:t>cost measures only) variance.</w:t>
      </w:r>
    </w:p>
    <w:p w14:paraId="49E16CBE" w14:textId="061B91C4" w:rsidR="001346BE" w:rsidRDefault="001346BE" w:rsidP="00E863B7">
      <w:pPr>
        <w:pStyle w:val="Note"/>
        <w:ind w:left="720" w:hanging="720"/>
      </w:pPr>
      <w:r>
        <w:rPr>
          <w:rFonts w:ascii="Wingdings" w:eastAsia="Wingdings" w:hAnsi="Wingdings" w:cs="Wingdings"/>
          <w:i w:val="0"/>
        </w:rPr>
        <w:tab/>
      </w:r>
      <w:r w:rsidRPr="00E863B7">
        <w:rPr>
          <w:rFonts w:ascii="Wingdings" w:eastAsia="Wingdings" w:hAnsi="Wingdings" w:cs="Wingdings"/>
          <w:i w:val="0"/>
          <w:iCs/>
        </w:rPr>
        <w:t>n</w:t>
      </w:r>
      <w:r>
        <w:tab/>
        <w:t xml:space="preserve">Performance target not achieved – performance less than target by more than 5 per cent (or $50 million for cost measures only) variance. </w:t>
      </w:r>
      <w:r w:rsidRPr="000966E8">
        <w:rPr>
          <w:rStyle w:val="Guidance"/>
        </w:rPr>
        <w:t>[This requires an explanation, including internal or external factors that caused the variance.]</w:t>
      </w:r>
    </w:p>
    <w:p w14:paraId="6AA499D8" w14:textId="77777777" w:rsidR="000966E8" w:rsidRPr="000966E8" w:rsidRDefault="000966E8" w:rsidP="000966E8">
      <w:pPr>
        <w:rPr>
          <w:rStyle w:val="Reference"/>
        </w:rPr>
      </w:pPr>
      <w:r w:rsidRPr="000966E8">
        <w:rPr>
          <w:rStyle w:val="Reference"/>
        </w:rPr>
        <w:t>[Recommendation 11, PAEC Report on the 2015-16 Financial and Performance Outcomes]</w:t>
      </w:r>
    </w:p>
    <w:p w14:paraId="5B48ED56" w14:textId="77777777" w:rsidR="002E3231" w:rsidRDefault="002E3231" w:rsidP="002E3231"/>
    <w:p w14:paraId="1A2AE6EC" w14:textId="77777777" w:rsidR="00B24602" w:rsidRDefault="00B24602">
      <w:pPr>
        <w:keepLines w:val="0"/>
        <w:rPr>
          <w:rFonts w:asciiTheme="majorHAnsi" w:eastAsiaTheme="majorEastAsia" w:hAnsiTheme="majorHAnsi" w:cstheme="majorBidi"/>
          <w:b/>
          <w:sz w:val="22"/>
          <w:szCs w:val="24"/>
        </w:rPr>
      </w:pPr>
      <w:r>
        <w:br w:type="page"/>
      </w:r>
    </w:p>
    <w:p w14:paraId="7A9B1704" w14:textId="7A228A91" w:rsidR="00DC39DE" w:rsidRDefault="00DC39DE" w:rsidP="000966E8">
      <w:pPr>
        <w:pStyle w:val="Heading3"/>
      </w:pPr>
      <w:r>
        <w:lastRenderedPageBreak/>
        <w:t>Research and development of biological technology</w:t>
      </w:r>
    </w:p>
    <w:p w14:paraId="348CF61C" w14:textId="39693F21" w:rsidR="000966E8" w:rsidRDefault="000966E8" w:rsidP="00DC39DE">
      <w:r w:rsidRPr="000966E8">
        <w:t xml:space="preserve">The output focuses on the development of new biological technology and supporting its implementation by businesses to </w:t>
      </w:r>
      <w:r w:rsidR="00DA6A99">
        <w:t>improve the quality of</w:t>
      </w:r>
      <w:r w:rsidRPr="000966E8">
        <w:t xml:space="preserve"> agricultural products. Improved agricultural products are also considered to contribute to the economic growth of the State.</w:t>
      </w:r>
      <w:r>
        <w:t xml:space="preserve"> </w:t>
      </w:r>
      <w:r w:rsidRPr="000966E8">
        <w:rPr>
          <w:rStyle w:val="Reference"/>
        </w:rPr>
        <w:t>[FRD 8]</w:t>
      </w:r>
    </w:p>
    <w:p w14:paraId="2ACEF0C3" w14:textId="77777777" w:rsidR="00DC39DE" w:rsidRDefault="00DC39DE" w:rsidP="00DC39DE">
      <w:r>
        <w:t>This output makes a significant contribution to the departmental objective of improving the quality of life of Victorians through eradicating certain diseases and enhancing nutrition.</w:t>
      </w:r>
    </w:p>
    <w:p w14:paraId="5FF72980" w14:textId="77777777" w:rsidR="00DC39DE" w:rsidRPr="000966E8" w:rsidRDefault="00DC39DE" w:rsidP="00DC39DE">
      <w:pPr>
        <w:rPr>
          <w:rStyle w:val="Guidance"/>
        </w:rPr>
      </w:pPr>
      <w:r w:rsidRPr="000966E8">
        <w:rPr>
          <w:rStyle w:val="Guidance"/>
        </w:rPr>
        <w:t>[Departments to insert the relevant departmental objective.]</w:t>
      </w:r>
    </w:p>
    <w:p w14:paraId="28000A57" w14:textId="77777777" w:rsidR="00DC39DE" w:rsidRDefault="00DC39DE" w:rsidP="000966E8">
      <w:pPr>
        <w:pStyle w:val="Heading4"/>
      </w:pPr>
      <w:r>
        <w:t>Key initiatives and projects</w:t>
      </w:r>
    </w:p>
    <w:p w14:paraId="2499623B" w14:textId="04EAB4B0" w:rsidR="00DC39DE" w:rsidRDefault="00DC39DE" w:rsidP="00DC39DE">
      <w:pPr>
        <w:rPr>
          <w:rStyle w:val="Guidance"/>
        </w:rPr>
      </w:pPr>
      <w:r w:rsidRPr="000966E8">
        <w:rPr>
          <w:rStyle w:val="Guidance"/>
        </w:rPr>
        <w:t>[Departments to disclose the key initiatives and projects relevant to this output. Refer to page 18 for additional guidance.]</w:t>
      </w:r>
    </w:p>
    <w:tbl>
      <w:tblPr>
        <w:tblStyle w:val="DTFFinancialTable"/>
        <w:tblW w:w="9540" w:type="dxa"/>
        <w:tblLook w:val="06A0" w:firstRow="1" w:lastRow="0" w:firstColumn="1" w:lastColumn="0" w:noHBand="1" w:noVBand="1"/>
      </w:tblPr>
      <w:tblGrid>
        <w:gridCol w:w="4860"/>
        <w:gridCol w:w="892"/>
        <w:gridCol w:w="892"/>
        <w:gridCol w:w="892"/>
        <w:gridCol w:w="1194"/>
        <w:gridCol w:w="810"/>
      </w:tblGrid>
      <w:tr w:rsidR="00CA5916" w:rsidRPr="00F305E1" w14:paraId="462DD4D2" w14:textId="77777777" w:rsidTr="003A6979">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4860" w:type="dxa"/>
          </w:tcPr>
          <w:p w14:paraId="125AFB3E" w14:textId="77777777" w:rsidR="00CA5916" w:rsidRPr="00F305E1" w:rsidRDefault="00CA5916" w:rsidP="00396387">
            <w:r w:rsidRPr="00F305E1">
              <w:br w:type="page"/>
            </w:r>
            <w:r w:rsidRPr="00F305E1">
              <w:br w:type="page"/>
            </w:r>
            <w:r w:rsidRPr="00F305E1">
              <w:br w:type="column"/>
              <w:t>Performance measures</w:t>
            </w:r>
          </w:p>
        </w:tc>
        <w:tc>
          <w:tcPr>
            <w:tcW w:w="892" w:type="dxa"/>
          </w:tcPr>
          <w:p w14:paraId="476539F6" w14:textId="77777777" w:rsidR="00CA5916" w:rsidRPr="00F305E1" w:rsidRDefault="00CA5916" w:rsidP="00396387">
            <w:pPr>
              <w:jc w:val="center"/>
              <w:cnfStyle w:val="100000000000" w:firstRow="1" w:lastRow="0" w:firstColumn="0" w:lastColumn="0" w:oddVBand="0" w:evenVBand="0" w:oddHBand="0" w:evenHBand="0" w:firstRowFirstColumn="0" w:firstRowLastColumn="0" w:lastRowFirstColumn="0" w:lastRowLastColumn="0"/>
            </w:pPr>
            <w:r w:rsidRPr="00F305E1">
              <w:t>Unit of measure</w:t>
            </w:r>
          </w:p>
        </w:tc>
        <w:tc>
          <w:tcPr>
            <w:tcW w:w="892" w:type="dxa"/>
            <w:tcBorders>
              <w:bottom w:val="nil"/>
            </w:tcBorders>
          </w:tcPr>
          <w:p w14:paraId="116D744D" w14:textId="4DEACDEF" w:rsidR="00CA5916" w:rsidRPr="00F305E1" w:rsidRDefault="0057238C" w:rsidP="00396387">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sidRPr="0057238C">
                <w:rPr>
                  <w:rFonts w:ascii="Cambria Math" w:hAnsi="Cambria Math" w:cs="Cambria Math"/>
                </w:rPr>
                <w:t>‑</w:t>
              </w:r>
              <w:r>
                <w:t>X2</w:t>
              </w:r>
            </w:fldSimple>
            <w:r w:rsidR="00CA5916" w:rsidRPr="00F305E1">
              <w:br/>
              <w:t>actual</w:t>
            </w:r>
          </w:p>
        </w:tc>
        <w:tc>
          <w:tcPr>
            <w:tcW w:w="892" w:type="dxa"/>
          </w:tcPr>
          <w:p w14:paraId="2F1370F6" w14:textId="70F069A4" w:rsidR="00CA5916" w:rsidRPr="00F305E1" w:rsidRDefault="0057238C" w:rsidP="00396387">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sidRPr="0057238C">
                <w:rPr>
                  <w:rFonts w:ascii="Cambria Math" w:hAnsi="Cambria Math" w:cs="Cambria Math"/>
                </w:rPr>
                <w:t>‑</w:t>
              </w:r>
              <w:r>
                <w:t>X2</w:t>
              </w:r>
            </w:fldSimple>
            <w:r w:rsidR="00CA5916" w:rsidRPr="00F305E1">
              <w:br/>
              <w:t>target</w:t>
            </w:r>
          </w:p>
        </w:tc>
        <w:tc>
          <w:tcPr>
            <w:tcW w:w="1194" w:type="dxa"/>
          </w:tcPr>
          <w:p w14:paraId="17E14FAE" w14:textId="77777777" w:rsidR="00CA5916" w:rsidRPr="00F305E1" w:rsidRDefault="00CA5916" w:rsidP="00396387">
            <w:pPr>
              <w:cnfStyle w:val="100000000000" w:firstRow="1" w:lastRow="0" w:firstColumn="0" w:lastColumn="0" w:oddVBand="0" w:evenVBand="0" w:oddHBand="0" w:evenHBand="0" w:firstRowFirstColumn="0" w:firstRowLastColumn="0" w:lastRowFirstColumn="0" w:lastRowLastColumn="0"/>
            </w:pPr>
            <w:r w:rsidRPr="00F305E1">
              <w:t>Performance variation (%)</w:t>
            </w:r>
          </w:p>
        </w:tc>
        <w:tc>
          <w:tcPr>
            <w:tcW w:w="810" w:type="dxa"/>
          </w:tcPr>
          <w:p w14:paraId="39BA9689" w14:textId="39152D72" w:rsidR="00CA5916" w:rsidRPr="00F305E1" w:rsidRDefault="00CA5916" w:rsidP="007122AE">
            <w:pPr>
              <w:cnfStyle w:val="100000000000" w:firstRow="1" w:lastRow="0" w:firstColumn="0" w:lastColumn="0" w:oddVBand="0" w:evenVBand="0" w:oddHBand="0" w:evenHBand="0" w:firstRowFirstColumn="0" w:firstRowLastColumn="0" w:lastRowFirstColumn="0" w:lastRowLastColumn="0"/>
            </w:pPr>
            <w:r w:rsidRPr="00F305E1">
              <w:t xml:space="preserve">Result </w:t>
            </w:r>
            <w:r w:rsidRPr="00F81AD8">
              <w:rPr>
                <w:vertAlign w:val="superscript"/>
              </w:rPr>
              <w:t>(a)</w:t>
            </w:r>
          </w:p>
        </w:tc>
      </w:tr>
      <w:tr w:rsidR="00CA5916" w:rsidRPr="00F83E40" w14:paraId="54E36446" w14:textId="77777777" w:rsidTr="00E863B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74A47F7" w14:textId="77777777" w:rsidR="00CA5916" w:rsidRPr="00F83E40" w:rsidRDefault="00CA5916" w:rsidP="00396387">
            <w:pPr>
              <w:rPr>
                <w:i/>
                <w:iCs/>
              </w:rPr>
            </w:pPr>
            <w:r w:rsidRPr="00F83E40">
              <w:rPr>
                <w:i/>
                <w:iCs/>
              </w:rPr>
              <w:t>Quantity</w:t>
            </w:r>
          </w:p>
        </w:tc>
        <w:tc>
          <w:tcPr>
            <w:tcW w:w="0" w:type="dxa"/>
          </w:tcPr>
          <w:p w14:paraId="27B7BA1B"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0" w:type="dxa"/>
            <w:tcBorders>
              <w:bottom w:val="nil"/>
            </w:tcBorders>
            <w:shd w:val="clear" w:color="auto" w:fill="auto"/>
          </w:tcPr>
          <w:p w14:paraId="4E6B5C73"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0" w:type="dxa"/>
          </w:tcPr>
          <w:p w14:paraId="07C67BED"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0" w:type="dxa"/>
          </w:tcPr>
          <w:p w14:paraId="648CE5E6"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0" w:type="dxa"/>
          </w:tcPr>
          <w:p w14:paraId="0C5C883E"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3EA9022D" w14:textId="77777777" w:rsidTr="003A6979">
        <w:trPr>
          <w:trHeight w:val="20"/>
        </w:trPr>
        <w:tc>
          <w:tcPr>
            <w:cnfStyle w:val="001000000000" w:firstRow="0" w:lastRow="0" w:firstColumn="1" w:lastColumn="0" w:oddVBand="0" w:evenVBand="0" w:oddHBand="0" w:evenHBand="0" w:firstRowFirstColumn="0" w:firstRowLastColumn="0" w:lastRowFirstColumn="0" w:lastRowLastColumn="0"/>
            <w:tcW w:w="4860" w:type="dxa"/>
          </w:tcPr>
          <w:p w14:paraId="328AC2A6" w14:textId="77777777" w:rsidR="00CA5916" w:rsidRPr="00F305E1" w:rsidRDefault="00CA5916" w:rsidP="007122AE">
            <w:pPr>
              <w:ind w:left="210"/>
            </w:pPr>
            <w:r w:rsidRPr="007837B4">
              <w:t>Businesses supported with implementation of new technology</w:t>
            </w:r>
          </w:p>
        </w:tc>
        <w:tc>
          <w:tcPr>
            <w:tcW w:w="892" w:type="dxa"/>
          </w:tcPr>
          <w:p w14:paraId="105A1F64"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7837B4">
              <w:t>number</w:t>
            </w:r>
          </w:p>
        </w:tc>
        <w:tc>
          <w:tcPr>
            <w:tcW w:w="892" w:type="dxa"/>
            <w:tcBorders>
              <w:bottom w:val="nil"/>
            </w:tcBorders>
            <w:shd w:val="clear" w:color="auto" w:fill="auto"/>
          </w:tcPr>
          <w:p w14:paraId="6C7304EF"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7837B4">
              <w:t>100</w:t>
            </w:r>
          </w:p>
        </w:tc>
        <w:tc>
          <w:tcPr>
            <w:tcW w:w="892" w:type="dxa"/>
          </w:tcPr>
          <w:p w14:paraId="13913B37"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7837B4">
              <w:t>120</w:t>
            </w:r>
          </w:p>
        </w:tc>
        <w:tc>
          <w:tcPr>
            <w:tcW w:w="1194" w:type="dxa"/>
          </w:tcPr>
          <w:p w14:paraId="45996028"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7837B4">
              <w:t xml:space="preserve"> 16.7</w:t>
            </w:r>
          </w:p>
        </w:tc>
        <w:tc>
          <w:tcPr>
            <w:tcW w:w="810" w:type="dxa"/>
          </w:tcPr>
          <w:p w14:paraId="280ABAB2" w14:textId="6D21A64E" w:rsidR="00CA5916" w:rsidRPr="00F70C97" w:rsidRDefault="00CA5916" w:rsidP="007122AE">
            <w:pPr>
              <w:cnfStyle w:val="000000000000" w:firstRow="0" w:lastRow="0" w:firstColumn="0" w:lastColumn="0" w:oddVBand="0" w:evenVBand="0" w:oddHBand="0" w:evenHBand="0" w:firstRowFirstColumn="0" w:firstRowLastColumn="0" w:lastRowFirstColumn="0" w:lastRowLastColumn="0"/>
            </w:pPr>
            <w:r w:rsidRPr="00F70C97">
              <w:rPr>
                <w:rFonts w:ascii="Wingdings" w:eastAsia="Wingdings" w:hAnsi="Wingdings" w:cs="Wingdings"/>
              </w:rPr>
              <w:t>n</w:t>
            </w:r>
          </w:p>
        </w:tc>
      </w:tr>
      <w:tr w:rsidR="00CA5916" w:rsidRPr="007122AE" w14:paraId="4EF7C3BE" w14:textId="77777777" w:rsidTr="003A6979">
        <w:trPr>
          <w:trHeight w:val="20"/>
        </w:trPr>
        <w:tc>
          <w:tcPr>
            <w:cnfStyle w:val="001000000000" w:firstRow="0" w:lastRow="0" w:firstColumn="1" w:lastColumn="0" w:oddVBand="0" w:evenVBand="0" w:oddHBand="0" w:evenHBand="0" w:firstRowFirstColumn="0" w:firstRowLastColumn="0" w:lastRowFirstColumn="0" w:lastRowLastColumn="0"/>
            <w:tcW w:w="9540" w:type="dxa"/>
            <w:gridSpan w:val="6"/>
            <w:shd w:val="clear" w:color="auto" w:fill="auto"/>
          </w:tcPr>
          <w:p w14:paraId="74C54512" w14:textId="506E4119" w:rsidR="00CA5916" w:rsidRPr="007122AE" w:rsidRDefault="00CA5916" w:rsidP="007122AE">
            <w:pPr>
              <w:ind w:left="210"/>
              <w:rPr>
                <w:i/>
                <w:iCs/>
                <w:sz w:val="15"/>
                <w:szCs w:val="15"/>
              </w:rPr>
            </w:pPr>
            <w:r w:rsidRPr="007122AE">
              <w:rPr>
                <w:i/>
                <w:iCs/>
                <w:sz w:val="15"/>
                <w:szCs w:val="15"/>
              </w:rPr>
              <w:t xml:space="preserve">The actual outcome in </w:t>
            </w:r>
            <w:r w:rsidRPr="007122AE">
              <w:rPr>
                <w:i/>
                <w:iCs/>
                <w:sz w:val="15"/>
                <w:szCs w:val="15"/>
              </w:rPr>
              <w:fldChar w:fldCharType="begin"/>
            </w:r>
            <w:r w:rsidRPr="007122AE">
              <w:rPr>
                <w:i/>
                <w:iCs/>
                <w:sz w:val="15"/>
                <w:szCs w:val="15"/>
              </w:rPr>
              <w:instrText xml:space="preserve"> DOCPROPERTY  FinYearCurrent  \* MERGEFORMAT </w:instrText>
            </w:r>
            <w:r w:rsidRPr="007122AE">
              <w:rPr>
                <w:i/>
                <w:iCs/>
                <w:sz w:val="15"/>
                <w:szCs w:val="15"/>
              </w:rPr>
              <w:fldChar w:fldCharType="separate"/>
            </w:r>
            <w:r w:rsidR="002831D1" w:rsidRPr="007122AE">
              <w:rPr>
                <w:i/>
                <w:iCs/>
                <w:sz w:val="15"/>
                <w:szCs w:val="15"/>
              </w:rPr>
              <w:t>20X1</w:t>
            </w:r>
            <w:r w:rsidR="002831D1" w:rsidRPr="007122AE">
              <w:rPr>
                <w:rFonts w:ascii="Cambria Math" w:hAnsi="Cambria Math" w:cs="Cambria Math"/>
                <w:i/>
                <w:iCs/>
                <w:sz w:val="15"/>
                <w:szCs w:val="15"/>
              </w:rPr>
              <w:t>‑</w:t>
            </w:r>
            <w:r w:rsidR="002831D1" w:rsidRPr="007122AE">
              <w:rPr>
                <w:i/>
                <w:iCs/>
                <w:sz w:val="15"/>
                <w:szCs w:val="15"/>
              </w:rPr>
              <w:t>X2</w:t>
            </w:r>
            <w:r w:rsidRPr="007122AE">
              <w:rPr>
                <w:i/>
                <w:iCs/>
                <w:sz w:val="15"/>
                <w:szCs w:val="15"/>
              </w:rPr>
              <w:fldChar w:fldCharType="end"/>
            </w:r>
            <w:r w:rsidRPr="007122AE">
              <w:rPr>
                <w:i/>
                <w:iCs/>
                <w:sz w:val="15"/>
                <w:szCs w:val="15"/>
              </w:rPr>
              <w:t xml:space="preserve"> is significantly lower than the target due to delays in the internal tender process – there was a lack of consensus between businesses and the Government on payment terms in tender proposals.</w:t>
            </w:r>
          </w:p>
        </w:tc>
      </w:tr>
      <w:tr w:rsidR="00CA5916" w:rsidRPr="00F305E1" w14:paraId="50365A52" w14:textId="77777777" w:rsidTr="003A6979">
        <w:trPr>
          <w:trHeight w:val="20"/>
        </w:trPr>
        <w:tc>
          <w:tcPr>
            <w:cnfStyle w:val="001000000000" w:firstRow="0" w:lastRow="0" w:firstColumn="1" w:lastColumn="0" w:oddVBand="0" w:evenVBand="0" w:oddHBand="0" w:evenHBand="0" w:firstRowFirstColumn="0" w:firstRowLastColumn="0" w:lastRowFirstColumn="0" w:lastRowLastColumn="0"/>
            <w:tcW w:w="4860" w:type="dxa"/>
            <w:tcBorders>
              <w:bottom w:val="nil"/>
            </w:tcBorders>
          </w:tcPr>
          <w:p w14:paraId="121D21C6" w14:textId="77777777" w:rsidR="00CA5916" w:rsidRPr="00F305E1" w:rsidRDefault="00CA5916" w:rsidP="007122AE">
            <w:pPr>
              <w:ind w:left="210"/>
            </w:pPr>
            <w:r w:rsidRPr="000332E9">
              <w:t>Laboratories with fully integrated new research platform</w:t>
            </w:r>
          </w:p>
        </w:tc>
        <w:tc>
          <w:tcPr>
            <w:tcW w:w="892" w:type="dxa"/>
            <w:tcBorders>
              <w:bottom w:val="nil"/>
            </w:tcBorders>
          </w:tcPr>
          <w:p w14:paraId="02A562EE"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0332E9">
              <w:t>number</w:t>
            </w:r>
          </w:p>
        </w:tc>
        <w:tc>
          <w:tcPr>
            <w:tcW w:w="892" w:type="dxa"/>
            <w:tcBorders>
              <w:bottom w:val="nil"/>
            </w:tcBorders>
            <w:shd w:val="clear" w:color="auto" w:fill="auto"/>
          </w:tcPr>
          <w:p w14:paraId="1DD0E834"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332E9">
              <w:t>10</w:t>
            </w:r>
          </w:p>
        </w:tc>
        <w:tc>
          <w:tcPr>
            <w:tcW w:w="892" w:type="dxa"/>
            <w:tcBorders>
              <w:bottom w:val="nil"/>
            </w:tcBorders>
          </w:tcPr>
          <w:p w14:paraId="7268DF04"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332E9">
              <w:t>10</w:t>
            </w:r>
          </w:p>
        </w:tc>
        <w:tc>
          <w:tcPr>
            <w:tcW w:w="1194" w:type="dxa"/>
            <w:tcBorders>
              <w:bottom w:val="nil"/>
            </w:tcBorders>
          </w:tcPr>
          <w:p w14:paraId="3C40A247"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332E9">
              <w:t>0</w:t>
            </w:r>
          </w:p>
        </w:tc>
        <w:tc>
          <w:tcPr>
            <w:tcW w:w="810" w:type="dxa"/>
            <w:tcBorders>
              <w:bottom w:val="nil"/>
            </w:tcBorders>
          </w:tcPr>
          <w:p w14:paraId="169E4128" w14:textId="3EF5FE3D"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A5916" w:rsidRPr="00F305E1" w14:paraId="3B9AE000" w14:textId="77777777" w:rsidTr="003A6979">
        <w:trPr>
          <w:trHeight w:val="20"/>
        </w:trPr>
        <w:tc>
          <w:tcPr>
            <w:cnfStyle w:val="001000000000" w:firstRow="0" w:lastRow="0" w:firstColumn="1" w:lastColumn="0" w:oddVBand="0" w:evenVBand="0" w:oddHBand="0" w:evenHBand="0" w:firstRowFirstColumn="0" w:firstRowLastColumn="0" w:lastRowFirstColumn="0" w:lastRowLastColumn="0"/>
            <w:tcW w:w="4860" w:type="dxa"/>
            <w:tcBorders>
              <w:bottom w:val="single" w:sz="6" w:space="0" w:color="auto"/>
            </w:tcBorders>
          </w:tcPr>
          <w:p w14:paraId="5033DDDF" w14:textId="77777777" w:rsidR="00CA5916" w:rsidRPr="00F305E1" w:rsidRDefault="00CA5916" w:rsidP="007122AE">
            <w:pPr>
              <w:ind w:left="210"/>
            </w:pPr>
            <w:r w:rsidRPr="000332E9">
              <w:t>Six new patents sought by partner agencies</w:t>
            </w:r>
          </w:p>
        </w:tc>
        <w:tc>
          <w:tcPr>
            <w:tcW w:w="892" w:type="dxa"/>
            <w:tcBorders>
              <w:bottom w:val="single" w:sz="6" w:space="0" w:color="auto"/>
            </w:tcBorders>
          </w:tcPr>
          <w:p w14:paraId="70D384EE"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0332E9">
              <w:t>number</w:t>
            </w:r>
          </w:p>
        </w:tc>
        <w:tc>
          <w:tcPr>
            <w:tcW w:w="892" w:type="dxa"/>
            <w:tcBorders>
              <w:bottom w:val="single" w:sz="6" w:space="0" w:color="auto"/>
            </w:tcBorders>
            <w:shd w:val="clear" w:color="auto" w:fill="auto"/>
          </w:tcPr>
          <w:p w14:paraId="7D9FA541"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332E9">
              <w:t>6</w:t>
            </w:r>
          </w:p>
        </w:tc>
        <w:tc>
          <w:tcPr>
            <w:tcW w:w="892" w:type="dxa"/>
            <w:tcBorders>
              <w:bottom w:val="single" w:sz="6" w:space="0" w:color="auto"/>
            </w:tcBorders>
          </w:tcPr>
          <w:p w14:paraId="7093A61F"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332E9">
              <w:t>6</w:t>
            </w:r>
          </w:p>
        </w:tc>
        <w:tc>
          <w:tcPr>
            <w:tcW w:w="1194" w:type="dxa"/>
            <w:tcBorders>
              <w:bottom w:val="single" w:sz="6" w:space="0" w:color="auto"/>
            </w:tcBorders>
          </w:tcPr>
          <w:p w14:paraId="6B58E8AC"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0332E9">
              <w:t>0</w:t>
            </w:r>
          </w:p>
        </w:tc>
        <w:tc>
          <w:tcPr>
            <w:tcW w:w="810" w:type="dxa"/>
            <w:tcBorders>
              <w:bottom w:val="single" w:sz="6" w:space="0" w:color="auto"/>
            </w:tcBorders>
          </w:tcPr>
          <w:p w14:paraId="4CE3009A" w14:textId="7E274665"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A5916" w:rsidRPr="00F83E40" w14:paraId="2F426C1F"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single" w:sz="6" w:space="0" w:color="auto"/>
              <w:bottom w:val="nil"/>
            </w:tcBorders>
          </w:tcPr>
          <w:p w14:paraId="3F90217D" w14:textId="77777777" w:rsidR="00CA5916" w:rsidRPr="00F83E40" w:rsidRDefault="00CA5916" w:rsidP="00396387">
            <w:pPr>
              <w:rPr>
                <w:i/>
                <w:iCs/>
              </w:rPr>
            </w:pPr>
            <w:r w:rsidRPr="00F83E40">
              <w:rPr>
                <w:i/>
                <w:iCs/>
              </w:rPr>
              <w:t>Quality</w:t>
            </w:r>
          </w:p>
        </w:tc>
        <w:tc>
          <w:tcPr>
            <w:tcW w:w="892" w:type="dxa"/>
            <w:tcBorders>
              <w:top w:val="single" w:sz="6" w:space="0" w:color="auto"/>
              <w:bottom w:val="nil"/>
            </w:tcBorders>
          </w:tcPr>
          <w:p w14:paraId="176188D0"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shd w:val="clear" w:color="auto" w:fill="auto"/>
          </w:tcPr>
          <w:p w14:paraId="13CA4338"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tcPr>
          <w:p w14:paraId="518182E6"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194" w:type="dxa"/>
            <w:tcBorders>
              <w:top w:val="single" w:sz="6" w:space="0" w:color="auto"/>
              <w:bottom w:val="nil"/>
            </w:tcBorders>
          </w:tcPr>
          <w:p w14:paraId="70879D4D"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10" w:type="dxa"/>
            <w:tcBorders>
              <w:top w:val="single" w:sz="6" w:space="0" w:color="auto"/>
              <w:bottom w:val="nil"/>
            </w:tcBorders>
          </w:tcPr>
          <w:p w14:paraId="1DAA7475" w14:textId="77777777" w:rsidR="00CA5916" w:rsidRPr="00F83E40" w:rsidRDefault="00CA5916" w:rsidP="007122AE">
            <w:pP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666BEF89"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nil"/>
            </w:tcBorders>
          </w:tcPr>
          <w:p w14:paraId="223A9CE8" w14:textId="77777777" w:rsidR="00CA5916" w:rsidRPr="00F305E1" w:rsidRDefault="00CA5916" w:rsidP="007122AE">
            <w:pPr>
              <w:ind w:left="210"/>
            </w:pPr>
            <w:r w:rsidRPr="00E75EC0">
              <w:t>New technology met business requirements</w:t>
            </w:r>
          </w:p>
        </w:tc>
        <w:tc>
          <w:tcPr>
            <w:tcW w:w="892" w:type="dxa"/>
            <w:tcBorders>
              <w:top w:val="nil"/>
            </w:tcBorders>
          </w:tcPr>
          <w:p w14:paraId="3DA23A3C"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E75EC0">
              <w:t>per cent</w:t>
            </w:r>
          </w:p>
        </w:tc>
        <w:tc>
          <w:tcPr>
            <w:tcW w:w="892" w:type="dxa"/>
            <w:tcBorders>
              <w:top w:val="nil"/>
              <w:bottom w:val="nil"/>
            </w:tcBorders>
            <w:shd w:val="clear" w:color="auto" w:fill="auto"/>
          </w:tcPr>
          <w:p w14:paraId="13A0F45B"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E75EC0">
              <w:t>80.0</w:t>
            </w:r>
          </w:p>
        </w:tc>
        <w:tc>
          <w:tcPr>
            <w:tcW w:w="892" w:type="dxa"/>
            <w:tcBorders>
              <w:top w:val="nil"/>
            </w:tcBorders>
          </w:tcPr>
          <w:p w14:paraId="20CAF165"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E75EC0">
              <w:t>80.0</w:t>
            </w:r>
          </w:p>
        </w:tc>
        <w:tc>
          <w:tcPr>
            <w:tcW w:w="1194" w:type="dxa"/>
            <w:tcBorders>
              <w:top w:val="nil"/>
            </w:tcBorders>
          </w:tcPr>
          <w:p w14:paraId="249B7B39"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E75EC0">
              <w:t>0</w:t>
            </w:r>
          </w:p>
        </w:tc>
        <w:tc>
          <w:tcPr>
            <w:tcW w:w="810" w:type="dxa"/>
            <w:tcBorders>
              <w:top w:val="nil"/>
            </w:tcBorders>
          </w:tcPr>
          <w:p w14:paraId="7BD2F0C7" w14:textId="43C48189"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r w:rsidR="00CA5916" w:rsidRPr="007122AE" w14:paraId="5AAA5EFE"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9540" w:type="dxa"/>
            <w:gridSpan w:val="6"/>
            <w:tcBorders>
              <w:bottom w:val="single" w:sz="6" w:space="0" w:color="auto"/>
            </w:tcBorders>
            <w:shd w:val="clear" w:color="auto" w:fill="auto"/>
          </w:tcPr>
          <w:p w14:paraId="55D154AD" w14:textId="77777777" w:rsidR="00CA5916" w:rsidRPr="007122AE" w:rsidRDefault="00CA5916" w:rsidP="007122AE">
            <w:pPr>
              <w:ind w:left="210"/>
              <w:rPr>
                <w:i/>
                <w:iCs/>
                <w:sz w:val="15"/>
                <w:szCs w:val="15"/>
              </w:rPr>
            </w:pPr>
            <w:r w:rsidRPr="007122AE">
              <w:rPr>
                <w:i/>
                <w:iCs/>
                <w:sz w:val="15"/>
                <w:szCs w:val="15"/>
              </w:rPr>
              <w:t>This measure is based on surveys completed by clients.</w:t>
            </w:r>
          </w:p>
        </w:tc>
      </w:tr>
      <w:tr w:rsidR="00CA5916" w:rsidRPr="00F83E40" w14:paraId="31197FF0"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single" w:sz="6" w:space="0" w:color="auto"/>
              <w:bottom w:val="nil"/>
            </w:tcBorders>
          </w:tcPr>
          <w:p w14:paraId="550B1090" w14:textId="77777777" w:rsidR="00CA5916" w:rsidRPr="00F83E40" w:rsidRDefault="00CA5916" w:rsidP="00396387">
            <w:pPr>
              <w:rPr>
                <w:i/>
                <w:iCs/>
              </w:rPr>
            </w:pPr>
            <w:r w:rsidRPr="00F83E40">
              <w:rPr>
                <w:i/>
                <w:iCs/>
              </w:rPr>
              <w:t>Timeliness</w:t>
            </w:r>
          </w:p>
        </w:tc>
        <w:tc>
          <w:tcPr>
            <w:tcW w:w="892" w:type="dxa"/>
            <w:tcBorders>
              <w:top w:val="single" w:sz="6" w:space="0" w:color="auto"/>
              <w:bottom w:val="nil"/>
            </w:tcBorders>
          </w:tcPr>
          <w:p w14:paraId="2487396F"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shd w:val="clear" w:color="auto" w:fill="auto"/>
          </w:tcPr>
          <w:p w14:paraId="72B317FC"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tcPr>
          <w:p w14:paraId="5BAC1562"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194" w:type="dxa"/>
            <w:tcBorders>
              <w:top w:val="single" w:sz="6" w:space="0" w:color="auto"/>
              <w:bottom w:val="nil"/>
            </w:tcBorders>
          </w:tcPr>
          <w:p w14:paraId="73BD2DBC"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10" w:type="dxa"/>
            <w:tcBorders>
              <w:top w:val="single" w:sz="6" w:space="0" w:color="auto"/>
              <w:bottom w:val="nil"/>
            </w:tcBorders>
          </w:tcPr>
          <w:p w14:paraId="3B907D08" w14:textId="77777777" w:rsidR="00CA5916" w:rsidRPr="00F83E40" w:rsidRDefault="00CA5916" w:rsidP="007122AE">
            <w:pPr>
              <w:cnfStyle w:val="000000000000" w:firstRow="0" w:lastRow="0" w:firstColumn="0" w:lastColumn="0" w:oddVBand="0" w:evenVBand="0" w:oddHBand="0" w:evenHBand="0" w:firstRowFirstColumn="0" w:firstRowLastColumn="0" w:lastRowFirstColumn="0" w:lastRowLastColumn="0"/>
              <w:rPr>
                <w:i/>
                <w:iCs/>
              </w:rPr>
            </w:pPr>
          </w:p>
        </w:tc>
      </w:tr>
      <w:tr w:rsidR="00CA5916" w:rsidRPr="00750F2F" w14:paraId="0179EE62"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nil"/>
              <w:bottom w:val="single" w:sz="6" w:space="0" w:color="auto"/>
            </w:tcBorders>
          </w:tcPr>
          <w:p w14:paraId="3A4DE079" w14:textId="77777777" w:rsidR="00CA5916" w:rsidRPr="00F305E1" w:rsidRDefault="00CA5916" w:rsidP="007122AE">
            <w:pPr>
              <w:ind w:left="210"/>
            </w:pPr>
            <w:r w:rsidRPr="00741040">
              <w:t>Projects managed within agreed timelines</w:t>
            </w:r>
          </w:p>
        </w:tc>
        <w:tc>
          <w:tcPr>
            <w:tcW w:w="892" w:type="dxa"/>
            <w:tcBorders>
              <w:top w:val="nil"/>
              <w:bottom w:val="single" w:sz="6" w:space="0" w:color="auto"/>
            </w:tcBorders>
          </w:tcPr>
          <w:p w14:paraId="58A943F8"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741040">
              <w:t>per cent</w:t>
            </w:r>
          </w:p>
        </w:tc>
        <w:tc>
          <w:tcPr>
            <w:tcW w:w="892" w:type="dxa"/>
            <w:tcBorders>
              <w:top w:val="nil"/>
              <w:bottom w:val="single" w:sz="6" w:space="0" w:color="auto"/>
            </w:tcBorders>
            <w:shd w:val="clear" w:color="auto" w:fill="auto"/>
          </w:tcPr>
          <w:p w14:paraId="70A15BE7"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741040">
              <w:t>87.0</w:t>
            </w:r>
          </w:p>
        </w:tc>
        <w:tc>
          <w:tcPr>
            <w:tcW w:w="892" w:type="dxa"/>
            <w:tcBorders>
              <w:top w:val="nil"/>
              <w:bottom w:val="single" w:sz="6" w:space="0" w:color="auto"/>
            </w:tcBorders>
          </w:tcPr>
          <w:p w14:paraId="794FB2D0"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741040">
              <w:t>91.0</w:t>
            </w:r>
          </w:p>
        </w:tc>
        <w:tc>
          <w:tcPr>
            <w:tcW w:w="1194" w:type="dxa"/>
            <w:tcBorders>
              <w:top w:val="nil"/>
              <w:bottom w:val="single" w:sz="6" w:space="0" w:color="auto"/>
            </w:tcBorders>
          </w:tcPr>
          <w:p w14:paraId="018BC62F"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741040">
              <w:t xml:space="preserve"> 4.4</w:t>
            </w:r>
          </w:p>
        </w:tc>
        <w:tc>
          <w:tcPr>
            <w:tcW w:w="810" w:type="dxa"/>
            <w:tcBorders>
              <w:top w:val="nil"/>
              <w:bottom w:val="single" w:sz="6" w:space="0" w:color="auto"/>
            </w:tcBorders>
          </w:tcPr>
          <w:p w14:paraId="6A3EACD9" w14:textId="7A26DF73" w:rsidR="00CA5916" w:rsidRPr="00750F2F" w:rsidRDefault="00750F2F" w:rsidP="007122AE">
            <w:pPr>
              <w:cnfStyle w:val="000000000000" w:firstRow="0" w:lastRow="0" w:firstColumn="0" w:lastColumn="0" w:oddVBand="0" w:evenVBand="0" w:oddHBand="0" w:evenHBand="0" w:firstRowFirstColumn="0" w:firstRowLastColumn="0" w:lastRowFirstColumn="0" w:lastRowLastColumn="0"/>
            </w:pPr>
            <w:r w:rsidRPr="00CF76BC">
              <w:rPr>
                <w:rStyle w:val="Guidance"/>
                <w:rFonts w:ascii="Wingdings" w:eastAsia="Wingdings" w:hAnsi="Wingdings" w:cs="Wingdings"/>
                <w:b/>
                <w:bCs/>
                <w:color w:val="auto"/>
              </w:rPr>
              <w:t>¡</w:t>
            </w:r>
          </w:p>
        </w:tc>
      </w:tr>
      <w:tr w:rsidR="00CA5916" w:rsidRPr="00F83E40" w14:paraId="180F4741"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single" w:sz="6" w:space="0" w:color="auto"/>
              <w:bottom w:val="nil"/>
            </w:tcBorders>
          </w:tcPr>
          <w:p w14:paraId="3DBAD39C" w14:textId="77777777" w:rsidR="00CA5916" w:rsidRPr="00F83E40" w:rsidRDefault="00CA5916" w:rsidP="00396387">
            <w:pPr>
              <w:rPr>
                <w:i/>
                <w:iCs/>
              </w:rPr>
            </w:pPr>
            <w:r w:rsidRPr="00F83E40">
              <w:rPr>
                <w:i/>
                <w:iCs/>
              </w:rPr>
              <w:t>Cost</w:t>
            </w:r>
          </w:p>
        </w:tc>
        <w:tc>
          <w:tcPr>
            <w:tcW w:w="892" w:type="dxa"/>
            <w:tcBorders>
              <w:top w:val="single" w:sz="6" w:space="0" w:color="auto"/>
              <w:bottom w:val="nil"/>
            </w:tcBorders>
          </w:tcPr>
          <w:p w14:paraId="4354CF61"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shd w:val="clear" w:color="auto" w:fill="auto"/>
          </w:tcPr>
          <w:p w14:paraId="27A49B06"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92" w:type="dxa"/>
            <w:tcBorders>
              <w:top w:val="single" w:sz="6" w:space="0" w:color="auto"/>
              <w:bottom w:val="nil"/>
            </w:tcBorders>
          </w:tcPr>
          <w:p w14:paraId="70DC0666"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1194" w:type="dxa"/>
            <w:tcBorders>
              <w:top w:val="single" w:sz="6" w:space="0" w:color="auto"/>
              <w:bottom w:val="nil"/>
            </w:tcBorders>
          </w:tcPr>
          <w:p w14:paraId="43EE735C" w14:textId="77777777" w:rsidR="00CA5916" w:rsidRPr="00F83E40" w:rsidRDefault="00CA5916" w:rsidP="00396387">
            <w:pPr>
              <w:cnfStyle w:val="000000000000" w:firstRow="0" w:lastRow="0" w:firstColumn="0" w:lastColumn="0" w:oddVBand="0" w:evenVBand="0" w:oddHBand="0" w:evenHBand="0" w:firstRowFirstColumn="0" w:firstRowLastColumn="0" w:lastRowFirstColumn="0" w:lastRowLastColumn="0"/>
              <w:rPr>
                <w:i/>
                <w:iCs/>
              </w:rPr>
            </w:pPr>
          </w:p>
        </w:tc>
        <w:tc>
          <w:tcPr>
            <w:tcW w:w="810" w:type="dxa"/>
            <w:tcBorders>
              <w:top w:val="single" w:sz="6" w:space="0" w:color="auto"/>
              <w:bottom w:val="nil"/>
            </w:tcBorders>
          </w:tcPr>
          <w:p w14:paraId="2DCC7773" w14:textId="77777777" w:rsidR="00CA5916" w:rsidRPr="00F83E40" w:rsidRDefault="00CA5916" w:rsidP="007122AE">
            <w:pPr>
              <w:cnfStyle w:val="000000000000" w:firstRow="0" w:lastRow="0" w:firstColumn="0" w:lastColumn="0" w:oddVBand="0" w:evenVBand="0" w:oddHBand="0" w:evenHBand="0" w:firstRowFirstColumn="0" w:firstRowLastColumn="0" w:lastRowFirstColumn="0" w:lastRowLastColumn="0"/>
              <w:rPr>
                <w:i/>
                <w:iCs/>
              </w:rPr>
            </w:pPr>
          </w:p>
        </w:tc>
      </w:tr>
      <w:tr w:rsidR="00CA5916" w:rsidRPr="00F305E1" w14:paraId="06B76D43" w14:textId="77777777" w:rsidTr="003A6979">
        <w:trPr>
          <w:trHeight w:val="57"/>
        </w:trPr>
        <w:tc>
          <w:tcPr>
            <w:cnfStyle w:val="001000000000" w:firstRow="0" w:lastRow="0" w:firstColumn="1" w:lastColumn="0" w:oddVBand="0" w:evenVBand="0" w:oddHBand="0" w:evenHBand="0" w:firstRowFirstColumn="0" w:firstRowLastColumn="0" w:lastRowFirstColumn="0" w:lastRowLastColumn="0"/>
            <w:tcW w:w="4860" w:type="dxa"/>
            <w:tcBorders>
              <w:top w:val="nil"/>
              <w:bottom w:val="single" w:sz="12" w:space="0" w:color="auto"/>
            </w:tcBorders>
          </w:tcPr>
          <w:p w14:paraId="1D2D3F3D" w14:textId="77777777" w:rsidR="00CA5916" w:rsidRPr="00F305E1" w:rsidRDefault="00CA5916" w:rsidP="007122AE">
            <w:pPr>
              <w:ind w:left="210"/>
            </w:pPr>
            <w:r w:rsidRPr="005D5557">
              <w:t>Total output cost</w:t>
            </w:r>
          </w:p>
        </w:tc>
        <w:tc>
          <w:tcPr>
            <w:tcW w:w="892" w:type="dxa"/>
            <w:tcBorders>
              <w:top w:val="nil"/>
              <w:bottom w:val="single" w:sz="12" w:space="0" w:color="auto"/>
            </w:tcBorders>
          </w:tcPr>
          <w:p w14:paraId="6BDFCA98" w14:textId="77777777" w:rsidR="00CA5916" w:rsidRPr="00F305E1" w:rsidRDefault="00CA5916" w:rsidP="00396387">
            <w:pPr>
              <w:jc w:val="center"/>
              <w:cnfStyle w:val="000000000000" w:firstRow="0" w:lastRow="0" w:firstColumn="0" w:lastColumn="0" w:oddVBand="0" w:evenVBand="0" w:oddHBand="0" w:evenHBand="0" w:firstRowFirstColumn="0" w:firstRowLastColumn="0" w:lastRowFirstColumn="0" w:lastRowLastColumn="0"/>
            </w:pPr>
            <w:r w:rsidRPr="005D5557">
              <w:t>$ million</w:t>
            </w:r>
          </w:p>
        </w:tc>
        <w:tc>
          <w:tcPr>
            <w:tcW w:w="892" w:type="dxa"/>
            <w:tcBorders>
              <w:top w:val="nil"/>
              <w:bottom w:val="single" w:sz="12" w:space="0" w:color="auto"/>
            </w:tcBorders>
            <w:shd w:val="clear" w:color="auto" w:fill="auto"/>
          </w:tcPr>
          <w:p w14:paraId="036C1558"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5D5557">
              <w:t>50.6</w:t>
            </w:r>
          </w:p>
        </w:tc>
        <w:tc>
          <w:tcPr>
            <w:tcW w:w="892" w:type="dxa"/>
            <w:tcBorders>
              <w:top w:val="nil"/>
              <w:bottom w:val="single" w:sz="12" w:space="0" w:color="auto"/>
            </w:tcBorders>
          </w:tcPr>
          <w:p w14:paraId="647B88A3"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5D5557">
              <w:t>51.2</w:t>
            </w:r>
          </w:p>
        </w:tc>
        <w:tc>
          <w:tcPr>
            <w:tcW w:w="1194" w:type="dxa"/>
            <w:tcBorders>
              <w:top w:val="nil"/>
              <w:bottom w:val="single" w:sz="12" w:space="0" w:color="auto"/>
            </w:tcBorders>
          </w:tcPr>
          <w:p w14:paraId="7235D3D7" w14:textId="77777777" w:rsidR="00CA5916" w:rsidRPr="00F305E1" w:rsidRDefault="00CA5916" w:rsidP="00396387">
            <w:pPr>
              <w:cnfStyle w:val="000000000000" w:firstRow="0" w:lastRow="0" w:firstColumn="0" w:lastColumn="0" w:oddVBand="0" w:evenVBand="0" w:oddHBand="0" w:evenHBand="0" w:firstRowFirstColumn="0" w:firstRowLastColumn="0" w:lastRowFirstColumn="0" w:lastRowLastColumn="0"/>
            </w:pPr>
            <w:r w:rsidRPr="005D5557">
              <w:t xml:space="preserve"> 1.2</w:t>
            </w:r>
          </w:p>
        </w:tc>
        <w:tc>
          <w:tcPr>
            <w:tcW w:w="810" w:type="dxa"/>
            <w:tcBorders>
              <w:top w:val="nil"/>
              <w:bottom w:val="single" w:sz="12" w:space="0" w:color="auto"/>
            </w:tcBorders>
          </w:tcPr>
          <w:p w14:paraId="160CDE43" w14:textId="6FA155D4" w:rsidR="00CA5916" w:rsidRPr="00F305E1" w:rsidRDefault="00CA5916" w:rsidP="007122AE">
            <w:pPr>
              <w:cnfStyle w:val="000000000000" w:firstRow="0" w:lastRow="0" w:firstColumn="0" w:lastColumn="0" w:oddVBand="0" w:evenVBand="0" w:oddHBand="0" w:evenHBand="0" w:firstRowFirstColumn="0" w:firstRowLastColumn="0" w:lastRowFirstColumn="0" w:lastRowLastColumn="0"/>
            </w:pPr>
            <w:r w:rsidRPr="00F305E1">
              <w:rPr>
                <w:rFonts w:ascii="Wingdings" w:eastAsia="Wingdings" w:hAnsi="Wingdings" w:cs="Wingdings"/>
              </w:rPr>
              <w:t>ü</w:t>
            </w:r>
          </w:p>
        </w:tc>
      </w:tr>
    </w:tbl>
    <w:p w14:paraId="6E9A5849" w14:textId="77777777" w:rsidR="000966E8" w:rsidRDefault="000966E8" w:rsidP="000966E8">
      <w:pPr>
        <w:pStyle w:val="Note"/>
      </w:pPr>
      <w:r>
        <w:t>Note:</w:t>
      </w:r>
    </w:p>
    <w:p w14:paraId="3239EDAB" w14:textId="3C862352" w:rsidR="000966E8" w:rsidRDefault="000966E8" w:rsidP="000966E8">
      <w:pPr>
        <w:pStyle w:val="Note"/>
        <w:ind w:left="737" w:hanging="737"/>
      </w:pPr>
      <w:r>
        <w:t>(a)</w:t>
      </w:r>
      <w:r>
        <w:tab/>
      </w:r>
      <w:r w:rsidRPr="00940E38">
        <w:rPr>
          <w:rFonts w:ascii="Wingdings" w:eastAsia="Wingdings" w:hAnsi="Wingdings" w:cs="Wingdings"/>
          <w:i w:val="0"/>
        </w:rPr>
        <w:t>ü</w:t>
      </w:r>
      <w:r>
        <w:tab/>
        <w:t>Performance target achieved or exceeded</w:t>
      </w:r>
      <w:r w:rsidR="00A61354">
        <w:t xml:space="preserve"> – </w:t>
      </w:r>
      <w:r w:rsidR="001346BE">
        <w:t xml:space="preserve">performance greater than target, </w:t>
      </w:r>
      <w:r w:rsidR="00A61354">
        <w:t>either within 5 per cent or exceeding 5 per cent variance</w:t>
      </w:r>
      <w:r>
        <w:t xml:space="preserve">. </w:t>
      </w:r>
      <w:r w:rsidRPr="000966E8">
        <w:rPr>
          <w:rStyle w:val="Guidance"/>
        </w:rPr>
        <w:t xml:space="preserve">[A variance exceeding 5 per cent </w:t>
      </w:r>
      <w:r w:rsidR="00A61354">
        <w:rPr>
          <w:rStyle w:val="Guidance"/>
        </w:rPr>
        <w:t>(</w:t>
      </w:r>
      <w:r w:rsidRPr="000966E8">
        <w:rPr>
          <w:rStyle w:val="Guidance"/>
        </w:rPr>
        <w:t xml:space="preserve">or $50 million </w:t>
      </w:r>
      <w:r w:rsidR="00A61354">
        <w:rPr>
          <w:rStyle w:val="Guidance"/>
        </w:rPr>
        <w:t xml:space="preserve">for </w:t>
      </w:r>
      <w:r w:rsidRPr="000966E8">
        <w:rPr>
          <w:rStyle w:val="Guidance"/>
        </w:rPr>
        <w:t>cost measures only) requires an explanation, including internal or external factors that caused the variance.]</w:t>
      </w:r>
    </w:p>
    <w:p w14:paraId="4EFEF336" w14:textId="6BD912B4" w:rsidR="001346BE" w:rsidRDefault="000966E8" w:rsidP="001346BE">
      <w:pPr>
        <w:pStyle w:val="Note"/>
        <w:ind w:left="737" w:hanging="737"/>
      </w:pPr>
      <w:r>
        <w:tab/>
      </w:r>
      <w:r w:rsidR="00F5064F" w:rsidRPr="00F5064F">
        <w:rPr>
          <w:rStyle w:val="Guidance"/>
          <w:rFonts w:ascii="Wingdings" w:eastAsia="Wingdings" w:hAnsi="Wingdings" w:cs="Wingdings"/>
          <w:b/>
          <w:bCs/>
          <w:i w:val="0"/>
          <w:iCs/>
          <w:color w:val="auto"/>
        </w:rPr>
        <w:t>¡</w:t>
      </w:r>
      <w:r>
        <w:tab/>
        <w:t xml:space="preserve">Performance target not achieved – </w:t>
      </w:r>
      <w:r w:rsidR="001346BE">
        <w:t xml:space="preserve">performance less than target </w:t>
      </w:r>
      <w:r w:rsidR="00082B4D">
        <w:t xml:space="preserve">by less than </w:t>
      </w:r>
      <w:r>
        <w:t xml:space="preserve">5 per cent or </w:t>
      </w:r>
      <w:r w:rsidR="00F16754">
        <w:t>(</w:t>
      </w:r>
      <w:r>
        <w:t xml:space="preserve">$50 million </w:t>
      </w:r>
      <w:r w:rsidR="00F16754">
        <w:t xml:space="preserve">for </w:t>
      </w:r>
      <w:r>
        <w:t>cost measures only) variance.</w:t>
      </w:r>
      <w:r w:rsidR="001346BE" w:rsidRPr="001346BE">
        <w:t xml:space="preserve"> </w:t>
      </w:r>
      <w:r w:rsidR="001346BE">
        <w:tab/>
      </w:r>
    </w:p>
    <w:p w14:paraId="00FD8486" w14:textId="63C39AAC" w:rsidR="001346BE" w:rsidRDefault="001346BE" w:rsidP="001346BE">
      <w:pPr>
        <w:pStyle w:val="Note"/>
        <w:ind w:left="737" w:hanging="737"/>
      </w:pPr>
      <w:r>
        <w:rPr>
          <w:rStyle w:val="Guidance"/>
          <w:rFonts w:ascii="Wingdings" w:eastAsia="Wingdings" w:hAnsi="Wingdings" w:cs="Wingdings"/>
          <w:b/>
          <w:bCs/>
          <w:i w:val="0"/>
          <w:iCs/>
          <w:color w:val="auto"/>
        </w:rPr>
        <w:tab/>
      </w:r>
      <w:r w:rsidRPr="00E863B7">
        <w:rPr>
          <w:rFonts w:ascii="Wingdings" w:eastAsia="Wingdings" w:hAnsi="Wingdings" w:cs="Wingdings"/>
          <w:i w:val="0"/>
          <w:iCs/>
        </w:rPr>
        <w:t>n</w:t>
      </w:r>
      <w:r>
        <w:tab/>
        <w:t xml:space="preserve">Performance target not achieved – performance less than target by more than 5 per cent (or $50 million for cost measures only) variance. </w:t>
      </w:r>
      <w:r w:rsidRPr="000966E8">
        <w:rPr>
          <w:rStyle w:val="Guidance"/>
        </w:rPr>
        <w:t>[This requires an explanation, including internal or external factors that caused the variance.]</w:t>
      </w:r>
    </w:p>
    <w:p w14:paraId="334E07C9" w14:textId="18D1C97F" w:rsidR="000966E8" w:rsidRDefault="000966E8" w:rsidP="000966E8">
      <w:pPr>
        <w:pStyle w:val="Note"/>
        <w:ind w:left="737" w:hanging="737"/>
      </w:pPr>
    </w:p>
    <w:p w14:paraId="538D667C" w14:textId="77777777" w:rsidR="000966E8" w:rsidRPr="000966E8" w:rsidRDefault="000966E8" w:rsidP="000966E8">
      <w:pPr>
        <w:rPr>
          <w:rStyle w:val="Reference"/>
        </w:rPr>
      </w:pPr>
      <w:r w:rsidRPr="000966E8">
        <w:rPr>
          <w:rStyle w:val="Reference"/>
        </w:rPr>
        <w:t>[Recommendation 11, PAEC Report on the 2015-16 Financial and Performance Outcomes]</w:t>
      </w:r>
    </w:p>
    <w:p w14:paraId="37396184" w14:textId="77777777" w:rsidR="00DC39DE" w:rsidRDefault="00DC39DE" w:rsidP="00DC39DE"/>
    <w:p w14:paraId="27C20F49" w14:textId="77777777" w:rsidR="00B24602" w:rsidRDefault="00B24602">
      <w:pPr>
        <w:keepLines w:val="0"/>
        <w:rPr>
          <w:rFonts w:asciiTheme="majorHAnsi" w:eastAsiaTheme="majorEastAsia" w:hAnsiTheme="majorHAnsi" w:cstheme="majorBidi"/>
          <w:b/>
          <w:bCs/>
          <w:iCs/>
          <w:color w:val="FFFFFF" w:themeColor="background1"/>
          <w:sz w:val="20"/>
          <w:szCs w:val="24"/>
        </w:rPr>
      </w:pPr>
      <w:r>
        <w:br w:type="page"/>
      </w:r>
    </w:p>
    <w:p w14:paraId="1D040C68" w14:textId="038D933C" w:rsidR="000966E8" w:rsidRDefault="000966E8" w:rsidP="00BF2540">
      <w:pPr>
        <w:pStyle w:val="GuidanceBlockHeading"/>
        <w:tabs>
          <w:tab w:val="left" w:pos="8488"/>
        </w:tabs>
      </w:pPr>
      <w:bookmarkStart w:id="104" w:name="_Hlk144379873"/>
      <w:bookmarkStart w:id="105" w:name="_Hlk152510584"/>
      <w:r>
        <w:lastRenderedPageBreak/>
        <w:t>Guidance – Performance against output performance measures</w:t>
      </w:r>
      <w:r w:rsidR="009E115F">
        <w:t xml:space="preserve"> </w:t>
      </w:r>
      <w:bookmarkEnd w:id="104"/>
      <w:r w:rsidR="005A18F2">
        <w:t>[REVISED]</w:t>
      </w:r>
      <w:r w:rsidR="00BF45FC">
        <w:tab/>
      </w:r>
    </w:p>
    <w:p w14:paraId="3F5CBA3D" w14:textId="28C883D3" w:rsidR="000966E8" w:rsidRDefault="000966E8" w:rsidP="000966E8">
      <w:pPr>
        <w:pStyle w:val="GuidanceHeading"/>
      </w:pPr>
      <w:r>
        <w:t>Legislative and documented references</w:t>
      </w:r>
    </w:p>
    <w:p w14:paraId="6361826F" w14:textId="14F8433A" w:rsidR="000966E8" w:rsidRPr="005D5A21" w:rsidRDefault="000966E8" w:rsidP="000966E8">
      <w:pPr>
        <w:rPr>
          <w:rStyle w:val="Guidance"/>
        </w:rPr>
      </w:pPr>
      <w:r w:rsidRPr="005D5A21">
        <w:rPr>
          <w:rStyle w:val="Guidance"/>
        </w:rPr>
        <w:t xml:space="preserve">FRD 8 requires departments to report on actual output performance for a government department including a comparison of the output targets published in the budget papers and actual performance for the portfolio for the corresponding financial year. </w:t>
      </w:r>
      <w:r w:rsidRPr="005D5A21">
        <w:rPr>
          <w:rStyle w:val="Reference"/>
        </w:rPr>
        <w:t>[FRD 8]</w:t>
      </w:r>
    </w:p>
    <w:p w14:paraId="2ED5D915" w14:textId="30E0E03D" w:rsidR="000966E8" w:rsidRPr="005D5A21" w:rsidRDefault="000966E8" w:rsidP="000966E8">
      <w:pPr>
        <w:rPr>
          <w:rStyle w:val="Guidance"/>
        </w:rPr>
      </w:pPr>
      <w:r w:rsidRPr="005D5A21">
        <w:rPr>
          <w:rStyle w:val="Guidance"/>
        </w:rPr>
        <w:t>FRD 22</w:t>
      </w:r>
      <w:r w:rsidR="006F4ACC">
        <w:rPr>
          <w:rStyle w:val="Guidance"/>
        </w:rPr>
        <w:t xml:space="preserve"> </w:t>
      </w:r>
      <w:r w:rsidRPr="005D5A21">
        <w:rPr>
          <w:rStyle w:val="Guidance"/>
        </w:rPr>
        <w:t xml:space="preserve">states the report should include a ‘summary of the entity’s operational and budgetary objectives, including performance against the objectives and significant achievements’ for the current reporting period. This section also supplements a department’s fulfilment of the requirement in FRD 22 to detail the ‘purpose, functions, powers and duties’ of the entity (which is fulfilled in the earlier ‘Year in review’ section). </w:t>
      </w:r>
      <w:r w:rsidRPr="005D5A21">
        <w:rPr>
          <w:rStyle w:val="Reference"/>
        </w:rPr>
        <w:t>[FRD 22]</w:t>
      </w:r>
    </w:p>
    <w:p w14:paraId="5CF5BEAA" w14:textId="13CAF3B3" w:rsidR="000966E8" w:rsidRPr="005D5A21" w:rsidRDefault="000966E8" w:rsidP="000966E8">
      <w:pPr>
        <w:pStyle w:val="GuidanceHeading"/>
        <w:rPr>
          <w:rStyle w:val="Guidance"/>
        </w:rPr>
      </w:pPr>
      <w:r w:rsidRPr="20EC4723">
        <w:rPr>
          <w:rStyle w:val="Guidance"/>
        </w:rPr>
        <w:t xml:space="preserve">Guidance </w:t>
      </w:r>
      <w:r w:rsidRPr="20EC4723">
        <w:rPr>
          <w:rStyle w:val="Reference"/>
        </w:rPr>
        <w:t>[Recommendation 39, PAEC</w:t>
      </w:r>
      <w:r w:rsidR="322EF6F5" w:rsidRPr="20EC4723">
        <w:rPr>
          <w:rStyle w:val="Reference"/>
        </w:rPr>
        <w:t xml:space="preserve"> Review of the Performance Measurement and Reporting System</w:t>
      </w:r>
      <w:r w:rsidR="00C8048F" w:rsidRPr="20EC4723">
        <w:rPr>
          <w:rStyle w:val="Reference"/>
        </w:rPr>
        <w:t xml:space="preserve">, </w:t>
      </w:r>
      <w:r w:rsidR="009E115F" w:rsidRPr="20EC4723">
        <w:rPr>
          <w:rStyle w:val="Reference"/>
        </w:rPr>
        <w:t>Recommendation</w:t>
      </w:r>
      <w:r w:rsidR="008426CC">
        <w:rPr>
          <w:rStyle w:val="Reference"/>
        </w:rPr>
        <w:t> </w:t>
      </w:r>
      <w:r w:rsidR="009E115F" w:rsidRPr="20EC4723">
        <w:rPr>
          <w:rStyle w:val="Reference"/>
        </w:rPr>
        <w:t xml:space="preserve">41, PAEC </w:t>
      </w:r>
      <w:r w:rsidR="70389FFD" w:rsidRPr="20EC4723">
        <w:rPr>
          <w:rStyle w:val="Reference"/>
        </w:rPr>
        <w:t xml:space="preserve"> Inquiry into the 2017-18 and 2018-19 Financial and Performance </w:t>
      </w:r>
      <w:r w:rsidR="70389FFD" w:rsidRPr="005C655D">
        <w:rPr>
          <w:rStyle w:val="Reference"/>
          <w:bCs/>
        </w:rPr>
        <w:t>Outcomes</w:t>
      </w:r>
      <w:r w:rsidR="009E115F" w:rsidRPr="00BF2540">
        <w:rPr>
          <w:rStyle w:val="Reference"/>
          <w:bCs/>
        </w:rPr>
        <w:t>]</w:t>
      </w:r>
      <w:r w:rsidR="00FC62F5" w:rsidRPr="00BF2540">
        <w:rPr>
          <w:rStyle w:val="Reference"/>
          <w:bCs/>
        </w:rPr>
        <w:t xml:space="preserve"> </w:t>
      </w:r>
      <w:r w:rsidR="009E4B21" w:rsidRPr="00BF2540">
        <w:rPr>
          <w:rStyle w:val="Reference"/>
          <w:bCs/>
        </w:rPr>
        <w:t>[</w:t>
      </w:r>
      <w:r w:rsidR="009A7D3B" w:rsidRPr="00BF2540">
        <w:rPr>
          <w:rStyle w:val="Reference"/>
          <w:bCs/>
        </w:rPr>
        <w:t xml:space="preserve">FRD </w:t>
      </w:r>
      <w:r w:rsidR="009E4B21" w:rsidRPr="00BF2540">
        <w:rPr>
          <w:rStyle w:val="Reference"/>
          <w:bCs/>
        </w:rPr>
        <w:t>8]</w:t>
      </w:r>
      <w:r w:rsidR="009A7D3B" w:rsidRPr="20EC4723">
        <w:rPr>
          <w:rStyle w:val="Reference"/>
          <w:color w:val="7030A0"/>
        </w:rPr>
        <w:t xml:space="preserve"> </w:t>
      </w:r>
    </w:p>
    <w:p w14:paraId="3FD41655" w14:textId="38117247" w:rsidR="005B4F63" w:rsidRDefault="000966E8" w:rsidP="005B4F63">
      <w:pPr>
        <w:rPr>
          <w:rStyle w:val="Guidance"/>
        </w:rPr>
      </w:pPr>
      <w:r w:rsidRPr="005D5A21">
        <w:rPr>
          <w:rStyle w:val="Guidance"/>
        </w:rPr>
        <w:t xml:space="preserve">An introduction to this section should include an overview of the key output areas, as articulated in the budget </w:t>
      </w:r>
      <w:r w:rsidR="0097040C" w:rsidRPr="005D5A21">
        <w:rPr>
          <w:rStyle w:val="Guidance"/>
        </w:rPr>
        <w:t>papers,</w:t>
      </w:r>
      <w:r w:rsidR="005B4F63">
        <w:rPr>
          <w:rStyle w:val="Guidance"/>
        </w:rPr>
        <w:t xml:space="preserve"> </w:t>
      </w:r>
      <w:r w:rsidR="0097040C" w:rsidRPr="005D5A21">
        <w:rPr>
          <w:rStyle w:val="Guidance"/>
        </w:rPr>
        <w:t>plus</w:t>
      </w:r>
      <w:r w:rsidRPr="005D5A21">
        <w:rPr>
          <w:rStyle w:val="Guidance"/>
        </w:rPr>
        <w:t xml:space="preserve"> any explanation of changes to the output structure that occurred during the year (covered above in </w:t>
      </w:r>
      <w:r w:rsidRPr="005D5A21">
        <w:rPr>
          <w:rStyle w:val="Guidance"/>
          <w:i/>
          <w:iCs/>
        </w:rPr>
        <w:t xml:space="preserve">Changes to the Department during </w:t>
      </w:r>
      <w:r w:rsidRPr="005D5A21">
        <w:rPr>
          <w:rStyle w:val="Guidance"/>
          <w:i/>
          <w:iCs/>
        </w:rPr>
        <w:fldChar w:fldCharType="begin"/>
      </w:r>
      <w:r w:rsidRPr="005D5A21">
        <w:rPr>
          <w:rStyle w:val="Guidance"/>
          <w:i/>
          <w:iCs/>
        </w:rPr>
        <w:instrText xml:space="preserve"> DOCPROPERTY  FinYearCurrent  \* MERGEFORMAT </w:instrText>
      </w:r>
      <w:r w:rsidRPr="005D5A21">
        <w:rPr>
          <w:rStyle w:val="Guidance"/>
          <w:i/>
          <w:iCs/>
        </w:rPr>
        <w:fldChar w:fldCharType="separate"/>
      </w:r>
      <w:r w:rsidR="0057238C">
        <w:rPr>
          <w:rStyle w:val="Guidance"/>
          <w:i/>
          <w:iCs/>
        </w:rPr>
        <w:t>20X1</w:t>
      </w:r>
      <w:r w:rsidR="0057238C" w:rsidRPr="0057238C">
        <w:rPr>
          <w:rStyle w:val="Guidance"/>
          <w:rFonts w:ascii="Cambria Math" w:hAnsi="Cambria Math" w:cs="Cambria Math"/>
          <w:i/>
          <w:iCs/>
        </w:rPr>
        <w:t>‑</w:t>
      </w:r>
      <w:r w:rsidR="0057238C">
        <w:rPr>
          <w:rStyle w:val="Guidance"/>
          <w:i/>
          <w:iCs/>
        </w:rPr>
        <w:t>X2</w:t>
      </w:r>
      <w:r w:rsidRPr="005D5A21">
        <w:rPr>
          <w:rStyle w:val="Guidance"/>
          <w:i/>
          <w:iCs/>
        </w:rPr>
        <w:fldChar w:fldCharType="end"/>
      </w:r>
      <w:r w:rsidRPr="005D5A21">
        <w:rPr>
          <w:rStyle w:val="Guidance"/>
        </w:rPr>
        <w:t>).</w:t>
      </w:r>
    </w:p>
    <w:p w14:paraId="6FAE3C49" w14:textId="2810EE52" w:rsidR="000966E8" w:rsidRPr="005D5A21" w:rsidRDefault="000966E8" w:rsidP="005B4F63">
      <w:pPr>
        <w:pStyle w:val="ListBullet"/>
        <w:numPr>
          <w:ilvl w:val="0"/>
          <w:numId w:val="0"/>
        </w:numPr>
        <w:rPr>
          <w:rStyle w:val="Guidance"/>
        </w:rPr>
      </w:pPr>
      <w:r w:rsidRPr="005D5A21">
        <w:rPr>
          <w:rStyle w:val="Guidance"/>
        </w:rPr>
        <w:t>Departmental output performance reporting should therefore include</w:t>
      </w:r>
      <w:r w:rsidR="000B5C8F">
        <w:rPr>
          <w:rStyle w:val="Guidance"/>
        </w:rPr>
        <w:t xml:space="preserve"> </w:t>
      </w:r>
      <w:r w:rsidRPr="005D5A21">
        <w:rPr>
          <w:rStyle w:val="Guidance"/>
        </w:rPr>
        <w:t xml:space="preserve">an overview of the key output areas for which a department is responsible for that financial year (as set out in Budget Paper No. 3 </w:t>
      </w:r>
      <w:r w:rsidRPr="003F7856">
        <w:rPr>
          <w:rStyle w:val="Guidance"/>
          <w:i/>
          <w:iCs/>
        </w:rPr>
        <w:t>Service Delivery</w:t>
      </w:r>
      <w:r w:rsidRPr="005D5A21">
        <w:rPr>
          <w:rStyle w:val="Guidance"/>
        </w:rPr>
        <w:t xml:space="preserve"> (BP3), Chapter</w:t>
      </w:r>
      <w:r w:rsidR="008C46F5">
        <w:rPr>
          <w:rStyle w:val="Guidance"/>
        </w:rPr>
        <w:t> </w:t>
      </w:r>
      <w:r w:rsidRPr="005D5A21">
        <w:rPr>
          <w:rStyle w:val="Guidance"/>
        </w:rPr>
        <w:t>2</w:t>
      </w:r>
      <w:r w:rsidR="004961E0">
        <w:rPr>
          <w:rStyle w:val="Guidance"/>
        </w:rPr>
        <w:t xml:space="preserve">), as well as </w:t>
      </w:r>
      <w:r w:rsidRPr="005D5A21">
        <w:rPr>
          <w:rStyle w:val="Guidance"/>
        </w:rPr>
        <w:t>detailed output performance delivery information, in particular:</w:t>
      </w:r>
    </w:p>
    <w:p w14:paraId="0A4BBA54" w14:textId="355C9731" w:rsidR="000966E8" w:rsidRPr="005D5A21" w:rsidRDefault="000966E8" w:rsidP="003F7856">
      <w:pPr>
        <w:pStyle w:val="ListBullet"/>
        <w:rPr>
          <w:rStyle w:val="Guidance"/>
        </w:rPr>
      </w:pPr>
      <w:r w:rsidRPr="005D5A21">
        <w:rPr>
          <w:rStyle w:val="Guidance"/>
        </w:rPr>
        <w:t xml:space="preserve">the actual result on an </w:t>
      </w:r>
      <w:r w:rsidR="000A61C4" w:rsidRPr="005D5A21">
        <w:rPr>
          <w:rStyle w:val="Guidance"/>
        </w:rPr>
        <w:t>output-by-output</w:t>
      </w:r>
      <w:r w:rsidRPr="005D5A21">
        <w:rPr>
          <w:rStyle w:val="Guidance"/>
        </w:rPr>
        <w:t xml:space="preserve"> basis against the budget target (as per BP3) and the actual result for each quantity, quality, timeliness, and cost performance measure. The output performance measures should be presented as published in the department’s performance statements in BP3</w:t>
      </w:r>
      <w:r w:rsidR="008F66BE">
        <w:rPr>
          <w:rStyle w:val="Guidance"/>
        </w:rPr>
        <w:t>.</w:t>
      </w:r>
    </w:p>
    <w:p w14:paraId="1637DB18" w14:textId="78627906" w:rsidR="000966E8" w:rsidRPr="005D5A21" w:rsidRDefault="000966E8" w:rsidP="003F7856">
      <w:pPr>
        <w:pStyle w:val="ListBullet"/>
        <w:rPr>
          <w:rStyle w:val="Guidance"/>
        </w:rPr>
      </w:pPr>
      <w:r w:rsidRPr="005D5A21">
        <w:rPr>
          <w:rStyle w:val="Guidance"/>
        </w:rPr>
        <w:t>appropriate commentary for any complex output performance measures to assist readers to understand the measure and its purpose</w:t>
      </w:r>
      <w:r w:rsidR="00503F8A">
        <w:rPr>
          <w:rStyle w:val="Guidance"/>
        </w:rPr>
        <w:t>.</w:t>
      </w:r>
      <w:r w:rsidRPr="005D5A21">
        <w:rPr>
          <w:rStyle w:val="Guidance"/>
        </w:rPr>
        <w:t xml:space="preserve"> </w:t>
      </w:r>
    </w:p>
    <w:p w14:paraId="77DCF27E" w14:textId="7C7CA6AC" w:rsidR="000966E8" w:rsidRDefault="000966E8" w:rsidP="003F7856">
      <w:pPr>
        <w:pStyle w:val="ListBullet"/>
        <w:rPr>
          <w:rStyle w:val="Guidance"/>
        </w:rPr>
      </w:pPr>
      <w:r w:rsidRPr="005D5A21">
        <w:rPr>
          <w:rStyle w:val="Guidance"/>
        </w:rPr>
        <w:t xml:space="preserve">appropriate commentary to explain the cause of all significant or material variances (both positive and negative) between the BP3 targets and actual results (including output costs). The commentary provided should be sufficient to assist the reader in understanding variances between actual and targeted </w:t>
      </w:r>
      <w:r w:rsidR="00D920BE" w:rsidRPr="005D5A21">
        <w:rPr>
          <w:rStyle w:val="Guidance"/>
        </w:rPr>
        <w:t>results.</w:t>
      </w:r>
    </w:p>
    <w:p w14:paraId="20870905" w14:textId="16682B4E" w:rsidR="009E115F" w:rsidRPr="00722DD2" w:rsidRDefault="009E115F" w:rsidP="009E115F">
      <w:pPr>
        <w:pStyle w:val="ListBullet"/>
        <w:rPr>
          <w:rStyle w:val="Guidance"/>
        </w:rPr>
      </w:pPr>
      <w:r w:rsidRPr="00722DD2">
        <w:rPr>
          <w:rStyle w:val="Guidance"/>
        </w:rPr>
        <w:t xml:space="preserve">explanation of any </w:t>
      </w:r>
      <w:r w:rsidR="001108F3">
        <w:rPr>
          <w:rStyle w:val="Guidance"/>
        </w:rPr>
        <w:t xml:space="preserve">material </w:t>
      </w:r>
      <w:r w:rsidRPr="00722DD2">
        <w:rPr>
          <w:rStyle w:val="Guidance"/>
        </w:rPr>
        <w:t>funding underspend and subsequent impact on the delivery of services, including expected delays on rollout of benefits</w:t>
      </w:r>
    </w:p>
    <w:p w14:paraId="724FD69D" w14:textId="5685E28A" w:rsidR="000966E8" w:rsidRPr="005D5A21" w:rsidRDefault="000966E8" w:rsidP="003F7856">
      <w:pPr>
        <w:pStyle w:val="ListBullet"/>
        <w:rPr>
          <w:rStyle w:val="Guidance"/>
        </w:rPr>
      </w:pPr>
      <w:r w:rsidRPr="005D5A21">
        <w:rPr>
          <w:rStyle w:val="Guidance"/>
        </w:rPr>
        <w:t>explanation of any changes to the output structure that have occurred during the financial year, such as changes arising from machinery of government administrative changes and any other changes (i.e. new outputs created due to a government policy decision, change in output name from the previous financial year, consolidation or disaggregation of outputs from the previous financial year).</w:t>
      </w:r>
    </w:p>
    <w:p w14:paraId="7BE93533" w14:textId="77777777" w:rsidR="000966E8" w:rsidRPr="005D5A21" w:rsidRDefault="000966E8" w:rsidP="000966E8">
      <w:pPr>
        <w:rPr>
          <w:rStyle w:val="Guidance"/>
        </w:rPr>
      </w:pPr>
      <w:r w:rsidRPr="005D5A21">
        <w:rPr>
          <w:rStyle w:val="Guidance"/>
        </w:rPr>
        <w:t>The details may be shown in tabular form with some commentary on those targets that were met or exceeded, and an explanation of any targets not met, as noted below.</w:t>
      </w:r>
    </w:p>
    <w:p w14:paraId="3CAAE295" w14:textId="77777777" w:rsidR="000966E8" w:rsidRPr="005D5A21" w:rsidRDefault="000966E8" w:rsidP="000966E8">
      <w:pPr>
        <w:pStyle w:val="GuidanceHeading"/>
        <w:rPr>
          <w:rStyle w:val="Guidance"/>
        </w:rPr>
      </w:pPr>
      <w:r w:rsidRPr="005D5A21">
        <w:rPr>
          <w:rStyle w:val="Guidance"/>
        </w:rPr>
        <w:t>Significant or material variances in output performance reporting</w:t>
      </w:r>
    </w:p>
    <w:p w14:paraId="02C34E1E" w14:textId="77777777" w:rsidR="000966E8" w:rsidRPr="005D5A21" w:rsidRDefault="000966E8" w:rsidP="000966E8">
      <w:pPr>
        <w:rPr>
          <w:rStyle w:val="Guidance"/>
          <w:b/>
          <w:bCs/>
        </w:rPr>
      </w:pPr>
      <w:r w:rsidRPr="005D5A21">
        <w:rPr>
          <w:rStyle w:val="Guidance"/>
          <w:b/>
          <w:bCs/>
        </w:rPr>
        <w:t>General criteria in determining a significant variation of output performance</w:t>
      </w:r>
    </w:p>
    <w:p w14:paraId="2740C2E9" w14:textId="6BDFFAFF" w:rsidR="00500206" w:rsidRPr="005D5A21" w:rsidRDefault="00500206" w:rsidP="000966E8">
      <w:pPr>
        <w:rPr>
          <w:rStyle w:val="Reference"/>
        </w:rPr>
      </w:pPr>
      <w:r w:rsidRPr="20EC4723">
        <w:rPr>
          <w:rStyle w:val="Reference"/>
        </w:rPr>
        <w:t xml:space="preserve">[Recommendation 38, PAEC </w:t>
      </w:r>
      <w:r w:rsidR="6E7A32BB" w:rsidRPr="20EC4723">
        <w:rPr>
          <w:rStyle w:val="Reference"/>
        </w:rPr>
        <w:t>Review of the Performance Measurement and Reporting System</w:t>
      </w:r>
      <w:r w:rsidR="00D12538">
        <w:rPr>
          <w:rStyle w:val="Reference"/>
        </w:rPr>
        <w:t>/</w:t>
      </w:r>
      <w:r w:rsidRPr="20EC4723">
        <w:rPr>
          <w:rStyle w:val="Reference"/>
        </w:rPr>
        <w:t>Recommendation 11, PAEC Report on the 2015-16 Financial and Performance Outcomes]</w:t>
      </w:r>
    </w:p>
    <w:p w14:paraId="74112B12" w14:textId="71046FB4" w:rsidR="000966E8" w:rsidRPr="005D5A21" w:rsidRDefault="000966E8" w:rsidP="000966E8">
      <w:pPr>
        <w:rPr>
          <w:rStyle w:val="Guidance"/>
        </w:rPr>
      </w:pPr>
      <w:r w:rsidRPr="005D5A21">
        <w:rPr>
          <w:rStyle w:val="Guidance"/>
        </w:rPr>
        <w:t>The following criteria are intended as general guidance for departments in determining whether or not to provide commentary to explain variances between budget and actual results:</w:t>
      </w:r>
    </w:p>
    <w:p w14:paraId="51AE4CB8" w14:textId="7864F092" w:rsidR="000966E8" w:rsidRPr="005D5A21" w:rsidRDefault="000966E8" w:rsidP="00310F12">
      <w:pPr>
        <w:pStyle w:val="ListBullet"/>
        <w:rPr>
          <w:rStyle w:val="Guidance"/>
        </w:rPr>
      </w:pPr>
      <w:r w:rsidRPr="005D5A21">
        <w:rPr>
          <w:rStyle w:val="Guidance"/>
        </w:rPr>
        <w:t>greater than 5 per cent (as opposed to 5 percentage points) increase or decrease from budget</w:t>
      </w:r>
      <w:r w:rsidR="00B750EC">
        <w:rPr>
          <w:rStyle w:val="Guidance"/>
        </w:rPr>
        <w:t xml:space="preserve">. </w:t>
      </w:r>
      <w:r w:rsidRPr="005D5A21">
        <w:rPr>
          <w:rStyle w:val="Guidance"/>
        </w:rPr>
        <w:t xml:space="preserve">A percentage point is the unit for the arithmetic difference of two percentages </w:t>
      </w:r>
      <w:r w:rsidR="000A61C4" w:rsidRPr="005D5A21">
        <w:rPr>
          <w:rStyle w:val="Guidance"/>
        </w:rPr>
        <w:t>e.g.</w:t>
      </w:r>
      <w:r w:rsidRPr="005D5A21">
        <w:rPr>
          <w:rStyle w:val="Guidance"/>
        </w:rPr>
        <w:t xml:space="preserve"> moving from 80 per cent to 84 per cent is a 4</w:t>
      </w:r>
      <w:r w:rsidR="005D5A21">
        <w:rPr>
          <w:rStyle w:val="Guidance"/>
        </w:rPr>
        <w:t> </w:t>
      </w:r>
      <w:r w:rsidRPr="005D5A21">
        <w:rPr>
          <w:rStyle w:val="Guidance"/>
        </w:rPr>
        <w:t>percentage point increase not a 4 per cent increase. This means if the target is 80 per cent and the expected outcome is 84 per cent, the variance is 5 per cent. In the case of a cost performance measure, a variance of greater than a $50 million increase or decrease from budget requires an explanation</w:t>
      </w:r>
      <w:r w:rsidR="007F11D5">
        <w:rPr>
          <w:rStyle w:val="Guidance"/>
        </w:rPr>
        <w:t>.</w:t>
      </w:r>
    </w:p>
    <w:p w14:paraId="26C2205D" w14:textId="2FB3C4BB" w:rsidR="000966E8" w:rsidRPr="005D5A21" w:rsidRDefault="000966E8" w:rsidP="00310F12">
      <w:pPr>
        <w:pStyle w:val="ListBullet"/>
        <w:rPr>
          <w:rStyle w:val="Guidance"/>
        </w:rPr>
      </w:pPr>
      <w:r w:rsidRPr="005D5A21">
        <w:rPr>
          <w:rStyle w:val="Guidance"/>
        </w:rPr>
        <w:t xml:space="preserve">an explanation for the variance that arises from the implementation of new policy or existing policy, government decisions or </w:t>
      </w:r>
      <w:r w:rsidR="00D920BE" w:rsidRPr="005D5A21">
        <w:rPr>
          <w:rStyle w:val="Guidance"/>
        </w:rPr>
        <w:t>actions.</w:t>
      </w:r>
    </w:p>
    <w:p w14:paraId="00604A62" w14:textId="757DA629" w:rsidR="000966E8" w:rsidRPr="005D5A21" w:rsidRDefault="000966E8" w:rsidP="00310F12">
      <w:pPr>
        <w:pStyle w:val="ListBullet"/>
        <w:rPr>
          <w:rStyle w:val="Guidance"/>
        </w:rPr>
      </w:pPr>
      <w:r w:rsidRPr="005D5A21">
        <w:rPr>
          <w:rStyle w:val="Guidance"/>
        </w:rPr>
        <w:t>an explanation for the variance should identify whether the factor that caused the variation was internal (a factor within the government) or external (a factor outside the government)</w:t>
      </w:r>
      <w:r w:rsidR="00325EF6">
        <w:rPr>
          <w:rStyle w:val="Guidance"/>
        </w:rPr>
        <w:t>.</w:t>
      </w:r>
      <w:r w:rsidRPr="005D5A21">
        <w:rPr>
          <w:rStyle w:val="Guidance"/>
        </w:rPr>
        <w:t xml:space="preserve"> </w:t>
      </w:r>
    </w:p>
    <w:p w14:paraId="13B34448" w14:textId="71807CB0" w:rsidR="002E3231" w:rsidRPr="00C55DBE" w:rsidRDefault="000966E8" w:rsidP="00310F12">
      <w:pPr>
        <w:pStyle w:val="ListBullet"/>
        <w:rPr>
          <w:rStyle w:val="Guidance"/>
        </w:rPr>
      </w:pPr>
      <w:r w:rsidRPr="005D5A21">
        <w:rPr>
          <w:rStyle w:val="Guidance"/>
        </w:rPr>
        <w:t>an explanation for the variance that may be of public interest.</w:t>
      </w:r>
    </w:p>
    <w:p w14:paraId="3F80D9E0" w14:textId="77777777" w:rsidR="008C46F5" w:rsidRDefault="008C46F5">
      <w:pPr>
        <w:keepLines w:val="0"/>
        <w:rPr>
          <w:rStyle w:val="Guidance"/>
          <w:b/>
          <w:bCs/>
        </w:rPr>
      </w:pPr>
      <w:r>
        <w:rPr>
          <w:rStyle w:val="Guidance"/>
          <w:b/>
          <w:bCs/>
        </w:rPr>
        <w:br w:type="page"/>
      </w:r>
    </w:p>
    <w:p w14:paraId="69DA1C17" w14:textId="53E6275C" w:rsidR="005D5A21" w:rsidRPr="005D5A21" w:rsidRDefault="005D5A21" w:rsidP="00B24602">
      <w:pPr>
        <w:keepNext/>
        <w:rPr>
          <w:rStyle w:val="Guidance"/>
          <w:b/>
          <w:bCs/>
        </w:rPr>
      </w:pPr>
      <w:r w:rsidRPr="005D5A21">
        <w:rPr>
          <w:rStyle w:val="Guidance"/>
          <w:b/>
          <w:bCs/>
        </w:rPr>
        <w:lastRenderedPageBreak/>
        <w:t>Specific criteria in determining a significant target variance</w:t>
      </w:r>
    </w:p>
    <w:p w14:paraId="623097C0" w14:textId="77777777" w:rsidR="004A6DD4" w:rsidRDefault="005D5A21" w:rsidP="004A6DD4">
      <w:pPr>
        <w:pStyle w:val="ListBullet"/>
        <w:rPr>
          <w:rStyle w:val="Guidance"/>
        </w:rPr>
      </w:pPr>
      <w:r w:rsidRPr="20EC4723">
        <w:rPr>
          <w:rStyle w:val="Guidance"/>
        </w:rPr>
        <w:t xml:space="preserve">For a target that is a range, a significant variance is one that falls outside the target range by 5 per cent below the lower band and 5 per cent above the higher band. </w:t>
      </w:r>
    </w:p>
    <w:p w14:paraId="7093150A" w14:textId="196E2313" w:rsidR="004A6DD4" w:rsidRPr="005D5A21" w:rsidRDefault="005D5A21" w:rsidP="004A6DD4">
      <w:pPr>
        <w:pStyle w:val="ListContinue"/>
        <w:ind w:left="360" w:hanging="360"/>
        <w:rPr>
          <w:rStyle w:val="Reference"/>
        </w:rPr>
      </w:pPr>
      <w:r w:rsidRPr="20EC4723">
        <w:rPr>
          <w:rStyle w:val="Reference"/>
        </w:rPr>
        <w:t xml:space="preserve">[Recommendation 27, PAEC </w:t>
      </w:r>
      <w:r w:rsidR="507E16A0" w:rsidRPr="20EC4723">
        <w:rPr>
          <w:rStyle w:val="Reference"/>
        </w:rPr>
        <w:t>Report on the 2009-10 and 2010-11 Financial and Performance Outcomes</w:t>
      </w:r>
      <w:r w:rsidRPr="20EC4723">
        <w:rPr>
          <w:rStyle w:val="Reference"/>
        </w:rPr>
        <w:t>]</w:t>
      </w:r>
    </w:p>
    <w:p w14:paraId="64F14847" w14:textId="769A1159" w:rsidR="005D5A21" w:rsidRPr="005D5A21" w:rsidRDefault="005D5A21" w:rsidP="003F7856">
      <w:pPr>
        <w:pStyle w:val="ListBullet"/>
        <w:rPr>
          <w:rStyle w:val="Guidance"/>
        </w:rPr>
      </w:pPr>
      <w:r w:rsidRPr="005D5A21">
        <w:rPr>
          <w:rStyle w:val="Guidance"/>
        </w:rPr>
        <w:t>For the target that is a date:</w:t>
      </w:r>
    </w:p>
    <w:p w14:paraId="176EC39B" w14:textId="2CE156D4" w:rsidR="005D5A21" w:rsidRPr="005D5A21" w:rsidRDefault="005D5A21" w:rsidP="00052D9B">
      <w:pPr>
        <w:pStyle w:val="ListBullet2"/>
        <w:numPr>
          <w:ilvl w:val="0"/>
          <w:numId w:val="32"/>
        </w:numPr>
        <w:rPr>
          <w:rStyle w:val="Guidance"/>
        </w:rPr>
      </w:pPr>
      <w:r w:rsidRPr="005D5A21">
        <w:rPr>
          <w:rStyle w:val="Guidance"/>
        </w:rPr>
        <w:t xml:space="preserve">if the target reflects a statutory requirement, any variance later than the target is </w:t>
      </w:r>
      <w:r w:rsidR="00D920BE" w:rsidRPr="005D5A21">
        <w:rPr>
          <w:rStyle w:val="Guidance"/>
        </w:rPr>
        <w:t>significant</w:t>
      </w:r>
    </w:p>
    <w:p w14:paraId="0F52D5CC" w14:textId="4205833F" w:rsidR="005D5A21" w:rsidRPr="005D5A21" w:rsidRDefault="005D5A21" w:rsidP="00052D9B">
      <w:pPr>
        <w:pStyle w:val="ListBullet2"/>
        <w:numPr>
          <w:ilvl w:val="0"/>
          <w:numId w:val="32"/>
        </w:numPr>
        <w:rPr>
          <w:rStyle w:val="Guidance"/>
        </w:rPr>
      </w:pPr>
      <w:r w:rsidRPr="005D5A21">
        <w:rPr>
          <w:rStyle w:val="Guidance"/>
        </w:rPr>
        <w:t>if the target is a quarter (e.g. quarter four), anything that falls outside the target is a significant target variance.</w:t>
      </w:r>
    </w:p>
    <w:p w14:paraId="40FE496B" w14:textId="09273C1E" w:rsidR="005D5A21" w:rsidRPr="005D5A21" w:rsidRDefault="005D5A21" w:rsidP="004A6DD4">
      <w:pPr>
        <w:pStyle w:val="ListContinue"/>
        <w:ind w:left="360" w:hanging="360"/>
        <w:rPr>
          <w:rStyle w:val="Reference"/>
        </w:rPr>
      </w:pPr>
      <w:r w:rsidRPr="20EC4723">
        <w:rPr>
          <w:rStyle w:val="Reference"/>
        </w:rPr>
        <w:t xml:space="preserve">[Recommendation 32, PAEC </w:t>
      </w:r>
      <w:r w:rsidR="7417841F" w:rsidRPr="20EC4723">
        <w:rPr>
          <w:rStyle w:val="Reference"/>
        </w:rPr>
        <w:t>Report on the 2009-10 and 2010-11 Financial and Performance Outcomes</w:t>
      </w:r>
      <w:r w:rsidRPr="20EC4723">
        <w:rPr>
          <w:rStyle w:val="Reference"/>
        </w:rPr>
        <w:t>]</w:t>
      </w:r>
    </w:p>
    <w:p w14:paraId="008058E0" w14:textId="5871EB86" w:rsidR="005D5A21" w:rsidRPr="005D5A21" w:rsidRDefault="005D5A21" w:rsidP="003F7856">
      <w:pPr>
        <w:pStyle w:val="ListBullet"/>
        <w:rPr>
          <w:rStyle w:val="Guidance"/>
        </w:rPr>
      </w:pPr>
      <w:r w:rsidRPr="005D5A21">
        <w:rPr>
          <w:rStyle w:val="Guidance"/>
        </w:rPr>
        <w:t>Departments are expected to adopt a system that incorporates the use of symbols to indicate whether:</w:t>
      </w:r>
    </w:p>
    <w:p w14:paraId="56DE398E" w14:textId="7D43E35B" w:rsidR="005D5A21" w:rsidRPr="005D5A21" w:rsidRDefault="005D5A21" w:rsidP="00052D9B">
      <w:pPr>
        <w:pStyle w:val="ListBullet2"/>
        <w:numPr>
          <w:ilvl w:val="0"/>
          <w:numId w:val="33"/>
        </w:numPr>
        <w:rPr>
          <w:rStyle w:val="Guidance"/>
        </w:rPr>
      </w:pPr>
      <w:r w:rsidRPr="005D5A21">
        <w:rPr>
          <w:rStyle w:val="Guidance"/>
        </w:rPr>
        <w:t xml:space="preserve">the target was achieved or exceeded in a desirable </w:t>
      </w:r>
      <w:r w:rsidR="00D920BE" w:rsidRPr="005D5A21">
        <w:rPr>
          <w:rStyle w:val="Guidance"/>
        </w:rPr>
        <w:t>way</w:t>
      </w:r>
    </w:p>
    <w:p w14:paraId="2652CE90" w14:textId="1E7E83D3" w:rsidR="005D5A21" w:rsidRPr="005D5A21" w:rsidRDefault="005D5A21" w:rsidP="00052D9B">
      <w:pPr>
        <w:pStyle w:val="ListBullet2"/>
        <w:numPr>
          <w:ilvl w:val="0"/>
          <w:numId w:val="33"/>
        </w:numPr>
        <w:rPr>
          <w:rStyle w:val="Guidance"/>
        </w:rPr>
      </w:pPr>
      <w:r w:rsidRPr="005D5A21">
        <w:rPr>
          <w:rStyle w:val="Guidance"/>
        </w:rPr>
        <w:t xml:space="preserve">the actual result varied from the target in an undesirable direction but by less than 5 per </w:t>
      </w:r>
      <w:r w:rsidR="00D920BE" w:rsidRPr="005D5A21">
        <w:rPr>
          <w:rStyle w:val="Guidance"/>
        </w:rPr>
        <w:t>cent</w:t>
      </w:r>
    </w:p>
    <w:p w14:paraId="51CB1E50" w14:textId="7206B8C7" w:rsidR="005D5A21" w:rsidRPr="005D5A21" w:rsidRDefault="005D5A21" w:rsidP="00052D9B">
      <w:pPr>
        <w:pStyle w:val="ListBullet2"/>
        <w:numPr>
          <w:ilvl w:val="0"/>
          <w:numId w:val="33"/>
        </w:numPr>
        <w:rPr>
          <w:rStyle w:val="Guidance"/>
        </w:rPr>
      </w:pPr>
      <w:r w:rsidRPr="005D5A21">
        <w:rPr>
          <w:rStyle w:val="Guidance"/>
        </w:rPr>
        <w:t>the actual result varied from the target in an undesirable direction by more than 5 per cent.</w:t>
      </w:r>
    </w:p>
    <w:p w14:paraId="241E438A" w14:textId="73D434BC" w:rsidR="005D5A21" w:rsidRPr="005D5A21" w:rsidRDefault="005D5A21" w:rsidP="004A6DD4">
      <w:pPr>
        <w:pStyle w:val="ListContinue"/>
        <w:ind w:left="360" w:hanging="360"/>
        <w:rPr>
          <w:rStyle w:val="Reference"/>
        </w:rPr>
      </w:pPr>
      <w:r w:rsidRPr="20EC4723">
        <w:rPr>
          <w:rStyle w:val="Reference"/>
        </w:rPr>
        <w:t>[Recommendation 19, PAEC</w:t>
      </w:r>
      <w:r w:rsidR="64A56008" w:rsidRPr="20EC4723">
        <w:rPr>
          <w:rStyle w:val="Reference"/>
        </w:rPr>
        <w:t xml:space="preserve"> Review of the Performance Measurement and Reporting System</w:t>
      </w:r>
      <w:r w:rsidRPr="20EC4723">
        <w:rPr>
          <w:rStyle w:val="Reference"/>
        </w:rPr>
        <w:t>]</w:t>
      </w:r>
    </w:p>
    <w:p w14:paraId="7856BF25" w14:textId="78AEBEB6" w:rsidR="005D5A21" w:rsidRPr="00BA3619" w:rsidRDefault="005D5A21" w:rsidP="003F7856">
      <w:pPr>
        <w:pStyle w:val="ListBullet"/>
        <w:rPr>
          <w:rStyle w:val="Guidance"/>
        </w:rPr>
      </w:pPr>
      <w:r w:rsidRPr="00BA3619">
        <w:rPr>
          <w:rStyle w:val="Guidance"/>
        </w:rPr>
        <w:t>The illustrations above used the following symbols as an example to indicate the type of variance:</w:t>
      </w:r>
    </w:p>
    <w:p w14:paraId="32EFF7B6" w14:textId="4C0EDAC8" w:rsidR="005D5A21" w:rsidRPr="005D5A21" w:rsidRDefault="005D5A21" w:rsidP="004A6DD4">
      <w:pPr>
        <w:pStyle w:val="ListContinue"/>
        <w:tabs>
          <w:tab w:val="clear" w:pos="1133"/>
          <w:tab w:val="num" w:pos="709"/>
        </w:tabs>
        <w:ind w:left="360" w:hanging="360"/>
        <w:rPr>
          <w:rStyle w:val="Guidance"/>
        </w:rPr>
      </w:pPr>
      <w:r w:rsidRPr="008D3C8C">
        <w:rPr>
          <w:rStyle w:val="Guidance"/>
          <w:rFonts w:ascii="Wingdings" w:eastAsia="Wingdings" w:hAnsi="Wingdings" w:cs="Wingdings"/>
        </w:rPr>
        <w:t>ü</w:t>
      </w:r>
      <w:r w:rsidRPr="005D5A21">
        <w:rPr>
          <w:rStyle w:val="Guidance"/>
        </w:rPr>
        <w:t xml:space="preserve"> </w:t>
      </w:r>
      <w:r w:rsidRPr="005D5A21">
        <w:rPr>
          <w:rStyle w:val="Guidance"/>
        </w:rPr>
        <w:tab/>
        <w:t xml:space="preserve">performance target achieved </w:t>
      </w:r>
      <w:r w:rsidR="00005904">
        <w:rPr>
          <w:rStyle w:val="Guidance"/>
        </w:rPr>
        <w:t xml:space="preserve">or exceeded </w:t>
      </w:r>
      <w:r w:rsidRPr="005D5A21">
        <w:rPr>
          <w:rStyle w:val="Guidance"/>
        </w:rPr>
        <w:t>– both within 5 per cent variance and exceeds 5 per cent variance</w:t>
      </w:r>
    </w:p>
    <w:p w14:paraId="3AFED1F7" w14:textId="2CDCACFF" w:rsidR="005D5A21" w:rsidRPr="005D5A21" w:rsidRDefault="005D5A21" w:rsidP="004A6DD4">
      <w:pPr>
        <w:pStyle w:val="ListContinue"/>
        <w:tabs>
          <w:tab w:val="clear" w:pos="1133"/>
          <w:tab w:val="num" w:pos="709"/>
        </w:tabs>
        <w:ind w:left="360" w:hanging="360"/>
        <w:rPr>
          <w:rStyle w:val="Guidance"/>
        </w:rPr>
      </w:pPr>
      <w:r w:rsidRPr="008D3C8C">
        <w:rPr>
          <w:rStyle w:val="Guidance"/>
          <w:rFonts w:ascii="Wingdings" w:eastAsia="Wingdings" w:hAnsi="Wingdings" w:cs="Wingdings"/>
        </w:rPr>
        <w:t>¡</w:t>
      </w:r>
      <w:r w:rsidRPr="005D5A21">
        <w:rPr>
          <w:rStyle w:val="Guidance"/>
        </w:rPr>
        <w:t xml:space="preserve"> </w:t>
      </w:r>
      <w:r w:rsidRPr="005D5A21">
        <w:rPr>
          <w:rStyle w:val="Guidance"/>
        </w:rPr>
        <w:tab/>
        <w:t xml:space="preserve">performance target not achieved – </w:t>
      </w:r>
      <w:r w:rsidR="00005904">
        <w:rPr>
          <w:rStyle w:val="Guidance"/>
        </w:rPr>
        <w:t>by less than</w:t>
      </w:r>
      <w:r w:rsidR="00005904" w:rsidRPr="005D5A21">
        <w:rPr>
          <w:rStyle w:val="Guidance"/>
        </w:rPr>
        <w:t xml:space="preserve"> </w:t>
      </w:r>
      <w:r w:rsidRPr="005D5A21">
        <w:rPr>
          <w:rStyle w:val="Guidance"/>
        </w:rPr>
        <w:t>5 per cent variance</w:t>
      </w:r>
    </w:p>
    <w:p w14:paraId="5CC9CA32" w14:textId="4FA271C2" w:rsidR="005D5A21" w:rsidRPr="005D5A21" w:rsidRDefault="005D5A21" w:rsidP="004A6DD4">
      <w:pPr>
        <w:pStyle w:val="ListContinue"/>
        <w:tabs>
          <w:tab w:val="clear" w:pos="1133"/>
          <w:tab w:val="num" w:pos="709"/>
        </w:tabs>
        <w:ind w:left="360" w:hanging="360"/>
        <w:rPr>
          <w:rStyle w:val="Guidance"/>
        </w:rPr>
      </w:pPr>
      <w:r w:rsidRPr="00F64C67">
        <w:rPr>
          <w:rFonts w:ascii="Wingdings" w:eastAsia="Wingdings" w:hAnsi="Wingdings" w:cs="Wingdings"/>
          <w:color w:val="4472C4" w:themeColor="accent1"/>
        </w:rPr>
        <w:t>n</w:t>
      </w:r>
      <w:r w:rsidRPr="005D5A21">
        <w:rPr>
          <w:rStyle w:val="Guidance"/>
        </w:rPr>
        <w:t xml:space="preserve"> </w:t>
      </w:r>
      <w:r w:rsidRPr="005D5A21">
        <w:rPr>
          <w:rStyle w:val="Guidance"/>
        </w:rPr>
        <w:tab/>
        <w:t xml:space="preserve">performance target not achieved – </w:t>
      </w:r>
      <w:r w:rsidR="00005904">
        <w:rPr>
          <w:rStyle w:val="Guidance"/>
        </w:rPr>
        <w:t>by more than</w:t>
      </w:r>
      <w:r w:rsidR="00005904" w:rsidRPr="005D5A21">
        <w:rPr>
          <w:rStyle w:val="Guidance"/>
        </w:rPr>
        <w:t xml:space="preserve"> </w:t>
      </w:r>
      <w:r w:rsidRPr="005D5A21">
        <w:rPr>
          <w:rStyle w:val="Guidance"/>
        </w:rPr>
        <w:t>5 per cent variance.</w:t>
      </w:r>
    </w:p>
    <w:p w14:paraId="445EB55C" w14:textId="77777777" w:rsidR="005D5A21" w:rsidRPr="005D5A21" w:rsidRDefault="005D5A21" w:rsidP="005D5A21">
      <w:pPr>
        <w:pStyle w:val="GuidanceHeading"/>
        <w:rPr>
          <w:rStyle w:val="Guidance"/>
        </w:rPr>
      </w:pPr>
      <w:r w:rsidRPr="005D5A21">
        <w:rPr>
          <w:rStyle w:val="Guidance"/>
        </w:rPr>
        <w:t>Presentation of output reporting</w:t>
      </w:r>
    </w:p>
    <w:p w14:paraId="0060520F" w14:textId="77777777" w:rsidR="005D5A21" w:rsidRPr="005D5A21" w:rsidRDefault="005D5A21" w:rsidP="005D5A21">
      <w:pPr>
        <w:rPr>
          <w:rStyle w:val="Guidance"/>
        </w:rPr>
      </w:pPr>
      <w:r w:rsidRPr="005D5A21">
        <w:rPr>
          <w:rStyle w:val="Guidance"/>
        </w:rPr>
        <w:t xml:space="preserve">Departments are expected to present their output performance results in the same format as the departmental performance statements contained in BP3 </w:t>
      </w:r>
      <w:r w:rsidRPr="005D5A21">
        <w:rPr>
          <w:rStyle w:val="Guidance"/>
          <w:i/>
          <w:iCs/>
        </w:rPr>
        <w:t>Service Delivery</w:t>
      </w:r>
      <w:r w:rsidRPr="005D5A21">
        <w:rPr>
          <w:rStyle w:val="Guidance"/>
        </w:rPr>
        <w:t>, Chapter 2. The format involves stating the reasons for significant variances for each category (i.e. quantity, quality, timeliness and total output cost) within the output performance tables.</w:t>
      </w:r>
    </w:p>
    <w:p w14:paraId="6C407158" w14:textId="4EADEF50" w:rsidR="00496452" w:rsidRPr="005D5A21" w:rsidRDefault="005D5A21" w:rsidP="00496452">
      <w:pPr>
        <w:rPr>
          <w:rStyle w:val="Guidance"/>
        </w:rPr>
      </w:pPr>
      <w:r w:rsidRPr="005D5A21">
        <w:rPr>
          <w:rStyle w:val="Guidance"/>
        </w:rPr>
        <w:t>Departments are encouraged to describe their progress and/or achievement of the key programs/project/activities and deliverables associated with the outputs and the impact on departmental objectives.</w:t>
      </w:r>
    </w:p>
    <w:p w14:paraId="7F4921BE" w14:textId="77777777" w:rsidR="00496452" w:rsidRDefault="00496452" w:rsidP="00496452">
      <w:pPr>
        <w:pStyle w:val="GuidanceEnd"/>
      </w:pPr>
    </w:p>
    <w:bookmarkEnd w:id="100"/>
    <w:bookmarkEnd w:id="105"/>
    <w:p w14:paraId="234A3E35" w14:textId="77777777" w:rsidR="00496452" w:rsidRDefault="00496452" w:rsidP="00496452">
      <w:pPr>
        <w:pStyle w:val="Heading3"/>
      </w:pPr>
      <w:r>
        <w:t>Discontinued operation</w:t>
      </w:r>
    </w:p>
    <w:p w14:paraId="72414267" w14:textId="704070BA" w:rsidR="00496452" w:rsidRDefault="00496452" w:rsidP="00496452">
      <w:r>
        <w:t xml:space="preserve">On 28 March </w:t>
      </w:r>
      <w:fldSimple w:instr="DOCPROPERTY  YearCurrent  \* MERGEFORMAT">
        <w:r w:rsidR="00A545BA">
          <w:t>20X2</w:t>
        </w:r>
      </w:fldSimple>
      <w:r>
        <w:t xml:space="preserve">, the Minister for the portfolio, the Hon. John Bristol MP, approved and announced a detailed formal plan to discontinue the activities of the Technology and Communication Office under the Strategic Policy Advice output. The discontinuation of the Technology and Communication Office’s activities is consistent with the Department’s </w:t>
      </w:r>
      <w:r w:rsidR="00774A9E">
        <w:t> </w:t>
      </w:r>
      <w:r w:rsidR="00774A9E">
        <w:br/>
      </w:r>
      <w:r>
        <w:t xml:space="preserve">long-term policy to promote the adoption of new technology and monitor its appropriate use. The departmental objective indicator </w:t>
      </w:r>
      <w:r w:rsidRPr="000966E8">
        <w:rPr>
          <w:rStyle w:val="Guidance"/>
        </w:rPr>
        <w:t>[insert objective indicator(s) the discontinued activities contributed to]</w:t>
      </w:r>
      <w:r>
        <w:t xml:space="preserve"> will be </w:t>
      </w:r>
      <w:r w:rsidRPr="000966E8">
        <w:rPr>
          <w:rStyle w:val="Guidance"/>
        </w:rPr>
        <w:t>[removed/adjusted]</w:t>
      </w:r>
      <w:r>
        <w:t xml:space="preserve"> as a result of this decision. The discontinuation was completed by 30 June </w:t>
      </w:r>
      <w:fldSimple w:instr="DOCPROPERTY  YearCurrent  \* MERGEFORMAT">
        <w:r w:rsidR="00A545BA">
          <w:t>20X2</w:t>
        </w:r>
      </w:fldSimple>
      <w:r>
        <w:t>.</w:t>
      </w:r>
    </w:p>
    <w:p w14:paraId="120A16DE" w14:textId="3499E81A" w:rsidR="00496452" w:rsidRDefault="00496452" w:rsidP="00496452">
      <w:pPr>
        <w:pStyle w:val="GuidanceBlockHeading"/>
      </w:pPr>
      <w:r>
        <w:t>Guidance – Discontinued output performance measures</w:t>
      </w:r>
      <w:r w:rsidR="00696853">
        <w:t xml:space="preserve"> </w:t>
      </w:r>
      <w:r w:rsidR="00696853" w:rsidRPr="006D2835">
        <w:t>[REVISED]</w:t>
      </w:r>
    </w:p>
    <w:p w14:paraId="4C2C7603" w14:textId="77777777" w:rsidR="005D5A21" w:rsidRPr="005D5A21" w:rsidRDefault="005D5A21" w:rsidP="005D5A21">
      <w:pPr>
        <w:rPr>
          <w:rStyle w:val="Guidance"/>
        </w:rPr>
      </w:pPr>
      <w:r w:rsidRPr="5058F6AD">
        <w:rPr>
          <w:rStyle w:val="Guidance"/>
        </w:rPr>
        <w:t>Departments do not need to report on any PAEC approved discontinued measures. The report of operations should disclose that these output performance measures have been discontinued with PAEC’s approval. Reporting of actuals against targets is not required.</w:t>
      </w:r>
    </w:p>
    <w:p w14:paraId="7343FC23" w14:textId="660AC54A" w:rsidR="00DC39DE" w:rsidRPr="005D5A21" w:rsidRDefault="005D5A21" w:rsidP="005D5A21">
      <w:pPr>
        <w:rPr>
          <w:rStyle w:val="Guidance"/>
        </w:rPr>
      </w:pPr>
      <w:r w:rsidRPr="005D5A21">
        <w:rPr>
          <w:rStyle w:val="Guidance"/>
        </w:rPr>
        <w:t>Any measures that were proposed for discontinuation but were not approved by PAEC must continue to be reported.</w:t>
      </w:r>
      <w:r w:rsidR="002E4CF0" w:rsidRPr="5058F6AD">
        <w:rPr>
          <w:rStyle w:val="Guidance"/>
        </w:rPr>
        <w:t xml:space="preserve"> </w:t>
      </w:r>
      <w:r w:rsidR="00883042" w:rsidRPr="003B440E">
        <w:rPr>
          <w:rStyle w:val="Guidance"/>
        </w:rPr>
        <w:t xml:space="preserve">The </w:t>
      </w:r>
      <w:hyperlink r:id="rId42" w:history="1">
        <w:r w:rsidR="00883042" w:rsidRPr="003B440E">
          <w:rPr>
            <w:rStyle w:val="Hyperlink"/>
          </w:rPr>
          <w:t>DTF website</w:t>
        </w:r>
      </w:hyperlink>
      <w:r w:rsidR="00883042" w:rsidRPr="003B440E">
        <w:rPr>
          <w:rStyle w:val="Guidance"/>
        </w:rPr>
        <w:t xml:space="preserve"> pr</w:t>
      </w:r>
      <w:r w:rsidR="00CF0E12" w:rsidRPr="003B440E">
        <w:rPr>
          <w:rStyle w:val="Guidance"/>
        </w:rPr>
        <w:t>ovides further information</w:t>
      </w:r>
      <w:r w:rsidR="00CF0E12">
        <w:rPr>
          <w:color w:val="4472C4" w:themeColor="accent1"/>
        </w:rPr>
        <w:t>.</w:t>
      </w:r>
      <w:r w:rsidR="004B4292" w:rsidRPr="5058F6AD">
        <w:rPr>
          <w:color w:val="4472C4" w:themeColor="accent1"/>
        </w:rPr>
        <w:t xml:space="preserve"> </w:t>
      </w:r>
    </w:p>
    <w:p w14:paraId="122CC5E6" w14:textId="77777777" w:rsidR="00DC39DE" w:rsidRDefault="00DC39DE" w:rsidP="005D5A21">
      <w:pPr>
        <w:pStyle w:val="GuidanceEnd"/>
      </w:pPr>
    </w:p>
    <w:p w14:paraId="26269E50" w14:textId="03D0B9BE" w:rsidR="005D5A21" w:rsidRPr="005D5A21" w:rsidRDefault="005D5A21" w:rsidP="005D5A21"/>
    <w:p w14:paraId="4CB6A7B6" w14:textId="4E88595C" w:rsidR="00DC39DE" w:rsidRDefault="00DC39DE" w:rsidP="008426CC">
      <w:pPr>
        <w:pStyle w:val="Heading2"/>
        <w:ind w:right="2888"/>
      </w:pPr>
      <w:bookmarkStart w:id="106" w:name="_Toc199156273"/>
      <w:r>
        <w:lastRenderedPageBreak/>
        <w:t>PORTFOLIO PERFORMANCE REPORTING – FINANCIAL SECTION</w:t>
      </w:r>
      <w:bookmarkEnd w:id="106"/>
    </w:p>
    <w:p w14:paraId="164CCC9C" w14:textId="77777777" w:rsidR="00DC39DE" w:rsidRDefault="00DC39DE" w:rsidP="005D5A21">
      <w:pPr>
        <w:pStyle w:val="Heading2"/>
      </w:pPr>
      <w:bookmarkStart w:id="107" w:name="INDEXBudgetportfoliooutcomes"/>
      <w:bookmarkStart w:id="108" w:name="_Toc199156274"/>
      <w:bookmarkEnd w:id="107"/>
      <w:r>
        <w:t>Budget portfolio outcomes</w:t>
      </w:r>
      <w:bookmarkEnd w:id="108"/>
    </w:p>
    <w:p w14:paraId="1B5227D5" w14:textId="77777777" w:rsidR="00DC39DE" w:rsidRDefault="00DC39DE" w:rsidP="005D5A21">
      <w:pPr>
        <w:pStyle w:val="GuidanceHeading"/>
      </w:pPr>
      <w:r>
        <w:t xml:space="preserve">[The budget portfolio outcomes are better disclosed as an appendix in the entity’s annual report.] </w:t>
      </w:r>
    </w:p>
    <w:p w14:paraId="074C6F42" w14:textId="44FAEA6A" w:rsidR="005D5A21" w:rsidRDefault="005D5A21" w:rsidP="005D5A21">
      <w:r>
        <w:t xml:space="preserve">The budget portfolio outcomes provide comparisons between the actual financial statements of all general government sector entities in the portfolio and the forecast financial information (initial budget estimates) published in Budget Paper No. 5 </w:t>
      </w:r>
      <w:r w:rsidRPr="008C2DE3">
        <w:rPr>
          <w:i/>
          <w:iCs/>
        </w:rPr>
        <w:t>Statement of Finances</w:t>
      </w:r>
      <w:r>
        <w:t xml:space="preserve"> (BP5). The budget portfolio outcomes comprise the comprehensive operating statements, balance sheets, cash flow statements, statements of changes in equity, and administered item statements. </w:t>
      </w:r>
      <w:r w:rsidRPr="005D5A21">
        <w:rPr>
          <w:rStyle w:val="Reference"/>
        </w:rPr>
        <w:t>[FRD 8]</w:t>
      </w:r>
    </w:p>
    <w:p w14:paraId="1A54DBC5" w14:textId="53667A2A" w:rsidR="005D5A21" w:rsidRDefault="005D5A21" w:rsidP="005D5A21">
      <w:r>
        <w:t xml:space="preserve">The budget portfolio outcomes have been prepared on a consolidated basis and include all general government sector entities in the portfolio. Financial transactions and balances are classified into either controlled or administered categories consistent with the published statements in BP5. </w:t>
      </w:r>
      <w:r w:rsidRPr="20EC4723">
        <w:rPr>
          <w:rStyle w:val="Reference"/>
        </w:rPr>
        <w:t>[Recommendation 9, PAEC</w:t>
      </w:r>
      <w:r w:rsidR="4131CF3D" w:rsidRPr="20EC4723">
        <w:rPr>
          <w:rStyle w:val="Reference"/>
        </w:rPr>
        <w:t xml:space="preserve"> Report on the 2009-10 and 2010-11 Financial and Performance Outcomes</w:t>
      </w:r>
      <w:r w:rsidRPr="20EC4723">
        <w:rPr>
          <w:rStyle w:val="Reference"/>
        </w:rPr>
        <w:t>]</w:t>
      </w:r>
    </w:p>
    <w:p w14:paraId="0DBCA9F6" w14:textId="68FFBF05" w:rsidR="005D5A21" w:rsidRDefault="005D5A21" w:rsidP="005D5A21">
      <w:r>
        <w:t xml:space="preserve">The following budget portfolio outcomes statements are not subject to audit by the Victorian </w:t>
      </w:r>
      <w:r w:rsidR="0014061F">
        <w:t>Auditor-</w:t>
      </w:r>
      <w:r>
        <w:t xml:space="preserve">General’s Office (VAGO) and are not prepared on the same basis as the Department’s financial statements as they include the consolidated financial information of the following entities: </w:t>
      </w:r>
      <w:r w:rsidRPr="005D5A21">
        <w:rPr>
          <w:rStyle w:val="Reference"/>
        </w:rPr>
        <w:t>[FRD 8]</w:t>
      </w:r>
    </w:p>
    <w:p w14:paraId="39CEE1D5" w14:textId="196689AE" w:rsidR="00DC39DE" w:rsidRPr="005D5A21" w:rsidRDefault="00DC39DE" w:rsidP="00DC39DE">
      <w:pPr>
        <w:rPr>
          <w:rStyle w:val="Guidance"/>
        </w:rPr>
      </w:pPr>
      <w:r w:rsidRPr="005D5A21">
        <w:rPr>
          <w:rStyle w:val="Guidance"/>
        </w:rPr>
        <w:t>[Insert list of controlled entities or refer reader to the relevant note in the financial statements.]</w:t>
      </w:r>
    </w:p>
    <w:p w14:paraId="50BA7ED8" w14:textId="77777777" w:rsidR="00DC39DE" w:rsidRPr="005D5A21" w:rsidRDefault="00DC39DE" w:rsidP="00DC39DE">
      <w:pPr>
        <w:rPr>
          <w:rStyle w:val="Guidance"/>
        </w:rPr>
      </w:pPr>
      <w:r w:rsidRPr="005D5A21">
        <w:rPr>
          <w:rStyle w:val="Guidance"/>
        </w:rPr>
        <w:t>[Insert relevant portfolio financial statements consistent with the corresponding BP5 presentation.]</w:t>
      </w:r>
    </w:p>
    <w:p w14:paraId="1DA115D6" w14:textId="77777777" w:rsidR="00DC39DE" w:rsidRPr="005D5A21" w:rsidRDefault="00DC39DE" w:rsidP="00DC39DE">
      <w:pPr>
        <w:rPr>
          <w:rStyle w:val="Guidance"/>
        </w:rPr>
      </w:pPr>
      <w:r w:rsidRPr="005D5A21">
        <w:rPr>
          <w:rStyle w:val="Guidance"/>
        </w:rPr>
        <w:t>[Please refer to Appendix 1 for illustrations on the disclosure of budget portfolio outcomes.]</w:t>
      </w:r>
    </w:p>
    <w:p w14:paraId="47CF85C3" w14:textId="77777777" w:rsidR="00DC39DE" w:rsidRDefault="00DC39DE" w:rsidP="00DC39DE"/>
    <w:p w14:paraId="39496709" w14:textId="5F246CD7" w:rsidR="005D5A21" w:rsidRDefault="005D5A21" w:rsidP="005D5A21">
      <w:pPr>
        <w:pStyle w:val="GuidanceBlockHeading"/>
      </w:pPr>
      <w:r>
        <w:t>Guidance – Budget portfolio outcomes</w:t>
      </w:r>
    </w:p>
    <w:p w14:paraId="5002A022" w14:textId="01211B49" w:rsidR="005D5A21" w:rsidRDefault="005D5A21" w:rsidP="005D5A21">
      <w:pPr>
        <w:pStyle w:val="GuidanceHeading"/>
      </w:pPr>
      <w:r>
        <w:t>Legislative and documented references</w:t>
      </w:r>
    </w:p>
    <w:p w14:paraId="0FC6065B" w14:textId="5E573CB1" w:rsidR="005D5A21" w:rsidRPr="005D5A21" w:rsidRDefault="005D5A21" w:rsidP="005D5A21">
      <w:pPr>
        <w:rPr>
          <w:rStyle w:val="Guidance"/>
        </w:rPr>
      </w:pPr>
      <w:r w:rsidRPr="005D5A21">
        <w:rPr>
          <w:rStyle w:val="Guidance"/>
        </w:rPr>
        <w:t xml:space="preserve">FRD 8 states departments must include in their annual report, but not forming part of the audited complete set of financial statements, a comparison between their </w:t>
      </w:r>
      <w:r w:rsidRPr="005D5A21">
        <w:rPr>
          <w:rStyle w:val="Guidance"/>
          <w:b/>
          <w:bCs/>
        </w:rPr>
        <w:t>initial budget estimates as presented in the portfolio financial statements published in BP5</w:t>
      </w:r>
      <w:r w:rsidRPr="005D5A21">
        <w:rPr>
          <w:rStyle w:val="Guidance"/>
        </w:rPr>
        <w:t xml:space="preserve"> and actual results for the portfolio for the corresponding financial year. The accountability cycle for departments commences with the publication of budget portfolio financial statements in the annual budget papers and ends with the publication of actual results in departmental annual reports. </w:t>
      </w:r>
    </w:p>
    <w:p w14:paraId="3AEE87E8" w14:textId="77777777" w:rsidR="005D5A21" w:rsidRPr="005D5A21" w:rsidRDefault="005D5A21" w:rsidP="005D5A21">
      <w:pPr>
        <w:rPr>
          <w:rStyle w:val="Guidance"/>
        </w:rPr>
      </w:pPr>
      <w:r w:rsidRPr="005D5A21">
        <w:rPr>
          <w:rStyle w:val="Guidance"/>
        </w:rPr>
        <w:t xml:space="preserve">The comparison between portfolio </w:t>
      </w:r>
      <w:r w:rsidRPr="005D5A21">
        <w:rPr>
          <w:rStyle w:val="Guidance"/>
          <w:b/>
          <w:bCs/>
        </w:rPr>
        <w:t>budget</w:t>
      </w:r>
      <w:r w:rsidRPr="005D5A21">
        <w:rPr>
          <w:rStyle w:val="Guidance"/>
        </w:rPr>
        <w:t xml:space="preserve"> and actual figures must be presented as a set of financial statements in the same format and consolidation basis as those for the portfolio set out in </w:t>
      </w:r>
      <w:r w:rsidRPr="005D5A21">
        <w:rPr>
          <w:rStyle w:val="Guidance"/>
          <w:b/>
          <w:bCs/>
        </w:rPr>
        <w:t>BP5 for that financial year</w:t>
      </w:r>
      <w:r w:rsidRPr="005D5A21">
        <w:rPr>
          <w:rStyle w:val="Guidance"/>
        </w:rPr>
        <w:t>. These financial statements are to be referred to as budget portfolio outcomes. Departments must classify all entities, financial transactions and balances (income, expenses, assets, liabilities and equity) into either the departmental (controlled) or administered category as agreed with the Treasurer in the context of the financial statements published in BP5.</w:t>
      </w:r>
    </w:p>
    <w:p w14:paraId="6BE0A79F" w14:textId="77777777" w:rsidR="005D5A21" w:rsidRDefault="005D5A21" w:rsidP="005D5A21">
      <w:pPr>
        <w:pStyle w:val="GuidanceHeading"/>
      </w:pPr>
      <w:r>
        <w:t>Guidance</w:t>
      </w:r>
    </w:p>
    <w:p w14:paraId="248B5E86" w14:textId="47A3C050" w:rsidR="005D5A21" w:rsidRPr="005D5A21" w:rsidRDefault="005D5A21" w:rsidP="005D5A21">
      <w:pPr>
        <w:rPr>
          <w:rStyle w:val="Guidance"/>
        </w:rPr>
      </w:pPr>
      <w:r w:rsidRPr="005D5A21">
        <w:rPr>
          <w:rStyle w:val="Guidance"/>
        </w:rPr>
        <w:t xml:space="preserve">The comparison between portfolio budget and actual figures must be presented as a set of financial statements in the same format and consolidation basis as those for the portfolio, set out in </w:t>
      </w:r>
      <w:r w:rsidRPr="00C11C77">
        <w:rPr>
          <w:rStyle w:val="Guidance"/>
          <w:b/>
          <w:bCs/>
        </w:rPr>
        <w:t>BP5 for that financial year</w:t>
      </w:r>
      <w:r w:rsidRPr="005D5A21">
        <w:rPr>
          <w:rStyle w:val="Guidance"/>
        </w:rPr>
        <w:t xml:space="preserve"> (i.e. those figures and format used in BP5). </w:t>
      </w:r>
      <w:r w:rsidRPr="00C11C77">
        <w:rPr>
          <w:rStyle w:val="Guidance"/>
          <w:b/>
          <w:bCs/>
        </w:rPr>
        <w:t>That is, the statements should disclose the original budgeted financial statements.</w:t>
      </w:r>
      <w:r w:rsidRPr="005D5A21">
        <w:rPr>
          <w:rStyle w:val="Guidance"/>
        </w:rPr>
        <w:t xml:space="preserve"> The section should include an introduction explaining the statements and their relationship to the budget papers. The introduction should also state that the statements are not subject to audit by VAGO.</w:t>
      </w:r>
      <w:r>
        <w:rPr>
          <w:rStyle w:val="Guidance"/>
        </w:rPr>
        <w:t xml:space="preserve"> </w:t>
      </w:r>
      <w:r w:rsidRPr="005D5A21">
        <w:rPr>
          <w:rStyle w:val="Reference"/>
        </w:rPr>
        <w:t>[Recommendation 24, PAEC Report on the 2015-16 Financial and Performance Outcomes]</w:t>
      </w:r>
    </w:p>
    <w:p w14:paraId="11B5F38E" w14:textId="77777777" w:rsidR="005D5A21" w:rsidRPr="005D5A21" w:rsidRDefault="005D5A21" w:rsidP="005D5A21">
      <w:pPr>
        <w:rPr>
          <w:rStyle w:val="Guidance"/>
        </w:rPr>
      </w:pPr>
      <w:r w:rsidRPr="005D5A21">
        <w:rPr>
          <w:rStyle w:val="Guidance"/>
        </w:rPr>
        <w:t>From time to time, the layouts and titles of the financial statements may change in accordance with the AAS requirements. Care should be taken to ensure the presentation of the budget portfolio outcomes in the annual report reflects the title and layout of the financial statements from the corresponding BP5, with additional commentary and footnotes where appropriate.</w:t>
      </w:r>
    </w:p>
    <w:p w14:paraId="618B215C" w14:textId="77777777" w:rsidR="00C11C77" w:rsidRDefault="00C11C77">
      <w:pPr>
        <w:rPr>
          <w:b/>
          <w:color w:val="4472C4" w:themeColor="accent1"/>
          <w:sz w:val="20"/>
        </w:rPr>
      </w:pPr>
      <w:r>
        <w:br w:type="page"/>
      </w:r>
    </w:p>
    <w:p w14:paraId="41A1A14D" w14:textId="154DB7A6" w:rsidR="005D5A21" w:rsidRDefault="005D5A21" w:rsidP="00C11C77">
      <w:pPr>
        <w:pStyle w:val="GuidanceHeading"/>
      </w:pPr>
      <w:bookmarkStart w:id="109" w:name="INDEX_Sig_change_finposition"/>
      <w:bookmarkEnd w:id="109"/>
      <w:r>
        <w:lastRenderedPageBreak/>
        <w:t>Significant or material variances in budget portfolio outcomes reporting</w:t>
      </w:r>
    </w:p>
    <w:p w14:paraId="571CD11D" w14:textId="38779EBD" w:rsidR="00C11C77" w:rsidRPr="00C11C77" w:rsidRDefault="005D5A21" w:rsidP="00C11C77">
      <w:pPr>
        <w:rPr>
          <w:rStyle w:val="Guidance"/>
        </w:rPr>
      </w:pPr>
      <w:r w:rsidRPr="00C11C77">
        <w:rPr>
          <w:rStyle w:val="Guidance"/>
        </w:rPr>
        <w:t xml:space="preserve">Disclosure is required for any significant or material variances between the initial budget estimates presented in the portfolio financial statements published in BP5 and the actual results of the portfolio for the corresponding financial year. In particular, the Department shall explain the reasons why the variance occurred. </w:t>
      </w:r>
    </w:p>
    <w:p w14:paraId="70B5D545" w14:textId="7F8D0F5E" w:rsidR="005D5A21" w:rsidRPr="00C11C77" w:rsidRDefault="00C11C77" w:rsidP="00C11C77">
      <w:pPr>
        <w:rPr>
          <w:rStyle w:val="Reference"/>
        </w:rPr>
      </w:pPr>
      <w:r w:rsidRPr="20EC4723">
        <w:rPr>
          <w:rStyle w:val="Reference"/>
        </w:rPr>
        <w:t>[Recommendation 10, PAEC</w:t>
      </w:r>
      <w:r w:rsidR="791C0D7D" w:rsidRPr="20EC4723">
        <w:rPr>
          <w:rStyle w:val="Reference"/>
        </w:rPr>
        <w:t xml:space="preserve"> Report on the 2009-10 and 2010-11 Financial and Performance Outcomes</w:t>
      </w:r>
      <w:r w:rsidRPr="20EC4723">
        <w:rPr>
          <w:rStyle w:val="Reference"/>
        </w:rPr>
        <w:t>/Recommendation 23, PAEC Report on the 2015-16 Financial and Performance Outcomes]</w:t>
      </w:r>
    </w:p>
    <w:p w14:paraId="0AC3B127" w14:textId="002604C9" w:rsidR="005D5A21" w:rsidRPr="00C11C77" w:rsidRDefault="005D5A21" w:rsidP="00C11C77">
      <w:pPr>
        <w:pStyle w:val="GuidanceBox"/>
        <w:rPr>
          <w:rStyle w:val="Guidance"/>
        </w:rPr>
      </w:pPr>
      <w:r w:rsidRPr="00C11C77">
        <w:rPr>
          <w:rStyle w:val="Guidance"/>
        </w:rPr>
        <w:t xml:space="preserve">Variances greater than 5 per cent or a variance of greater than a $50 million increase or decrease from budget requires an explanation. </w:t>
      </w:r>
      <w:r w:rsidR="00C11C77" w:rsidRPr="00C11C77">
        <w:rPr>
          <w:rStyle w:val="Reference"/>
        </w:rPr>
        <w:t>[Recommendation 15, PAEC Report on 2013-14 and 2014-15 Financial and Performance Outcomes]</w:t>
      </w:r>
    </w:p>
    <w:p w14:paraId="106FED07" w14:textId="77777777" w:rsidR="005D5A21" w:rsidRDefault="005D5A21" w:rsidP="00C11C77">
      <w:pPr>
        <w:pStyle w:val="GuidanceHeading"/>
      </w:pPr>
      <w:r>
        <w:t>Machinery of government changes</w:t>
      </w:r>
    </w:p>
    <w:p w14:paraId="7F4B6D91" w14:textId="07B019DE" w:rsidR="00DC39DE" w:rsidRDefault="005D5A21" w:rsidP="005D5A21">
      <w:pPr>
        <w:rPr>
          <w:rStyle w:val="Guidance"/>
        </w:rPr>
      </w:pPr>
      <w:r w:rsidRPr="0002555B">
        <w:rPr>
          <w:rStyle w:val="Guidance"/>
        </w:rPr>
        <w:t>In a year where there is a significant machinery of government change, the affected departments are required to include the published budget (as per Appendix 1), along with the revised budget with adjustments for machinery of government changes in their annual reports. The reasons for variances between adjusted/revised budget and actual estimates should be disclosed in the annual report of the portfolio entities.</w:t>
      </w:r>
    </w:p>
    <w:p w14:paraId="09DD0A48" w14:textId="77777777" w:rsidR="0002555B" w:rsidRPr="0002555B" w:rsidRDefault="0002555B" w:rsidP="0002555B">
      <w:pPr>
        <w:pStyle w:val="GuidanceEnd"/>
        <w:rPr>
          <w:rStyle w:val="Guidance"/>
        </w:rPr>
      </w:pPr>
    </w:p>
    <w:p w14:paraId="0BB74AD1" w14:textId="38096EC5" w:rsidR="00DC39DE" w:rsidRDefault="00C11C77" w:rsidP="00C11C77">
      <w:pPr>
        <w:pStyle w:val="Caption"/>
      </w:pPr>
      <w:r w:rsidRPr="00C11C77">
        <w:t>Departmental five-year financial summary</w:t>
      </w:r>
      <w:r>
        <w:t xml:space="preserve"> </w:t>
      </w:r>
      <w:r w:rsidRPr="00C11C77">
        <w:rPr>
          <w:rStyle w:val="Reference"/>
        </w:rPr>
        <w:t>[FRD 22]</w:t>
      </w:r>
      <w:r w:rsidRPr="00C11C77">
        <w:tab/>
        <w:t>($ thousand)</w:t>
      </w:r>
    </w:p>
    <w:tbl>
      <w:tblPr>
        <w:tblStyle w:val="DTFFinancialTable"/>
        <w:tblW w:w="9639" w:type="dxa"/>
        <w:jc w:val="right"/>
        <w:tblLayout w:type="fixed"/>
        <w:tblLook w:val="06A0" w:firstRow="1" w:lastRow="0" w:firstColumn="1" w:lastColumn="0" w:noHBand="1" w:noVBand="1"/>
      </w:tblPr>
      <w:tblGrid>
        <w:gridCol w:w="5035"/>
        <w:gridCol w:w="920"/>
        <w:gridCol w:w="921"/>
        <w:gridCol w:w="921"/>
        <w:gridCol w:w="921"/>
        <w:gridCol w:w="921"/>
      </w:tblGrid>
      <w:tr w:rsidR="00AC31E5" w:rsidRPr="00105793" w14:paraId="4865C0B2" w14:textId="77777777" w:rsidTr="00183623">
        <w:trPr>
          <w:cnfStyle w:val="100000000000" w:firstRow="1" w:lastRow="0" w:firstColumn="0" w:lastColumn="0" w:oddVBand="0" w:evenVBand="0" w:oddHBand="0" w:evenHBand="0" w:firstRowFirstColumn="0" w:firstRowLastColumn="0" w:lastRowFirstColumn="0" w:lastRowLastColumn="0"/>
          <w:trHeight w:val="247"/>
          <w:jc w:val="right"/>
        </w:trPr>
        <w:tc>
          <w:tcPr>
            <w:cnfStyle w:val="001000000100" w:firstRow="0" w:lastRow="0" w:firstColumn="1" w:lastColumn="0" w:oddVBand="0" w:evenVBand="0" w:oddHBand="0" w:evenHBand="0" w:firstRowFirstColumn="1" w:firstRowLastColumn="0" w:lastRowFirstColumn="0" w:lastRowLastColumn="0"/>
            <w:tcW w:w="5035" w:type="dxa"/>
          </w:tcPr>
          <w:p w14:paraId="4CB3340C" w14:textId="77777777" w:rsidR="00AC31E5" w:rsidRPr="00105793" w:rsidRDefault="00AC31E5" w:rsidP="00396387">
            <w:r w:rsidRPr="00105793">
              <w:t>Five-year financial summary</w:t>
            </w:r>
          </w:p>
        </w:tc>
        <w:tc>
          <w:tcPr>
            <w:tcW w:w="920" w:type="dxa"/>
            <w:tcBorders>
              <w:bottom w:val="nil"/>
            </w:tcBorders>
          </w:tcPr>
          <w:p w14:paraId="11E094D7" w14:textId="5CEB4D29" w:rsidR="00AC31E5" w:rsidRPr="00105793" w:rsidRDefault="009F0897" w:rsidP="00396387">
            <w:pPr>
              <w:cnfStyle w:val="100000000000" w:firstRow="1" w:lastRow="0" w:firstColumn="0" w:lastColumn="0" w:oddVBand="0" w:evenVBand="0" w:oddHBand="0" w:evenHBand="0" w:firstRowFirstColumn="0" w:firstRowLastColumn="0" w:lastRowFirstColumn="0" w:lastRowLastColumn="0"/>
            </w:pPr>
            <w:r>
              <w:t>Year 5</w:t>
            </w:r>
            <w:r w:rsidR="00507807">
              <w:t xml:space="preserve"> </w:t>
            </w:r>
            <w:r w:rsidR="00453E15">
              <w:rPr>
                <w:vertAlign w:val="superscript"/>
              </w:rPr>
              <w:t>(a)</w:t>
            </w:r>
          </w:p>
        </w:tc>
        <w:tc>
          <w:tcPr>
            <w:tcW w:w="921" w:type="dxa"/>
          </w:tcPr>
          <w:p w14:paraId="6FBAC5D5" w14:textId="49FC16AE" w:rsidR="00AC31E5" w:rsidRPr="00105793" w:rsidRDefault="009F0897" w:rsidP="00396387">
            <w:pPr>
              <w:cnfStyle w:val="100000000000" w:firstRow="1" w:lastRow="0" w:firstColumn="0" w:lastColumn="0" w:oddVBand="0" w:evenVBand="0" w:oddHBand="0" w:evenHBand="0" w:firstRowFirstColumn="0" w:firstRowLastColumn="0" w:lastRowFirstColumn="0" w:lastRowLastColumn="0"/>
            </w:pPr>
            <w:r>
              <w:t>Year 4</w:t>
            </w:r>
          </w:p>
        </w:tc>
        <w:tc>
          <w:tcPr>
            <w:tcW w:w="921" w:type="dxa"/>
          </w:tcPr>
          <w:p w14:paraId="6B447263" w14:textId="5B6CB053" w:rsidR="00AC31E5" w:rsidRPr="006A2DAA" w:rsidRDefault="009F0897" w:rsidP="00396387">
            <w:pPr>
              <w:cnfStyle w:val="100000000000" w:firstRow="1" w:lastRow="0" w:firstColumn="0" w:lastColumn="0" w:oddVBand="0" w:evenVBand="0" w:oddHBand="0" w:evenHBand="0" w:firstRowFirstColumn="0" w:firstRowLastColumn="0" w:lastRowFirstColumn="0" w:lastRowLastColumn="0"/>
            </w:pPr>
            <w:r>
              <w:t>Year 3</w:t>
            </w:r>
          </w:p>
        </w:tc>
        <w:tc>
          <w:tcPr>
            <w:tcW w:w="921" w:type="dxa"/>
          </w:tcPr>
          <w:p w14:paraId="3BE54377" w14:textId="0EB1A695" w:rsidR="00AC31E5" w:rsidRPr="006A2DAA" w:rsidRDefault="009F0897" w:rsidP="00396387">
            <w:pPr>
              <w:cnfStyle w:val="100000000000" w:firstRow="1" w:lastRow="0" w:firstColumn="0" w:lastColumn="0" w:oddVBand="0" w:evenVBand="0" w:oddHBand="0" w:evenHBand="0" w:firstRowFirstColumn="0" w:firstRowLastColumn="0" w:lastRowFirstColumn="0" w:lastRowLastColumn="0"/>
            </w:pPr>
            <w:r>
              <w:t>Year 2</w:t>
            </w:r>
          </w:p>
        </w:tc>
        <w:tc>
          <w:tcPr>
            <w:tcW w:w="921" w:type="dxa"/>
          </w:tcPr>
          <w:p w14:paraId="6559FDAD" w14:textId="3F587D12" w:rsidR="00AC31E5" w:rsidRPr="006A2DAA" w:rsidRDefault="009F0897" w:rsidP="00396387">
            <w:pPr>
              <w:cnfStyle w:val="100000000000" w:firstRow="1" w:lastRow="0" w:firstColumn="0" w:lastColumn="0" w:oddVBand="0" w:evenVBand="0" w:oddHBand="0" w:evenHBand="0" w:firstRowFirstColumn="0" w:firstRowLastColumn="0" w:lastRowFirstColumn="0" w:lastRowLastColumn="0"/>
            </w:pPr>
            <w:r>
              <w:t>Year 1</w:t>
            </w:r>
          </w:p>
        </w:tc>
      </w:tr>
      <w:tr w:rsidR="00AC31E5" w:rsidRPr="00105793" w14:paraId="744A1DC8" w14:textId="77777777" w:rsidTr="00183623">
        <w:trPr>
          <w:trHeight w:val="247"/>
          <w:jc w:val="right"/>
        </w:trPr>
        <w:tc>
          <w:tcPr>
            <w:cnfStyle w:val="001000000000" w:firstRow="0" w:lastRow="0" w:firstColumn="1" w:lastColumn="0" w:oddVBand="0" w:evenVBand="0" w:oddHBand="0" w:evenHBand="0" w:firstRowFirstColumn="0" w:firstRowLastColumn="0" w:lastRowFirstColumn="0" w:lastRowLastColumn="0"/>
            <w:tcW w:w="5035" w:type="dxa"/>
          </w:tcPr>
          <w:p w14:paraId="029E4742" w14:textId="40C2EC2A" w:rsidR="00AC31E5" w:rsidRPr="00105793" w:rsidRDefault="00AC31E5" w:rsidP="00396387">
            <w:r w:rsidRPr="00105793">
              <w:t xml:space="preserve">Income from government </w:t>
            </w:r>
            <w:r w:rsidRPr="00F64807">
              <w:rPr>
                <w:vertAlign w:val="superscript"/>
              </w:rPr>
              <w:t>(</w:t>
            </w:r>
            <w:r w:rsidR="009F0897">
              <w:rPr>
                <w:vertAlign w:val="superscript"/>
              </w:rPr>
              <w:t>b</w:t>
            </w:r>
            <w:r w:rsidRPr="00F64807">
              <w:rPr>
                <w:vertAlign w:val="superscript"/>
              </w:rPr>
              <w:t>)</w:t>
            </w:r>
          </w:p>
        </w:tc>
        <w:tc>
          <w:tcPr>
            <w:tcW w:w="920" w:type="dxa"/>
            <w:tcBorders>
              <w:bottom w:val="nil"/>
            </w:tcBorders>
            <w:shd w:val="clear" w:color="auto" w:fill="auto"/>
          </w:tcPr>
          <w:p w14:paraId="0D20533F"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93 663</w:t>
            </w:r>
          </w:p>
        </w:tc>
        <w:tc>
          <w:tcPr>
            <w:tcW w:w="921" w:type="dxa"/>
          </w:tcPr>
          <w:p w14:paraId="2C264812"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75 078</w:t>
            </w:r>
          </w:p>
        </w:tc>
        <w:tc>
          <w:tcPr>
            <w:tcW w:w="921" w:type="dxa"/>
          </w:tcPr>
          <w:p w14:paraId="53A79D24"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110 490</w:t>
            </w:r>
          </w:p>
        </w:tc>
        <w:tc>
          <w:tcPr>
            <w:tcW w:w="921" w:type="dxa"/>
          </w:tcPr>
          <w:p w14:paraId="60444B06"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101 311</w:t>
            </w:r>
          </w:p>
        </w:tc>
        <w:tc>
          <w:tcPr>
            <w:tcW w:w="921" w:type="dxa"/>
          </w:tcPr>
          <w:p w14:paraId="36FF1EB7"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100 460</w:t>
            </w:r>
          </w:p>
        </w:tc>
      </w:tr>
      <w:tr w:rsidR="00AC31E5" w:rsidRPr="00105793" w14:paraId="7574301A" w14:textId="77777777" w:rsidTr="00183623">
        <w:trPr>
          <w:trHeight w:val="247"/>
          <w:jc w:val="right"/>
        </w:trPr>
        <w:tc>
          <w:tcPr>
            <w:cnfStyle w:val="001000000000" w:firstRow="0" w:lastRow="0" w:firstColumn="1" w:lastColumn="0" w:oddVBand="0" w:evenVBand="0" w:oddHBand="0" w:evenHBand="0" w:firstRowFirstColumn="0" w:firstRowLastColumn="0" w:lastRowFirstColumn="0" w:lastRowLastColumn="0"/>
            <w:tcW w:w="5035" w:type="dxa"/>
          </w:tcPr>
          <w:p w14:paraId="5A65708D" w14:textId="77777777" w:rsidR="00AC31E5" w:rsidRPr="00105793" w:rsidRDefault="00AC31E5" w:rsidP="00396387">
            <w:r w:rsidRPr="00105793">
              <w:t>Total income from transactions</w:t>
            </w:r>
          </w:p>
        </w:tc>
        <w:tc>
          <w:tcPr>
            <w:tcW w:w="920" w:type="dxa"/>
            <w:tcBorders>
              <w:bottom w:val="nil"/>
            </w:tcBorders>
            <w:shd w:val="clear" w:color="auto" w:fill="auto"/>
          </w:tcPr>
          <w:p w14:paraId="009BA479" w14:textId="57C627E1"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10</w:t>
            </w:r>
            <w:r w:rsidR="00CB28D3">
              <w:t>8</w:t>
            </w:r>
            <w:r w:rsidRPr="00105793">
              <w:t xml:space="preserve"> 396</w:t>
            </w:r>
          </w:p>
        </w:tc>
        <w:tc>
          <w:tcPr>
            <w:tcW w:w="921" w:type="dxa"/>
          </w:tcPr>
          <w:p w14:paraId="6E0161DD"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87 110</w:t>
            </w:r>
          </w:p>
        </w:tc>
        <w:tc>
          <w:tcPr>
            <w:tcW w:w="921" w:type="dxa"/>
          </w:tcPr>
          <w:p w14:paraId="4614460F"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112 500</w:t>
            </w:r>
          </w:p>
        </w:tc>
        <w:tc>
          <w:tcPr>
            <w:tcW w:w="921" w:type="dxa"/>
          </w:tcPr>
          <w:p w14:paraId="12D08CB0"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106 263</w:t>
            </w:r>
          </w:p>
        </w:tc>
        <w:tc>
          <w:tcPr>
            <w:tcW w:w="921" w:type="dxa"/>
          </w:tcPr>
          <w:p w14:paraId="65B1EA3E"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104 669</w:t>
            </w:r>
          </w:p>
        </w:tc>
      </w:tr>
      <w:tr w:rsidR="00AC31E5" w:rsidRPr="00105793" w14:paraId="05C3D60B" w14:textId="77777777" w:rsidTr="00183623">
        <w:trPr>
          <w:trHeight w:val="247"/>
          <w:jc w:val="right"/>
        </w:trPr>
        <w:tc>
          <w:tcPr>
            <w:cnfStyle w:val="001000000000" w:firstRow="0" w:lastRow="0" w:firstColumn="1" w:lastColumn="0" w:oddVBand="0" w:evenVBand="0" w:oddHBand="0" w:evenHBand="0" w:firstRowFirstColumn="0" w:firstRowLastColumn="0" w:lastRowFirstColumn="0" w:lastRowLastColumn="0"/>
            <w:tcW w:w="5035" w:type="dxa"/>
          </w:tcPr>
          <w:p w14:paraId="05663EA6" w14:textId="77777777" w:rsidR="00AC31E5" w:rsidRPr="00105793" w:rsidRDefault="00AC31E5" w:rsidP="00396387">
            <w:r w:rsidRPr="00105793">
              <w:t>Total expenses from transactions</w:t>
            </w:r>
          </w:p>
        </w:tc>
        <w:tc>
          <w:tcPr>
            <w:tcW w:w="920" w:type="dxa"/>
            <w:tcBorders>
              <w:bottom w:val="nil"/>
            </w:tcBorders>
            <w:shd w:val="clear" w:color="auto" w:fill="auto"/>
          </w:tcPr>
          <w:p w14:paraId="3E7E1AAE"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(89 554)</w:t>
            </w:r>
          </w:p>
        </w:tc>
        <w:tc>
          <w:tcPr>
            <w:tcW w:w="921" w:type="dxa"/>
          </w:tcPr>
          <w:p w14:paraId="06D25DC8"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(81 245)</w:t>
            </w:r>
          </w:p>
        </w:tc>
        <w:tc>
          <w:tcPr>
            <w:tcW w:w="921" w:type="dxa"/>
          </w:tcPr>
          <w:p w14:paraId="4F646998"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(110 000)</w:t>
            </w:r>
          </w:p>
        </w:tc>
        <w:tc>
          <w:tcPr>
            <w:tcW w:w="921" w:type="dxa"/>
          </w:tcPr>
          <w:p w14:paraId="5A33BEF0"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(100 000)</w:t>
            </w:r>
          </w:p>
        </w:tc>
        <w:tc>
          <w:tcPr>
            <w:tcW w:w="921" w:type="dxa"/>
          </w:tcPr>
          <w:p w14:paraId="0E30EB69"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(100 000)</w:t>
            </w:r>
          </w:p>
        </w:tc>
      </w:tr>
      <w:tr w:rsidR="00AC31E5" w:rsidRPr="00105793" w14:paraId="69DFE49D" w14:textId="77777777" w:rsidTr="00183623">
        <w:trPr>
          <w:trHeight w:val="247"/>
          <w:jc w:val="right"/>
        </w:trPr>
        <w:tc>
          <w:tcPr>
            <w:cnfStyle w:val="001000000000" w:firstRow="0" w:lastRow="0" w:firstColumn="1" w:lastColumn="0" w:oddVBand="0" w:evenVBand="0" w:oddHBand="0" w:evenHBand="0" w:firstRowFirstColumn="0" w:firstRowLastColumn="0" w:lastRowFirstColumn="0" w:lastRowLastColumn="0"/>
            <w:tcW w:w="5035" w:type="dxa"/>
          </w:tcPr>
          <w:p w14:paraId="44F70EA1" w14:textId="10EACBD2" w:rsidR="00AC31E5" w:rsidRPr="00105793" w:rsidRDefault="00AC31E5" w:rsidP="00396387">
            <w:r w:rsidRPr="00105793">
              <w:t xml:space="preserve">Net result from transactions </w:t>
            </w:r>
            <w:r w:rsidRPr="00F64807">
              <w:rPr>
                <w:vertAlign w:val="superscript"/>
              </w:rPr>
              <w:t>(</w:t>
            </w:r>
            <w:r w:rsidR="00453E15">
              <w:rPr>
                <w:vertAlign w:val="superscript"/>
              </w:rPr>
              <w:t>c</w:t>
            </w:r>
            <w:r w:rsidRPr="00F64807">
              <w:rPr>
                <w:vertAlign w:val="superscript"/>
              </w:rPr>
              <w:t>)</w:t>
            </w:r>
          </w:p>
        </w:tc>
        <w:tc>
          <w:tcPr>
            <w:tcW w:w="920" w:type="dxa"/>
            <w:tcBorders>
              <w:bottom w:val="nil"/>
            </w:tcBorders>
            <w:shd w:val="clear" w:color="auto" w:fill="auto"/>
          </w:tcPr>
          <w:p w14:paraId="54F91DE3"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18 842</w:t>
            </w:r>
          </w:p>
        </w:tc>
        <w:tc>
          <w:tcPr>
            <w:tcW w:w="921" w:type="dxa"/>
          </w:tcPr>
          <w:p w14:paraId="73FC80C7"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5 865</w:t>
            </w:r>
          </w:p>
        </w:tc>
        <w:tc>
          <w:tcPr>
            <w:tcW w:w="921" w:type="dxa"/>
          </w:tcPr>
          <w:p w14:paraId="38E5410A"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2 500</w:t>
            </w:r>
          </w:p>
        </w:tc>
        <w:tc>
          <w:tcPr>
            <w:tcW w:w="921" w:type="dxa"/>
          </w:tcPr>
          <w:p w14:paraId="4DFCE217"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6 263</w:t>
            </w:r>
          </w:p>
        </w:tc>
        <w:tc>
          <w:tcPr>
            <w:tcW w:w="921" w:type="dxa"/>
          </w:tcPr>
          <w:p w14:paraId="797A74CD"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4 669</w:t>
            </w:r>
          </w:p>
        </w:tc>
      </w:tr>
      <w:tr w:rsidR="00AC31E5" w:rsidRPr="00105793" w14:paraId="3CC554CE" w14:textId="77777777" w:rsidTr="00183623">
        <w:trPr>
          <w:trHeight w:val="247"/>
          <w:jc w:val="right"/>
        </w:trPr>
        <w:tc>
          <w:tcPr>
            <w:cnfStyle w:val="001000000000" w:firstRow="0" w:lastRow="0" w:firstColumn="1" w:lastColumn="0" w:oddVBand="0" w:evenVBand="0" w:oddHBand="0" w:evenHBand="0" w:firstRowFirstColumn="0" w:firstRowLastColumn="0" w:lastRowFirstColumn="0" w:lastRowLastColumn="0"/>
            <w:tcW w:w="5035" w:type="dxa"/>
          </w:tcPr>
          <w:p w14:paraId="4D525CE3" w14:textId="1A99F27C" w:rsidR="00AC31E5" w:rsidRPr="00105793" w:rsidRDefault="00AC31E5" w:rsidP="00396387">
            <w:r w:rsidRPr="00105793">
              <w:t xml:space="preserve">Net result for the period </w:t>
            </w:r>
            <w:r w:rsidRPr="00F64807">
              <w:rPr>
                <w:vertAlign w:val="superscript"/>
              </w:rPr>
              <w:t>(</w:t>
            </w:r>
            <w:r w:rsidR="00453E15">
              <w:rPr>
                <w:vertAlign w:val="superscript"/>
              </w:rPr>
              <w:t>d</w:t>
            </w:r>
            <w:r w:rsidRPr="00F64807">
              <w:rPr>
                <w:vertAlign w:val="superscript"/>
              </w:rPr>
              <w:t>)</w:t>
            </w:r>
          </w:p>
        </w:tc>
        <w:tc>
          <w:tcPr>
            <w:tcW w:w="920" w:type="dxa"/>
            <w:tcBorders>
              <w:bottom w:val="nil"/>
            </w:tcBorders>
            <w:shd w:val="clear" w:color="auto" w:fill="auto"/>
          </w:tcPr>
          <w:p w14:paraId="6BC241FC"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6 181</w:t>
            </w:r>
          </w:p>
        </w:tc>
        <w:tc>
          <w:tcPr>
            <w:tcW w:w="921" w:type="dxa"/>
          </w:tcPr>
          <w:p w14:paraId="166A525E"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6 904</w:t>
            </w:r>
          </w:p>
        </w:tc>
        <w:tc>
          <w:tcPr>
            <w:tcW w:w="921" w:type="dxa"/>
          </w:tcPr>
          <w:p w14:paraId="07E69055"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3 369</w:t>
            </w:r>
          </w:p>
        </w:tc>
        <w:tc>
          <w:tcPr>
            <w:tcW w:w="921" w:type="dxa"/>
          </w:tcPr>
          <w:p w14:paraId="333BB87D"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3 874</w:t>
            </w:r>
          </w:p>
        </w:tc>
        <w:tc>
          <w:tcPr>
            <w:tcW w:w="921" w:type="dxa"/>
          </w:tcPr>
          <w:p w14:paraId="15216250"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3 409</w:t>
            </w:r>
          </w:p>
        </w:tc>
      </w:tr>
      <w:tr w:rsidR="00AC31E5" w:rsidRPr="00105793" w14:paraId="4FC519EE" w14:textId="77777777" w:rsidTr="00183623">
        <w:trPr>
          <w:trHeight w:val="247"/>
          <w:jc w:val="right"/>
        </w:trPr>
        <w:tc>
          <w:tcPr>
            <w:cnfStyle w:val="001000000000" w:firstRow="0" w:lastRow="0" w:firstColumn="1" w:lastColumn="0" w:oddVBand="0" w:evenVBand="0" w:oddHBand="0" w:evenHBand="0" w:firstRowFirstColumn="0" w:firstRowLastColumn="0" w:lastRowFirstColumn="0" w:lastRowLastColumn="0"/>
            <w:tcW w:w="5035" w:type="dxa"/>
          </w:tcPr>
          <w:p w14:paraId="79533015" w14:textId="77777777" w:rsidR="00AC31E5" w:rsidRPr="00105793" w:rsidRDefault="00AC31E5" w:rsidP="00396387">
            <w:r w:rsidRPr="00105793">
              <w:t>Net cash flow from operating activities</w:t>
            </w:r>
          </w:p>
        </w:tc>
        <w:tc>
          <w:tcPr>
            <w:tcW w:w="920" w:type="dxa"/>
            <w:tcBorders>
              <w:bottom w:val="nil"/>
            </w:tcBorders>
            <w:shd w:val="clear" w:color="auto" w:fill="auto"/>
          </w:tcPr>
          <w:p w14:paraId="0768A040" w14:textId="67F4BDD9" w:rsidR="00AC31E5" w:rsidRPr="00105793" w:rsidRDefault="00CB28D3" w:rsidP="00396387">
            <w:pPr>
              <w:cnfStyle w:val="000000000000" w:firstRow="0" w:lastRow="0" w:firstColumn="0" w:lastColumn="0" w:oddVBand="0" w:evenVBand="0" w:oddHBand="0" w:evenHBand="0" w:firstRowFirstColumn="0" w:firstRowLastColumn="0" w:lastRowFirstColumn="0" w:lastRowLastColumn="0"/>
            </w:pPr>
            <w:r>
              <w:t>10524</w:t>
            </w:r>
          </w:p>
        </w:tc>
        <w:tc>
          <w:tcPr>
            <w:tcW w:w="921" w:type="dxa"/>
          </w:tcPr>
          <w:p w14:paraId="53D86C39" w14:textId="3324293D" w:rsidR="00AC31E5" w:rsidRPr="00105793" w:rsidRDefault="00CB28D3" w:rsidP="00396387">
            <w:pPr>
              <w:cnfStyle w:val="000000000000" w:firstRow="0" w:lastRow="0" w:firstColumn="0" w:lastColumn="0" w:oddVBand="0" w:evenVBand="0" w:oddHBand="0" w:evenHBand="0" w:firstRowFirstColumn="0" w:firstRowLastColumn="0" w:lastRowFirstColumn="0" w:lastRowLastColumn="0"/>
            </w:pPr>
            <w:r>
              <w:t>36028</w:t>
            </w:r>
          </w:p>
        </w:tc>
        <w:tc>
          <w:tcPr>
            <w:tcW w:w="921" w:type="dxa"/>
          </w:tcPr>
          <w:p w14:paraId="30BCB0A8"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9 357</w:t>
            </w:r>
          </w:p>
        </w:tc>
        <w:tc>
          <w:tcPr>
            <w:tcW w:w="921" w:type="dxa"/>
          </w:tcPr>
          <w:p w14:paraId="51D1F0BA"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9 712</w:t>
            </w:r>
          </w:p>
        </w:tc>
        <w:tc>
          <w:tcPr>
            <w:tcW w:w="921" w:type="dxa"/>
          </w:tcPr>
          <w:p w14:paraId="7E0CE549"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9 386</w:t>
            </w:r>
          </w:p>
        </w:tc>
      </w:tr>
      <w:tr w:rsidR="00AC31E5" w:rsidRPr="00105793" w14:paraId="264D42D4" w14:textId="77777777" w:rsidTr="00183623">
        <w:trPr>
          <w:trHeight w:val="247"/>
          <w:jc w:val="right"/>
        </w:trPr>
        <w:tc>
          <w:tcPr>
            <w:cnfStyle w:val="001000000000" w:firstRow="0" w:lastRow="0" w:firstColumn="1" w:lastColumn="0" w:oddVBand="0" w:evenVBand="0" w:oddHBand="0" w:evenHBand="0" w:firstRowFirstColumn="0" w:firstRowLastColumn="0" w:lastRowFirstColumn="0" w:lastRowLastColumn="0"/>
            <w:tcW w:w="5035" w:type="dxa"/>
          </w:tcPr>
          <w:p w14:paraId="57809567" w14:textId="77777777" w:rsidR="00AC31E5" w:rsidRPr="00105793" w:rsidRDefault="00AC31E5" w:rsidP="00396387">
            <w:r w:rsidRPr="00105793">
              <w:t>Total assets</w:t>
            </w:r>
          </w:p>
        </w:tc>
        <w:tc>
          <w:tcPr>
            <w:tcW w:w="920" w:type="dxa"/>
            <w:tcBorders>
              <w:bottom w:val="nil"/>
            </w:tcBorders>
            <w:shd w:val="clear" w:color="auto" w:fill="auto"/>
          </w:tcPr>
          <w:p w14:paraId="7AF0775E"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312 669</w:t>
            </w:r>
          </w:p>
        </w:tc>
        <w:tc>
          <w:tcPr>
            <w:tcW w:w="921" w:type="dxa"/>
          </w:tcPr>
          <w:p w14:paraId="76204103"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305 662</w:t>
            </w:r>
          </w:p>
        </w:tc>
        <w:tc>
          <w:tcPr>
            <w:tcW w:w="921" w:type="dxa"/>
          </w:tcPr>
          <w:p w14:paraId="4E6B17A2"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227 759</w:t>
            </w:r>
          </w:p>
        </w:tc>
        <w:tc>
          <w:tcPr>
            <w:tcW w:w="921" w:type="dxa"/>
          </w:tcPr>
          <w:p w14:paraId="7D769251"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228 314</w:t>
            </w:r>
          </w:p>
        </w:tc>
        <w:tc>
          <w:tcPr>
            <w:tcW w:w="921" w:type="dxa"/>
          </w:tcPr>
          <w:p w14:paraId="48D81FEA"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227 897</w:t>
            </w:r>
          </w:p>
        </w:tc>
      </w:tr>
      <w:tr w:rsidR="00AC31E5" w:rsidRPr="00105793" w14:paraId="0E439B24" w14:textId="77777777" w:rsidTr="00183623">
        <w:trPr>
          <w:trHeight w:val="262"/>
          <w:jc w:val="right"/>
        </w:trPr>
        <w:tc>
          <w:tcPr>
            <w:cnfStyle w:val="001000000000" w:firstRow="0" w:lastRow="0" w:firstColumn="1" w:lastColumn="0" w:oddVBand="0" w:evenVBand="0" w:oddHBand="0" w:evenHBand="0" w:firstRowFirstColumn="0" w:firstRowLastColumn="0" w:lastRowFirstColumn="0" w:lastRowLastColumn="0"/>
            <w:tcW w:w="5035" w:type="dxa"/>
          </w:tcPr>
          <w:p w14:paraId="7D098B4A" w14:textId="77777777" w:rsidR="00AC31E5" w:rsidRPr="00105793" w:rsidRDefault="00AC31E5" w:rsidP="00396387">
            <w:r w:rsidRPr="00105793">
              <w:t>Total liabilities</w:t>
            </w:r>
          </w:p>
        </w:tc>
        <w:tc>
          <w:tcPr>
            <w:tcW w:w="920" w:type="dxa"/>
            <w:tcBorders>
              <w:bottom w:val="single" w:sz="12" w:space="0" w:color="auto"/>
            </w:tcBorders>
            <w:shd w:val="clear" w:color="auto" w:fill="auto"/>
          </w:tcPr>
          <w:p w14:paraId="723192A3"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179 494</w:t>
            </w:r>
          </w:p>
        </w:tc>
        <w:tc>
          <w:tcPr>
            <w:tcW w:w="921" w:type="dxa"/>
          </w:tcPr>
          <w:p w14:paraId="72D361AF"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191 676</w:t>
            </w:r>
          </w:p>
        </w:tc>
        <w:tc>
          <w:tcPr>
            <w:tcW w:w="921" w:type="dxa"/>
          </w:tcPr>
          <w:p w14:paraId="32577B20"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39 419</w:t>
            </w:r>
          </w:p>
        </w:tc>
        <w:tc>
          <w:tcPr>
            <w:tcW w:w="921" w:type="dxa"/>
          </w:tcPr>
          <w:p w14:paraId="611B3A8A"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37 150</w:t>
            </w:r>
          </w:p>
        </w:tc>
        <w:tc>
          <w:tcPr>
            <w:tcW w:w="921" w:type="dxa"/>
          </w:tcPr>
          <w:p w14:paraId="6CA197A6" w14:textId="77777777" w:rsidR="00AC31E5" w:rsidRPr="00105793" w:rsidRDefault="00AC31E5" w:rsidP="00396387">
            <w:pPr>
              <w:cnfStyle w:val="000000000000" w:firstRow="0" w:lastRow="0" w:firstColumn="0" w:lastColumn="0" w:oddVBand="0" w:evenVBand="0" w:oddHBand="0" w:evenHBand="0" w:firstRowFirstColumn="0" w:firstRowLastColumn="0" w:lastRowFirstColumn="0" w:lastRowLastColumn="0"/>
            </w:pPr>
            <w:r w:rsidRPr="00105793">
              <w:t>36 117</w:t>
            </w:r>
          </w:p>
        </w:tc>
      </w:tr>
    </w:tbl>
    <w:p w14:paraId="11BDE036" w14:textId="2B94ABB3" w:rsidR="00DC39DE" w:rsidRDefault="00DC39DE" w:rsidP="00C11C77">
      <w:pPr>
        <w:pStyle w:val="Note"/>
      </w:pPr>
      <w:r>
        <w:t>Notes:</w:t>
      </w:r>
    </w:p>
    <w:p w14:paraId="2A514546" w14:textId="06E8B4E8" w:rsidR="00453E15" w:rsidRPr="000529B6" w:rsidRDefault="00453E15" w:rsidP="00453E15">
      <w:pPr>
        <w:pStyle w:val="Note"/>
      </w:pPr>
      <w:r>
        <w:t>(a)</w:t>
      </w:r>
      <w:r>
        <w:tab/>
        <w:t xml:space="preserve">This table </w:t>
      </w:r>
      <w:r w:rsidR="0087471A">
        <w:t>present</w:t>
      </w:r>
      <w:r w:rsidR="00804533">
        <w:t>s</w:t>
      </w:r>
      <w:r w:rsidR="0087471A">
        <w:t xml:space="preserve"> data </w:t>
      </w:r>
      <w:r>
        <w:t xml:space="preserve">from the current reporting year with comparative data from the past </w:t>
      </w:r>
      <w:r w:rsidR="0087471A">
        <w:t xml:space="preserve">four </w:t>
      </w:r>
      <w:r>
        <w:t xml:space="preserve">reporting years. Year </w:t>
      </w:r>
      <w:r w:rsidR="0087471A">
        <w:t>5</w:t>
      </w:r>
      <w:r>
        <w:t xml:space="preserve"> </w:t>
      </w:r>
      <w:r w:rsidR="00025232">
        <w:t>represents</w:t>
      </w:r>
      <w:r>
        <w:t xml:space="preserve"> the current year (</w:t>
      </w:r>
      <w:fldSimple w:instr="DOCPROPERTY  FinYearCurrent  \* MERGEFORMAT">
        <w:fldSimple w:instr="DOCPROPERTY  YearCurrent  \* MERGEFORMAT">
          <w:r w:rsidR="0087471A">
            <w:t>20X2</w:t>
          </w:r>
        </w:fldSimple>
      </w:fldSimple>
      <w:r>
        <w:t>).</w:t>
      </w:r>
    </w:p>
    <w:p w14:paraId="3C4F3881" w14:textId="1EF8458F" w:rsidR="00DC39DE" w:rsidRDefault="00DC39DE" w:rsidP="00C11C77">
      <w:pPr>
        <w:pStyle w:val="Note"/>
      </w:pPr>
      <w:r>
        <w:t>(</w:t>
      </w:r>
      <w:r w:rsidR="009F0897">
        <w:t>b</w:t>
      </w:r>
      <w:r>
        <w:t>)</w:t>
      </w:r>
      <w:r>
        <w:tab/>
        <w:t>Income from government includes both output and special appropriations.</w:t>
      </w:r>
    </w:p>
    <w:p w14:paraId="4637923E" w14:textId="35912F81" w:rsidR="00DC39DE" w:rsidRDefault="00DC39DE" w:rsidP="00C11C77">
      <w:pPr>
        <w:pStyle w:val="Note"/>
      </w:pPr>
      <w:r>
        <w:t>(</w:t>
      </w:r>
      <w:r w:rsidR="009F0897">
        <w:t>c</w:t>
      </w:r>
      <w:r>
        <w:t>)</w:t>
      </w:r>
      <w:r>
        <w:tab/>
        <w:t>The ‘net result from transactions’ is identical to the ‘net operating balance’ for the general government sector.</w:t>
      </w:r>
    </w:p>
    <w:p w14:paraId="5CF22525" w14:textId="1DD83651" w:rsidR="00DC39DE" w:rsidRDefault="00DC39DE" w:rsidP="00C11C77">
      <w:pPr>
        <w:pStyle w:val="Note"/>
      </w:pPr>
      <w:r>
        <w:t>(</w:t>
      </w:r>
      <w:r w:rsidR="009F0897">
        <w:t>d</w:t>
      </w:r>
      <w:r>
        <w:t>)</w:t>
      </w:r>
      <w:r>
        <w:tab/>
        <w:t>Includes net result from discontinued operations.</w:t>
      </w:r>
    </w:p>
    <w:p w14:paraId="5087E75D" w14:textId="77777777" w:rsidR="00DC39DE" w:rsidRDefault="00DC39DE" w:rsidP="00DC39DE"/>
    <w:p w14:paraId="1178D4A6" w14:textId="77777777" w:rsidR="00B24602" w:rsidRDefault="00B24602">
      <w:pPr>
        <w:keepLines w:val="0"/>
        <w:rPr>
          <w:rFonts w:asciiTheme="majorHAnsi" w:eastAsiaTheme="majorEastAsia" w:hAnsiTheme="majorHAnsi" w:cstheme="majorBidi"/>
          <w:b/>
          <w:sz w:val="26"/>
          <w:szCs w:val="26"/>
        </w:rPr>
      </w:pPr>
      <w:r>
        <w:br w:type="page"/>
      </w:r>
    </w:p>
    <w:p w14:paraId="08C3BC58" w14:textId="401F7283" w:rsidR="00DC39DE" w:rsidRDefault="00DC39DE" w:rsidP="00C11C77">
      <w:pPr>
        <w:pStyle w:val="Heading2"/>
      </w:pPr>
      <w:bookmarkStart w:id="110" w:name="INDEX_Sum_Fin_Result"/>
      <w:bookmarkStart w:id="111" w:name="_Toc199156275"/>
      <w:bookmarkEnd w:id="110"/>
      <w:r>
        <w:lastRenderedPageBreak/>
        <w:t>Departmental current year financial review</w:t>
      </w:r>
      <w:bookmarkEnd w:id="111"/>
    </w:p>
    <w:p w14:paraId="3081639F" w14:textId="0AA87BB9" w:rsidR="00C11C77" w:rsidRPr="00C11C77" w:rsidRDefault="00C11C77" w:rsidP="00C11C77">
      <w:pPr>
        <w:pStyle w:val="Heading3"/>
      </w:pPr>
      <w:r w:rsidRPr="00C11C77">
        <w:t>Overview</w:t>
      </w:r>
      <w:r>
        <w:t xml:space="preserve"> </w:t>
      </w:r>
      <w:r w:rsidRPr="00C11C77">
        <w:rPr>
          <w:rStyle w:val="Reference"/>
        </w:rPr>
        <w:t>[FRD 22]</w:t>
      </w:r>
    </w:p>
    <w:p w14:paraId="581D427A" w14:textId="5A650C9A" w:rsidR="00DC39DE" w:rsidRPr="00C11C77" w:rsidRDefault="00DC39DE" w:rsidP="00DC39DE">
      <w:pPr>
        <w:rPr>
          <w:rStyle w:val="Guidance"/>
        </w:rPr>
      </w:pPr>
      <w:r w:rsidRPr="00C11C77">
        <w:rPr>
          <w:rStyle w:val="Guidance"/>
        </w:rPr>
        <w:t>[Analysis of the current year financial performance should be balanced and objective, free from bias and complete, dealing even-handedly with both positive and negative aspects of operations, financial conditions, risks and opportunities. In addition, analysis of any significant overall financial trends over the past five years could also be considered for inclusion in this section further explaining the five</w:t>
      </w:r>
      <w:r w:rsidR="00C11C77" w:rsidRPr="00C11C77">
        <w:rPr>
          <w:rStyle w:val="Guidance"/>
        </w:rPr>
        <w:t>-</w:t>
      </w:r>
      <w:r w:rsidRPr="00C11C77">
        <w:rPr>
          <w:rStyle w:val="Guidance"/>
        </w:rPr>
        <w:t>year financial summary table above.]</w:t>
      </w:r>
    </w:p>
    <w:p w14:paraId="758C193C" w14:textId="11D2261C" w:rsidR="00DC39DE" w:rsidRDefault="00DC39DE" w:rsidP="00F64C67">
      <w:r>
        <w:t>The Victorian Government considers the net result from transactions to be the appropriate measure of financial management that can be directly attributed to government policy. This measure excludes the effects of revaluations (holding gains or losses) arising from changes in market prices and other changes in the volume of assets shown under ‘other economic flows’ on the comprehensive operating statement, which are outside the control of the Department.</w:t>
      </w:r>
    </w:p>
    <w:p w14:paraId="1AB1079D" w14:textId="00C7854D" w:rsidR="00DC39DE" w:rsidRDefault="00DC39DE" w:rsidP="00F64C67">
      <w:r>
        <w:t>In</w:t>
      </w:r>
      <w:r w:rsidR="00C11C77">
        <w:t xml:space="preserve"> </w:t>
      </w:r>
      <w:fldSimple w:instr="DOCPROPERTY  FinYearCurrent  \* MERGEFORMAT">
        <w:r w:rsidR="002831D1">
          <w:t>20X1</w:t>
        </w:r>
        <w:r w:rsidR="002831D1" w:rsidRPr="002831D1">
          <w:rPr>
            <w:rFonts w:ascii="Cambria Math" w:hAnsi="Cambria Math" w:cs="Cambria Math"/>
          </w:rPr>
          <w:t>‑</w:t>
        </w:r>
        <w:r w:rsidR="002831D1">
          <w:t>X2</w:t>
        </w:r>
      </w:fldSimple>
      <w:r>
        <w:t xml:space="preserve">, the Department achieved a net result from transactions of $18.8 million, $13.0 million higher than in </w:t>
      </w:r>
      <w:fldSimple w:instr="DOCPROPERTY  FinYearPrevious  \* MERGEFORMAT">
        <w:r w:rsidR="00A545BA">
          <w:t>20X0</w:t>
        </w:r>
        <w:r w:rsidR="00A545BA" w:rsidRPr="00A545BA">
          <w:rPr>
            <w:rFonts w:ascii="Cambria Math" w:hAnsi="Cambria Math" w:cs="Cambria Math"/>
          </w:rPr>
          <w:t>‑</w:t>
        </w:r>
        <w:r w:rsidR="00A545BA">
          <w:t>X1</w:t>
        </w:r>
      </w:fldSimple>
      <w:r>
        <w:t xml:space="preserve">. Both total income and expenses from transactions have steadily increased </w:t>
      </w:r>
      <w:r w:rsidR="003053EB">
        <w:t>over the past three years</w:t>
      </w:r>
      <w:r>
        <w:t xml:space="preserve"> and the net result from transactions has been relatively consistent during these periods. However, there is an uncharacteristic decline in both income and expenses from transactions in </w:t>
      </w:r>
      <w:fldSimple w:instr="DOCPROPERTY  FinYearPrevious  \* MERGEFORMAT">
        <w:r w:rsidR="00A545BA">
          <w:t>20X0</w:t>
        </w:r>
        <w:r w:rsidR="00A545BA" w:rsidRPr="00A545BA">
          <w:rPr>
            <w:rFonts w:ascii="Cambria Math" w:hAnsi="Cambria Math" w:cs="Cambria Math"/>
          </w:rPr>
          <w:t>‑</w:t>
        </w:r>
        <w:r w:rsidR="00A545BA">
          <w:t>X1</w:t>
        </w:r>
      </w:fldSimple>
      <w:r>
        <w:t xml:space="preserve"> before stabilising again in </w:t>
      </w:r>
      <w:fldSimple w:instr="DOCPROPERTY  FinYearCurrent  \* MERGEFORMAT">
        <w:r w:rsidR="000E6299">
          <w:t>20X1</w:t>
        </w:r>
        <w:r w:rsidR="000E6299" w:rsidRPr="000E6299">
          <w:rPr>
            <w:rFonts w:ascii="Cambria Math" w:hAnsi="Cambria Math" w:cs="Cambria Math"/>
          </w:rPr>
          <w:t>‑</w:t>
        </w:r>
        <w:r w:rsidR="000E6299">
          <w:t>X2</w:t>
        </w:r>
      </w:fldSimple>
      <w:r>
        <w:t xml:space="preserve">, mainly due to: </w:t>
      </w:r>
      <w:r w:rsidRPr="00C918FB">
        <w:rPr>
          <w:rStyle w:val="Guidance"/>
        </w:rPr>
        <w:t>[while this example considers the current year and past five years’ performance, explanations should be kept brief in this overview section. Where possible, explanations should attribute the key drivers to related services or programs]</w:t>
      </w:r>
      <w:r>
        <w:t>.</w:t>
      </w:r>
    </w:p>
    <w:p w14:paraId="147DCC68" w14:textId="2E713EDE" w:rsidR="00DC39DE" w:rsidRDefault="00DC39DE" w:rsidP="00F64C67">
      <w:r>
        <w:t>The overall net result of $6.2 million in</w:t>
      </w:r>
      <w:r w:rsidR="00C11C77">
        <w:t xml:space="preserve"> </w:t>
      </w:r>
      <w:fldSimple w:instr="DOCPROPERTY  FinYearCurrent  \* MERGEFORMAT">
        <w:r w:rsidR="00091AF1">
          <w:t>20X1</w:t>
        </w:r>
        <w:r w:rsidR="00091AF1">
          <w:rPr>
            <w:rFonts w:ascii="Cambria Math" w:hAnsi="Cambria Math" w:cs="Cambria Math"/>
          </w:rPr>
          <w:t>‑</w:t>
        </w:r>
        <w:r w:rsidR="00091AF1">
          <w:t>X2</w:t>
        </w:r>
      </w:fldSimple>
      <w:r>
        <w:t xml:space="preserve"> </w:t>
      </w:r>
      <w:r w:rsidR="00752DB9">
        <w:t xml:space="preserve">dropped from $6.9 million in </w:t>
      </w:r>
      <w:fldSimple w:instr="DOCPROPERTY  FinYearPrevious  \* MERGEFORMAT">
        <w:r w:rsidR="00091AF1">
          <w:t>20X0</w:t>
        </w:r>
        <w:r w:rsidR="00091AF1">
          <w:rPr>
            <w:rFonts w:ascii="Cambria Math" w:hAnsi="Cambria Math" w:cs="Cambria Math"/>
          </w:rPr>
          <w:t>‑</w:t>
        </w:r>
        <w:r w:rsidR="00091AF1">
          <w:t>X1</w:t>
        </w:r>
      </w:fldSimple>
      <w:r>
        <w:t xml:space="preserve"> as a result of </w:t>
      </w:r>
      <w:r w:rsidRPr="00C918FB">
        <w:rPr>
          <w:rStyle w:val="Guidance"/>
        </w:rPr>
        <w:t>[consider brief explanations of the key drivers from transactions and other economic flows, attributing the explanation where possible to programs or services].</w:t>
      </w:r>
    </w:p>
    <w:p w14:paraId="3917785D" w14:textId="43D9A780" w:rsidR="00DC39DE" w:rsidRDefault="00DC39DE" w:rsidP="00DC39DE">
      <w:r>
        <w:t xml:space="preserve">Total net assets continued to grow with an increase of $19.2 million in </w:t>
      </w:r>
      <w:fldSimple w:instr="DOCPROPERTY  FinYearCurrent  \* MERGEFORMAT">
        <w:r w:rsidR="000E6299">
          <w:t>20X1</w:t>
        </w:r>
        <w:r w:rsidR="000E6299" w:rsidRPr="000E6299">
          <w:rPr>
            <w:rFonts w:ascii="Cambria Math" w:hAnsi="Cambria Math" w:cs="Cambria Math"/>
          </w:rPr>
          <w:t>‑</w:t>
        </w:r>
        <w:r w:rsidR="000E6299">
          <w:t>X2</w:t>
        </w:r>
      </w:fldSimple>
      <w:r w:rsidR="00C11C77">
        <w:t xml:space="preserve"> </w:t>
      </w:r>
      <w:r>
        <w:t xml:space="preserve">to $133.2 million predominately reflecting the growth in total asset base, including: </w:t>
      </w:r>
      <w:r w:rsidRPr="0067069B">
        <w:rPr>
          <w:rStyle w:val="Guidance"/>
        </w:rPr>
        <w:t>[consider brief explanations of key drivers, attributing the explanation where possible to programs or services]</w:t>
      </w:r>
      <w:r>
        <w:t>.</w:t>
      </w:r>
    </w:p>
    <w:p w14:paraId="547165AB" w14:textId="7CA5AC1E" w:rsidR="00DC39DE" w:rsidRDefault="00DC39DE" w:rsidP="00DC39DE">
      <w:r>
        <w:t>The decline in operating cash inflows to $</w:t>
      </w:r>
      <w:r w:rsidR="00752DB9">
        <w:t>10.5</w:t>
      </w:r>
      <w:r>
        <w:t xml:space="preserve"> million from last year’s $</w:t>
      </w:r>
      <w:r w:rsidR="00752DB9">
        <w:t>36.0</w:t>
      </w:r>
      <w:r>
        <w:t xml:space="preserve"> million is mainly due to the Department relinquishing a joint venture to the Department of Cabinet Administration as a result of machinery of government changes. Consequently, dividends from the venture are now received by the latter Department.</w:t>
      </w:r>
    </w:p>
    <w:p w14:paraId="2D248EDD" w14:textId="4985A6D8" w:rsidR="0067069B" w:rsidRDefault="0067069B" w:rsidP="0015535E">
      <w:pPr>
        <w:pStyle w:val="Heading3"/>
      </w:pPr>
      <w:r w:rsidRPr="0067069B">
        <w:t>Financial performance and business review</w:t>
      </w:r>
      <w:r>
        <w:t xml:space="preserve"> </w:t>
      </w:r>
      <w:r w:rsidRPr="0067069B">
        <w:rPr>
          <w:rStyle w:val="Reference"/>
        </w:rPr>
        <w:t>[FRD 22]</w:t>
      </w:r>
    </w:p>
    <w:p w14:paraId="1D5641D1" w14:textId="0E34DC47" w:rsidR="00DC39DE" w:rsidRDefault="00DC39DE" w:rsidP="00DC39DE">
      <w:r>
        <w:t xml:space="preserve">As part of the Administrative Arrangements Order </w:t>
      </w:r>
      <w:r w:rsidRPr="0067069B">
        <w:rPr>
          <w:rStyle w:val="Guidance"/>
        </w:rPr>
        <w:t>[No.XXX]</w:t>
      </w:r>
      <w:r w:rsidR="00C918FB">
        <w:t xml:space="preserve"> </w:t>
      </w:r>
      <w:fldSimple w:instr="DOCPROPERTY  YearCurrent  \* MERGEFORMAT">
        <w:r w:rsidR="00A545BA">
          <w:t>20X2</w:t>
        </w:r>
      </w:fldSimple>
      <w:r>
        <w:t xml:space="preserve">, the transfer of outputs on 1 September </w:t>
      </w:r>
      <w:fldSimple w:instr="DOCPROPERTY  YearPrevious  \* MERGEFORMAT">
        <w:r w:rsidR="00A545BA">
          <w:t>20X1</w:t>
        </w:r>
      </w:fldSimple>
      <w:r>
        <w:t xml:space="preserve"> was reflected in the financial statement of the Department as follows:</w:t>
      </w:r>
    </w:p>
    <w:p w14:paraId="1127A999" w14:textId="275E9602" w:rsidR="00DC39DE" w:rsidRDefault="00DC39DE" w:rsidP="00367D84">
      <w:pPr>
        <w:pStyle w:val="ListBullet"/>
        <w:numPr>
          <w:ilvl w:val="0"/>
          <w:numId w:val="15"/>
        </w:numPr>
      </w:pPr>
      <w:r>
        <w:t xml:space="preserve">the New Technology Administration output is included for the period 1 July until 31 August </w:t>
      </w:r>
      <w:fldSimple w:instr="DOCPROPERTY  YearPrevious  \* MERGEFORMAT">
        <w:r w:rsidR="00A545BA">
          <w:t>20X1</w:t>
        </w:r>
      </w:fldSimple>
      <w:r>
        <w:t xml:space="preserve">. From 1 September </w:t>
      </w:r>
      <w:fldSimple w:instr="DOCPROPERTY  YearPrevious  \* MERGEFORMAT">
        <w:r w:rsidR="00A545BA">
          <w:t>20X1</w:t>
        </w:r>
      </w:fldSimple>
      <w:r>
        <w:t xml:space="preserve"> to 30 June </w:t>
      </w:r>
      <w:fldSimple w:instr="DOCPROPERTY  YearCurrent  \* MERGEFORMAT">
        <w:r w:rsidR="00A545BA">
          <w:t>20X2</w:t>
        </w:r>
      </w:fldSimple>
      <w:r>
        <w:t xml:space="preserve"> this output is reported by the Department of Cabinet and Administration</w:t>
      </w:r>
    </w:p>
    <w:p w14:paraId="39A20EAD" w14:textId="430C2202" w:rsidR="00DC39DE" w:rsidRDefault="00DC39DE" w:rsidP="00367D84">
      <w:pPr>
        <w:pStyle w:val="ListBullet"/>
        <w:numPr>
          <w:ilvl w:val="0"/>
          <w:numId w:val="15"/>
        </w:numPr>
      </w:pPr>
      <w:r>
        <w:t xml:space="preserve">the Research and Development of Biological Technology output is included from 1 September </w:t>
      </w:r>
      <w:fldSimple w:instr="DOCPROPERTY  YearPrevious  \* MERGEFORMAT">
        <w:r w:rsidR="00A545BA">
          <w:t>20X1</w:t>
        </w:r>
      </w:fldSimple>
      <w:r>
        <w:t xml:space="preserve"> to 30 June </w:t>
      </w:r>
      <w:fldSimple w:instr="DOCPROPERTY  YearCurrent  \* MERGEFORMAT">
        <w:r w:rsidR="00A545BA">
          <w:t>20X2</w:t>
        </w:r>
      </w:fldSimple>
      <w:r>
        <w:t xml:space="preserve">. From 1 July to 31 August </w:t>
      </w:r>
      <w:fldSimple w:instr="DOCPROPERTY  YearPrevious  \* MERGEFORMAT">
        <w:r w:rsidR="00A545BA">
          <w:t>20X1</w:t>
        </w:r>
      </w:fldSimple>
      <w:r>
        <w:t xml:space="preserve"> it was reported by the Department of Natural Resources.</w:t>
      </w:r>
    </w:p>
    <w:p w14:paraId="1919D040" w14:textId="11B55337" w:rsidR="00DC39DE" w:rsidRDefault="00DC39DE" w:rsidP="00DC39DE">
      <w:r>
        <w:t xml:space="preserve">The Department achieved a higher net result from transactions in </w:t>
      </w:r>
      <w:fldSimple w:instr="DOCPROPERTY  FinYearCurrent  \* MERGEFORMAT">
        <w:r w:rsidR="000E6299">
          <w:t>20X1</w:t>
        </w:r>
        <w:r w:rsidR="000E6299" w:rsidRPr="000E6299">
          <w:rPr>
            <w:rFonts w:ascii="Cambria Math" w:hAnsi="Cambria Math" w:cs="Cambria Math"/>
          </w:rPr>
          <w:t>‑</w:t>
        </w:r>
        <w:r w:rsidR="000E6299">
          <w:t>X2</w:t>
        </w:r>
      </w:fldSimple>
      <w:r>
        <w:t xml:space="preserve"> of $18.8 million, income increased due to funding for the new technology output from the State Government being transferred out following the machinery of government changes as outlined above. However, the reduced appropriation was largely offset by the increase in income of $21.3 million generated by the strategic output, and the funding related to the research and development of biological technology output transferred in due to machinery of government changes.</w:t>
      </w:r>
    </w:p>
    <w:p w14:paraId="0E56F315" w14:textId="6C289DC7" w:rsidR="00DC39DE" w:rsidRDefault="00DC39DE" w:rsidP="00DC39DE">
      <w:r>
        <w:t xml:space="preserve">Expenses from transactions marginally increased largely due to machinery of government changes resulting in increased expenses related to the new output received, even as the overall expenses of existing outputs have decreased. </w:t>
      </w:r>
      <w:r w:rsidRPr="0015535E">
        <w:rPr>
          <w:rStyle w:val="Guidance"/>
        </w:rPr>
        <w:t>[Expand the information presented in the overview section drawing attention to certain line items in the comprehensive operating statement, and relate these where possible to key drivers from programs/services etc.]</w:t>
      </w:r>
      <w:r>
        <w:t xml:space="preserve"> Overall, 50 per cent of expenses went to payments to service providers mainly for </w:t>
      </w:r>
      <w:r w:rsidRPr="0015535E">
        <w:rPr>
          <w:rStyle w:val="Guidance"/>
        </w:rPr>
        <w:t>[complete with a list of key programs/services]</w:t>
      </w:r>
      <w:r w:rsidR="0015535E">
        <w:t>.</w:t>
      </w:r>
    </w:p>
    <w:p w14:paraId="38B81936" w14:textId="06C66BEF" w:rsidR="00DC39DE" w:rsidRDefault="00DC39DE" w:rsidP="00DC39DE">
      <w:r>
        <w:t xml:space="preserve">The decrease of $0.7 million </w:t>
      </w:r>
      <w:r w:rsidR="007B17F8">
        <w:t>(</w:t>
      </w:r>
      <w:r>
        <w:t>or 10 per cent</w:t>
      </w:r>
      <w:r w:rsidR="007B17F8">
        <w:t>)</w:t>
      </w:r>
      <w:r>
        <w:t xml:space="preserve"> in the net result for the period primarily reflects </w:t>
      </w:r>
      <w:r w:rsidRPr="0015535E">
        <w:rPr>
          <w:rStyle w:val="Guidance"/>
        </w:rPr>
        <w:t>[expand the discussion presented in the overview, drawing on key drivers where appropriate from line items under transactions and other economic flows. The overall result is likely to be driven by a combination of activities including offsetting activities]</w:t>
      </w:r>
      <w:r w:rsidR="0015535E" w:rsidRPr="0015535E">
        <w:t>.</w:t>
      </w:r>
    </w:p>
    <w:p w14:paraId="09AC0962" w14:textId="022FD437" w:rsidR="00DC39DE" w:rsidRDefault="00DC39DE" w:rsidP="00DC39DE">
      <w:r>
        <w:t xml:space="preserve">In addition, the overall comprehensive result increased due to valuation gains on property plant and equipment and </w:t>
      </w:r>
      <w:r w:rsidR="00E47EF6" w:rsidRPr="00E47EF6">
        <w:t>financial assets at fair value through other comprehensive income</w:t>
      </w:r>
      <w:r>
        <w:t xml:space="preserve">. </w:t>
      </w:r>
      <w:r w:rsidRPr="0015535E">
        <w:rPr>
          <w:rStyle w:val="Guidance"/>
        </w:rPr>
        <w:t>[</w:t>
      </w:r>
      <w:r w:rsidR="00FA1DFA">
        <w:rPr>
          <w:rStyle w:val="Guidance"/>
        </w:rPr>
        <w:t>Where appropriate, the key drivers for the movement can be expanded on. This includes discussing the key equity reserve movements for the reporting period].</w:t>
      </w:r>
    </w:p>
    <w:p w14:paraId="1086093C" w14:textId="05276AA6" w:rsidR="0015535E" w:rsidRDefault="0015535E" w:rsidP="0015535E">
      <w:pPr>
        <w:pStyle w:val="Heading3"/>
      </w:pPr>
      <w:r w:rsidRPr="0015535E">
        <w:lastRenderedPageBreak/>
        <w:t>Financial position – balance sheet</w:t>
      </w:r>
      <w:r>
        <w:t xml:space="preserve"> </w:t>
      </w:r>
      <w:r w:rsidRPr="0015535E">
        <w:rPr>
          <w:rStyle w:val="Reference"/>
        </w:rPr>
        <w:t>[FRD 22]</w:t>
      </w:r>
    </w:p>
    <w:p w14:paraId="27F0A322" w14:textId="52EE06C1" w:rsidR="00DC39DE" w:rsidRDefault="00DC39DE" w:rsidP="00DC39DE">
      <w:r>
        <w:t>Net assets increased by $19.2 million over the year to $133.2 million, mainly due to increases in total assets of $7.0</w:t>
      </w:r>
      <w:r w:rsidR="00C918FB">
        <w:t> </w:t>
      </w:r>
      <w:r>
        <w:t>million comprising $12.8 million of increases in financial assets, partly offset by a reduction of $5.8 million in non</w:t>
      </w:r>
      <w:r w:rsidR="0015535E">
        <w:noBreakHyphen/>
      </w:r>
      <w:r>
        <w:t xml:space="preserve">financial assets. The increase in financial assets is mainly due to increase in cash, deposits, and receivables due to </w:t>
      </w:r>
      <w:r w:rsidRPr="0015535E">
        <w:rPr>
          <w:rStyle w:val="Guidance"/>
        </w:rPr>
        <w:t>[describe]</w:t>
      </w:r>
      <w:r>
        <w:t xml:space="preserve">. </w:t>
      </w:r>
    </w:p>
    <w:p w14:paraId="55AF2179" w14:textId="77777777" w:rsidR="00DC39DE" w:rsidRDefault="00DC39DE" w:rsidP="00DC39DE">
      <w:r>
        <w:t xml:space="preserve">The overall total of non-financial assets marginally increased due to the combined effect of decreases in plant, equipment and vehicles related to output transferred out (refer to Note 5.1 </w:t>
      </w:r>
      <w:r w:rsidRPr="0015535E">
        <w:rPr>
          <w:i/>
          <w:iCs/>
        </w:rPr>
        <w:t>Total property, plant and equipment</w:t>
      </w:r>
      <w:r>
        <w:t xml:space="preserve"> within the financial statements for further details), offset by:</w:t>
      </w:r>
    </w:p>
    <w:p w14:paraId="3AA3FBCB" w14:textId="543305F8" w:rsidR="00DC39DE" w:rsidRDefault="00DC39DE" w:rsidP="00367D84">
      <w:pPr>
        <w:pStyle w:val="ListBullet"/>
        <w:numPr>
          <w:ilvl w:val="0"/>
          <w:numId w:val="16"/>
        </w:numPr>
      </w:pPr>
      <w:r>
        <w:t>acquisition of laboratories and other agricultural facilities associated with the transfer of the research and development of biological technology output</w:t>
      </w:r>
    </w:p>
    <w:p w14:paraId="3FFF769C" w14:textId="4478E69E" w:rsidR="00DC39DE" w:rsidRDefault="00DC39DE" w:rsidP="00367D84">
      <w:pPr>
        <w:pStyle w:val="ListBullet"/>
        <w:numPr>
          <w:ilvl w:val="0"/>
          <w:numId w:val="16"/>
        </w:numPr>
      </w:pPr>
      <w:r>
        <w:t xml:space="preserve">new research laboratories built at Mildura and Wonthaggi to study the impact of extreme weather conditions on agricultural crops and natural vegetation </w:t>
      </w:r>
    </w:p>
    <w:p w14:paraId="46760CAC" w14:textId="6D3407F9" w:rsidR="00DC39DE" w:rsidRDefault="00DC39DE" w:rsidP="00367D84">
      <w:pPr>
        <w:pStyle w:val="ListBullet"/>
        <w:numPr>
          <w:ilvl w:val="0"/>
          <w:numId w:val="16"/>
        </w:numPr>
      </w:pPr>
      <w:r>
        <w:t xml:space="preserve">increases due to </w:t>
      </w:r>
      <w:r w:rsidRPr="0015535E">
        <w:rPr>
          <w:rStyle w:val="Guidance"/>
        </w:rPr>
        <w:t>[describe key drivers, e.g. addition, disposal, impairment]</w:t>
      </w:r>
      <w:r>
        <w:t xml:space="preserve"> in plant, equipment and vehicles in the public administration and transport and communications sectors </w:t>
      </w:r>
    </w:p>
    <w:p w14:paraId="39D0FFB2" w14:textId="487B1FE1" w:rsidR="00DC39DE" w:rsidRDefault="00DC39DE" w:rsidP="00367D84">
      <w:pPr>
        <w:pStyle w:val="ListBullet"/>
        <w:numPr>
          <w:ilvl w:val="0"/>
          <w:numId w:val="16"/>
        </w:numPr>
      </w:pPr>
      <w:r>
        <w:t>biological assets received from the new output transferred in.</w:t>
      </w:r>
    </w:p>
    <w:p w14:paraId="21EE2802" w14:textId="77777777" w:rsidR="00DC39DE" w:rsidRDefault="00DC39DE" w:rsidP="00DC39DE">
      <w:r>
        <w:t>Total liabilities decreased mainly due to some liabilities related to the new technology output transferred out as a result of machinery of government changes, slightly offset by liabilities recognised from the new output transferred in.</w:t>
      </w:r>
    </w:p>
    <w:p w14:paraId="2D361A59" w14:textId="77777777" w:rsidR="00DC39DE" w:rsidRDefault="00DC39DE" w:rsidP="0015535E">
      <w:pPr>
        <w:pStyle w:val="Heading3"/>
      </w:pPr>
      <w:r>
        <w:t>Cash flows</w:t>
      </w:r>
    </w:p>
    <w:p w14:paraId="0F9D8F11" w14:textId="5510FEBD" w:rsidR="00DC39DE" w:rsidRDefault="00DC39DE" w:rsidP="00B24602">
      <w:pPr>
        <w:keepNext/>
      </w:pPr>
      <w:r>
        <w:t>The overall cash surplus of $</w:t>
      </w:r>
      <w:r w:rsidR="00876D23">
        <w:t>13.6</w:t>
      </w:r>
      <w:r>
        <w:t xml:space="preserve"> million for the </w:t>
      </w:r>
      <w:fldSimple w:instr="DOCPROPERTY  FinYearCurrent  \* MERGEFORMAT">
        <w:r w:rsidR="002831D1">
          <w:t>20X1</w:t>
        </w:r>
        <w:r w:rsidR="002831D1" w:rsidRPr="002831D1">
          <w:rPr>
            <w:rFonts w:ascii="Cambria Math" w:hAnsi="Cambria Math" w:cs="Cambria Math"/>
          </w:rPr>
          <w:t>‑</w:t>
        </w:r>
        <w:r w:rsidR="002831D1">
          <w:t>X2</w:t>
        </w:r>
      </w:fldSimple>
      <w:r>
        <w:t xml:space="preserve"> financial year was a net </w:t>
      </w:r>
      <w:r w:rsidR="00876D23">
        <w:t xml:space="preserve">decrease </w:t>
      </w:r>
      <w:r>
        <w:t>of $</w:t>
      </w:r>
      <w:r w:rsidR="00876D23">
        <w:t>12.7</w:t>
      </w:r>
      <w:r>
        <w:t xml:space="preserve"> million compared to the previous year. This was the result of </w:t>
      </w:r>
      <w:r w:rsidRPr="0015535E">
        <w:rPr>
          <w:rStyle w:val="Guidance"/>
        </w:rPr>
        <w:t>[describe key drivers and reasons]</w:t>
      </w:r>
      <w:r>
        <w:t>.</w:t>
      </w:r>
    </w:p>
    <w:p w14:paraId="2A8644A3" w14:textId="2C260901" w:rsidR="00DC39DE" w:rsidRDefault="00DC39DE" w:rsidP="00DC39DE">
      <w:r>
        <w:t xml:space="preserve">Net cash outflows from investing activities increased by $2.3 million due to much higher payments of $23.8 million for non-financial assets, which included the purchase of the new research laboratories in Mildura and Wonthaggi. This was slightly offset by the proceeds from the disposal of discontinued businesses </w:t>
      </w:r>
      <w:r w:rsidRPr="0015535E">
        <w:rPr>
          <w:rStyle w:val="Guidance"/>
        </w:rPr>
        <w:t>[describe key drivers and reasons]</w:t>
      </w:r>
      <w:r>
        <w:t xml:space="preserve"> of $17.8</w:t>
      </w:r>
      <w:r w:rsidR="0015535E">
        <w:t> </w:t>
      </w:r>
      <w:r>
        <w:t>million.</w:t>
      </w:r>
    </w:p>
    <w:p w14:paraId="7C03E34C" w14:textId="658E9AD1" w:rsidR="00DC39DE" w:rsidRDefault="00DC39DE" w:rsidP="00DC39DE">
      <w:r>
        <w:t>The net cash inflows from operating activities was $1</w:t>
      </w:r>
      <w:r w:rsidR="004B2446">
        <w:t>0.5</w:t>
      </w:r>
      <w:r>
        <w:t xml:space="preserve"> million, and </w:t>
      </w:r>
      <w:r w:rsidR="004B2446">
        <w:t>70.8</w:t>
      </w:r>
      <w:r>
        <w:t xml:space="preserve"> per cent lower than in </w:t>
      </w:r>
      <w:fldSimple w:instr="DOCPROPERTY  FinYearPrevious  \* MERGEFORMAT">
        <w:r w:rsidR="00A545BA">
          <w:t>20X0</w:t>
        </w:r>
        <w:r w:rsidR="00A545BA" w:rsidRPr="00A545BA">
          <w:rPr>
            <w:rFonts w:ascii="Cambria Math" w:hAnsi="Cambria Math" w:cs="Cambria Math"/>
          </w:rPr>
          <w:t>‑</w:t>
        </w:r>
        <w:r w:rsidR="00A545BA">
          <w:t>X1</w:t>
        </w:r>
      </w:fldSimple>
      <w:r w:rsidR="0015535E">
        <w:t xml:space="preserve"> </w:t>
      </w:r>
      <w:r>
        <w:t xml:space="preserve">due to lower cash funding received from government </w:t>
      </w:r>
      <w:r w:rsidRPr="0015535E">
        <w:rPr>
          <w:rStyle w:val="Guidance"/>
        </w:rPr>
        <w:t>[describe key drivers and reasons]</w:t>
      </w:r>
      <w:r>
        <w:t>, while slightly offset by reduced payments for grants and payments to suppliers.</w:t>
      </w:r>
    </w:p>
    <w:p w14:paraId="5094D38B" w14:textId="740D54C3" w:rsidR="0002555B" w:rsidRDefault="0002555B" w:rsidP="0002555B">
      <w:pPr>
        <w:pStyle w:val="GuidanceBlockHeading"/>
      </w:pPr>
      <w:r>
        <w:t>Guidance – Departmental five-year financial summary and current year financial review</w:t>
      </w:r>
    </w:p>
    <w:p w14:paraId="78846B83" w14:textId="0022CDBA" w:rsidR="0002555B" w:rsidRPr="0002555B" w:rsidRDefault="0002555B" w:rsidP="0002555B">
      <w:pPr>
        <w:pStyle w:val="GuidanceHeading"/>
        <w:rPr>
          <w:rStyle w:val="Guidance"/>
        </w:rPr>
      </w:pPr>
      <w:r w:rsidRPr="0002555B">
        <w:rPr>
          <w:rStyle w:val="Guidance"/>
        </w:rPr>
        <w:t xml:space="preserve">Financial information </w:t>
      </w:r>
      <w:r w:rsidRPr="0002555B">
        <w:rPr>
          <w:rStyle w:val="Reference"/>
        </w:rPr>
        <w:t>[FRD 22]</w:t>
      </w:r>
    </w:p>
    <w:p w14:paraId="0B1D6FA3" w14:textId="4AE877E1" w:rsidR="0002555B" w:rsidRPr="0002555B" w:rsidRDefault="0002555B" w:rsidP="0002555B">
      <w:pPr>
        <w:rPr>
          <w:rStyle w:val="Guidance"/>
        </w:rPr>
      </w:pPr>
      <w:r w:rsidRPr="0002555B">
        <w:rPr>
          <w:rStyle w:val="Guidance"/>
        </w:rPr>
        <w:t>The financial information in the report of operation</w:t>
      </w:r>
      <w:r w:rsidR="003F0EC0">
        <w:rPr>
          <w:rStyle w:val="Guidance"/>
        </w:rPr>
        <w:t>s</w:t>
      </w:r>
      <w:r w:rsidRPr="0002555B">
        <w:rPr>
          <w:rStyle w:val="Guidance"/>
        </w:rPr>
        <w:t xml:space="preserve"> shall include the following information relating to the current reporting period:</w:t>
      </w:r>
    </w:p>
    <w:p w14:paraId="03507B30" w14:textId="523B0C32" w:rsidR="0002555B" w:rsidRPr="0002555B" w:rsidRDefault="0002555B" w:rsidP="00367D84">
      <w:pPr>
        <w:pStyle w:val="ListBullet"/>
        <w:numPr>
          <w:ilvl w:val="0"/>
          <w:numId w:val="17"/>
        </w:numPr>
        <w:rPr>
          <w:rStyle w:val="Guidance"/>
        </w:rPr>
      </w:pPr>
      <w:r w:rsidRPr="0002555B">
        <w:rPr>
          <w:rStyle w:val="Guidance"/>
        </w:rPr>
        <w:t xml:space="preserve">a summary of the financial results for the year, with comparative information for the preceding four reporting periods </w:t>
      </w:r>
    </w:p>
    <w:p w14:paraId="4192920A" w14:textId="3E4FB9C6" w:rsidR="0002555B" w:rsidRPr="0002555B" w:rsidRDefault="0002555B" w:rsidP="00367D84">
      <w:pPr>
        <w:pStyle w:val="ListBullet"/>
        <w:numPr>
          <w:ilvl w:val="0"/>
          <w:numId w:val="17"/>
        </w:numPr>
        <w:rPr>
          <w:rStyle w:val="Guidance"/>
        </w:rPr>
      </w:pPr>
      <w:r w:rsidRPr="0002555B">
        <w:rPr>
          <w:rStyle w:val="Guidance"/>
        </w:rPr>
        <w:t>a summary of the significant changes in financial position</w:t>
      </w:r>
    </w:p>
    <w:p w14:paraId="2EF96CEB" w14:textId="1396C077" w:rsidR="0002555B" w:rsidRPr="0002555B" w:rsidRDefault="0002555B" w:rsidP="00367D84">
      <w:pPr>
        <w:pStyle w:val="ListBullet"/>
        <w:numPr>
          <w:ilvl w:val="0"/>
          <w:numId w:val="17"/>
        </w:numPr>
        <w:rPr>
          <w:rStyle w:val="Guidance"/>
        </w:rPr>
      </w:pPr>
      <w:r w:rsidRPr="0002555B">
        <w:rPr>
          <w:rStyle w:val="Guidance"/>
        </w:rPr>
        <w:t xml:space="preserve">a summary of the operational and budgetary objectives, including performance against the objectives and significant achievements </w:t>
      </w:r>
    </w:p>
    <w:p w14:paraId="31D43157" w14:textId="19625F6A" w:rsidR="0002555B" w:rsidRPr="0002555B" w:rsidRDefault="0002555B" w:rsidP="00367D84">
      <w:pPr>
        <w:pStyle w:val="ListBullet"/>
        <w:numPr>
          <w:ilvl w:val="0"/>
          <w:numId w:val="17"/>
        </w:numPr>
        <w:rPr>
          <w:rStyle w:val="Guidance"/>
        </w:rPr>
      </w:pPr>
      <w:r w:rsidRPr="0002555B">
        <w:rPr>
          <w:rStyle w:val="Guidance"/>
        </w:rPr>
        <w:t>any events occurring after balance date that may significantly affect the entity’s operations in subsequent reporting periods</w:t>
      </w:r>
    </w:p>
    <w:p w14:paraId="61DD4AC3" w14:textId="6DF3123D" w:rsidR="00BE295B" w:rsidRDefault="0002555B" w:rsidP="00367D84">
      <w:pPr>
        <w:pStyle w:val="ListBullet"/>
        <w:numPr>
          <w:ilvl w:val="0"/>
          <w:numId w:val="17"/>
        </w:numPr>
        <w:rPr>
          <w:rStyle w:val="Guidance"/>
        </w:rPr>
      </w:pPr>
      <w:r w:rsidRPr="0002555B">
        <w:rPr>
          <w:rStyle w:val="Guidance"/>
        </w:rPr>
        <w:t xml:space="preserve">expenditure on consultancies </w:t>
      </w:r>
    </w:p>
    <w:p w14:paraId="34759266" w14:textId="6E67FC92" w:rsidR="0002555B" w:rsidRPr="0002555B" w:rsidRDefault="00BE295B" w:rsidP="00367D84">
      <w:pPr>
        <w:pStyle w:val="ListBullet"/>
        <w:numPr>
          <w:ilvl w:val="0"/>
          <w:numId w:val="17"/>
        </w:numPr>
        <w:rPr>
          <w:rStyle w:val="Guidance"/>
        </w:rPr>
      </w:pPr>
      <w:r>
        <w:rPr>
          <w:rStyle w:val="Guidance"/>
        </w:rPr>
        <w:t>expenditure on information and communications technologies (ICT)</w:t>
      </w:r>
    </w:p>
    <w:p w14:paraId="1D7E2AF3" w14:textId="435F95DA" w:rsidR="0002555B" w:rsidRPr="0002555B" w:rsidRDefault="0002555B" w:rsidP="00367D84">
      <w:pPr>
        <w:pStyle w:val="ListBullet"/>
        <w:numPr>
          <w:ilvl w:val="0"/>
          <w:numId w:val="17"/>
        </w:numPr>
        <w:rPr>
          <w:rStyle w:val="Guidance"/>
        </w:rPr>
      </w:pPr>
      <w:r w:rsidRPr="0002555B">
        <w:rPr>
          <w:rStyle w:val="Guidance"/>
        </w:rPr>
        <w:t>expenditure on government advertising.</w:t>
      </w:r>
    </w:p>
    <w:p w14:paraId="0C42623B" w14:textId="7B3216A1" w:rsidR="0002555B" w:rsidRDefault="0002555B" w:rsidP="0002555B">
      <w:pPr>
        <w:rPr>
          <w:rStyle w:val="Guidance"/>
        </w:rPr>
      </w:pPr>
      <w:r w:rsidRPr="0002555B">
        <w:rPr>
          <w:rStyle w:val="Guidance"/>
        </w:rPr>
        <w:t>The report of operations shall complement the information presented in the financial statements by providing a discussion and analysis of the entity’s operating results and financial position. This should include details about any significant factors that affect the entity’s performance.</w:t>
      </w:r>
    </w:p>
    <w:p w14:paraId="4B9B0ECE" w14:textId="77777777" w:rsidR="0002555B" w:rsidRPr="0002555B" w:rsidRDefault="0002555B" w:rsidP="0002555B">
      <w:pPr>
        <w:pStyle w:val="GuidanceEnd"/>
        <w:rPr>
          <w:rStyle w:val="Guidance"/>
        </w:rPr>
      </w:pPr>
    </w:p>
    <w:p w14:paraId="69BF1C84" w14:textId="77777777" w:rsidR="0002555B" w:rsidRDefault="0002555B" w:rsidP="0002555B">
      <w:pPr>
        <w:pStyle w:val="Heading3"/>
      </w:pPr>
      <w:r>
        <w:lastRenderedPageBreak/>
        <w:t>Capital projects/asset investment programs</w:t>
      </w:r>
    </w:p>
    <w:p w14:paraId="63B5DECD" w14:textId="77826055" w:rsidR="0002555B" w:rsidRDefault="0002555B" w:rsidP="00B24602">
      <w:pPr>
        <w:keepNext/>
      </w:pPr>
      <w:r>
        <w:t xml:space="preserve">The Department and its related portfolio entities manage a range of capital projects to deliver services for government. </w:t>
      </w:r>
      <w:r w:rsidRPr="20EC4723">
        <w:rPr>
          <w:rStyle w:val="Reference"/>
        </w:rPr>
        <w:t xml:space="preserve">[Recommendation 45, PAEC </w:t>
      </w:r>
      <w:r w:rsidR="556C5002" w:rsidRPr="20EC4723">
        <w:rPr>
          <w:rStyle w:val="Reference"/>
        </w:rPr>
        <w:t>Report on the 2009-10 and 2010-11 Financial and Performance Outcomes</w:t>
      </w:r>
      <w:r w:rsidRPr="20EC4723">
        <w:rPr>
          <w:rStyle w:val="Reference"/>
        </w:rPr>
        <w:t>]</w:t>
      </w:r>
    </w:p>
    <w:p w14:paraId="5331390F" w14:textId="26516646" w:rsidR="0002555B" w:rsidRDefault="0002555B" w:rsidP="0002555B">
      <w:r>
        <w:t xml:space="preserve">Information on the new and existing capital projects for departments and the broader Victorian public sector is contained in the most recent </w:t>
      </w:r>
      <w:r w:rsidR="00DC4B7A">
        <w:t>b</w:t>
      </w:r>
      <w:r w:rsidRPr="006A2DAA">
        <w:t>udget</w:t>
      </w:r>
      <w:r w:rsidR="00DC4B7A">
        <w:t>,</w:t>
      </w:r>
      <w:r w:rsidRPr="006A2DAA">
        <w:t xml:space="preserve"> </w:t>
      </w:r>
      <w:r>
        <w:t>which is available on the Department of Treasury and Finance’s website.</w:t>
      </w:r>
    </w:p>
    <w:p w14:paraId="4CD05D36" w14:textId="0AFF6BD2" w:rsidR="0002555B" w:rsidRDefault="0002555B" w:rsidP="0002555B">
      <w:r>
        <w:t xml:space="preserve">During the year, the Department/agency completed a number of capital projects with a total estimated investment [TEI] of $10 million or greater. The details related to these projects are reported below. </w:t>
      </w:r>
      <w:r w:rsidRPr="20EC4723">
        <w:rPr>
          <w:rStyle w:val="Reference"/>
        </w:rPr>
        <w:t>[Recommendation 51, PAEC</w:t>
      </w:r>
      <w:r w:rsidR="65B6CDC2" w:rsidRPr="20EC4723">
        <w:rPr>
          <w:rStyle w:val="Reference"/>
        </w:rPr>
        <w:t xml:space="preserve"> Review of the Performance Measurement and Reporting System</w:t>
      </w:r>
      <w:r w:rsidRPr="20EC4723">
        <w:rPr>
          <w:rStyle w:val="Reference"/>
        </w:rPr>
        <w:t>]</w:t>
      </w:r>
    </w:p>
    <w:p w14:paraId="5D71A277" w14:textId="784E3FAD" w:rsidR="00DC39DE" w:rsidRDefault="00DC39DE" w:rsidP="006117E8">
      <w:pPr>
        <w:pStyle w:val="Caption"/>
      </w:pPr>
      <w:r>
        <w:t xml:space="preserve">Table 4: </w:t>
      </w:r>
      <w:r>
        <w:tab/>
        <w:t xml:space="preserve">Capital projects reaching practical completion during the financial year ended 30 June </w:t>
      </w:r>
      <w:fldSimple w:instr="DOCPROPERTY  YearCurrent  \* MERGEFORMAT">
        <w:r w:rsidR="00A545BA">
          <w:t>20X2</w:t>
        </w:r>
      </w:fldSimple>
    </w:p>
    <w:tbl>
      <w:tblPr>
        <w:tblStyle w:val="DTFFinancialTable"/>
        <w:tblW w:w="9639" w:type="dxa"/>
        <w:tblLook w:val="04A0" w:firstRow="1" w:lastRow="0" w:firstColumn="1" w:lastColumn="0" w:noHBand="0" w:noVBand="1"/>
      </w:tblPr>
      <w:tblGrid>
        <w:gridCol w:w="963"/>
        <w:gridCol w:w="964"/>
        <w:gridCol w:w="964"/>
        <w:gridCol w:w="964"/>
        <w:gridCol w:w="964"/>
        <w:gridCol w:w="964"/>
        <w:gridCol w:w="964"/>
        <w:gridCol w:w="964"/>
        <w:gridCol w:w="964"/>
        <w:gridCol w:w="964"/>
      </w:tblGrid>
      <w:tr w:rsidR="003F775E" w:rsidRPr="004A6CE5" w14:paraId="183815B2" w14:textId="77777777" w:rsidTr="003F775E">
        <w:trPr>
          <w:cnfStyle w:val="100000000000" w:firstRow="1" w:lastRow="0" w:firstColumn="0" w:lastColumn="0" w:oddVBand="0" w:evenVBand="0" w:oddHBand="0" w:evenHBand="0" w:firstRowFirstColumn="0" w:firstRowLastColumn="0" w:lastRowFirstColumn="0" w:lastRowLastColumn="0"/>
          <w:trHeight w:val="824"/>
        </w:trPr>
        <w:tc>
          <w:tcPr>
            <w:cnfStyle w:val="001000000100" w:firstRow="0" w:lastRow="0" w:firstColumn="1" w:lastColumn="0" w:oddVBand="0" w:evenVBand="0" w:oddHBand="0" w:evenHBand="0" w:firstRowFirstColumn="1" w:firstRowLastColumn="0" w:lastRowFirstColumn="0" w:lastRowLastColumn="0"/>
            <w:tcW w:w="963" w:type="dxa"/>
          </w:tcPr>
          <w:p w14:paraId="35EE6071" w14:textId="77777777" w:rsidR="003F775E" w:rsidRPr="004A6CE5" w:rsidRDefault="003F775E" w:rsidP="007205E6">
            <w:pPr>
              <w:rPr>
                <w:sz w:val="14"/>
                <w:szCs w:val="14"/>
              </w:rPr>
            </w:pPr>
            <w:r w:rsidRPr="004A6CE5">
              <w:rPr>
                <w:sz w:val="14"/>
                <w:szCs w:val="14"/>
              </w:rPr>
              <w:t>Project name</w:t>
            </w:r>
          </w:p>
        </w:tc>
        <w:tc>
          <w:tcPr>
            <w:tcW w:w="964" w:type="dxa"/>
          </w:tcPr>
          <w:p w14:paraId="14F6A239" w14:textId="77777777" w:rsidR="003F775E" w:rsidRPr="004A6CE5" w:rsidRDefault="003F775E" w:rsidP="007205E6">
            <w:pPr>
              <w:jc w:val="left"/>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Original completion date</w:t>
            </w:r>
          </w:p>
        </w:tc>
        <w:tc>
          <w:tcPr>
            <w:tcW w:w="964" w:type="dxa"/>
          </w:tcPr>
          <w:p w14:paraId="54BA3002" w14:textId="77777777" w:rsidR="003F775E" w:rsidRPr="004A6CE5" w:rsidRDefault="003F775E" w:rsidP="007205E6">
            <w:pPr>
              <w:jc w:val="left"/>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Latest approved completion date</w:t>
            </w:r>
          </w:p>
        </w:tc>
        <w:tc>
          <w:tcPr>
            <w:tcW w:w="964" w:type="dxa"/>
          </w:tcPr>
          <w:p w14:paraId="05D0ABA0" w14:textId="77777777" w:rsidR="003F775E" w:rsidRPr="004A6CE5" w:rsidRDefault="003F775E" w:rsidP="007205E6">
            <w:pPr>
              <w:jc w:val="left"/>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Practical</w:t>
            </w:r>
            <w:r>
              <w:rPr>
                <w:sz w:val="14"/>
                <w:szCs w:val="14"/>
              </w:rPr>
              <w:t xml:space="preserve"> </w:t>
            </w:r>
            <w:r w:rsidRPr="004A6CE5">
              <w:rPr>
                <w:sz w:val="14"/>
                <w:szCs w:val="14"/>
              </w:rPr>
              <w:t>completion date</w:t>
            </w:r>
          </w:p>
        </w:tc>
        <w:tc>
          <w:tcPr>
            <w:tcW w:w="964" w:type="dxa"/>
          </w:tcPr>
          <w:p w14:paraId="3154C602" w14:textId="77777777" w:rsidR="003F775E" w:rsidRPr="004A6CE5" w:rsidRDefault="003F775E" w:rsidP="007205E6">
            <w:pPr>
              <w:jc w:val="left"/>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 xml:space="preserve">Reason for variance in completion dates </w:t>
            </w:r>
          </w:p>
        </w:tc>
        <w:tc>
          <w:tcPr>
            <w:tcW w:w="964" w:type="dxa"/>
          </w:tcPr>
          <w:p w14:paraId="1C3D0D00" w14:textId="77777777" w:rsidR="003F775E" w:rsidRPr="004A6CE5" w:rsidRDefault="003F775E" w:rsidP="007205E6">
            <w:pPr>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 xml:space="preserve">Original approved TEI budget </w:t>
            </w:r>
            <w:r w:rsidRPr="004A6CE5">
              <w:rPr>
                <w:sz w:val="14"/>
                <w:szCs w:val="14"/>
              </w:rPr>
              <w:br/>
              <w:t>($ million)</w:t>
            </w:r>
          </w:p>
        </w:tc>
        <w:tc>
          <w:tcPr>
            <w:tcW w:w="964" w:type="dxa"/>
          </w:tcPr>
          <w:p w14:paraId="6D287D68" w14:textId="77777777" w:rsidR="003F775E" w:rsidRPr="004A6CE5" w:rsidRDefault="003F775E" w:rsidP="007205E6">
            <w:pPr>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Latest approved TEI</w:t>
            </w:r>
            <w:r w:rsidRPr="004A6CE5">
              <w:rPr>
                <w:sz w:val="14"/>
                <w:szCs w:val="14"/>
              </w:rPr>
              <w:br/>
              <w:t xml:space="preserve">budget </w:t>
            </w:r>
            <w:r w:rsidRPr="004A6CE5">
              <w:rPr>
                <w:sz w:val="14"/>
                <w:szCs w:val="14"/>
              </w:rPr>
              <w:br/>
              <w:t>($ million)</w:t>
            </w:r>
          </w:p>
        </w:tc>
        <w:tc>
          <w:tcPr>
            <w:tcW w:w="964" w:type="dxa"/>
          </w:tcPr>
          <w:p w14:paraId="455FF8C4" w14:textId="77777777" w:rsidR="003F775E" w:rsidRPr="004A6CE5" w:rsidRDefault="003F775E" w:rsidP="007205E6">
            <w:pPr>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 xml:space="preserve">Actual </w:t>
            </w:r>
            <w:r w:rsidRPr="004A6CE5">
              <w:rPr>
                <w:sz w:val="14"/>
                <w:szCs w:val="14"/>
              </w:rPr>
              <w:br/>
              <w:t xml:space="preserve">TEI cost </w:t>
            </w:r>
            <w:r w:rsidRPr="004A6CE5">
              <w:rPr>
                <w:sz w:val="14"/>
                <w:szCs w:val="14"/>
              </w:rPr>
              <w:br/>
              <w:t>($ million)</w:t>
            </w:r>
          </w:p>
        </w:tc>
        <w:tc>
          <w:tcPr>
            <w:tcW w:w="964" w:type="dxa"/>
          </w:tcPr>
          <w:p w14:paraId="0DD745F5" w14:textId="77777777" w:rsidR="003F775E" w:rsidRPr="004A6CE5" w:rsidRDefault="003F775E" w:rsidP="007205E6">
            <w:pPr>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Variation between actual cost and latest approved TEI budget</w:t>
            </w:r>
          </w:p>
        </w:tc>
        <w:tc>
          <w:tcPr>
            <w:tcW w:w="964" w:type="dxa"/>
          </w:tcPr>
          <w:p w14:paraId="16A377D0" w14:textId="77777777" w:rsidR="003F775E" w:rsidRPr="004A6CE5" w:rsidRDefault="003F775E" w:rsidP="007205E6">
            <w:pPr>
              <w:jc w:val="left"/>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Reason for variance from latest approved TEI Budget</w:t>
            </w:r>
          </w:p>
        </w:tc>
      </w:tr>
      <w:tr w:rsidR="003F775E" w:rsidRPr="004A6CE5" w14:paraId="34A5C865" w14:textId="77777777" w:rsidTr="0039397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0" w:type="dxa"/>
          </w:tcPr>
          <w:p w14:paraId="3AA50ACE" w14:textId="6D4276ED" w:rsidR="003F775E" w:rsidRPr="004A6CE5" w:rsidRDefault="003F775E" w:rsidP="00393970">
            <w:pPr>
              <w:rPr>
                <w:sz w:val="14"/>
                <w:szCs w:val="14"/>
              </w:rPr>
            </w:pPr>
            <w:r w:rsidRPr="004A6CE5">
              <w:rPr>
                <w:sz w:val="14"/>
                <w:szCs w:val="14"/>
              </w:rPr>
              <w:t>Anti</w:t>
            </w:r>
            <w:r w:rsidRPr="004A6CE5">
              <w:rPr>
                <w:sz w:val="14"/>
                <w:szCs w:val="14"/>
              </w:rPr>
              <w:noBreakHyphen/>
              <w:t>virus IT system</w:t>
            </w:r>
          </w:p>
        </w:tc>
        <w:tc>
          <w:tcPr>
            <w:tcW w:w="0" w:type="dxa"/>
          </w:tcPr>
          <w:p w14:paraId="689C6311" w14:textId="1BCD6160" w:rsidR="003F775E" w:rsidRPr="004A6CE5" w:rsidRDefault="003F775E" w:rsidP="007205E6">
            <w:pPr>
              <w:jc w:val="left"/>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 xml:space="preserve">April </w:t>
            </w:r>
            <w:r w:rsidR="000A61C4">
              <w:rPr>
                <w:sz w:val="14"/>
                <w:szCs w:val="14"/>
              </w:rPr>
              <w:fldChar w:fldCharType="begin"/>
            </w:r>
            <w:r w:rsidR="000A61C4">
              <w:rPr>
                <w:sz w:val="14"/>
                <w:szCs w:val="14"/>
              </w:rPr>
              <w:instrText xml:space="preserve"> DOCPROPERTY  YearCurrent  \* MERGEFORMAT </w:instrText>
            </w:r>
            <w:r w:rsidR="000A61C4">
              <w:rPr>
                <w:sz w:val="14"/>
                <w:szCs w:val="14"/>
              </w:rPr>
              <w:fldChar w:fldCharType="separate"/>
            </w:r>
            <w:r w:rsidR="000A61C4">
              <w:rPr>
                <w:sz w:val="14"/>
                <w:szCs w:val="14"/>
              </w:rPr>
              <w:t>20X2</w:t>
            </w:r>
            <w:r w:rsidR="000A61C4">
              <w:rPr>
                <w:sz w:val="14"/>
                <w:szCs w:val="14"/>
              </w:rPr>
              <w:fldChar w:fldCharType="end"/>
            </w:r>
          </w:p>
        </w:tc>
        <w:tc>
          <w:tcPr>
            <w:tcW w:w="0" w:type="dxa"/>
          </w:tcPr>
          <w:p w14:paraId="52916209" w14:textId="311D6077" w:rsidR="003F775E" w:rsidRPr="004A6CE5" w:rsidRDefault="003F775E" w:rsidP="007205E6">
            <w:pPr>
              <w:jc w:val="left"/>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 xml:space="preserve">June </w:t>
            </w:r>
            <w:r w:rsidR="000A61C4">
              <w:rPr>
                <w:sz w:val="14"/>
                <w:szCs w:val="14"/>
              </w:rPr>
              <w:fldChar w:fldCharType="begin"/>
            </w:r>
            <w:r w:rsidR="000A61C4">
              <w:rPr>
                <w:sz w:val="14"/>
                <w:szCs w:val="14"/>
              </w:rPr>
              <w:instrText xml:space="preserve"> DOCPROPERTY  YearCurrent  \* MERGEFORMAT </w:instrText>
            </w:r>
            <w:r w:rsidR="000A61C4">
              <w:rPr>
                <w:sz w:val="14"/>
                <w:szCs w:val="14"/>
              </w:rPr>
              <w:fldChar w:fldCharType="separate"/>
            </w:r>
            <w:r w:rsidR="000A61C4">
              <w:rPr>
                <w:sz w:val="14"/>
                <w:szCs w:val="14"/>
              </w:rPr>
              <w:t>20X2</w:t>
            </w:r>
            <w:r w:rsidR="000A61C4">
              <w:rPr>
                <w:sz w:val="14"/>
                <w:szCs w:val="14"/>
              </w:rPr>
              <w:fldChar w:fldCharType="end"/>
            </w:r>
          </w:p>
        </w:tc>
        <w:tc>
          <w:tcPr>
            <w:tcW w:w="0" w:type="dxa"/>
          </w:tcPr>
          <w:p w14:paraId="2E6ACB76" w14:textId="4F0A7EBC" w:rsidR="003F775E" w:rsidRPr="004A6CE5" w:rsidRDefault="003F775E" w:rsidP="007205E6">
            <w:pPr>
              <w:jc w:val="left"/>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 xml:space="preserve">May </w:t>
            </w:r>
            <w:r w:rsidR="000A61C4">
              <w:rPr>
                <w:sz w:val="14"/>
                <w:szCs w:val="14"/>
              </w:rPr>
              <w:fldChar w:fldCharType="begin"/>
            </w:r>
            <w:r w:rsidR="000A61C4">
              <w:rPr>
                <w:sz w:val="14"/>
                <w:szCs w:val="14"/>
              </w:rPr>
              <w:instrText xml:space="preserve"> DOCPROPERTY  YearCurrent  \* MERGEFORMAT </w:instrText>
            </w:r>
            <w:r w:rsidR="000A61C4">
              <w:rPr>
                <w:sz w:val="14"/>
                <w:szCs w:val="14"/>
              </w:rPr>
              <w:fldChar w:fldCharType="separate"/>
            </w:r>
            <w:r w:rsidR="000A61C4">
              <w:rPr>
                <w:sz w:val="14"/>
                <w:szCs w:val="14"/>
              </w:rPr>
              <w:t>20X2</w:t>
            </w:r>
            <w:r w:rsidR="000A61C4">
              <w:rPr>
                <w:sz w:val="14"/>
                <w:szCs w:val="14"/>
              </w:rPr>
              <w:fldChar w:fldCharType="end"/>
            </w:r>
          </w:p>
        </w:tc>
        <w:tc>
          <w:tcPr>
            <w:tcW w:w="0" w:type="dxa"/>
          </w:tcPr>
          <w:p w14:paraId="520C3FB0" w14:textId="77777777" w:rsidR="003F775E" w:rsidRPr="004A6CE5" w:rsidRDefault="003F775E" w:rsidP="007205E6">
            <w:pPr>
              <w:jc w:val="left"/>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Installation of system completed ahead of schedule.</w:t>
            </w:r>
          </w:p>
        </w:tc>
        <w:tc>
          <w:tcPr>
            <w:tcW w:w="0" w:type="dxa"/>
          </w:tcPr>
          <w:p w14:paraId="3AF42A44" w14:textId="77777777" w:rsidR="003F775E" w:rsidRPr="004A6CE5" w:rsidRDefault="003F775E" w:rsidP="007205E6">
            <w:pPr>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9</w:t>
            </w:r>
          </w:p>
        </w:tc>
        <w:tc>
          <w:tcPr>
            <w:tcW w:w="0" w:type="dxa"/>
          </w:tcPr>
          <w:p w14:paraId="440638B0" w14:textId="77777777" w:rsidR="003F775E" w:rsidRPr="004A6CE5" w:rsidRDefault="003F775E" w:rsidP="007205E6">
            <w:pPr>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10</w:t>
            </w:r>
          </w:p>
        </w:tc>
        <w:tc>
          <w:tcPr>
            <w:tcW w:w="0" w:type="dxa"/>
          </w:tcPr>
          <w:p w14:paraId="3DB98471" w14:textId="77777777" w:rsidR="003F775E" w:rsidRPr="004A6CE5" w:rsidRDefault="003F775E" w:rsidP="007205E6">
            <w:pPr>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8</w:t>
            </w:r>
          </w:p>
        </w:tc>
        <w:tc>
          <w:tcPr>
            <w:tcW w:w="0" w:type="dxa"/>
          </w:tcPr>
          <w:p w14:paraId="111AA7FD" w14:textId="77777777" w:rsidR="003F775E" w:rsidRPr="004A6CE5" w:rsidRDefault="003F775E" w:rsidP="007205E6">
            <w:pPr>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(2)</w:t>
            </w:r>
          </w:p>
        </w:tc>
        <w:tc>
          <w:tcPr>
            <w:tcW w:w="0" w:type="dxa"/>
          </w:tcPr>
          <w:p w14:paraId="46AB4C95" w14:textId="77777777" w:rsidR="003F775E" w:rsidRPr="004A6CE5" w:rsidRDefault="003F775E" w:rsidP="007205E6">
            <w:pPr>
              <w:jc w:val="left"/>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The variance relates to suitable hardware being sourced more cheaply than anticipated.</w:t>
            </w:r>
          </w:p>
        </w:tc>
      </w:tr>
    </w:tbl>
    <w:p w14:paraId="262F654C" w14:textId="25DCD5DF" w:rsidR="0002555B" w:rsidRPr="0002555B" w:rsidRDefault="0002555B" w:rsidP="00DC39DE">
      <w:pPr>
        <w:rPr>
          <w:rStyle w:val="Reference"/>
        </w:rPr>
      </w:pPr>
      <w:r w:rsidRPr="0002555B">
        <w:rPr>
          <w:rStyle w:val="Reference"/>
        </w:rPr>
        <w:t>[Recommendation 19, PAEC Report on 2015-16 Financial and Performance Outcome report]</w:t>
      </w:r>
    </w:p>
    <w:p w14:paraId="0BC472A1" w14:textId="77777777" w:rsidR="0002555B" w:rsidRDefault="0002555B" w:rsidP="00DC39DE"/>
    <w:p w14:paraId="27991FD4" w14:textId="784DEBBF" w:rsidR="00DC39DE" w:rsidRDefault="00DC39DE" w:rsidP="006117E8">
      <w:pPr>
        <w:pStyle w:val="Caption"/>
      </w:pPr>
      <w:r>
        <w:t xml:space="preserve">Table 5: </w:t>
      </w:r>
      <w:r>
        <w:tab/>
        <w:t xml:space="preserve">Capital projects reaching financial completion during the financial year ended 30 June </w:t>
      </w:r>
      <w:fldSimple w:instr="DOCPROPERTY  YearCurrent  \* MERGEFORMAT">
        <w:r w:rsidR="00A545BA">
          <w:t>20X2</w:t>
        </w:r>
      </w:fldSimple>
    </w:p>
    <w:tbl>
      <w:tblPr>
        <w:tblStyle w:val="DTFFinancialTable"/>
        <w:tblW w:w="9639" w:type="dxa"/>
        <w:tblLook w:val="04A0" w:firstRow="1" w:lastRow="0" w:firstColumn="1" w:lastColumn="0" w:noHBand="0" w:noVBand="1"/>
      </w:tblPr>
      <w:tblGrid>
        <w:gridCol w:w="1204"/>
        <w:gridCol w:w="1205"/>
        <w:gridCol w:w="1205"/>
        <w:gridCol w:w="1205"/>
        <w:gridCol w:w="1205"/>
        <w:gridCol w:w="1205"/>
        <w:gridCol w:w="1205"/>
        <w:gridCol w:w="1205"/>
      </w:tblGrid>
      <w:tr w:rsidR="003F775E" w:rsidRPr="004A6CE5" w14:paraId="44D025F0" w14:textId="77777777" w:rsidTr="003F775E">
        <w:trPr>
          <w:cnfStyle w:val="100000000000" w:firstRow="1" w:lastRow="0" w:firstColumn="0" w:lastColumn="0" w:oddVBand="0" w:evenVBand="0" w:oddHBand="0" w:evenHBand="0" w:firstRowFirstColumn="0" w:firstRowLastColumn="0" w:lastRowFirstColumn="0" w:lastRowLastColumn="0"/>
          <w:trHeight w:val="824"/>
        </w:trPr>
        <w:tc>
          <w:tcPr>
            <w:cnfStyle w:val="001000000100" w:firstRow="0" w:lastRow="0" w:firstColumn="1" w:lastColumn="0" w:oddVBand="0" w:evenVBand="0" w:oddHBand="0" w:evenHBand="0" w:firstRowFirstColumn="1" w:firstRowLastColumn="0" w:lastRowFirstColumn="0" w:lastRowLastColumn="0"/>
            <w:tcW w:w="1204" w:type="dxa"/>
          </w:tcPr>
          <w:p w14:paraId="09FEF705" w14:textId="77777777" w:rsidR="003F775E" w:rsidRPr="004A6CE5" w:rsidRDefault="003F775E" w:rsidP="007205E6">
            <w:pPr>
              <w:rPr>
                <w:sz w:val="14"/>
                <w:szCs w:val="14"/>
              </w:rPr>
            </w:pPr>
            <w:r w:rsidRPr="004A6CE5">
              <w:rPr>
                <w:sz w:val="14"/>
                <w:szCs w:val="14"/>
              </w:rPr>
              <w:t>Project name</w:t>
            </w:r>
          </w:p>
        </w:tc>
        <w:tc>
          <w:tcPr>
            <w:tcW w:w="1205" w:type="dxa"/>
          </w:tcPr>
          <w:p w14:paraId="15572335" w14:textId="77777777" w:rsidR="003F775E" w:rsidRPr="004A6CE5" w:rsidRDefault="003F775E" w:rsidP="007205E6">
            <w:pPr>
              <w:jc w:val="left"/>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Practical</w:t>
            </w:r>
            <w:r w:rsidRPr="004A6CE5">
              <w:rPr>
                <w:sz w:val="14"/>
                <w:szCs w:val="14"/>
              </w:rPr>
              <w:t xml:space="preserve"> completion date</w:t>
            </w:r>
          </w:p>
        </w:tc>
        <w:tc>
          <w:tcPr>
            <w:tcW w:w="1205" w:type="dxa"/>
          </w:tcPr>
          <w:p w14:paraId="4AEE580F" w14:textId="77777777" w:rsidR="003F775E" w:rsidRPr="004A6CE5" w:rsidRDefault="003F775E" w:rsidP="007205E6">
            <w:pPr>
              <w:jc w:val="left"/>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 xml:space="preserve">Financial </w:t>
            </w:r>
            <w:r w:rsidRPr="004A6CE5">
              <w:rPr>
                <w:sz w:val="14"/>
                <w:szCs w:val="14"/>
              </w:rPr>
              <w:t>completion date</w:t>
            </w:r>
          </w:p>
        </w:tc>
        <w:tc>
          <w:tcPr>
            <w:tcW w:w="1205" w:type="dxa"/>
          </w:tcPr>
          <w:p w14:paraId="34B50CF2" w14:textId="77777777" w:rsidR="003F775E" w:rsidRPr="004A6CE5" w:rsidRDefault="003F775E" w:rsidP="007205E6">
            <w:pPr>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 xml:space="preserve">Original approved TEI budget </w:t>
            </w:r>
            <w:r w:rsidRPr="004A6CE5">
              <w:rPr>
                <w:sz w:val="14"/>
                <w:szCs w:val="14"/>
              </w:rPr>
              <w:br/>
              <w:t>($ million)</w:t>
            </w:r>
          </w:p>
        </w:tc>
        <w:tc>
          <w:tcPr>
            <w:tcW w:w="1205" w:type="dxa"/>
          </w:tcPr>
          <w:p w14:paraId="20BE5D0F" w14:textId="77777777" w:rsidR="003F775E" w:rsidRPr="004A6CE5" w:rsidRDefault="003F775E" w:rsidP="007205E6">
            <w:pPr>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 xml:space="preserve">Latest approved </w:t>
            </w:r>
            <w:r>
              <w:rPr>
                <w:sz w:val="14"/>
                <w:szCs w:val="14"/>
              </w:rPr>
              <w:br/>
            </w:r>
            <w:r w:rsidRPr="004A6CE5">
              <w:rPr>
                <w:sz w:val="14"/>
                <w:szCs w:val="14"/>
              </w:rPr>
              <w:t>TEI</w:t>
            </w:r>
            <w:r>
              <w:rPr>
                <w:sz w:val="14"/>
                <w:szCs w:val="14"/>
              </w:rPr>
              <w:t> </w:t>
            </w:r>
            <w:r w:rsidRPr="004A6CE5">
              <w:rPr>
                <w:sz w:val="14"/>
                <w:szCs w:val="14"/>
              </w:rPr>
              <w:t xml:space="preserve">budget </w:t>
            </w:r>
            <w:r w:rsidRPr="004A6CE5">
              <w:rPr>
                <w:sz w:val="14"/>
                <w:szCs w:val="14"/>
              </w:rPr>
              <w:br/>
              <w:t>($ million)</w:t>
            </w:r>
          </w:p>
        </w:tc>
        <w:tc>
          <w:tcPr>
            <w:tcW w:w="1205" w:type="dxa"/>
          </w:tcPr>
          <w:p w14:paraId="4204C451" w14:textId="77777777" w:rsidR="003F775E" w:rsidRPr="004A6CE5" w:rsidRDefault="003F775E" w:rsidP="007205E6">
            <w:pPr>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 xml:space="preserve">Actual </w:t>
            </w:r>
            <w:r w:rsidRPr="004A6CE5">
              <w:rPr>
                <w:sz w:val="14"/>
                <w:szCs w:val="14"/>
              </w:rPr>
              <w:br/>
              <w:t xml:space="preserve">TEI cost </w:t>
            </w:r>
            <w:r w:rsidRPr="004A6CE5">
              <w:rPr>
                <w:sz w:val="14"/>
                <w:szCs w:val="14"/>
              </w:rPr>
              <w:br/>
              <w:t>($ million)</w:t>
            </w:r>
          </w:p>
        </w:tc>
        <w:tc>
          <w:tcPr>
            <w:tcW w:w="1205" w:type="dxa"/>
          </w:tcPr>
          <w:p w14:paraId="4BEC3649" w14:textId="77777777" w:rsidR="003F775E" w:rsidRPr="004A6CE5" w:rsidRDefault="003F775E" w:rsidP="007205E6">
            <w:pPr>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Variation between actual cost and latest approved TEI budget</w:t>
            </w:r>
          </w:p>
        </w:tc>
        <w:tc>
          <w:tcPr>
            <w:tcW w:w="1205" w:type="dxa"/>
          </w:tcPr>
          <w:p w14:paraId="3FEB66B6" w14:textId="77777777" w:rsidR="003F775E" w:rsidRPr="004A6CE5" w:rsidRDefault="003F775E" w:rsidP="007205E6">
            <w:pPr>
              <w:jc w:val="left"/>
              <w:cnfStyle w:val="100000000000" w:firstRow="1" w:lastRow="0" w:firstColumn="0" w:lastColumn="0" w:oddVBand="0" w:evenVBand="0" w:oddHBand="0" w:evenHBand="0" w:firstRowFirstColumn="0" w:firstRowLastColumn="0" w:lastRowFirstColumn="0" w:lastRowLastColumn="0"/>
              <w:rPr>
                <w:sz w:val="14"/>
                <w:szCs w:val="14"/>
              </w:rPr>
            </w:pPr>
            <w:r w:rsidRPr="004A6CE5">
              <w:rPr>
                <w:sz w:val="14"/>
                <w:szCs w:val="14"/>
              </w:rPr>
              <w:t>Reason for variance from latest approved TEI Budget</w:t>
            </w:r>
          </w:p>
        </w:tc>
      </w:tr>
      <w:tr w:rsidR="003F775E" w:rsidRPr="004A6CE5" w14:paraId="68EC2B8C" w14:textId="77777777" w:rsidTr="0039397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0" w:type="dxa"/>
          </w:tcPr>
          <w:p w14:paraId="004C4F85" w14:textId="77777777" w:rsidR="003F775E" w:rsidRPr="004A6CE5" w:rsidRDefault="003F775E" w:rsidP="00393970">
            <w:pPr>
              <w:rPr>
                <w:sz w:val="14"/>
                <w:szCs w:val="14"/>
              </w:rPr>
            </w:pPr>
            <w:r>
              <w:rPr>
                <w:sz w:val="14"/>
                <w:szCs w:val="14"/>
              </w:rPr>
              <w:t>Accounts payable system</w:t>
            </w:r>
          </w:p>
        </w:tc>
        <w:tc>
          <w:tcPr>
            <w:tcW w:w="0" w:type="dxa"/>
          </w:tcPr>
          <w:p w14:paraId="0A9340F1" w14:textId="60ACD367" w:rsidR="003F775E" w:rsidRPr="004A6CE5" w:rsidRDefault="003F775E" w:rsidP="007205E6">
            <w:pPr>
              <w:jc w:val="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 xml:space="preserve">May </w:t>
            </w:r>
            <w:r w:rsidR="000A61C4">
              <w:rPr>
                <w:sz w:val="14"/>
                <w:szCs w:val="14"/>
              </w:rPr>
              <w:fldChar w:fldCharType="begin"/>
            </w:r>
            <w:r w:rsidR="000A61C4">
              <w:rPr>
                <w:sz w:val="14"/>
                <w:szCs w:val="14"/>
              </w:rPr>
              <w:instrText xml:space="preserve"> DOCPROPERTY  YearPrevious  \* MERGEFORMAT </w:instrText>
            </w:r>
            <w:r w:rsidR="000A61C4">
              <w:rPr>
                <w:sz w:val="14"/>
                <w:szCs w:val="14"/>
              </w:rPr>
              <w:fldChar w:fldCharType="separate"/>
            </w:r>
            <w:r w:rsidR="000A61C4">
              <w:rPr>
                <w:sz w:val="14"/>
                <w:szCs w:val="14"/>
              </w:rPr>
              <w:t>20X1</w:t>
            </w:r>
            <w:r w:rsidR="000A61C4">
              <w:rPr>
                <w:sz w:val="14"/>
                <w:szCs w:val="14"/>
              </w:rPr>
              <w:fldChar w:fldCharType="end"/>
            </w:r>
          </w:p>
        </w:tc>
        <w:tc>
          <w:tcPr>
            <w:tcW w:w="0" w:type="dxa"/>
          </w:tcPr>
          <w:p w14:paraId="4E2F03B1" w14:textId="6136FFD7" w:rsidR="003F775E" w:rsidRPr="004A6CE5" w:rsidRDefault="003F775E" w:rsidP="007205E6">
            <w:pPr>
              <w:jc w:val="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April</w:t>
            </w:r>
            <w:r w:rsidRPr="004A6CE5">
              <w:rPr>
                <w:sz w:val="14"/>
                <w:szCs w:val="14"/>
              </w:rPr>
              <w:t xml:space="preserve"> </w:t>
            </w:r>
            <w:r w:rsidR="000A61C4">
              <w:rPr>
                <w:sz w:val="14"/>
                <w:szCs w:val="14"/>
              </w:rPr>
              <w:fldChar w:fldCharType="begin"/>
            </w:r>
            <w:r w:rsidR="000A61C4">
              <w:rPr>
                <w:sz w:val="14"/>
                <w:szCs w:val="14"/>
              </w:rPr>
              <w:instrText xml:space="preserve"> DOCPROPERTY  YearCurrent  \* MERGEFORMAT </w:instrText>
            </w:r>
            <w:r w:rsidR="000A61C4">
              <w:rPr>
                <w:sz w:val="14"/>
                <w:szCs w:val="14"/>
              </w:rPr>
              <w:fldChar w:fldCharType="separate"/>
            </w:r>
            <w:r w:rsidR="000A61C4">
              <w:rPr>
                <w:sz w:val="14"/>
                <w:szCs w:val="14"/>
              </w:rPr>
              <w:t>20X2</w:t>
            </w:r>
            <w:r w:rsidR="000A61C4">
              <w:rPr>
                <w:sz w:val="14"/>
                <w:szCs w:val="14"/>
              </w:rPr>
              <w:fldChar w:fldCharType="end"/>
            </w:r>
          </w:p>
        </w:tc>
        <w:tc>
          <w:tcPr>
            <w:tcW w:w="0" w:type="dxa"/>
          </w:tcPr>
          <w:p w14:paraId="7CAD709C" w14:textId="77777777" w:rsidR="003F775E" w:rsidRPr="004A6CE5" w:rsidRDefault="003F775E" w:rsidP="007205E6">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15</w:t>
            </w:r>
          </w:p>
        </w:tc>
        <w:tc>
          <w:tcPr>
            <w:tcW w:w="0" w:type="dxa"/>
          </w:tcPr>
          <w:p w14:paraId="24C600FE" w14:textId="77777777" w:rsidR="003F775E" w:rsidRPr="004A6CE5" w:rsidRDefault="003F775E" w:rsidP="007205E6">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16</w:t>
            </w:r>
          </w:p>
        </w:tc>
        <w:tc>
          <w:tcPr>
            <w:tcW w:w="0" w:type="dxa"/>
          </w:tcPr>
          <w:p w14:paraId="5B20CE8A" w14:textId="77777777" w:rsidR="003F775E" w:rsidRPr="004A6CE5" w:rsidRDefault="003F775E" w:rsidP="007205E6">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14</w:t>
            </w:r>
          </w:p>
        </w:tc>
        <w:tc>
          <w:tcPr>
            <w:tcW w:w="0" w:type="dxa"/>
          </w:tcPr>
          <w:p w14:paraId="14A05BCD" w14:textId="77777777" w:rsidR="003F775E" w:rsidRPr="004A6CE5" w:rsidRDefault="003F775E" w:rsidP="007205E6">
            <w:pPr>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(2)</w:t>
            </w:r>
          </w:p>
        </w:tc>
        <w:tc>
          <w:tcPr>
            <w:tcW w:w="0" w:type="dxa"/>
          </w:tcPr>
          <w:p w14:paraId="66EE8EE1" w14:textId="77777777" w:rsidR="003F775E" w:rsidRPr="004A6CE5" w:rsidRDefault="003F775E" w:rsidP="007205E6">
            <w:pPr>
              <w:jc w:val="left"/>
              <w:cnfStyle w:val="000000100000" w:firstRow="0" w:lastRow="0" w:firstColumn="0" w:lastColumn="0" w:oddVBand="0" w:evenVBand="0" w:oddHBand="1" w:evenHBand="0" w:firstRowFirstColumn="0" w:firstRowLastColumn="0" w:lastRowFirstColumn="0" w:lastRowLastColumn="0"/>
              <w:rPr>
                <w:sz w:val="14"/>
                <w:szCs w:val="14"/>
              </w:rPr>
            </w:pPr>
            <w:r w:rsidRPr="004A6CE5">
              <w:rPr>
                <w:sz w:val="14"/>
                <w:szCs w:val="14"/>
              </w:rPr>
              <w:t xml:space="preserve">The variance relates to suitable </w:t>
            </w:r>
            <w:r>
              <w:rPr>
                <w:sz w:val="14"/>
                <w:szCs w:val="14"/>
              </w:rPr>
              <w:t>software</w:t>
            </w:r>
            <w:r w:rsidRPr="004A6CE5">
              <w:rPr>
                <w:sz w:val="14"/>
                <w:szCs w:val="14"/>
              </w:rPr>
              <w:t xml:space="preserve"> being sourced more cheaply than anticipated.</w:t>
            </w:r>
          </w:p>
        </w:tc>
      </w:tr>
    </w:tbl>
    <w:p w14:paraId="045355E1" w14:textId="77777777" w:rsidR="0002555B" w:rsidRPr="0002555B" w:rsidRDefault="0002555B" w:rsidP="0002555B">
      <w:pPr>
        <w:rPr>
          <w:rStyle w:val="Reference"/>
        </w:rPr>
      </w:pPr>
      <w:r w:rsidRPr="0002555B">
        <w:rPr>
          <w:rStyle w:val="Reference"/>
        </w:rPr>
        <w:t>[Recommendation 19, PAEC Report on 2015-16 Financial and Performance Outcome report]</w:t>
      </w:r>
    </w:p>
    <w:p w14:paraId="6F8C2D96" w14:textId="77777777" w:rsidR="006117E8" w:rsidRDefault="006117E8">
      <w:pPr>
        <w:keepLines w:val="0"/>
        <w:rPr>
          <w:rFonts w:asciiTheme="majorHAnsi" w:eastAsiaTheme="majorEastAsia" w:hAnsiTheme="majorHAnsi" w:cstheme="majorBidi"/>
          <w:b/>
          <w:bCs/>
          <w:iCs/>
          <w:color w:val="FFFFFF" w:themeColor="background1"/>
          <w:sz w:val="20"/>
          <w:szCs w:val="24"/>
        </w:rPr>
      </w:pPr>
      <w:r>
        <w:br w:type="page"/>
      </w:r>
    </w:p>
    <w:p w14:paraId="63F02400" w14:textId="306360FA" w:rsidR="0002555B" w:rsidRDefault="0002555B" w:rsidP="0002555B">
      <w:pPr>
        <w:pStyle w:val="GuidanceBlockHeading"/>
      </w:pPr>
      <w:r>
        <w:lastRenderedPageBreak/>
        <w:t>Guidance – Capital projects/asset investment programs</w:t>
      </w:r>
    </w:p>
    <w:p w14:paraId="78198126" w14:textId="1601CAC0" w:rsidR="0002555B" w:rsidRPr="006117E8" w:rsidRDefault="0002555B" w:rsidP="0002555B">
      <w:pPr>
        <w:rPr>
          <w:rStyle w:val="Guidance"/>
        </w:rPr>
      </w:pPr>
      <w:r w:rsidRPr="006117E8">
        <w:rPr>
          <w:rStyle w:val="Guidance"/>
        </w:rPr>
        <w:t xml:space="preserve">The Department of Treasury and Finance, on behalf of all portfolio departments, publishes information on the State’s asset investment program in </w:t>
      </w:r>
      <w:r w:rsidR="00D37021">
        <w:rPr>
          <w:rStyle w:val="Guidance"/>
        </w:rPr>
        <w:t xml:space="preserve">the </w:t>
      </w:r>
      <w:r w:rsidR="00DC4B7A">
        <w:rPr>
          <w:rStyle w:val="Guidance"/>
        </w:rPr>
        <w:t>b</w:t>
      </w:r>
      <w:r w:rsidRPr="006117E8">
        <w:rPr>
          <w:rStyle w:val="Guidance"/>
        </w:rPr>
        <w:t xml:space="preserve">udget as part of the annual budget papers. Any subsequent approved revisions to the original budgeted asset investment programs are also reported. </w:t>
      </w:r>
    </w:p>
    <w:p w14:paraId="057C9142" w14:textId="109FE076" w:rsidR="0002555B" w:rsidRPr="006117E8" w:rsidRDefault="0002555B" w:rsidP="00B24602">
      <w:pPr>
        <w:ind w:right="-143"/>
        <w:rPr>
          <w:rStyle w:val="Guidance"/>
        </w:rPr>
      </w:pPr>
      <w:r w:rsidRPr="006117E8">
        <w:rPr>
          <w:rStyle w:val="Guidance"/>
        </w:rPr>
        <w:t xml:space="preserve">For transparency, departments are required to disclose in their Annual Financial Reports the actual and budgeted cost and the completion dates of all asset investments funded through the State </w:t>
      </w:r>
      <w:r w:rsidR="00626007">
        <w:rPr>
          <w:rStyle w:val="Guidance"/>
        </w:rPr>
        <w:t>B</w:t>
      </w:r>
      <w:r w:rsidRPr="006117E8">
        <w:rPr>
          <w:rStyle w:val="Guidance"/>
        </w:rPr>
        <w:t>udget with a TEI of $10 million or greater that reach practical completion by the department or portfolio agencies in the current reporting period. Departments are not required to provide further reporting on a project that reaches financial completion in a subsequent period if it has been reported as practically complete in an earlier reporting period</w:t>
      </w:r>
      <w:r w:rsidR="00D81D2C">
        <w:rPr>
          <w:rStyle w:val="Guidance"/>
        </w:rPr>
        <w:t xml:space="preserve"> </w:t>
      </w:r>
      <w:r w:rsidR="00D81D2C" w:rsidRPr="006117E8">
        <w:rPr>
          <w:rStyle w:val="Guidance"/>
        </w:rPr>
        <w:t>(unless there is a material variation)</w:t>
      </w:r>
      <w:r w:rsidRPr="006117E8">
        <w:rPr>
          <w:rStyle w:val="Guidance"/>
        </w:rPr>
        <w:t xml:space="preserve">. Departments are also required to disclose the variance between the actual cost to deliver the project and the latest approved (or budgeted) TEI endorsed by </w:t>
      </w:r>
      <w:r w:rsidR="00D81D2C">
        <w:rPr>
          <w:rStyle w:val="Guidance"/>
        </w:rPr>
        <w:t>the</w:t>
      </w:r>
      <w:r w:rsidRPr="006117E8">
        <w:rPr>
          <w:rStyle w:val="Guidance"/>
        </w:rPr>
        <w:t xml:space="preserve"> </w:t>
      </w:r>
      <w:r w:rsidR="00D81D2C">
        <w:rPr>
          <w:rStyle w:val="Guidance"/>
        </w:rPr>
        <w:t>G</w:t>
      </w:r>
      <w:r w:rsidRPr="006117E8">
        <w:rPr>
          <w:rStyle w:val="Guidance"/>
        </w:rPr>
        <w:t xml:space="preserve">overnment and an explanation for this variance. </w:t>
      </w:r>
    </w:p>
    <w:p w14:paraId="16DD4D99" w14:textId="40D2064A" w:rsidR="0002555B" w:rsidRPr="006117E8" w:rsidRDefault="0002555B" w:rsidP="0002555B">
      <w:pPr>
        <w:rPr>
          <w:rStyle w:val="Guidance"/>
        </w:rPr>
      </w:pPr>
      <w:r w:rsidRPr="006117E8">
        <w:rPr>
          <w:rStyle w:val="Guidance"/>
          <w:b/>
          <w:bCs/>
        </w:rPr>
        <w:t>Practical completion</w:t>
      </w:r>
      <w:r w:rsidRPr="006117E8">
        <w:rPr>
          <w:rStyle w:val="Guidance"/>
        </w:rPr>
        <w:t xml:space="preserve"> occurs when construction is </w:t>
      </w:r>
      <w:r w:rsidR="00D37021" w:rsidRPr="006117E8">
        <w:rPr>
          <w:rStyle w:val="Guidance"/>
        </w:rPr>
        <w:t>complete,</w:t>
      </w:r>
      <w:r w:rsidRPr="006117E8">
        <w:rPr>
          <w:rStyle w:val="Guidance"/>
        </w:rPr>
        <w:t xml:space="preserve"> and the asset has been handed over to the Department. </w:t>
      </w:r>
    </w:p>
    <w:p w14:paraId="42F69809" w14:textId="77777777" w:rsidR="0002555B" w:rsidRPr="006117E8" w:rsidRDefault="0002555B" w:rsidP="0002555B">
      <w:pPr>
        <w:rPr>
          <w:rStyle w:val="Guidance"/>
        </w:rPr>
      </w:pPr>
      <w:r w:rsidRPr="006117E8">
        <w:rPr>
          <w:rStyle w:val="Guidance"/>
          <w:b/>
          <w:bCs/>
        </w:rPr>
        <w:t>Financial completion</w:t>
      </w:r>
      <w:r w:rsidRPr="006117E8">
        <w:rPr>
          <w:rStyle w:val="Guidance"/>
        </w:rPr>
        <w:t xml:space="preserve"> occurs when the warranty/defects liability period ends, which may occur after the practical completion date.</w:t>
      </w:r>
    </w:p>
    <w:p w14:paraId="0933669E" w14:textId="7C8D0DC6" w:rsidR="0002555B" w:rsidRPr="006117E8" w:rsidRDefault="0002555B" w:rsidP="0002555B">
      <w:pPr>
        <w:rPr>
          <w:rStyle w:val="Guidance"/>
        </w:rPr>
      </w:pPr>
      <w:r w:rsidRPr="006117E8">
        <w:rPr>
          <w:rStyle w:val="Guidance"/>
        </w:rPr>
        <w:t xml:space="preserve">Where projects are handled across multiple agencies within the same portfolio department, the portfolio department for the agency that owns the asset should report the project in </w:t>
      </w:r>
      <w:r w:rsidR="00C43D5A">
        <w:rPr>
          <w:rStyle w:val="Guidance"/>
        </w:rPr>
        <w:t>its</w:t>
      </w:r>
      <w:r w:rsidR="00C43D5A" w:rsidRPr="006117E8">
        <w:rPr>
          <w:rStyle w:val="Guidance"/>
        </w:rPr>
        <w:t xml:space="preserve"> </w:t>
      </w:r>
      <w:r w:rsidRPr="006117E8">
        <w:rPr>
          <w:rStyle w:val="Guidance"/>
        </w:rPr>
        <w:t xml:space="preserve">annual report. Individual portfolio agencies are not required to report on these projects in their annual report. </w:t>
      </w:r>
    </w:p>
    <w:p w14:paraId="13F46A9B" w14:textId="77777777" w:rsidR="0002555B" w:rsidRPr="006117E8" w:rsidRDefault="0002555B" w:rsidP="0002555B">
      <w:pPr>
        <w:rPr>
          <w:rStyle w:val="Guidance"/>
        </w:rPr>
      </w:pPr>
      <w:r w:rsidRPr="006117E8">
        <w:rPr>
          <w:rStyle w:val="Guidance"/>
        </w:rPr>
        <w:t>For example, if an agency delivers projects on behalf of other entities and has recently completed a capital project that was funded through the State Budget, the portfolio department for the agency will report these completed capital projects in its annual report.</w:t>
      </w:r>
    </w:p>
    <w:p w14:paraId="22AA806C" w14:textId="77777777" w:rsidR="0002555B" w:rsidRPr="006117E8" w:rsidRDefault="0002555B" w:rsidP="006117E8">
      <w:pPr>
        <w:pStyle w:val="GuidanceHeading"/>
        <w:rPr>
          <w:rStyle w:val="Guidance"/>
        </w:rPr>
      </w:pPr>
      <w:r w:rsidRPr="006117E8">
        <w:rPr>
          <w:rStyle w:val="Guidance"/>
        </w:rPr>
        <w:t>Nil reports</w:t>
      </w:r>
    </w:p>
    <w:p w14:paraId="020D66FC" w14:textId="77777777" w:rsidR="0002555B" w:rsidRPr="006117E8" w:rsidRDefault="0002555B" w:rsidP="0002555B">
      <w:pPr>
        <w:rPr>
          <w:rStyle w:val="Guidance"/>
        </w:rPr>
      </w:pPr>
      <w:r w:rsidRPr="006117E8">
        <w:rPr>
          <w:rStyle w:val="Guidance"/>
        </w:rPr>
        <w:t>An explicit statement of ‘nil reports’ is required where no completed projects are disclosed. Departments must provide a reason for the nil report, including whether this is because no projects were completed during the financial year, or that none of the TEI of their projects completed during the financial year meet the disclosure threshold of $10 million.</w:t>
      </w:r>
    </w:p>
    <w:p w14:paraId="57348A6B" w14:textId="77777777" w:rsidR="0002555B" w:rsidRPr="006117E8" w:rsidRDefault="0002555B" w:rsidP="0002555B">
      <w:pPr>
        <w:rPr>
          <w:rStyle w:val="Guidance"/>
        </w:rPr>
      </w:pPr>
      <w:r w:rsidRPr="006117E8">
        <w:rPr>
          <w:rStyle w:val="Guidance"/>
        </w:rPr>
        <w:t xml:space="preserve">Departments are required to provide the following information on projects that have reached practical completion: </w:t>
      </w:r>
    </w:p>
    <w:p w14:paraId="15AEFF8C" w14:textId="54C7FF55" w:rsidR="0002555B" w:rsidRPr="006117E8" w:rsidRDefault="0002555B" w:rsidP="00367D84">
      <w:pPr>
        <w:pStyle w:val="ListBullet"/>
        <w:numPr>
          <w:ilvl w:val="0"/>
          <w:numId w:val="18"/>
        </w:numPr>
        <w:rPr>
          <w:rStyle w:val="Guidance"/>
        </w:rPr>
      </w:pPr>
      <w:r w:rsidRPr="006117E8">
        <w:rPr>
          <w:rStyle w:val="Guidance"/>
        </w:rPr>
        <w:t>the original estimated completion date</w:t>
      </w:r>
    </w:p>
    <w:p w14:paraId="758E4BB6" w14:textId="179B36B9" w:rsidR="0002555B" w:rsidRPr="006117E8" w:rsidRDefault="0002555B" w:rsidP="00367D84">
      <w:pPr>
        <w:pStyle w:val="ListBullet"/>
        <w:numPr>
          <w:ilvl w:val="0"/>
          <w:numId w:val="18"/>
        </w:numPr>
        <w:rPr>
          <w:rStyle w:val="Guidance"/>
        </w:rPr>
      </w:pPr>
      <w:r w:rsidRPr="006117E8">
        <w:rPr>
          <w:rStyle w:val="Guidance"/>
        </w:rPr>
        <w:t>the latest approved completion date</w:t>
      </w:r>
    </w:p>
    <w:p w14:paraId="6EFB8B9C" w14:textId="388F1EB0" w:rsidR="0002555B" w:rsidRPr="006117E8" w:rsidRDefault="0002555B" w:rsidP="00367D84">
      <w:pPr>
        <w:pStyle w:val="ListBullet"/>
        <w:numPr>
          <w:ilvl w:val="0"/>
          <w:numId w:val="18"/>
        </w:numPr>
        <w:rPr>
          <w:rStyle w:val="Guidance"/>
        </w:rPr>
      </w:pPr>
      <w:r w:rsidRPr="006117E8">
        <w:rPr>
          <w:rStyle w:val="Guidance"/>
        </w:rPr>
        <w:t>the practical completion date</w:t>
      </w:r>
    </w:p>
    <w:p w14:paraId="4327E1AC" w14:textId="352F7663" w:rsidR="0002555B" w:rsidRPr="006117E8" w:rsidRDefault="0002555B" w:rsidP="00367D84">
      <w:pPr>
        <w:pStyle w:val="ListBullet"/>
        <w:numPr>
          <w:ilvl w:val="0"/>
          <w:numId w:val="18"/>
        </w:numPr>
        <w:rPr>
          <w:rStyle w:val="Guidance"/>
        </w:rPr>
      </w:pPr>
      <w:r w:rsidRPr="006117E8">
        <w:rPr>
          <w:rStyle w:val="Guidance"/>
        </w:rPr>
        <w:t xml:space="preserve">explanations for changes in completion date, showing root causes for the changes. </w:t>
      </w:r>
    </w:p>
    <w:p w14:paraId="6C096304" w14:textId="77777777" w:rsidR="0002555B" w:rsidRPr="006117E8" w:rsidRDefault="0002555B" w:rsidP="0002555B">
      <w:pPr>
        <w:rPr>
          <w:rStyle w:val="Guidance"/>
        </w:rPr>
      </w:pPr>
      <w:r w:rsidRPr="006117E8">
        <w:rPr>
          <w:rStyle w:val="Guidance"/>
        </w:rPr>
        <w:t xml:space="preserve">For projects that have reached financial completion, the following information is to be provided: </w:t>
      </w:r>
    </w:p>
    <w:p w14:paraId="3F2880FF" w14:textId="65992AB7" w:rsidR="0002555B" w:rsidRPr="006117E8" w:rsidRDefault="0002555B" w:rsidP="00367D84">
      <w:pPr>
        <w:pStyle w:val="ListBullet"/>
        <w:numPr>
          <w:ilvl w:val="0"/>
          <w:numId w:val="19"/>
        </w:numPr>
        <w:rPr>
          <w:rStyle w:val="Guidance"/>
        </w:rPr>
      </w:pPr>
      <w:r w:rsidRPr="006117E8">
        <w:rPr>
          <w:rStyle w:val="Guidance"/>
        </w:rPr>
        <w:t>the original approved TEI</w:t>
      </w:r>
    </w:p>
    <w:p w14:paraId="0FE989E3" w14:textId="40089415" w:rsidR="0002555B" w:rsidRPr="006117E8" w:rsidRDefault="0002555B" w:rsidP="00367D84">
      <w:pPr>
        <w:pStyle w:val="ListBullet"/>
        <w:numPr>
          <w:ilvl w:val="0"/>
          <w:numId w:val="19"/>
        </w:numPr>
        <w:rPr>
          <w:rStyle w:val="Guidance"/>
        </w:rPr>
      </w:pPr>
      <w:r w:rsidRPr="006117E8">
        <w:rPr>
          <w:rStyle w:val="Guidance"/>
        </w:rPr>
        <w:t>the latest approved TEI</w:t>
      </w:r>
    </w:p>
    <w:p w14:paraId="0D5B7560" w14:textId="59891017" w:rsidR="0002555B" w:rsidRPr="006117E8" w:rsidRDefault="0002555B" w:rsidP="00367D84">
      <w:pPr>
        <w:pStyle w:val="ListBullet"/>
        <w:numPr>
          <w:ilvl w:val="0"/>
          <w:numId w:val="19"/>
        </w:numPr>
        <w:rPr>
          <w:rStyle w:val="Guidance"/>
        </w:rPr>
      </w:pPr>
      <w:r w:rsidRPr="006117E8">
        <w:rPr>
          <w:rStyle w:val="Guidance"/>
        </w:rPr>
        <w:t>the actual total investment</w:t>
      </w:r>
    </w:p>
    <w:p w14:paraId="08B2A84A" w14:textId="12FEEB29" w:rsidR="0002555B" w:rsidRPr="006117E8" w:rsidRDefault="0002555B" w:rsidP="00367D84">
      <w:pPr>
        <w:pStyle w:val="ListBullet"/>
        <w:numPr>
          <w:ilvl w:val="0"/>
          <w:numId w:val="19"/>
        </w:numPr>
        <w:rPr>
          <w:rStyle w:val="Guidance"/>
        </w:rPr>
      </w:pPr>
      <w:r w:rsidRPr="006117E8">
        <w:rPr>
          <w:rStyle w:val="Guidance"/>
        </w:rPr>
        <w:t xml:space="preserve">explanations for changes in total investment, showing root causes for the changes. </w:t>
      </w:r>
    </w:p>
    <w:p w14:paraId="3866D32B" w14:textId="0F2FF03A" w:rsidR="00DC39DE" w:rsidRDefault="0002555B" w:rsidP="0002555B">
      <w:pPr>
        <w:rPr>
          <w:rStyle w:val="Guidance"/>
        </w:rPr>
      </w:pPr>
      <w:r w:rsidRPr="006117E8">
        <w:rPr>
          <w:rStyle w:val="Guidance"/>
        </w:rPr>
        <w:t>Note that variances greater than 5 per cent or greater than $50 million increase or decrease, for projects that have been reported in a previous reporting period as practically complete, are considered material and will also need to be reported on the financial completion date in the following reporting period.</w:t>
      </w:r>
    </w:p>
    <w:p w14:paraId="3D1F972B" w14:textId="77777777" w:rsidR="006117E8" w:rsidRPr="006117E8" w:rsidRDefault="006117E8" w:rsidP="006117E8">
      <w:pPr>
        <w:pStyle w:val="GuidanceEnd"/>
        <w:rPr>
          <w:rStyle w:val="Guidance"/>
        </w:rPr>
      </w:pPr>
    </w:p>
    <w:p w14:paraId="7777BE5A" w14:textId="77777777" w:rsidR="00AC4CA9" w:rsidRDefault="00AC4CA9">
      <w:pPr>
        <w:keepLines w:val="0"/>
        <w:rPr>
          <w:rFonts w:asciiTheme="majorHAnsi" w:eastAsiaTheme="majorEastAsia" w:hAnsiTheme="majorHAnsi" w:cstheme="majorBidi"/>
          <w:b/>
          <w:sz w:val="26"/>
          <w:szCs w:val="26"/>
        </w:rPr>
      </w:pPr>
      <w:r>
        <w:br w:type="page"/>
      </w:r>
    </w:p>
    <w:p w14:paraId="6ED67E40" w14:textId="32ECC5D4" w:rsidR="00DC39DE" w:rsidRDefault="00DC39DE" w:rsidP="00AC4CA9">
      <w:pPr>
        <w:pStyle w:val="Heading2"/>
      </w:pPr>
      <w:bookmarkStart w:id="112" w:name="_Toc199156276"/>
      <w:r>
        <w:lastRenderedPageBreak/>
        <w:t>Disclosure of grants and transfer payments (other than contributions by owners)</w:t>
      </w:r>
      <w:bookmarkEnd w:id="112"/>
      <w:r w:rsidR="007A048A">
        <w:t xml:space="preserve"> </w:t>
      </w:r>
    </w:p>
    <w:p w14:paraId="1F1A66C9" w14:textId="755B6A59" w:rsidR="00AC4CA9" w:rsidRPr="00AC4CA9" w:rsidRDefault="00AC4CA9" w:rsidP="00AC4CA9">
      <w:r>
        <w:t xml:space="preserve">The Department has provided assistance to certain companies and organisations. Financial assistance provided in </w:t>
      </w:r>
      <w:fldSimple w:instr="DOCPROPERTY  FinYearCurrent  \* MERGEFORMAT">
        <w:r w:rsidR="000E6299">
          <w:t>20X1</w:t>
        </w:r>
        <w:r w:rsidR="000E6299" w:rsidRPr="20EC4723">
          <w:rPr>
            <w:rFonts w:ascii="Cambria Math" w:hAnsi="Cambria Math" w:cs="Cambria Math"/>
          </w:rPr>
          <w:t>‑</w:t>
        </w:r>
        <w:r w:rsidR="000E6299">
          <w:t>X2</w:t>
        </w:r>
      </w:fldSimple>
      <w:r>
        <w:t xml:space="preserve"> was as follows: </w:t>
      </w:r>
      <w:r w:rsidRPr="20EC4723">
        <w:rPr>
          <w:rStyle w:val="Reference"/>
        </w:rPr>
        <w:t>[Recommendation 15, PAEC</w:t>
      </w:r>
      <w:r w:rsidR="26A877CE" w:rsidRPr="20EC4723">
        <w:rPr>
          <w:rStyle w:val="Reference"/>
        </w:rPr>
        <w:t xml:space="preserve"> Report on the 2007-08 Financial and Performance Outcomes</w:t>
      </w:r>
      <w:r w:rsidR="00C617FA">
        <w:rPr>
          <w:rStyle w:val="Reference"/>
        </w:rPr>
        <w:t>; Recommendation 34,</w:t>
      </w:r>
      <w:r w:rsidR="00730E1C">
        <w:rPr>
          <w:rStyle w:val="Reference"/>
        </w:rPr>
        <w:t xml:space="preserve"> PAEC Inquiry into the 2021-22 and 2022-23 Financial and Performance Outcomes</w:t>
      </w:r>
      <w:r w:rsidR="00190A5E" w:rsidRPr="00190A5E">
        <w:rPr>
          <w:rStyle w:val="Reference"/>
        </w:rPr>
        <w:t xml:space="preserve">, </w:t>
      </w:r>
      <w:r w:rsidR="00190A5E" w:rsidRPr="00053A04">
        <w:rPr>
          <w:color w:val="C00000"/>
          <w:sz w:val="16"/>
        </w:rPr>
        <w:t xml:space="preserve">FRD 22 </w:t>
      </w:r>
      <w:r w:rsidR="00DB10E3" w:rsidRPr="00053A04">
        <w:rPr>
          <w:color w:val="C00000"/>
          <w:sz w:val="16"/>
        </w:rPr>
        <w:t>revised paragraph</w:t>
      </w:r>
      <w:r w:rsidR="00995310">
        <w:rPr>
          <w:color w:val="C00000"/>
          <w:sz w:val="16"/>
        </w:rPr>
        <w:t> </w:t>
      </w:r>
      <w:r w:rsidR="00190A5E" w:rsidRPr="00053A04">
        <w:rPr>
          <w:color w:val="C00000"/>
          <w:sz w:val="16"/>
        </w:rPr>
        <w:t>5.21</w:t>
      </w:r>
      <w:r w:rsidRPr="00190A5E">
        <w:rPr>
          <w:rStyle w:val="Reference"/>
        </w:rPr>
        <w:t>]</w:t>
      </w:r>
    </w:p>
    <w:p w14:paraId="35B65523" w14:textId="77777777" w:rsidR="00DC39DE" w:rsidRDefault="00DC39DE" w:rsidP="00AC4CA9">
      <w:pPr>
        <w:pStyle w:val="Heading4"/>
      </w:pPr>
      <w:r>
        <w:t xml:space="preserve">Strategic policy advice </w:t>
      </w:r>
      <w:r w:rsidRPr="00AC4CA9">
        <w:rPr>
          <w:rStyle w:val="Guidance"/>
        </w:rPr>
        <w:t>[output name]</w:t>
      </w:r>
    </w:p>
    <w:p w14:paraId="5206A716" w14:textId="77777777" w:rsidR="00DC39DE" w:rsidRPr="00AC4CA9" w:rsidRDefault="00DC39DE" w:rsidP="00DC39DE">
      <w:pPr>
        <w:rPr>
          <w:i/>
          <w:iCs/>
        </w:rPr>
      </w:pPr>
      <w:r w:rsidRPr="00AC4CA9">
        <w:rPr>
          <w:i/>
          <w:iCs/>
        </w:rPr>
        <w:t xml:space="preserve">Program A </w:t>
      </w:r>
      <w:r w:rsidRPr="00AC4CA9">
        <w:rPr>
          <w:rStyle w:val="Guidance"/>
          <w:i/>
          <w:iCs/>
        </w:rPr>
        <w:t>[insert name]</w:t>
      </w:r>
    </w:p>
    <w:p w14:paraId="6444E85B" w14:textId="77777777" w:rsidR="00DC39DE" w:rsidRPr="00AC4CA9" w:rsidRDefault="00DC39DE" w:rsidP="00DC39DE">
      <w:pPr>
        <w:rPr>
          <w:i/>
          <w:iCs/>
        </w:rPr>
      </w:pPr>
      <w:r w:rsidRPr="00AC4CA9">
        <w:rPr>
          <w:i/>
          <w:iCs/>
        </w:rPr>
        <w:t xml:space="preserve">Grant 1 </w:t>
      </w:r>
      <w:r w:rsidRPr="00AC4CA9">
        <w:rPr>
          <w:rStyle w:val="Guidance"/>
          <w:i/>
          <w:iCs/>
        </w:rPr>
        <w:t>[insert name]</w:t>
      </w:r>
    </w:p>
    <w:p w14:paraId="4292E471" w14:textId="3BD0FA3C" w:rsidR="00DC39DE" w:rsidRPr="00AC4CA9" w:rsidRDefault="00DC39DE" w:rsidP="00DC39DE">
      <w:pPr>
        <w:rPr>
          <w:rStyle w:val="Guidance"/>
        </w:rPr>
      </w:pPr>
      <w:r w:rsidRPr="00AC4CA9">
        <w:rPr>
          <w:rStyle w:val="Guidance"/>
        </w:rPr>
        <w:t>[Insert description of purpose and nature of grant.]</w:t>
      </w:r>
    </w:p>
    <w:tbl>
      <w:tblPr>
        <w:tblStyle w:val="DTFFinancialTable"/>
        <w:tblW w:w="4644" w:type="dxa"/>
        <w:tblLook w:val="06A0" w:firstRow="1" w:lastRow="0" w:firstColumn="1" w:lastColumn="0" w:noHBand="1" w:noVBand="1"/>
      </w:tblPr>
      <w:tblGrid>
        <w:gridCol w:w="2376"/>
        <w:gridCol w:w="2268"/>
      </w:tblGrid>
      <w:tr w:rsidR="00AC4CA9" w:rsidRPr="00AE62E4" w14:paraId="5AD06D9A" w14:textId="77777777" w:rsidTr="001836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14:paraId="0B46A661" w14:textId="77777777" w:rsidR="00AC4CA9" w:rsidRPr="00AE62E4" w:rsidRDefault="00AC4CA9" w:rsidP="000E677F">
            <w:r w:rsidRPr="00AE62E4">
              <w:t xml:space="preserve">Organisation </w:t>
            </w:r>
          </w:p>
        </w:tc>
        <w:tc>
          <w:tcPr>
            <w:tcW w:w="2268" w:type="dxa"/>
          </w:tcPr>
          <w:p w14:paraId="306982EC" w14:textId="77777777" w:rsidR="00AC4CA9" w:rsidRPr="00AE62E4" w:rsidRDefault="00AC4CA9" w:rsidP="000E677F">
            <w:pPr>
              <w:cnfStyle w:val="100000000000" w:firstRow="1" w:lastRow="0" w:firstColumn="0" w:lastColumn="0" w:oddVBand="0" w:evenVBand="0" w:oddHBand="0" w:evenHBand="0" w:firstRowFirstColumn="0" w:firstRowLastColumn="0" w:lastRowFirstColumn="0" w:lastRowLastColumn="0"/>
            </w:pPr>
            <w:r w:rsidRPr="00AE62E4">
              <w:t>Payment $</w:t>
            </w:r>
          </w:p>
        </w:tc>
      </w:tr>
      <w:tr w:rsidR="00AC4CA9" w:rsidRPr="00AE62E4" w14:paraId="4656B0B9"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09098CEF" w14:textId="77777777" w:rsidR="00AC4CA9" w:rsidRPr="00AE62E4" w:rsidRDefault="00AC4CA9" w:rsidP="000E677F">
            <w:r w:rsidRPr="00AE62E4">
              <w:t>ABC Ltd</w:t>
            </w:r>
          </w:p>
        </w:tc>
        <w:tc>
          <w:tcPr>
            <w:tcW w:w="2268" w:type="dxa"/>
          </w:tcPr>
          <w:p w14:paraId="4E705416"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r w:rsidR="00AC4CA9" w:rsidRPr="00AE62E4" w14:paraId="1088C76B"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06C69628" w14:textId="77777777" w:rsidR="00AC4CA9" w:rsidRPr="00AE62E4" w:rsidRDefault="00AC4CA9" w:rsidP="000E677F">
            <w:r w:rsidRPr="00AE62E4">
              <w:t>XYZ Division</w:t>
            </w:r>
          </w:p>
        </w:tc>
        <w:tc>
          <w:tcPr>
            <w:tcW w:w="2268" w:type="dxa"/>
          </w:tcPr>
          <w:p w14:paraId="0B7B340F"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r w:rsidR="00AC4CA9" w:rsidRPr="00AE62E4" w14:paraId="2764BC42"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6A570E8A" w14:textId="77777777" w:rsidR="00AC4CA9" w:rsidRPr="00AE62E4" w:rsidRDefault="00AC4CA9" w:rsidP="000E677F">
            <w:r w:rsidRPr="00AE62E4">
              <w:t>Society of BBY</w:t>
            </w:r>
          </w:p>
        </w:tc>
        <w:tc>
          <w:tcPr>
            <w:tcW w:w="2268" w:type="dxa"/>
          </w:tcPr>
          <w:p w14:paraId="28D5A697"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bl>
    <w:p w14:paraId="5B1C9CA2" w14:textId="77777777" w:rsidR="00AC4CA9" w:rsidRDefault="00AC4CA9" w:rsidP="00DC39DE"/>
    <w:p w14:paraId="1852A6C8" w14:textId="77777777" w:rsidR="00DC39DE" w:rsidRPr="00AC4CA9" w:rsidRDefault="00DC39DE" w:rsidP="00DC39DE">
      <w:pPr>
        <w:rPr>
          <w:i/>
          <w:iCs/>
        </w:rPr>
      </w:pPr>
      <w:r w:rsidRPr="00AC4CA9">
        <w:rPr>
          <w:i/>
          <w:iCs/>
        </w:rPr>
        <w:t xml:space="preserve">Grant 2 </w:t>
      </w:r>
      <w:r w:rsidRPr="00AC4CA9">
        <w:rPr>
          <w:rStyle w:val="Guidance"/>
          <w:i/>
          <w:iCs/>
        </w:rPr>
        <w:t>[insert name]</w:t>
      </w:r>
    </w:p>
    <w:p w14:paraId="35D5176E" w14:textId="77777777" w:rsidR="00DC39DE" w:rsidRPr="00AC4CA9" w:rsidRDefault="00DC39DE" w:rsidP="00DC39DE">
      <w:pPr>
        <w:rPr>
          <w:rStyle w:val="Guidance"/>
        </w:rPr>
      </w:pPr>
      <w:r w:rsidRPr="00AC4CA9">
        <w:rPr>
          <w:rStyle w:val="Guidance"/>
        </w:rPr>
        <w:t>[Insert description of purpose and nature of grant.]</w:t>
      </w:r>
    </w:p>
    <w:tbl>
      <w:tblPr>
        <w:tblStyle w:val="DTFFinancialTable"/>
        <w:tblW w:w="4644" w:type="dxa"/>
        <w:tblLook w:val="06A0" w:firstRow="1" w:lastRow="0" w:firstColumn="1" w:lastColumn="0" w:noHBand="1" w:noVBand="1"/>
      </w:tblPr>
      <w:tblGrid>
        <w:gridCol w:w="2376"/>
        <w:gridCol w:w="2268"/>
      </w:tblGrid>
      <w:tr w:rsidR="00AC4CA9" w:rsidRPr="00AE62E4" w14:paraId="10FE6910" w14:textId="77777777" w:rsidTr="001836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14:paraId="31430004" w14:textId="77777777" w:rsidR="00AC4CA9" w:rsidRPr="00AE62E4" w:rsidRDefault="00AC4CA9" w:rsidP="000E677F">
            <w:r w:rsidRPr="00AE62E4">
              <w:t xml:space="preserve">Organisation </w:t>
            </w:r>
          </w:p>
        </w:tc>
        <w:tc>
          <w:tcPr>
            <w:tcW w:w="2268" w:type="dxa"/>
          </w:tcPr>
          <w:p w14:paraId="72646833" w14:textId="77777777" w:rsidR="00AC4CA9" w:rsidRPr="00AE62E4" w:rsidRDefault="00AC4CA9" w:rsidP="000E677F">
            <w:pPr>
              <w:cnfStyle w:val="100000000000" w:firstRow="1" w:lastRow="0" w:firstColumn="0" w:lastColumn="0" w:oddVBand="0" w:evenVBand="0" w:oddHBand="0" w:evenHBand="0" w:firstRowFirstColumn="0" w:firstRowLastColumn="0" w:lastRowFirstColumn="0" w:lastRowLastColumn="0"/>
            </w:pPr>
            <w:r w:rsidRPr="00AE62E4">
              <w:t>Payment $</w:t>
            </w:r>
          </w:p>
        </w:tc>
      </w:tr>
      <w:tr w:rsidR="00AC4CA9" w:rsidRPr="00AE62E4" w14:paraId="0D29ED1A"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0B113A19" w14:textId="77777777" w:rsidR="00AC4CA9" w:rsidRPr="00AE62E4" w:rsidRDefault="00AC4CA9" w:rsidP="000E677F">
            <w:r w:rsidRPr="00AE62E4">
              <w:t>ABC Ltd</w:t>
            </w:r>
          </w:p>
        </w:tc>
        <w:tc>
          <w:tcPr>
            <w:tcW w:w="2268" w:type="dxa"/>
          </w:tcPr>
          <w:p w14:paraId="2EEE75CC"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r w:rsidR="00AC4CA9" w:rsidRPr="00AE62E4" w14:paraId="0FFE54C1"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1C79B7B1" w14:textId="77777777" w:rsidR="00AC4CA9" w:rsidRPr="00AE62E4" w:rsidRDefault="00AC4CA9" w:rsidP="000E677F">
            <w:r w:rsidRPr="00AE62E4">
              <w:t>XYZ Division</w:t>
            </w:r>
          </w:p>
        </w:tc>
        <w:tc>
          <w:tcPr>
            <w:tcW w:w="2268" w:type="dxa"/>
          </w:tcPr>
          <w:p w14:paraId="0488D274"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r w:rsidR="00AC4CA9" w:rsidRPr="00AE62E4" w14:paraId="39D91C49"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2B0634D3" w14:textId="77777777" w:rsidR="00AC4CA9" w:rsidRPr="00AE62E4" w:rsidRDefault="00AC4CA9" w:rsidP="000E677F">
            <w:r w:rsidRPr="00AE62E4">
              <w:t>Society of BBY</w:t>
            </w:r>
          </w:p>
        </w:tc>
        <w:tc>
          <w:tcPr>
            <w:tcW w:w="2268" w:type="dxa"/>
          </w:tcPr>
          <w:p w14:paraId="28254BC9"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bl>
    <w:p w14:paraId="4AF0A975" w14:textId="77777777" w:rsidR="00DC39DE" w:rsidRDefault="00DC39DE" w:rsidP="00DC39DE"/>
    <w:p w14:paraId="0DA1C6D2" w14:textId="77777777" w:rsidR="00DC39DE" w:rsidRPr="00AC4CA9" w:rsidRDefault="00DC39DE" w:rsidP="00DC39DE">
      <w:pPr>
        <w:rPr>
          <w:i/>
          <w:iCs/>
        </w:rPr>
      </w:pPr>
      <w:r w:rsidRPr="00AC4CA9">
        <w:rPr>
          <w:i/>
          <w:iCs/>
        </w:rPr>
        <w:t xml:space="preserve">Program B </w:t>
      </w:r>
      <w:r w:rsidRPr="00AC4CA9">
        <w:rPr>
          <w:rStyle w:val="Guidance"/>
          <w:i/>
          <w:iCs/>
        </w:rPr>
        <w:t>[insert name]</w:t>
      </w:r>
    </w:p>
    <w:p w14:paraId="12552D8D" w14:textId="77777777" w:rsidR="00DC39DE" w:rsidRPr="00AC4CA9" w:rsidRDefault="00DC39DE" w:rsidP="00DC39DE">
      <w:pPr>
        <w:rPr>
          <w:i/>
          <w:iCs/>
        </w:rPr>
      </w:pPr>
      <w:r w:rsidRPr="00AC4CA9">
        <w:rPr>
          <w:i/>
          <w:iCs/>
        </w:rPr>
        <w:t xml:space="preserve">Grant 1 </w:t>
      </w:r>
      <w:r w:rsidRPr="00AC4CA9">
        <w:rPr>
          <w:rStyle w:val="Guidance"/>
          <w:i/>
          <w:iCs/>
        </w:rPr>
        <w:t>[insert name]</w:t>
      </w:r>
    </w:p>
    <w:p w14:paraId="68C123BB" w14:textId="77777777" w:rsidR="00DC39DE" w:rsidRPr="00AC4CA9" w:rsidRDefault="00DC39DE" w:rsidP="00DC39DE">
      <w:pPr>
        <w:rPr>
          <w:rStyle w:val="Guidance"/>
        </w:rPr>
      </w:pPr>
      <w:r w:rsidRPr="00AC4CA9">
        <w:rPr>
          <w:rStyle w:val="Guidance"/>
        </w:rPr>
        <w:t>[Insert description of purpose and nature of grant.]</w:t>
      </w:r>
    </w:p>
    <w:tbl>
      <w:tblPr>
        <w:tblStyle w:val="DTFFinancialTable"/>
        <w:tblW w:w="4644" w:type="dxa"/>
        <w:tblLook w:val="04A0" w:firstRow="1" w:lastRow="0" w:firstColumn="1" w:lastColumn="0" w:noHBand="0" w:noVBand="1"/>
      </w:tblPr>
      <w:tblGrid>
        <w:gridCol w:w="2376"/>
        <w:gridCol w:w="2268"/>
      </w:tblGrid>
      <w:tr w:rsidR="00AC4CA9" w:rsidRPr="00AE62E4" w14:paraId="30F9C37E" w14:textId="77777777" w:rsidTr="00AC4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14:paraId="7E0BE7FF" w14:textId="77777777" w:rsidR="00AC4CA9" w:rsidRPr="00AE62E4" w:rsidRDefault="00AC4CA9" w:rsidP="000E677F">
            <w:r w:rsidRPr="00AE62E4">
              <w:t xml:space="preserve">Organisation </w:t>
            </w:r>
          </w:p>
        </w:tc>
        <w:tc>
          <w:tcPr>
            <w:tcW w:w="2268" w:type="dxa"/>
          </w:tcPr>
          <w:p w14:paraId="29D023CA" w14:textId="77777777" w:rsidR="00AC4CA9" w:rsidRPr="00AE62E4" w:rsidRDefault="00AC4CA9" w:rsidP="000E677F">
            <w:pPr>
              <w:cnfStyle w:val="100000000000" w:firstRow="1" w:lastRow="0" w:firstColumn="0" w:lastColumn="0" w:oddVBand="0" w:evenVBand="0" w:oddHBand="0" w:evenHBand="0" w:firstRowFirstColumn="0" w:firstRowLastColumn="0" w:lastRowFirstColumn="0" w:lastRowLastColumn="0"/>
            </w:pPr>
            <w:r w:rsidRPr="00AE62E4">
              <w:t>Payment $</w:t>
            </w:r>
          </w:p>
        </w:tc>
      </w:tr>
      <w:tr w:rsidR="00AC4CA9" w:rsidRPr="00AE62E4" w14:paraId="7EDFA018" w14:textId="77777777" w:rsidTr="00AC4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8CD7AB5" w14:textId="04080368" w:rsidR="00AC4CA9" w:rsidRPr="00AE62E4" w:rsidRDefault="00AC4CA9" w:rsidP="000E677F">
            <w:r w:rsidRPr="00AE62E4">
              <w:t>A</w:t>
            </w:r>
            <w:r>
              <w:t>TE</w:t>
            </w:r>
            <w:r w:rsidRPr="00AE62E4">
              <w:t xml:space="preserve"> Ltd</w:t>
            </w:r>
          </w:p>
        </w:tc>
        <w:tc>
          <w:tcPr>
            <w:tcW w:w="2268" w:type="dxa"/>
          </w:tcPr>
          <w:p w14:paraId="7DE96BF5" w14:textId="77777777" w:rsidR="00AC4CA9" w:rsidRPr="00AE62E4" w:rsidRDefault="00AC4CA9" w:rsidP="000E677F">
            <w:pPr>
              <w:cnfStyle w:val="000000100000" w:firstRow="0" w:lastRow="0" w:firstColumn="0" w:lastColumn="0" w:oddVBand="0" w:evenVBand="0" w:oddHBand="1" w:evenHBand="0" w:firstRowFirstColumn="0" w:firstRowLastColumn="0" w:lastRowFirstColumn="0" w:lastRowLastColumn="0"/>
            </w:pPr>
            <w:r w:rsidRPr="00AE62E4">
              <w:t>xxxx</w:t>
            </w:r>
          </w:p>
        </w:tc>
      </w:tr>
    </w:tbl>
    <w:p w14:paraId="5484AEE6" w14:textId="77777777" w:rsidR="00DC39DE" w:rsidRDefault="00DC39DE" w:rsidP="00DC39DE"/>
    <w:p w14:paraId="013691F6" w14:textId="77777777" w:rsidR="00DC39DE" w:rsidRPr="00AC4CA9" w:rsidRDefault="00DC39DE" w:rsidP="00DC39DE">
      <w:pPr>
        <w:rPr>
          <w:i/>
          <w:iCs/>
        </w:rPr>
      </w:pPr>
      <w:r w:rsidRPr="00AC4CA9">
        <w:rPr>
          <w:i/>
          <w:iCs/>
        </w:rPr>
        <w:t xml:space="preserve">Program C </w:t>
      </w:r>
      <w:r w:rsidRPr="00AC4CA9">
        <w:rPr>
          <w:rStyle w:val="Guidance"/>
          <w:i/>
          <w:iCs/>
        </w:rPr>
        <w:t>[insert name]</w:t>
      </w:r>
    </w:p>
    <w:p w14:paraId="258A4D21" w14:textId="77777777" w:rsidR="00DC39DE" w:rsidRPr="00AC4CA9" w:rsidRDefault="00DC39DE" w:rsidP="00DC39DE">
      <w:pPr>
        <w:rPr>
          <w:i/>
          <w:iCs/>
        </w:rPr>
      </w:pPr>
      <w:r w:rsidRPr="00AC4CA9">
        <w:rPr>
          <w:i/>
          <w:iCs/>
        </w:rPr>
        <w:t xml:space="preserve">Grant 1 </w:t>
      </w:r>
      <w:r w:rsidRPr="00AC4CA9">
        <w:rPr>
          <w:rStyle w:val="Guidance"/>
          <w:i/>
          <w:iCs/>
        </w:rPr>
        <w:t>[insert name]</w:t>
      </w:r>
    </w:p>
    <w:p w14:paraId="45BDBEC2" w14:textId="77777777" w:rsidR="00DC39DE" w:rsidRPr="00AC4CA9" w:rsidRDefault="00DC39DE" w:rsidP="00DC39DE">
      <w:pPr>
        <w:rPr>
          <w:rStyle w:val="Guidance"/>
        </w:rPr>
      </w:pPr>
      <w:r w:rsidRPr="00AC4CA9">
        <w:rPr>
          <w:rStyle w:val="Guidance"/>
        </w:rPr>
        <w:t>[Insert description of purpose and nature of grant.]</w:t>
      </w:r>
    </w:p>
    <w:tbl>
      <w:tblPr>
        <w:tblStyle w:val="DTFFinancialTable"/>
        <w:tblW w:w="4644" w:type="dxa"/>
        <w:tblLook w:val="06A0" w:firstRow="1" w:lastRow="0" w:firstColumn="1" w:lastColumn="0" w:noHBand="1" w:noVBand="1"/>
      </w:tblPr>
      <w:tblGrid>
        <w:gridCol w:w="2376"/>
        <w:gridCol w:w="2268"/>
      </w:tblGrid>
      <w:tr w:rsidR="00AC4CA9" w:rsidRPr="00AE62E4" w14:paraId="1413FF57" w14:textId="77777777" w:rsidTr="001836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14:paraId="45D2578F" w14:textId="77777777" w:rsidR="00AC4CA9" w:rsidRPr="00AE62E4" w:rsidRDefault="00AC4CA9" w:rsidP="000E677F">
            <w:r w:rsidRPr="00AE62E4">
              <w:t xml:space="preserve">Organisation </w:t>
            </w:r>
          </w:p>
        </w:tc>
        <w:tc>
          <w:tcPr>
            <w:tcW w:w="2268" w:type="dxa"/>
          </w:tcPr>
          <w:p w14:paraId="3175ED0E" w14:textId="77777777" w:rsidR="00AC4CA9" w:rsidRPr="00AE62E4" w:rsidRDefault="00AC4CA9" w:rsidP="000E677F">
            <w:pPr>
              <w:cnfStyle w:val="100000000000" w:firstRow="1" w:lastRow="0" w:firstColumn="0" w:lastColumn="0" w:oddVBand="0" w:evenVBand="0" w:oddHBand="0" w:evenHBand="0" w:firstRowFirstColumn="0" w:firstRowLastColumn="0" w:lastRowFirstColumn="0" w:lastRowLastColumn="0"/>
            </w:pPr>
            <w:r w:rsidRPr="00AE62E4">
              <w:t>Payment $</w:t>
            </w:r>
          </w:p>
        </w:tc>
      </w:tr>
      <w:tr w:rsidR="00AC4CA9" w:rsidRPr="00AE62E4" w14:paraId="2A24FD2A"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5E376A7F" w14:textId="77777777" w:rsidR="00AC4CA9" w:rsidRPr="00AE62E4" w:rsidRDefault="00AC4CA9" w:rsidP="000E677F">
            <w:r w:rsidRPr="00AE62E4">
              <w:t>ABC Ltd</w:t>
            </w:r>
          </w:p>
        </w:tc>
        <w:tc>
          <w:tcPr>
            <w:tcW w:w="2268" w:type="dxa"/>
          </w:tcPr>
          <w:p w14:paraId="0EFD6554"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r w:rsidR="00AC4CA9" w:rsidRPr="00AE62E4" w14:paraId="33FBA871"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68111031" w14:textId="77777777" w:rsidR="00AC4CA9" w:rsidRPr="00AE62E4" w:rsidRDefault="00AC4CA9" w:rsidP="000E677F">
            <w:r w:rsidRPr="00AE62E4">
              <w:t>XYZ Division</w:t>
            </w:r>
          </w:p>
        </w:tc>
        <w:tc>
          <w:tcPr>
            <w:tcW w:w="2268" w:type="dxa"/>
          </w:tcPr>
          <w:p w14:paraId="71A72321"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r w:rsidR="00AC4CA9" w:rsidRPr="00AE62E4" w14:paraId="02F4196D"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5879CFD7" w14:textId="77777777" w:rsidR="00AC4CA9" w:rsidRPr="00AE62E4" w:rsidRDefault="00AC4CA9" w:rsidP="000E677F">
            <w:r w:rsidRPr="00AE62E4">
              <w:t>Society of BBY</w:t>
            </w:r>
          </w:p>
        </w:tc>
        <w:tc>
          <w:tcPr>
            <w:tcW w:w="2268" w:type="dxa"/>
          </w:tcPr>
          <w:p w14:paraId="54274E4F"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r w:rsidR="00AC4CA9" w:rsidRPr="00AE62E4" w14:paraId="2FEE4691"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5A5F891C" w14:textId="77777777" w:rsidR="00AC4CA9" w:rsidRPr="00AE62E4" w:rsidRDefault="00AC4CA9" w:rsidP="000E677F">
            <w:r w:rsidRPr="00AE62E4">
              <w:t>XYZ Division</w:t>
            </w:r>
          </w:p>
        </w:tc>
        <w:tc>
          <w:tcPr>
            <w:tcW w:w="2268" w:type="dxa"/>
          </w:tcPr>
          <w:p w14:paraId="1E1BEA0A"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r w:rsidR="00AC4CA9" w:rsidRPr="00AE62E4" w14:paraId="75DB2463" w14:textId="77777777" w:rsidTr="00183623">
        <w:tc>
          <w:tcPr>
            <w:cnfStyle w:val="001000000000" w:firstRow="0" w:lastRow="0" w:firstColumn="1" w:lastColumn="0" w:oddVBand="0" w:evenVBand="0" w:oddHBand="0" w:evenHBand="0" w:firstRowFirstColumn="0" w:firstRowLastColumn="0" w:lastRowFirstColumn="0" w:lastRowLastColumn="0"/>
            <w:tcW w:w="2376" w:type="dxa"/>
          </w:tcPr>
          <w:p w14:paraId="631606B5" w14:textId="77777777" w:rsidR="00AC4CA9" w:rsidRPr="00AE62E4" w:rsidRDefault="00AC4CA9" w:rsidP="000E677F">
            <w:r w:rsidRPr="00AE62E4">
              <w:t>Society of BBY</w:t>
            </w:r>
          </w:p>
        </w:tc>
        <w:tc>
          <w:tcPr>
            <w:tcW w:w="2268" w:type="dxa"/>
          </w:tcPr>
          <w:p w14:paraId="5F0C4C62" w14:textId="77777777" w:rsidR="00AC4CA9" w:rsidRPr="00AE62E4" w:rsidRDefault="00AC4CA9" w:rsidP="000E677F">
            <w:pPr>
              <w:cnfStyle w:val="000000000000" w:firstRow="0" w:lastRow="0" w:firstColumn="0" w:lastColumn="0" w:oddVBand="0" w:evenVBand="0" w:oddHBand="0" w:evenHBand="0" w:firstRowFirstColumn="0" w:firstRowLastColumn="0" w:lastRowFirstColumn="0" w:lastRowLastColumn="0"/>
            </w:pPr>
            <w:r w:rsidRPr="00AE62E4">
              <w:t>xxxx</w:t>
            </w:r>
          </w:p>
        </w:tc>
      </w:tr>
    </w:tbl>
    <w:p w14:paraId="1B4C00AB" w14:textId="77777777" w:rsidR="00DC39DE" w:rsidRDefault="00DC39DE" w:rsidP="00DC39DE"/>
    <w:p w14:paraId="4DC2565E" w14:textId="77777777" w:rsidR="00DC39DE" w:rsidRPr="00AC4CA9" w:rsidRDefault="00DC39DE" w:rsidP="00DC39DE">
      <w:pPr>
        <w:rPr>
          <w:rStyle w:val="Guidance"/>
        </w:rPr>
      </w:pPr>
      <w:r w:rsidRPr="00AC4CA9">
        <w:rPr>
          <w:rStyle w:val="Guidance"/>
        </w:rPr>
        <w:t>[Repeat as applicable for each output.]</w:t>
      </w:r>
    </w:p>
    <w:p w14:paraId="33784178" w14:textId="1B3EB566" w:rsidR="00DC39DE" w:rsidRDefault="00DC39DE" w:rsidP="00DC39DE"/>
    <w:p w14:paraId="75E05220" w14:textId="77777777" w:rsidR="00AC4CA9" w:rsidRDefault="00AC4CA9">
      <w:pPr>
        <w:keepLines w:val="0"/>
        <w:rPr>
          <w:rFonts w:asciiTheme="majorHAnsi" w:eastAsiaTheme="majorEastAsia" w:hAnsiTheme="majorHAnsi" w:cstheme="majorBidi"/>
          <w:b/>
          <w:bCs/>
          <w:iCs/>
          <w:color w:val="FFFFFF" w:themeColor="background1"/>
          <w:sz w:val="20"/>
          <w:szCs w:val="24"/>
        </w:rPr>
      </w:pPr>
      <w:r>
        <w:br w:type="page"/>
      </w:r>
    </w:p>
    <w:p w14:paraId="5FF3CFB5" w14:textId="064E25A6" w:rsidR="00AC4CA9" w:rsidRDefault="00AC4CA9" w:rsidP="00AC4CA9">
      <w:pPr>
        <w:pStyle w:val="GuidanceBlockHeading"/>
      </w:pPr>
      <w:r>
        <w:lastRenderedPageBreak/>
        <w:t>Guidance – Disclosure of grants and transfer payments</w:t>
      </w:r>
      <w:r w:rsidR="00376A36">
        <w:t xml:space="preserve"> </w:t>
      </w:r>
      <w:r w:rsidR="00376A36" w:rsidRPr="00A23C8B">
        <w:t>[</w:t>
      </w:r>
      <w:r w:rsidR="00376A36" w:rsidRPr="00A23C8B">
        <w:rPr>
          <w:rStyle w:val="Reference-Revised"/>
          <w:color w:val="FFFFFF" w:themeColor="background1"/>
          <w:sz w:val="20"/>
          <w:szCs w:val="32"/>
        </w:rPr>
        <w:t>REVISED]</w:t>
      </w:r>
    </w:p>
    <w:p w14:paraId="27743D61" w14:textId="7FED050A" w:rsidR="00AC4CA9" w:rsidRPr="00AC4CA9" w:rsidRDefault="00AC4CA9" w:rsidP="00AC4CA9">
      <w:pPr>
        <w:rPr>
          <w:rStyle w:val="Guidance"/>
        </w:rPr>
      </w:pPr>
      <w:r w:rsidRPr="00AC4CA9">
        <w:rPr>
          <w:rStyle w:val="Guidance"/>
        </w:rPr>
        <w:t>There is little detailed coverage of grant programs in the annual reports of government departments and agencies. Accountable reporting for the expenditure of grant funds and delivery of grant program outcomes needs to be informative and more extensive</w:t>
      </w:r>
      <w:r w:rsidR="00A01455">
        <w:rPr>
          <w:rStyle w:val="Guidance"/>
        </w:rPr>
        <w:t>.</w:t>
      </w:r>
    </w:p>
    <w:p w14:paraId="316377EC" w14:textId="388E5279" w:rsidR="00AC4CA9" w:rsidRPr="00AC4CA9" w:rsidRDefault="00AC4CA9" w:rsidP="00AC4CA9">
      <w:pPr>
        <w:rPr>
          <w:rStyle w:val="Guidance"/>
        </w:rPr>
      </w:pPr>
      <w:r w:rsidRPr="00AC4CA9">
        <w:rPr>
          <w:rStyle w:val="Guidance"/>
        </w:rPr>
        <w:t xml:space="preserve">For the purposes of </w:t>
      </w:r>
      <w:r w:rsidR="00A01455">
        <w:rPr>
          <w:rStyle w:val="Guidance"/>
        </w:rPr>
        <w:t xml:space="preserve">the </w:t>
      </w:r>
      <w:r w:rsidRPr="00AC4CA9">
        <w:rPr>
          <w:rStyle w:val="Guidance"/>
        </w:rPr>
        <w:t xml:space="preserve">annual report disclosure, the following definition can be applied for a grant, developed from that used by the Auditor-General’s report </w:t>
      </w:r>
      <w:r w:rsidRPr="00AC4CA9">
        <w:rPr>
          <w:rStyle w:val="Guidance"/>
          <w:i/>
          <w:iCs/>
        </w:rPr>
        <w:t>Grants to non-government organisations: Improving accountability</w:t>
      </w:r>
      <w:r w:rsidRPr="00AC4CA9">
        <w:rPr>
          <w:rStyle w:val="Guidance"/>
        </w:rPr>
        <w:t>.</w:t>
      </w:r>
    </w:p>
    <w:p w14:paraId="4FFC6FBA" w14:textId="14266D0D" w:rsidR="00AC4CA9" w:rsidRDefault="00AC4CA9" w:rsidP="00AC4CA9">
      <w:pPr>
        <w:rPr>
          <w:rStyle w:val="Guidance"/>
        </w:rPr>
      </w:pPr>
      <w:r w:rsidRPr="00AC4CA9">
        <w:rPr>
          <w:rStyle w:val="Guidance"/>
        </w:rPr>
        <w:t>A grant pertains to any monies included as a controlled expense within a department’s output schedule that is allocated to any government entity (including general government entities and public non-financial corporations), third-party or parties outside the public sector and at the discretion of a department or agency, with recipients required to use the monies for the specific purposes outlined in the particular funding agreement.</w:t>
      </w:r>
    </w:p>
    <w:p w14:paraId="508B8815" w14:textId="4A173843" w:rsidR="000B0C91" w:rsidRPr="00735808" w:rsidRDefault="002E3C64" w:rsidP="00735808">
      <w:pPr>
        <w:pStyle w:val="GuidanceHeading"/>
        <w:rPr>
          <w:rStyle w:val="Guidance"/>
        </w:rPr>
      </w:pPr>
      <w:r w:rsidRPr="00735808">
        <w:rPr>
          <w:rStyle w:val="Guidance"/>
        </w:rPr>
        <w:t>Commercial</w:t>
      </w:r>
      <w:r w:rsidR="00575690" w:rsidRPr="00735808">
        <w:rPr>
          <w:rStyle w:val="Guidance"/>
        </w:rPr>
        <w:t>-</w:t>
      </w:r>
      <w:r w:rsidRPr="00735808">
        <w:rPr>
          <w:rStyle w:val="Guidance"/>
        </w:rPr>
        <w:t>in</w:t>
      </w:r>
      <w:r w:rsidR="00575690" w:rsidRPr="00735808">
        <w:rPr>
          <w:rStyle w:val="Guidance"/>
        </w:rPr>
        <w:t>-</w:t>
      </w:r>
      <w:r w:rsidR="00EA79B9" w:rsidRPr="00735808">
        <w:rPr>
          <w:rStyle w:val="Guidance"/>
        </w:rPr>
        <w:t>C</w:t>
      </w:r>
      <w:r w:rsidRPr="00735808">
        <w:rPr>
          <w:rStyle w:val="Guidance"/>
        </w:rPr>
        <w:t xml:space="preserve">onfidence </w:t>
      </w:r>
      <w:r w:rsidR="00EA79B9" w:rsidRPr="00735808">
        <w:rPr>
          <w:rStyle w:val="Guidance"/>
        </w:rPr>
        <w:t>(CiC) g</w:t>
      </w:r>
      <w:r w:rsidRPr="00735808">
        <w:rPr>
          <w:rStyle w:val="Guidance"/>
        </w:rPr>
        <w:t>rants</w:t>
      </w:r>
    </w:p>
    <w:p w14:paraId="525250B9" w14:textId="2B9447EF" w:rsidR="00F8576E" w:rsidRPr="00053A04" w:rsidRDefault="00752A8C" w:rsidP="00AC4CA9">
      <w:pPr>
        <w:rPr>
          <w:rStyle w:val="Guidance"/>
        </w:rPr>
      </w:pPr>
      <w:r w:rsidRPr="00053A04">
        <w:rPr>
          <w:rStyle w:val="Guidance"/>
        </w:rPr>
        <w:t xml:space="preserve">It should be noted that grants provided that are subject to </w:t>
      </w:r>
      <w:r w:rsidR="0035503F" w:rsidRPr="00053A04">
        <w:rPr>
          <w:rStyle w:val="Guidance"/>
        </w:rPr>
        <w:t>‘</w:t>
      </w:r>
      <w:r w:rsidR="00C23D7E">
        <w:rPr>
          <w:rStyle w:val="Guidance"/>
        </w:rPr>
        <w:t>C</w:t>
      </w:r>
      <w:r w:rsidR="00037D7B" w:rsidRPr="00053A04">
        <w:rPr>
          <w:rStyle w:val="Guidance"/>
        </w:rPr>
        <w:t>ommercial-in-</w:t>
      </w:r>
      <w:r w:rsidR="00C23D7E">
        <w:rPr>
          <w:rStyle w:val="Guidance"/>
        </w:rPr>
        <w:t>C</w:t>
      </w:r>
      <w:r w:rsidR="00037D7B" w:rsidRPr="00053A04">
        <w:rPr>
          <w:rStyle w:val="Guidance"/>
        </w:rPr>
        <w:t>onfidence</w:t>
      </w:r>
      <w:r w:rsidR="0035503F" w:rsidRPr="00053A04">
        <w:rPr>
          <w:rStyle w:val="Guidance"/>
        </w:rPr>
        <w:t>’</w:t>
      </w:r>
      <w:r w:rsidR="00037D7B" w:rsidRPr="00053A04">
        <w:rPr>
          <w:rStyle w:val="Guidance"/>
        </w:rPr>
        <w:t xml:space="preserve"> </w:t>
      </w:r>
      <w:r w:rsidR="005F4100" w:rsidRPr="00053A04">
        <w:rPr>
          <w:rStyle w:val="Guidance"/>
        </w:rPr>
        <w:t xml:space="preserve">are also </w:t>
      </w:r>
      <w:r w:rsidR="001004A8" w:rsidRPr="00053A04">
        <w:rPr>
          <w:rStyle w:val="Guidance"/>
        </w:rPr>
        <w:t xml:space="preserve">required to </w:t>
      </w:r>
      <w:r w:rsidR="00FC2E2A" w:rsidRPr="00053A04">
        <w:rPr>
          <w:rStyle w:val="Guidance"/>
        </w:rPr>
        <w:t xml:space="preserve">be </w:t>
      </w:r>
      <w:r w:rsidR="005F4100" w:rsidRPr="00053A04">
        <w:rPr>
          <w:rStyle w:val="Guidance"/>
        </w:rPr>
        <w:t>disclos</w:t>
      </w:r>
      <w:r w:rsidR="00FC2E2A" w:rsidRPr="00053A04">
        <w:rPr>
          <w:rStyle w:val="Guidance"/>
        </w:rPr>
        <w:t>ed</w:t>
      </w:r>
      <w:r w:rsidR="005F4100" w:rsidRPr="00053A04">
        <w:rPr>
          <w:rStyle w:val="Guidance"/>
        </w:rPr>
        <w:t>, however departments need to exercise judgement in how they disclose the information</w:t>
      </w:r>
      <w:r w:rsidR="00F8576E" w:rsidRPr="00053A04">
        <w:rPr>
          <w:rStyle w:val="Guidance"/>
        </w:rPr>
        <w:t>.</w:t>
      </w:r>
    </w:p>
    <w:p w14:paraId="5C17C9C0" w14:textId="4B15C5E1" w:rsidR="00FC7641" w:rsidRPr="004B5FF4" w:rsidRDefault="00EA79B9" w:rsidP="00FC7641">
      <w:pPr>
        <w:rPr>
          <w:color w:val="4472C4" w:themeColor="accent1"/>
        </w:rPr>
      </w:pPr>
      <w:r w:rsidRPr="00053A04">
        <w:rPr>
          <w:rStyle w:val="Guidance"/>
        </w:rPr>
        <w:t xml:space="preserve">Generally, grant information </w:t>
      </w:r>
      <w:r w:rsidR="00FC7641" w:rsidRPr="00A67AE8">
        <w:rPr>
          <w:color w:val="4472C4" w:themeColor="accent1"/>
        </w:rPr>
        <w:t>is commercial-in-confidence if disclosure would expose the State or department, the grant program and/or grant recipient to unreasonable disadvantage.</w:t>
      </w:r>
    </w:p>
    <w:p w14:paraId="54358139" w14:textId="54193F4B" w:rsidR="00992DEF" w:rsidRPr="004B5FF4" w:rsidRDefault="00992DEF" w:rsidP="00992DEF">
      <w:pPr>
        <w:rPr>
          <w:color w:val="4472C4" w:themeColor="accent1"/>
        </w:rPr>
      </w:pPr>
      <w:r w:rsidRPr="004B5FF4">
        <w:rPr>
          <w:color w:val="4472C4" w:themeColor="accent1"/>
        </w:rPr>
        <w:t>The following table provides considerations that should be taken into account when evaluating whether the grant is considered commercial</w:t>
      </w:r>
      <w:r w:rsidR="003A56E2">
        <w:rPr>
          <w:color w:val="4472C4" w:themeColor="accent1"/>
        </w:rPr>
        <w:t>-</w:t>
      </w:r>
      <w:r w:rsidRPr="004B5FF4">
        <w:rPr>
          <w:color w:val="4472C4" w:themeColor="accent1"/>
        </w:rPr>
        <w:t>in</w:t>
      </w:r>
      <w:r w:rsidR="003A56E2">
        <w:rPr>
          <w:color w:val="4472C4" w:themeColor="accent1"/>
        </w:rPr>
        <w:t>-</w:t>
      </w:r>
      <w:r w:rsidRPr="004B5FF4">
        <w:rPr>
          <w:color w:val="4472C4" w:themeColor="accent1"/>
        </w:rPr>
        <w:t>confidence for disclosure purposes.</w:t>
      </w:r>
    </w:p>
    <w:tbl>
      <w:tblPr>
        <w:tblStyle w:val="DTFTextTable"/>
        <w:tblW w:w="0" w:type="auto"/>
        <w:tblLook w:val="0420" w:firstRow="1" w:lastRow="0" w:firstColumn="0" w:lastColumn="0" w:noHBand="0" w:noVBand="1"/>
      </w:tblPr>
      <w:tblGrid>
        <w:gridCol w:w="1530"/>
        <w:gridCol w:w="8100"/>
      </w:tblGrid>
      <w:tr w:rsidR="00373EBD" w:rsidRPr="00267CFA" w14:paraId="196AE7A4" w14:textId="77777777" w:rsidTr="00973266">
        <w:trPr>
          <w:cnfStyle w:val="100000000000" w:firstRow="1" w:lastRow="0" w:firstColumn="0" w:lastColumn="0" w:oddVBand="0" w:evenVBand="0" w:oddHBand="0" w:evenHBand="0" w:firstRowFirstColumn="0" w:firstRowLastColumn="0" w:lastRowFirstColumn="0" w:lastRowLastColumn="0"/>
        </w:trPr>
        <w:tc>
          <w:tcPr>
            <w:tcW w:w="1530" w:type="dxa"/>
            <w:shd w:val="clear" w:color="auto" w:fill="4472C4" w:themeFill="accent1"/>
          </w:tcPr>
          <w:p w14:paraId="4A09FF16" w14:textId="77777777" w:rsidR="00673B6D" w:rsidRPr="00267CFA" w:rsidRDefault="00673B6D" w:rsidP="00973266">
            <w:pPr>
              <w:pStyle w:val="Tableheading"/>
              <w:spacing w:before="120" w:after="60"/>
              <w:rPr>
                <w:rFonts w:asciiTheme="minorHAnsi" w:hAnsiTheme="minorHAnsi" w:cstheme="minorHAnsi"/>
                <w:b w:val="0"/>
                <w:bCs/>
                <w:sz w:val="18"/>
                <w:szCs w:val="18"/>
              </w:rPr>
            </w:pPr>
            <w:r w:rsidRPr="00267CFA">
              <w:rPr>
                <w:rFonts w:asciiTheme="minorHAnsi" w:hAnsiTheme="minorHAnsi" w:cstheme="minorHAnsi"/>
                <w:b w:val="0"/>
                <w:bCs/>
                <w:sz w:val="18"/>
                <w:szCs w:val="18"/>
              </w:rPr>
              <w:t>Considerations</w:t>
            </w:r>
          </w:p>
        </w:tc>
        <w:tc>
          <w:tcPr>
            <w:tcW w:w="8100" w:type="dxa"/>
            <w:shd w:val="clear" w:color="auto" w:fill="4472C4" w:themeFill="accent1"/>
          </w:tcPr>
          <w:p w14:paraId="7C8BC754" w14:textId="77777777" w:rsidR="00673B6D" w:rsidRPr="00267CFA" w:rsidRDefault="00673B6D" w:rsidP="00973266">
            <w:pPr>
              <w:pStyle w:val="Tableheading"/>
              <w:spacing w:before="120" w:after="60"/>
              <w:rPr>
                <w:rFonts w:asciiTheme="minorHAnsi" w:hAnsiTheme="minorHAnsi" w:cstheme="minorHAnsi"/>
                <w:b w:val="0"/>
                <w:bCs/>
                <w:sz w:val="18"/>
                <w:szCs w:val="18"/>
              </w:rPr>
            </w:pPr>
            <w:r w:rsidRPr="00267CFA">
              <w:rPr>
                <w:rFonts w:asciiTheme="minorHAnsi" w:hAnsiTheme="minorHAnsi" w:cstheme="minorHAnsi"/>
                <w:b w:val="0"/>
                <w:bCs/>
                <w:sz w:val="18"/>
                <w:szCs w:val="18"/>
              </w:rPr>
              <w:t>Description</w:t>
            </w:r>
          </w:p>
        </w:tc>
      </w:tr>
      <w:tr w:rsidR="00373EBD" w:rsidRPr="00373EBD" w14:paraId="615CF7FE" w14:textId="77777777" w:rsidTr="00973266">
        <w:trPr>
          <w:cnfStyle w:val="000000100000" w:firstRow="0" w:lastRow="0" w:firstColumn="0" w:lastColumn="0" w:oddVBand="0" w:evenVBand="0" w:oddHBand="1" w:evenHBand="0" w:firstRowFirstColumn="0" w:firstRowLastColumn="0" w:lastRowFirstColumn="0" w:lastRowLastColumn="0"/>
        </w:trPr>
        <w:tc>
          <w:tcPr>
            <w:tcW w:w="1530" w:type="dxa"/>
          </w:tcPr>
          <w:p w14:paraId="35453773" w14:textId="77777777" w:rsidR="00673B6D" w:rsidRPr="004B5FF4" w:rsidRDefault="00673B6D" w:rsidP="00267CFA">
            <w:pPr>
              <w:pStyle w:val="Tabletext"/>
              <w:jc w:val="center"/>
              <w:rPr>
                <w:rFonts w:asciiTheme="minorHAnsi" w:hAnsiTheme="minorHAnsi" w:cstheme="minorHAnsi"/>
                <w:color w:val="4472C4" w:themeColor="accent1"/>
              </w:rPr>
            </w:pPr>
            <w:r w:rsidRPr="004B5FF4">
              <w:rPr>
                <w:rFonts w:asciiTheme="minorHAnsi" w:hAnsiTheme="minorHAnsi" w:cstheme="minorHAnsi"/>
                <w:color w:val="4472C4" w:themeColor="accent1"/>
              </w:rPr>
              <w:t>1</w:t>
            </w:r>
          </w:p>
        </w:tc>
        <w:tc>
          <w:tcPr>
            <w:tcW w:w="8100" w:type="dxa"/>
          </w:tcPr>
          <w:p w14:paraId="3B6D0B72" w14:textId="77777777" w:rsidR="00673B6D" w:rsidRPr="004B5FF4" w:rsidRDefault="00673B6D">
            <w:pPr>
              <w:pStyle w:val="Tabletext"/>
              <w:rPr>
                <w:rFonts w:asciiTheme="minorHAnsi" w:hAnsiTheme="minorHAnsi" w:cstheme="minorHAnsi"/>
                <w:color w:val="4472C4" w:themeColor="accent1"/>
              </w:rPr>
            </w:pPr>
            <w:r w:rsidRPr="004B5FF4">
              <w:rPr>
                <w:rFonts w:asciiTheme="minorHAnsi" w:hAnsiTheme="minorHAnsi" w:cstheme="minorHAnsi"/>
                <w:color w:val="4472C4" w:themeColor="accent1"/>
              </w:rPr>
              <w:t>Adversely impacts the department or grant recipient’s ability to effectively operate in commercial markets.</w:t>
            </w:r>
          </w:p>
        </w:tc>
      </w:tr>
      <w:tr w:rsidR="00373EBD" w:rsidRPr="00373EBD" w14:paraId="6F74653A" w14:textId="77777777" w:rsidTr="00973266">
        <w:trPr>
          <w:cnfStyle w:val="000000010000" w:firstRow="0" w:lastRow="0" w:firstColumn="0" w:lastColumn="0" w:oddVBand="0" w:evenVBand="0" w:oddHBand="0" w:evenHBand="1" w:firstRowFirstColumn="0" w:firstRowLastColumn="0" w:lastRowFirstColumn="0" w:lastRowLastColumn="0"/>
        </w:trPr>
        <w:tc>
          <w:tcPr>
            <w:tcW w:w="1530" w:type="dxa"/>
          </w:tcPr>
          <w:p w14:paraId="46A2B479" w14:textId="77777777" w:rsidR="00673B6D" w:rsidRPr="004B5FF4" w:rsidRDefault="00673B6D" w:rsidP="00267CFA">
            <w:pPr>
              <w:pStyle w:val="Tabletext"/>
              <w:jc w:val="center"/>
              <w:rPr>
                <w:rFonts w:asciiTheme="minorHAnsi" w:hAnsiTheme="minorHAnsi" w:cstheme="minorHAnsi"/>
                <w:color w:val="4472C4" w:themeColor="accent1"/>
              </w:rPr>
            </w:pPr>
            <w:r w:rsidRPr="004B5FF4">
              <w:rPr>
                <w:rFonts w:asciiTheme="minorHAnsi" w:hAnsiTheme="minorHAnsi" w:cstheme="minorHAnsi"/>
                <w:color w:val="4472C4" w:themeColor="accent1"/>
              </w:rPr>
              <w:t>2</w:t>
            </w:r>
          </w:p>
        </w:tc>
        <w:tc>
          <w:tcPr>
            <w:tcW w:w="8100" w:type="dxa"/>
          </w:tcPr>
          <w:p w14:paraId="6AF260B1" w14:textId="77777777" w:rsidR="00673B6D" w:rsidRPr="004B5FF4" w:rsidRDefault="00673B6D">
            <w:pPr>
              <w:pStyle w:val="Tabletext"/>
              <w:rPr>
                <w:rFonts w:asciiTheme="minorHAnsi" w:hAnsiTheme="minorHAnsi" w:cstheme="minorHAnsi"/>
                <w:color w:val="4472C4" w:themeColor="accent1"/>
              </w:rPr>
            </w:pPr>
            <w:r w:rsidRPr="004B5FF4">
              <w:rPr>
                <w:rFonts w:asciiTheme="minorHAnsi" w:hAnsiTheme="minorHAnsi" w:cstheme="minorHAnsi"/>
                <w:color w:val="4472C4" w:themeColor="accent1"/>
              </w:rPr>
              <w:t>Negatively impacts the ability of the State to generate investment opportunities by attracting major events to Victoria.</w:t>
            </w:r>
          </w:p>
        </w:tc>
      </w:tr>
      <w:tr w:rsidR="00373EBD" w:rsidRPr="00373EBD" w14:paraId="20596454" w14:textId="77777777" w:rsidTr="00973266">
        <w:trPr>
          <w:cnfStyle w:val="000000100000" w:firstRow="0" w:lastRow="0" w:firstColumn="0" w:lastColumn="0" w:oddVBand="0" w:evenVBand="0" w:oddHBand="1" w:evenHBand="0" w:firstRowFirstColumn="0" w:firstRowLastColumn="0" w:lastRowFirstColumn="0" w:lastRowLastColumn="0"/>
        </w:trPr>
        <w:tc>
          <w:tcPr>
            <w:tcW w:w="1530" w:type="dxa"/>
          </w:tcPr>
          <w:p w14:paraId="5F5C56E2" w14:textId="77777777" w:rsidR="00673B6D" w:rsidRPr="004B5FF4" w:rsidRDefault="00673B6D" w:rsidP="00267CFA">
            <w:pPr>
              <w:pStyle w:val="Tabletext"/>
              <w:jc w:val="center"/>
              <w:rPr>
                <w:rFonts w:asciiTheme="minorHAnsi" w:hAnsiTheme="minorHAnsi" w:cstheme="minorHAnsi"/>
                <w:color w:val="4472C4" w:themeColor="accent1"/>
              </w:rPr>
            </w:pPr>
            <w:r w:rsidRPr="004B5FF4">
              <w:rPr>
                <w:rFonts w:asciiTheme="minorHAnsi" w:hAnsiTheme="minorHAnsi" w:cstheme="minorHAnsi"/>
                <w:color w:val="4472C4" w:themeColor="accent1"/>
              </w:rPr>
              <w:t>3</w:t>
            </w:r>
          </w:p>
        </w:tc>
        <w:tc>
          <w:tcPr>
            <w:tcW w:w="8100" w:type="dxa"/>
          </w:tcPr>
          <w:p w14:paraId="747DFCD5" w14:textId="77777777" w:rsidR="00673B6D" w:rsidRPr="004B5FF4" w:rsidRDefault="00673B6D">
            <w:pPr>
              <w:pStyle w:val="Tabletext"/>
              <w:rPr>
                <w:rFonts w:asciiTheme="minorHAnsi" w:hAnsiTheme="minorHAnsi" w:cstheme="minorHAnsi"/>
                <w:color w:val="4472C4" w:themeColor="accent1"/>
              </w:rPr>
            </w:pPr>
            <w:r w:rsidRPr="004B5FF4">
              <w:rPr>
                <w:rFonts w:asciiTheme="minorHAnsi" w:hAnsiTheme="minorHAnsi" w:cstheme="minorHAnsi"/>
                <w:color w:val="4472C4" w:themeColor="accent1"/>
              </w:rPr>
              <w:t>Undermines the effectiveness of future tender processes or negotiations including the ability of the State to complete/attract future and current investment activities.</w:t>
            </w:r>
          </w:p>
        </w:tc>
      </w:tr>
      <w:tr w:rsidR="00373EBD" w:rsidRPr="00373EBD" w14:paraId="7618492D" w14:textId="77777777" w:rsidTr="00973266">
        <w:trPr>
          <w:cnfStyle w:val="000000010000" w:firstRow="0" w:lastRow="0" w:firstColumn="0" w:lastColumn="0" w:oddVBand="0" w:evenVBand="0" w:oddHBand="0" w:evenHBand="1" w:firstRowFirstColumn="0" w:firstRowLastColumn="0" w:lastRowFirstColumn="0" w:lastRowLastColumn="0"/>
        </w:trPr>
        <w:tc>
          <w:tcPr>
            <w:tcW w:w="1530" w:type="dxa"/>
          </w:tcPr>
          <w:p w14:paraId="206AA231" w14:textId="77777777" w:rsidR="00673B6D" w:rsidRPr="004B5FF4" w:rsidRDefault="00673B6D" w:rsidP="00267CFA">
            <w:pPr>
              <w:pStyle w:val="Tabletext"/>
              <w:jc w:val="center"/>
              <w:rPr>
                <w:rFonts w:asciiTheme="minorHAnsi" w:hAnsiTheme="minorHAnsi" w:cstheme="minorHAnsi"/>
                <w:color w:val="4472C4" w:themeColor="accent1"/>
              </w:rPr>
            </w:pPr>
            <w:r w:rsidRPr="004B5FF4">
              <w:rPr>
                <w:rFonts w:asciiTheme="minorHAnsi" w:hAnsiTheme="minorHAnsi" w:cstheme="minorHAnsi"/>
                <w:color w:val="4472C4" w:themeColor="accent1"/>
              </w:rPr>
              <w:t>4</w:t>
            </w:r>
          </w:p>
        </w:tc>
        <w:tc>
          <w:tcPr>
            <w:tcW w:w="8100" w:type="dxa"/>
          </w:tcPr>
          <w:p w14:paraId="35DCE3B4" w14:textId="77777777" w:rsidR="00673B6D" w:rsidRPr="004B5FF4" w:rsidRDefault="00673B6D">
            <w:pPr>
              <w:pStyle w:val="Tabletext"/>
              <w:rPr>
                <w:rFonts w:asciiTheme="minorHAnsi" w:hAnsiTheme="minorHAnsi" w:cstheme="minorHAnsi"/>
                <w:color w:val="4472C4" w:themeColor="accent1"/>
              </w:rPr>
            </w:pPr>
            <w:r w:rsidRPr="004B5FF4">
              <w:rPr>
                <w:rFonts w:asciiTheme="minorHAnsi" w:hAnsiTheme="minorHAnsi" w:cstheme="minorHAnsi"/>
                <w:color w:val="4472C4" w:themeColor="accent1"/>
              </w:rPr>
              <w:t>Breaches a contractual clause relating to confidentiality.</w:t>
            </w:r>
          </w:p>
        </w:tc>
      </w:tr>
      <w:tr w:rsidR="00373EBD" w:rsidRPr="00373EBD" w14:paraId="631963E9" w14:textId="77777777" w:rsidTr="00973266">
        <w:trPr>
          <w:cnfStyle w:val="000000100000" w:firstRow="0" w:lastRow="0" w:firstColumn="0" w:lastColumn="0" w:oddVBand="0" w:evenVBand="0" w:oddHBand="1" w:evenHBand="0" w:firstRowFirstColumn="0" w:firstRowLastColumn="0" w:lastRowFirstColumn="0" w:lastRowLastColumn="0"/>
        </w:trPr>
        <w:tc>
          <w:tcPr>
            <w:tcW w:w="1530" w:type="dxa"/>
          </w:tcPr>
          <w:p w14:paraId="1CBC4CEB" w14:textId="77777777" w:rsidR="00673B6D" w:rsidRPr="004B5FF4" w:rsidRDefault="00673B6D" w:rsidP="00267CFA">
            <w:pPr>
              <w:pStyle w:val="Tabletext"/>
              <w:jc w:val="center"/>
              <w:rPr>
                <w:rFonts w:asciiTheme="minorHAnsi" w:hAnsiTheme="minorHAnsi" w:cstheme="minorHAnsi"/>
                <w:color w:val="4472C4" w:themeColor="accent1"/>
              </w:rPr>
            </w:pPr>
            <w:r w:rsidRPr="004B5FF4">
              <w:rPr>
                <w:rFonts w:asciiTheme="minorHAnsi" w:hAnsiTheme="minorHAnsi" w:cstheme="minorHAnsi"/>
                <w:color w:val="4472C4" w:themeColor="accent1"/>
              </w:rPr>
              <w:t>5</w:t>
            </w:r>
          </w:p>
        </w:tc>
        <w:tc>
          <w:tcPr>
            <w:tcW w:w="8100" w:type="dxa"/>
          </w:tcPr>
          <w:p w14:paraId="7EDF99BA" w14:textId="77777777" w:rsidR="00673B6D" w:rsidRPr="004B5FF4" w:rsidRDefault="00673B6D">
            <w:pPr>
              <w:pStyle w:val="Tabletext"/>
              <w:rPr>
                <w:rFonts w:asciiTheme="minorHAnsi" w:hAnsiTheme="minorHAnsi" w:cstheme="minorHAnsi"/>
                <w:color w:val="4472C4" w:themeColor="accent1"/>
              </w:rPr>
            </w:pPr>
            <w:r w:rsidRPr="004B5FF4">
              <w:rPr>
                <w:rFonts w:asciiTheme="minorHAnsi" w:hAnsiTheme="minorHAnsi" w:cstheme="minorHAnsi"/>
                <w:color w:val="4472C4" w:themeColor="accent1"/>
              </w:rPr>
              <w:t>Adversely prejudices the commercial interests of the State and/or the parties receiving the grant payments.</w:t>
            </w:r>
          </w:p>
        </w:tc>
      </w:tr>
      <w:tr w:rsidR="00373EBD" w:rsidRPr="00373EBD" w14:paraId="269389A1" w14:textId="77777777" w:rsidTr="00973266">
        <w:trPr>
          <w:cnfStyle w:val="000000010000" w:firstRow="0" w:lastRow="0" w:firstColumn="0" w:lastColumn="0" w:oddVBand="0" w:evenVBand="0" w:oddHBand="0" w:evenHBand="1" w:firstRowFirstColumn="0" w:firstRowLastColumn="0" w:lastRowFirstColumn="0" w:lastRowLastColumn="0"/>
        </w:trPr>
        <w:tc>
          <w:tcPr>
            <w:tcW w:w="1530" w:type="dxa"/>
          </w:tcPr>
          <w:p w14:paraId="601ADED9" w14:textId="77777777" w:rsidR="00673B6D" w:rsidRPr="004B5FF4" w:rsidRDefault="00673B6D" w:rsidP="00267CFA">
            <w:pPr>
              <w:pStyle w:val="Tabletext"/>
              <w:jc w:val="center"/>
              <w:rPr>
                <w:rFonts w:asciiTheme="minorHAnsi" w:hAnsiTheme="minorHAnsi" w:cstheme="minorHAnsi"/>
                <w:color w:val="4472C4" w:themeColor="accent1"/>
              </w:rPr>
            </w:pPr>
            <w:r w:rsidRPr="004B5FF4">
              <w:rPr>
                <w:rFonts w:asciiTheme="minorHAnsi" w:hAnsiTheme="minorHAnsi" w:cstheme="minorHAnsi"/>
                <w:color w:val="4472C4" w:themeColor="accent1"/>
              </w:rPr>
              <w:t>6</w:t>
            </w:r>
          </w:p>
        </w:tc>
        <w:tc>
          <w:tcPr>
            <w:tcW w:w="8100" w:type="dxa"/>
          </w:tcPr>
          <w:p w14:paraId="01E418AE" w14:textId="77777777" w:rsidR="00673B6D" w:rsidRPr="004B5FF4" w:rsidRDefault="00673B6D">
            <w:pPr>
              <w:pStyle w:val="Tabletext"/>
              <w:rPr>
                <w:rFonts w:asciiTheme="minorHAnsi" w:hAnsiTheme="minorHAnsi" w:cstheme="minorHAnsi"/>
                <w:color w:val="4472C4" w:themeColor="accent1"/>
              </w:rPr>
            </w:pPr>
            <w:r w:rsidRPr="004B5FF4">
              <w:rPr>
                <w:rFonts w:asciiTheme="minorHAnsi" w:hAnsiTheme="minorHAnsi" w:cstheme="minorHAnsi"/>
                <w:color w:val="4472C4" w:themeColor="accent1"/>
              </w:rPr>
              <w:t>Breaches intellectual property, trade secrets and current or future business plans of the State or the grant recipient.</w:t>
            </w:r>
          </w:p>
        </w:tc>
      </w:tr>
      <w:tr w:rsidR="00373EBD" w:rsidRPr="00373EBD" w14:paraId="62106AF0" w14:textId="77777777" w:rsidTr="00973266">
        <w:trPr>
          <w:cnfStyle w:val="000000100000" w:firstRow="0" w:lastRow="0" w:firstColumn="0" w:lastColumn="0" w:oddVBand="0" w:evenVBand="0" w:oddHBand="1" w:evenHBand="0" w:firstRowFirstColumn="0" w:firstRowLastColumn="0" w:lastRowFirstColumn="0" w:lastRowLastColumn="0"/>
        </w:trPr>
        <w:tc>
          <w:tcPr>
            <w:tcW w:w="1530" w:type="dxa"/>
          </w:tcPr>
          <w:p w14:paraId="0513A4BC" w14:textId="77777777" w:rsidR="00673B6D" w:rsidRPr="004B5FF4" w:rsidRDefault="00673B6D" w:rsidP="00267CFA">
            <w:pPr>
              <w:pStyle w:val="Tabletext"/>
              <w:jc w:val="center"/>
              <w:rPr>
                <w:rFonts w:asciiTheme="minorHAnsi" w:hAnsiTheme="minorHAnsi" w:cstheme="minorHAnsi"/>
                <w:color w:val="4472C4" w:themeColor="accent1"/>
              </w:rPr>
            </w:pPr>
            <w:r w:rsidRPr="004B5FF4">
              <w:rPr>
                <w:rFonts w:asciiTheme="minorHAnsi" w:hAnsiTheme="minorHAnsi" w:cstheme="minorHAnsi"/>
                <w:color w:val="4472C4" w:themeColor="accent1"/>
              </w:rPr>
              <w:t>7</w:t>
            </w:r>
          </w:p>
        </w:tc>
        <w:tc>
          <w:tcPr>
            <w:tcW w:w="8100" w:type="dxa"/>
          </w:tcPr>
          <w:p w14:paraId="5DA3701A" w14:textId="36A2FB68" w:rsidR="00673B6D" w:rsidRPr="004B5FF4" w:rsidRDefault="00673B6D">
            <w:pPr>
              <w:pStyle w:val="Tabletext"/>
              <w:rPr>
                <w:rFonts w:asciiTheme="minorHAnsi" w:hAnsiTheme="minorHAnsi" w:cstheme="minorHAnsi"/>
                <w:color w:val="4472C4" w:themeColor="accent1"/>
              </w:rPr>
            </w:pPr>
            <w:r w:rsidRPr="004B5FF4">
              <w:rPr>
                <w:rFonts w:asciiTheme="minorHAnsi" w:hAnsiTheme="minorHAnsi" w:cstheme="minorHAnsi"/>
                <w:color w:val="4472C4" w:themeColor="accent1"/>
              </w:rPr>
              <w:t>Information specifically exempt under s34(1)</w:t>
            </w:r>
            <w:r w:rsidR="003A6E31">
              <w:rPr>
                <w:rFonts w:asciiTheme="minorHAnsi" w:hAnsiTheme="minorHAnsi" w:cstheme="minorHAnsi"/>
                <w:color w:val="4472C4" w:themeColor="accent1"/>
              </w:rPr>
              <w:t>(</w:t>
            </w:r>
            <w:r w:rsidRPr="004B5FF4">
              <w:rPr>
                <w:rFonts w:asciiTheme="minorHAnsi" w:hAnsiTheme="minorHAnsi" w:cstheme="minorHAnsi"/>
                <w:color w:val="4472C4" w:themeColor="accent1"/>
              </w:rPr>
              <w:t>b</w:t>
            </w:r>
            <w:r w:rsidR="003A6E31">
              <w:rPr>
                <w:rFonts w:asciiTheme="minorHAnsi" w:hAnsiTheme="minorHAnsi" w:cstheme="minorHAnsi"/>
                <w:color w:val="4472C4" w:themeColor="accent1"/>
              </w:rPr>
              <w:t>)</w:t>
            </w:r>
            <w:r w:rsidRPr="004B5FF4">
              <w:rPr>
                <w:rFonts w:asciiTheme="minorHAnsi" w:hAnsiTheme="minorHAnsi" w:cstheme="minorHAnsi"/>
                <w:color w:val="4472C4" w:themeColor="accent1"/>
              </w:rPr>
              <w:t xml:space="preserve"> of the </w:t>
            </w:r>
            <w:r w:rsidRPr="004B5FF4">
              <w:rPr>
                <w:rFonts w:asciiTheme="minorHAnsi" w:hAnsiTheme="minorHAnsi" w:cstheme="minorHAnsi"/>
                <w:i/>
                <w:color w:val="4472C4" w:themeColor="accent1"/>
              </w:rPr>
              <w:t xml:space="preserve">Freedom of Information Act </w:t>
            </w:r>
            <w:r w:rsidRPr="00A23C8B">
              <w:rPr>
                <w:rFonts w:asciiTheme="minorHAnsi" w:hAnsiTheme="minorHAnsi" w:cstheme="minorHAnsi"/>
                <w:i/>
                <w:iCs/>
                <w:color w:val="4472C4" w:themeColor="accent1"/>
              </w:rPr>
              <w:t>1982</w:t>
            </w:r>
            <w:r w:rsidRPr="004B5FF4">
              <w:rPr>
                <w:rFonts w:asciiTheme="minorHAnsi" w:hAnsiTheme="minorHAnsi" w:cstheme="minorHAnsi"/>
                <w:color w:val="4472C4" w:themeColor="accent1"/>
              </w:rPr>
              <w:t xml:space="preserve"> (Vic).</w:t>
            </w:r>
          </w:p>
        </w:tc>
      </w:tr>
    </w:tbl>
    <w:p w14:paraId="5FAFBCF8" w14:textId="1ECAB6C4" w:rsidR="00DD4E9C" w:rsidRPr="00AC4CA9" w:rsidRDefault="00985911" w:rsidP="00DD4E9C">
      <w:pPr>
        <w:rPr>
          <w:rStyle w:val="Guidance"/>
        </w:rPr>
      </w:pPr>
      <w:r w:rsidRPr="004B5FF4">
        <w:rPr>
          <w:color w:val="4472C4" w:themeColor="accent1"/>
        </w:rPr>
        <w:t>If a grant program or grant recipient is classified as CiC for annual report disclosure purposes</w:t>
      </w:r>
      <w:r w:rsidR="00E43855">
        <w:rPr>
          <w:color w:val="4472C4" w:themeColor="accent1"/>
        </w:rPr>
        <w:t>,</w:t>
      </w:r>
      <w:r w:rsidRPr="004B5FF4">
        <w:rPr>
          <w:color w:val="4472C4" w:themeColor="accent1"/>
        </w:rPr>
        <w:t xml:space="preserve"> </w:t>
      </w:r>
      <w:r w:rsidR="005451C0">
        <w:rPr>
          <w:color w:val="4472C4" w:themeColor="accent1"/>
        </w:rPr>
        <w:t>the entity is</w:t>
      </w:r>
      <w:r w:rsidRPr="004B5FF4">
        <w:rPr>
          <w:color w:val="4472C4" w:themeColor="accent1"/>
        </w:rPr>
        <w:t xml:space="preserve"> required to disclose </w:t>
      </w:r>
      <w:r w:rsidRPr="00095A7D">
        <w:rPr>
          <w:rStyle w:val="Guidance"/>
        </w:rPr>
        <w:t>the</w:t>
      </w:r>
      <w:r w:rsidRPr="004B5FF4">
        <w:rPr>
          <w:color w:val="4472C4" w:themeColor="accent1"/>
        </w:rPr>
        <w:t xml:space="preserve"> following information:</w:t>
      </w:r>
    </w:p>
    <w:p w14:paraId="4A300C64" w14:textId="576DBD79" w:rsidR="00735808" w:rsidRPr="00735808" w:rsidRDefault="00373EBD" w:rsidP="00735808">
      <w:pPr>
        <w:pStyle w:val="ListBullet"/>
        <w:rPr>
          <w:rStyle w:val="Guidance"/>
        </w:rPr>
      </w:pPr>
      <w:r w:rsidRPr="00735808">
        <w:rPr>
          <w:color w:val="4472C4" w:themeColor="accent1"/>
        </w:rPr>
        <w:t xml:space="preserve">The aggregated dollar amount </w:t>
      </w:r>
      <w:r w:rsidR="005451C0" w:rsidRPr="00735808">
        <w:rPr>
          <w:color w:val="4472C4" w:themeColor="accent1"/>
        </w:rPr>
        <w:t>involved</w:t>
      </w:r>
    </w:p>
    <w:p w14:paraId="24BAE842" w14:textId="3AFD5AAE" w:rsidR="00735808" w:rsidRPr="00735808" w:rsidRDefault="00373EBD" w:rsidP="00735808">
      <w:pPr>
        <w:pStyle w:val="ListBullet"/>
        <w:rPr>
          <w:rStyle w:val="Guidance"/>
        </w:rPr>
      </w:pPr>
      <w:r w:rsidRPr="00735808">
        <w:rPr>
          <w:color w:val="4472C4" w:themeColor="accent1"/>
        </w:rPr>
        <w:t>The number of recipients that received the grant</w:t>
      </w:r>
    </w:p>
    <w:p w14:paraId="07F59DD9" w14:textId="77777777" w:rsidR="00735808" w:rsidRPr="00735808" w:rsidRDefault="00373EBD" w:rsidP="00735808">
      <w:pPr>
        <w:pStyle w:val="ListBullet"/>
        <w:rPr>
          <w:rStyle w:val="Guidance"/>
        </w:rPr>
      </w:pPr>
      <w:r w:rsidRPr="00735808">
        <w:rPr>
          <w:color w:val="4472C4" w:themeColor="accent1"/>
        </w:rPr>
        <w:t xml:space="preserve">The </w:t>
      </w:r>
      <w:r w:rsidR="001E3954" w:rsidRPr="00735808">
        <w:rPr>
          <w:color w:val="4472C4" w:themeColor="accent1"/>
        </w:rPr>
        <w:t xml:space="preserve">nature of the grant provided to </w:t>
      </w:r>
      <w:r w:rsidRPr="00735808">
        <w:rPr>
          <w:color w:val="4472C4" w:themeColor="accent1"/>
        </w:rPr>
        <w:t>recipients (even though the individual amount is not disclosed).</w:t>
      </w:r>
    </w:p>
    <w:p w14:paraId="33778321" w14:textId="77777777" w:rsidR="00095A7D" w:rsidRPr="00AC4CA9" w:rsidRDefault="00BC540E" w:rsidP="00095A7D">
      <w:pPr>
        <w:rPr>
          <w:rStyle w:val="Guidance"/>
        </w:rPr>
      </w:pPr>
      <w:r w:rsidRPr="00095A7D">
        <w:rPr>
          <w:rStyle w:val="Guidance"/>
        </w:rPr>
        <w:t>Refer</w:t>
      </w:r>
      <w:r w:rsidRPr="00973266">
        <w:rPr>
          <w:rStyle w:val="Guidance"/>
        </w:rPr>
        <w:t xml:space="preserve"> to below example for illustrative purposes:</w:t>
      </w:r>
    </w:p>
    <w:p w14:paraId="5C771CEE" w14:textId="77777777" w:rsidR="00095A7D" w:rsidRPr="00AC4CA9" w:rsidRDefault="00627047" w:rsidP="00095A7D">
      <w:pPr>
        <w:rPr>
          <w:rStyle w:val="Guidance"/>
        </w:rPr>
      </w:pPr>
      <w:r w:rsidRPr="00095A7D">
        <w:rPr>
          <w:rStyle w:val="Guidance"/>
        </w:rPr>
        <w:t>During</w:t>
      </w:r>
      <w:r w:rsidRPr="00973266">
        <w:rPr>
          <w:rStyle w:val="Guidance"/>
        </w:rPr>
        <w:t xml:space="preserve"> the </w:t>
      </w:r>
      <w:r w:rsidR="009A31E1" w:rsidRPr="00973266">
        <w:rPr>
          <w:rStyle w:val="Guidance"/>
        </w:rPr>
        <w:t>20</w:t>
      </w:r>
      <w:r w:rsidR="00C52827" w:rsidRPr="00973266">
        <w:rPr>
          <w:rStyle w:val="Guidance"/>
        </w:rPr>
        <w:t xml:space="preserve">X1-X2 financial year, the department provided a total of </w:t>
      </w:r>
      <w:r w:rsidR="009C16E2" w:rsidRPr="00973266">
        <w:rPr>
          <w:rStyle w:val="Guidance"/>
        </w:rPr>
        <w:t>$xxx</w:t>
      </w:r>
      <w:r w:rsidR="00737BB8" w:rsidRPr="00973266">
        <w:rPr>
          <w:rStyle w:val="Guidance"/>
        </w:rPr>
        <w:t xml:space="preserve"> </w:t>
      </w:r>
      <w:r w:rsidR="00E0220F" w:rsidRPr="00973266">
        <w:rPr>
          <w:rStyle w:val="Guidance"/>
        </w:rPr>
        <w:t>Commercial-in-Confidence grants</w:t>
      </w:r>
      <w:r w:rsidR="00CE052E" w:rsidRPr="00973266">
        <w:rPr>
          <w:rStyle w:val="Guidance"/>
        </w:rPr>
        <w:t xml:space="preserve"> </w:t>
      </w:r>
      <w:r w:rsidR="0041288D" w:rsidRPr="00973266">
        <w:rPr>
          <w:rStyle w:val="Guidance"/>
        </w:rPr>
        <w:t>that were awarded</w:t>
      </w:r>
      <w:r w:rsidR="00632186" w:rsidRPr="00973266">
        <w:rPr>
          <w:rStyle w:val="Guidance"/>
        </w:rPr>
        <w:t xml:space="preserve"> to </w:t>
      </w:r>
      <w:r w:rsidR="005A6038" w:rsidRPr="00973266">
        <w:rPr>
          <w:rStyle w:val="Guidance"/>
        </w:rPr>
        <w:t>5 r</w:t>
      </w:r>
      <w:r w:rsidR="008452A9" w:rsidRPr="00973266">
        <w:rPr>
          <w:rStyle w:val="Guidance"/>
        </w:rPr>
        <w:t>ecipients</w:t>
      </w:r>
      <w:r w:rsidR="00E0220F" w:rsidRPr="00973266">
        <w:rPr>
          <w:rStyle w:val="Guidance"/>
        </w:rPr>
        <w:t>.</w:t>
      </w:r>
      <w:r w:rsidR="00FB35E9" w:rsidRPr="00973266">
        <w:rPr>
          <w:rStyle w:val="Guidance"/>
        </w:rPr>
        <w:t xml:space="preserve"> </w:t>
      </w:r>
    </w:p>
    <w:p w14:paraId="615D545C" w14:textId="45BCD4EF" w:rsidR="0038774E" w:rsidRPr="007C50CC" w:rsidRDefault="0038774E" w:rsidP="00735808">
      <w:pPr>
        <w:pStyle w:val="GuidanceHeading"/>
      </w:pPr>
      <w:r w:rsidRPr="007C50CC">
        <w:t xml:space="preserve">Commercial-in-Confidence (CiC) </w:t>
      </w:r>
      <w:r w:rsidR="00735808" w:rsidRPr="007C50CC">
        <w:t>grant recipient</w:t>
      </w:r>
    </w:p>
    <w:p w14:paraId="2A2C059D" w14:textId="422FE1CB" w:rsidR="00D44550" w:rsidRPr="004B5FF4" w:rsidRDefault="00D44550" w:rsidP="00D44550">
      <w:r w:rsidRPr="004B5FF4">
        <w:rPr>
          <w:rStyle w:val="Guidance"/>
        </w:rPr>
        <w:t>[</w:t>
      </w:r>
      <w:r w:rsidR="005B2643">
        <w:rPr>
          <w:rStyle w:val="Guidance"/>
        </w:rPr>
        <w:t>I</w:t>
      </w:r>
      <w:r w:rsidRPr="004B5FF4">
        <w:rPr>
          <w:rStyle w:val="Guidance"/>
        </w:rPr>
        <w:t>nsert na</w:t>
      </w:r>
      <w:r w:rsidR="005B2643">
        <w:rPr>
          <w:rStyle w:val="Guidance"/>
        </w:rPr>
        <w:t>ture of grant</w:t>
      </w:r>
      <w:r w:rsidRPr="004B5FF4">
        <w:rPr>
          <w:rStyle w:val="Guidance"/>
        </w:rPr>
        <w:t>]</w:t>
      </w:r>
    </w:p>
    <w:tbl>
      <w:tblPr>
        <w:tblStyle w:val="DTFFinancialTable"/>
        <w:tblW w:w="5778" w:type="dxa"/>
        <w:tblLook w:val="06A0" w:firstRow="1" w:lastRow="0" w:firstColumn="1" w:lastColumn="0" w:noHBand="1" w:noVBand="1"/>
      </w:tblPr>
      <w:tblGrid>
        <w:gridCol w:w="3510"/>
        <w:gridCol w:w="2268"/>
      </w:tblGrid>
      <w:tr w:rsidR="00D44550" w:rsidRPr="00AE62E4" w14:paraId="60ACD792" w14:textId="77777777" w:rsidTr="00085E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33D4A3D4" w14:textId="6D977DD6" w:rsidR="00D44550" w:rsidRPr="00AE62E4" w:rsidRDefault="00066BBA">
            <w:r>
              <w:t xml:space="preserve">Grant </w:t>
            </w:r>
            <w:r w:rsidR="00085E2C">
              <w:t>recipient name</w:t>
            </w:r>
            <w:r>
              <w:t>/Organisation</w:t>
            </w:r>
          </w:p>
        </w:tc>
        <w:tc>
          <w:tcPr>
            <w:tcW w:w="2268" w:type="dxa"/>
          </w:tcPr>
          <w:p w14:paraId="7F9DB81B" w14:textId="77777777" w:rsidR="00D44550" w:rsidRPr="00AE62E4" w:rsidRDefault="00D44550">
            <w:pPr>
              <w:cnfStyle w:val="100000000000" w:firstRow="1" w:lastRow="0" w:firstColumn="0" w:lastColumn="0" w:oddVBand="0" w:evenVBand="0" w:oddHBand="0" w:evenHBand="0" w:firstRowFirstColumn="0" w:firstRowLastColumn="0" w:lastRowFirstColumn="0" w:lastRowLastColumn="0"/>
            </w:pPr>
            <w:r w:rsidRPr="00AE62E4">
              <w:t>Payment $</w:t>
            </w:r>
          </w:p>
        </w:tc>
      </w:tr>
      <w:tr w:rsidR="00066BBA" w:rsidRPr="00AE62E4" w14:paraId="389047E3" w14:textId="77777777" w:rsidTr="00085E2C">
        <w:tc>
          <w:tcPr>
            <w:cnfStyle w:val="001000000000" w:firstRow="0" w:lastRow="0" w:firstColumn="1" w:lastColumn="0" w:oddVBand="0" w:evenVBand="0" w:oddHBand="0" w:evenHBand="0" w:firstRowFirstColumn="0" w:firstRowLastColumn="0" w:lastRowFirstColumn="0" w:lastRowLastColumn="0"/>
            <w:tcW w:w="3510" w:type="dxa"/>
          </w:tcPr>
          <w:p w14:paraId="45EFEAD4" w14:textId="77777777" w:rsidR="00066BBA" w:rsidRPr="00AE62E4" w:rsidRDefault="00066BBA"/>
        </w:tc>
        <w:tc>
          <w:tcPr>
            <w:tcW w:w="2268" w:type="dxa"/>
          </w:tcPr>
          <w:p w14:paraId="20109E29" w14:textId="5559E155" w:rsidR="00066BBA" w:rsidRPr="00AE62E4" w:rsidRDefault="0026246E">
            <w:pPr>
              <w:cnfStyle w:val="000000000000" w:firstRow="0" w:lastRow="0" w:firstColumn="0" w:lastColumn="0" w:oddVBand="0" w:evenVBand="0" w:oddHBand="0" w:evenHBand="0" w:firstRowFirstColumn="0" w:firstRowLastColumn="0" w:lastRowFirstColumn="0" w:lastRowLastColumn="0"/>
            </w:pPr>
            <w:r>
              <w:t xml:space="preserve">[Insert </w:t>
            </w:r>
            <w:r w:rsidR="003A5F64">
              <w:t xml:space="preserve">total </w:t>
            </w:r>
            <w:r>
              <w:t>amount]</w:t>
            </w:r>
          </w:p>
        </w:tc>
      </w:tr>
      <w:tr w:rsidR="00D44550" w:rsidRPr="00AE62E4" w14:paraId="28F36FE4" w14:textId="77777777" w:rsidTr="00085E2C">
        <w:tc>
          <w:tcPr>
            <w:cnfStyle w:val="001000000000" w:firstRow="0" w:lastRow="0" w:firstColumn="1" w:lastColumn="0" w:oddVBand="0" w:evenVBand="0" w:oddHBand="0" w:evenHBand="0" w:firstRowFirstColumn="0" w:firstRowLastColumn="0" w:lastRowFirstColumn="0" w:lastRowLastColumn="0"/>
            <w:tcW w:w="3510" w:type="dxa"/>
          </w:tcPr>
          <w:p w14:paraId="61D6EE4E" w14:textId="77777777" w:rsidR="00D44550" w:rsidRPr="00AE62E4" w:rsidRDefault="00D44550">
            <w:r w:rsidRPr="00AE62E4">
              <w:t>ABC Ltd</w:t>
            </w:r>
          </w:p>
        </w:tc>
        <w:tc>
          <w:tcPr>
            <w:tcW w:w="2268" w:type="dxa"/>
          </w:tcPr>
          <w:p w14:paraId="0D810041" w14:textId="2C209CB6" w:rsidR="00D44550" w:rsidRPr="00AE62E4" w:rsidRDefault="00D44550">
            <w:pPr>
              <w:cnfStyle w:val="000000000000" w:firstRow="0" w:lastRow="0" w:firstColumn="0" w:lastColumn="0" w:oddVBand="0" w:evenVBand="0" w:oddHBand="0" w:evenHBand="0" w:firstRowFirstColumn="0" w:firstRowLastColumn="0" w:lastRowFirstColumn="0" w:lastRowLastColumn="0"/>
            </w:pPr>
          </w:p>
        </w:tc>
      </w:tr>
      <w:tr w:rsidR="00D44550" w:rsidRPr="00AE62E4" w14:paraId="687865CE" w14:textId="77777777" w:rsidTr="00085E2C">
        <w:tc>
          <w:tcPr>
            <w:cnfStyle w:val="001000000000" w:firstRow="0" w:lastRow="0" w:firstColumn="1" w:lastColumn="0" w:oddVBand="0" w:evenVBand="0" w:oddHBand="0" w:evenHBand="0" w:firstRowFirstColumn="0" w:firstRowLastColumn="0" w:lastRowFirstColumn="0" w:lastRowLastColumn="0"/>
            <w:tcW w:w="3510" w:type="dxa"/>
          </w:tcPr>
          <w:p w14:paraId="1E185319" w14:textId="77777777" w:rsidR="00D44550" w:rsidRPr="00AE62E4" w:rsidRDefault="00D44550">
            <w:r w:rsidRPr="00AE62E4">
              <w:t>XYZ Division</w:t>
            </w:r>
          </w:p>
        </w:tc>
        <w:tc>
          <w:tcPr>
            <w:tcW w:w="2268" w:type="dxa"/>
          </w:tcPr>
          <w:p w14:paraId="2638B4AF" w14:textId="7A28ADFC" w:rsidR="00D44550" w:rsidRPr="00AE62E4" w:rsidRDefault="00D44550">
            <w:pPr>
              <w:cnfStyle w:val="000000000000" w:firstRow="0" w:lastRow="0" w:firstColumn="0" w:lastColumn="0" w:oddVBand="0" w:evenVBand="0" w:oddHBand="0" w:evenHBand="0" w:firstRowFirstColumn="0" w:firstRowLastColumn="0" w:lastRowFirstColumn="0" w:lastRowLastColumn="0"/>
            </w:pPr>
          </w:p>
        </w:tc>
      </w:tr>
      <w:tr w:rsidR="00D44550" w:rsidRPr="00AE62E4" w14:paraId="5B22C12B" w14:textId="77777777" w:rsidTr="00085E2C">
        <w:tc>
          <w:tcPr>
            <w:cnfStyle w:val="001000000000" w:firstRow="0" w:lastRow="0" w:firstColumn="1" w:lastColumn="0" w:oddVBand="0" w:evenVBand="0" w:oddHBand="0" w:evenHBand="0" w:firstRowFirstColumn="0" w:firstRowLastColumn="0" w:lastRowFirstColumn="0" w:lastRowLastColumn="0"/>
            <w:tcW w:w="3510" w:type="dxa"/>
          </w:tcPr>
          <w:p w14:paraId="6DE66D92" w14:textId="77777777" w:rsidR="00D44550" w:rsidRPr="00AE62E4" w:rsidRDefault="00D44550">
            <w:r w:rsidRPr="00AE62E4">
              <w:t>Society of BBY</w:t>
            </w:r>
          </w:p>
        </w:tc>
        <w:tc>
          <w:tcPr>
            <w:tcW w:w="2268" w:type="dxa"/>
          </w:tcPr>
          <w:p w14:paraId="3C065CCC" w14:textId="05A786E9" w:rsidR="00D44550" w:rsidRPr="00AE62E4" w:rsidRDefault="00D44550">
            <w:pPr>
              <w:cnfStyle w:val="000000000000" w:firstRow="0" w:lastRow="0" w:firstColumn="0" w:lastColumn="0" w:oddVBand="0" w:evenVBand="0" w:oddHBand="0" w:evenHBand="0" w:firstRowFirstColumn="0" w:firstRowLastColumn="0" w:lastRowFirstColumn="0" w:lastRowLastColumn="0"/>
            </w:pPr>
          </w:p>
        </w:tc>
      </w:tr>
      <w:tr w:rsidR="00D44550" w:rsidRPr="00AE62E4" w14:paraId="4D3B0DB4" w14:textId="77777777" w:rsidTr="00085E2C">
        <w:tc>
          <w:tcPr>
            <w:cnfStyle w:val="001000000000" w:firstRow="0" w:lastRow="0" w:firstColumn="1" w:lastColumn="0" w:oddVBand="0" w:evenVBand="0" w:oddHBand="0" w:evenHBand="0" w:firstRowFirstColumn="0" w:firstRowLastColumn="0" w:lastRowFirstColumn="0" w:lastRowLastColumn="0"/>
            <w:tcW w:w="3510" w:type="dxa"/>
          </w:tcPr>
          <w:p w14:paraId="5F597E43" w14:textId="77777777" w:rsidR="00D44550" w:rsidRPr="00AE62E4" w:rsidRDefault="00D44550">
            <w:r w:rsidRPr="00AE62E4">
              <w:t>XYZ Division</w:t>
            </w:r>
          </w:p>
        </w:tc>
        <w:tc>
          <w:tcPr>
            <w:tcW w:w="2268" w:type="dxa"/>
          </w:tcPr>
          <w:p w14:paraId="074DC2E9" w14:textId="06EF5929" w:rsidR="00D44550" w:rsidRPr="00AE62E4" w:rsidRDefault="00D44550">
            <w:pPr>
              <w:cnfStyle w:val="000000000000" w:firstRow="0" w:lastRow="0" w:firstColumn="0" w:lastColumn="0" w:oddVBand="0" w:evenVBand="0" w:oddHBand="0" w:evenHBand="0" w:firstRowFirstColumn="0" w:firstRowLastColumn="0" w:lastRowFirstColumn="0" w:lastRowLastColumn="0"/>
            </w:pPr>
          </w:p>
        </w:tc>
      </w:tr>
      <w:tr w:rsidR="00D44550" w:rsidRPr="00AE62E4" w14:paraId="0E4A602D" w14:textId="77777777" w:rsidTr="00085E2C">
        <w:tc>
          <w:tcPr>
            <w:cnfStyle w:val="001000000000" w:firstRow="0" w:lastRow="0" w:firstColumn="1" w:lastColumn="0" w:oddVBand="0" w:evenVBand="0" w:oddHBand="0" w:evenHBand="0" w:firstRowFirstColumn="0" w:firstRowLastColumn="0" w:lastRowFirstColumn="0" w:lastRowLastColumn="0"/>
            <w:tcW w:w="3510" w:type="dxa"/>
          </w:tcPr>
          <w:p w14:paraId="6D89A0E8" w14:textId="77777777" w:rsidR="00D44550" w:rsidRPr="00AE62E4" w:rsidRDefault="00D44550">
            <w:r w:rsidRPr="00AE62E4">
              <w:t>Society of BBY</w:t>
            </w:r>
          </w:p>
        </w:tc>
        <w:tc>
          <w:tcPr>
            <w:tcW w:w="2268" w:type="dxa"/>
          </w:tcPr>
          <w:p w14:paraId="53EEE169" w14:textId="273C3C6F" w:rsidR="00D44550" w:rsidRPr="00AE62E4" w:rsidRDefault="00D44550">
            <w:pPr>
              <w:cnfStyle w:val="000000000000" w:firstRow="0" w:lastRow="0" w:firstColumn="0" w:lastColumn="0" w:oddVBand="0" w:evenVBand="0" w:oddHBand="0" w:evenHBand="0" w:firstRowFirstColumn="0" w:firstRowLastColumn="0" w:lastRowFirstColumn="0" w:lastRowLastColumn="0"/>
            </w:pPr>
          </w:p>
        </w:tc>
      </w:tr>
    </w:tbl>
    <w:p w14:paraId="137F3365" w14:textId="7E521104" w:rsidR="0096580F" w:rsidRDefault="0096580F" w:rsidP="00D44550">
      <w:pPr>
        <w:rPr>
          <w:rStyle w:val="Guidance"/>
        </w:rPr>
      </w:pPr>
      <w:r w:rsidRPr="00D50E57">
        <w:rPr>
          <w:rStyle w:val="Guidance"/>
          <w:b/>
          <w:bCs/>
        </w:rPr>
        <w:lastRenderedPageBreak/>
        <w:t>Note:</w:t>
      </w:r>
      <w:r>
        <w:rPr>
          <w:rStyle w:val="Guidance"/>
          <w:b/>
          <w:bCs/>
          <w:color w:val="auto"/>
        </w:rPr>
        <w:t xml:space="preserve"> </w:t>
      </w:r>
      <w:bookmarkStart w:id="113" w:name="_Hlk190250388"/>
      <w:r>
        <w:rPr>
          <w:rStyle w:val="Guidance"/>
        </w:rPr>
        <w:t>In instances where private individuals and/or trusts can be identified, for privacy reasons, they should be consolidated into one category (</w:t>
      </w:r>
      <w:r w:rsidR="00226C90">
        <w:rPr>
          <w:rStyle w:val="Guidance"/>
        </w:rPr>
        <w:t>e.g. Trusts</w:t>
      </w:r>
      <w:r>
        <w:rPr>
          <w:rStyle w:val="Guidance"/>
        </w:rPr>
        <w:t>, Individuals and Other) to deidentify them for disclosure purposes.</w:t>
      </w:r>
      <w:bookmarkEnd w:id="113"/>
    </w:p>
    <w:p w14:paraId="13E08D7E" w14:textId="002B2D8D" w:rsidR="00D44550" w:rsidRPr="00A67AE8" w:rsidRDefault="00D44550" w:rsidP="00D44550">
      <w:pPr>
        <w:rPr>
          <w:rStyle w:val="Guidance"/>
        </w:rPr>
      </w:pPr>
      <w:r w:rsidRPr="00A67AE8">
        <w:rPr>
          <w:rStyle w:val="Guidance"/>
        </w:rPr>
        <w:t>[Repeat as applicable for each output.]</w:t>
      </w:r>
    </w:p>
    <w:p w14:paraId="7F1B2037" w14:textId="01EEDCDB" w:rsidR="00AC4CA9" w:rsidRPr="00AC4CA9" w:rsidRDefault="00F8576E" w:rsidP="00AC4CA9">
      <w:pPr>
        <w:rPr>
          <w:rStyle w:val="Guidance"/>
        </w:rPr>
      </w:pPr>
      <w:r w:rsidRPr="00693DB9">
        <w:rPr>
          <w:rStyle w:val="Guidance"/>
        </w:rPr>
        <w:t>Departments and agencies may wish to include some additional information in this section in relation to grant programs.</w:t>
      </w:r>
    </w:p>
    <w:p w14:paraId="7FDA5171" w14:textId="77777777" w:rsidR="00AC4CA9" w:rsidRPr="00AC4CA9" w:rsidRDefault="00AC4CA9" w:rsidP="00AC4CA9">
      <w:pPr>
        <w:pStyle w:val="GuidanceHeading"/>
        <w:rPr>
          <w:rStyle w:val="Guidance"/>
        </w:rPr>
      </w:pPr>
      <w:r w:rsidRPr="00AC4CA9">
        <w:rPr>
          <w:rStyle w:val="Guidance"/>
        </w:rPr>
        <w:t>Disclosure of machinery of government changes</w:t>
      </w:r>
    </w:p>
    <w:p w14:paraId="757368C3" w14:textId="660CC7AA" w:rsidR="00AC4CA9" w:rsidRPr="00AC4CA9" w:rsidRDefault="00AC4CA9" w:rsidP="00AC4CA9">
      <w:pPr>
        <w:rPr>
          <w:rStyle w:val="Guidance"/>
        </w:rPr>
      </w:pPr>
      <w:r w:rsidRPr="20EC4723">
        <w:rPr>
          <w:rStyle w:val="Guidance"/>
        </w:rPr>
        <w:t xml:space="preserve">Recommendation 15 of PAEC </w:t>
      </w:r>
      <w:r w:rsidR="771BAC23" w:rsidRPr="20EC4723">
        <w:rPr>
          <w:rStyle w:val="Guidance"/>
        </w:rPr>
        <w:t>Report on the 2007-08 Financial and Performance Outcomes</w:t>
      </w:r>
      <w:r w:rsidRPr="20EC4723">
        <w:rPr>
          <w:rStyle w:val="Guidance"/>
        </w:rPr>
        <w:t xml:space="preserve"> recommended the disclosure of grants and transfer payments by output. This is based on the department’s responsibility of output delivery at the end of the financial year.</w:t>
      </w:r>
    </w:p>
    <w:p w14:paraId="678705D6" w14:textId="77777777" w:rsidR="00AC4CA9" w:rsidRPr="00AC4CA9" w:rsidRDefault="00AC4CA9" w:rsidP="00AC4CA9">
      <w:pPr>
        <w:rPr>
          <w:rStyle w:val="Guidance"/>
        </w:rPr>
      </w:pPr>
      <w:r w:rsidRPr="00AC4CA9">
        <w:rPr>
          <w:rStyle w:val="Guidance"/>
        </w:rPr>
        <w:t>In the event of a machinery of government change, the transferor department will no longer be required to disclose grants and transfer payments associated with outputs that have been transferred out to the transferee department. The transferee department will now be required to disclose grants and transfer payments associated with the outputs for the full year because the transferee department is administratively responsible for the outputs at the end of the financial year.</w:t>
      </w:r>
    </w:p>
    <w:p w14:paraId="6CA1FAA3" w14:textId="26693D58" w:rsidR="00AC4CA9" w:rsidRPr="00AC4CA9" w:rsidRDefault="00AC4CA9" w:rsidP="00AC4CA9">
      <w:pPr>
        <w:rPr>
          <w:rStyle w:val="Guidance"/>
        </w:rPr>
      </w:pPr>
      <w:r w:rsidRPr="00AC4CA9">
        <w:rPr>
          <w:rStyle w:val="Guidance"/>
        </w:rPr>
        <w:t>In terms of the relationship between the report of operations and the financial statements, the grants and transfer payments disclosed in the report of operations may not necessarily reconcile with the operating expenses in the financial statements (i.e. grants and transfer payments actually paid by the department) as a result of machinery of government changes during the financial year. For transparency, it is recommended departments make a footnote to highlight the reporting approach and include a comment to clarify that the disclosed amount will not reconcile to the financial statements.</w:t>
      </w:r>
    </w:p>
    <w:p w14:paraId="2E63295E" w14:textId="77777777" w:rsidR="00AC4CA9" w:rsidRDefault="00AC4CA9" w:rsidP="00AC4CA9">
      <w:pPr>
        <w:pStyle w:val="GuidanceEnd"/>
      </w:pPr>
    </w:p>
    <w:p w14:paraId="277472F6" w14:textId="51743673" w:rsidR="00DC39DE" w:rsidRDefault="00DC39DE" w:rsidP="00AC4CA9">
      <w:pPr>
        <w:pStyle w:val="Heading2"/>
      </w:pPr>
      <w:bookmarkStart w:id="114" w:name="INDEX_SubsequentEvent"/>
      <w:bookmarkStart w:id="115" w:name="_Toc199156277"/>
      <w:bookmarkEnd w:id="114"/>
      <w:r>
        <w:t>Subsequent events</w:t>
      </w:r>
      <w:r w:rsidR="00A342C9">
        <w:t xml:space="preserve"> </w:t>
      </w:r>
      <w:r w:rsidR="00883995" w:rsidRPr="00BB6DDA">
        <w:rPr>
          <w:rStyle w:val="Reference"/>
        </w:rPr>
        <w:t>[FRD 22]</w:t>
      </w:r>
      <w:bookmarkEnd w:id="115"/>
    </w:p>
    <w:p w14:paraId="396AFD17" w14:textId="725FB5D0" w:rsidR="00DC39DE" w:rsidRDefault="00DC39DE" w:rsidP="00DC39DE">
      <w:r>
        <w:t xml:space="preserve">Subsequent to the reporting period, the Government announced its intention to privatise the consulting division of the Department. Further details are </w:t>
      </w:r>
      <w:r w:rsidRPr="00652A3A">
        <w:t>provided in Note 9.1</w:t>
      </w:r>
      <w:r w:rsidR="00C62779" w:rsidRPr="00652A3A">
        <w:t>1</w:t>
      </w:r>
      <w:r w:rsidRPr="00652A3A">
        <w:t xml:space="preserve"> of the</w:t>
      </w:r>
      <w:r>
        <w:t xml:space="preserve"> financial statements.</w:t>
      </w:r>
    </w:p>
    <w:p w14:paraId="46EA26A0" w14:textId="3E5D9882" w:rsidR="00AC4CA9" w:rsidRDefault="00AC4CA9" w:rsidP="00AC4CA9">
      <w:pPr>
        <w:pStyle w:val="GuidanceBlockHeading"/>
      </w:pPr>
      <w:r>
        <w:t>Guidance – Subsequent events</w:t>
      </w:r>
    </w:p>
    <w:p w14:paraId="1FD89741" w14:textId="18C57DCA" w:rsidR="00AC4CA9" w:rsidRPr="00DC1CCC" w:rsidRDefault="00AC4CA9" w:rsidP="00C619F8">
      <w:pPr>
        <w:rPr>
          <w:rStyle w:val="Guidance"/>
          <w:rFonts w:asciiTheme="majorHAnsi" w:eastAsiaTheme="majorEastAsia" w:hAnsiTheme="majorHAnsi" w:cstheme="majorBidi"/>
          <w:b/>
          <w:bCs/>
          <w:iCs/>
          <w:sz w:val="20"/>
          <w:szCs w:val="24"/>
        </w:rPr>
      </w:pPr>
      <w:r w:rsidRPr="00245DA3">
        <w:rPr>
          <w:rStyle w:val="Guidance"/>
        </w:rPr>
        <w:t>Where detailed information about subsequent events is contained in the financial statement, the report of operations should include a summary of those events with a cross reference to their disclosure in the financial statement. Refer to Note 9.1</w:t>
      </w:r>
      <w:r w:rsidR="00C62779">
        <w:rPr>
          <w:rStyle w:val="Guidance"/>
        </w:rPr>
        <w:t>1</w:t>
      </w:r>
      <w:r w:rsidRPr="00245DA3">
        <w:rPr>
          <w:rStyle w:val="Guidance"/>
        </w:rPr>
        <w:t xml:space="preserve"> in the Model financial statement.</w:t>
      </w:r>
      <w:r w:rsidRPr="00C619F8">
        <w:rPr>
          <w:rStyle w:val="Reference"/>
        </w:rPr>
        <w:t xml:space="preserve"> </w:t>
      </w:r>
      <w:r w:rsidRPr="00245DA3">
        <w:rPr>
          <w:rStyle w:val="Reference"/>
        </w:rPr>
        <w:t>[FRD 22]</w:t>
      </w:r>
    </w:p>
    <w:p w14:paraId="532F5BE6" w14:textId="77777777" w:rsidR="00AC4CA9" w:rsidRPr="00AC4CA9" w:rsidRDefault="00AC4CA9" w:rsidP="00AC4CA9">
      <w:pPr>
        <w:pStyle w:val="GuidanceHeading"/>
        <w:rPr>
          <w:rStyle w:val="Guidance"/>
        </w:rPr>
      </w:pPr>
      <w:r w:rsidRPr="00AC4CA9">
        <w:rPr>
          <w:rStyle w:val="Guidance"/>
        </w:rPr>
        <w:t>Machinery of government changes that occurred after the reporting period</w:t>
      </w:r>
    </w:p>
    <w:p w14:paraId="587C3E42" w14:textId="7ED386B0" w:rsidR="00DC39DE" w:rsidRDefault="00AC4CA9" w:rsidP="00AC4CA9">
      <w:pPr>
        <w:rPr>
          <w:rStyle w:val="Guidance"/>
        </w:rPr>
      </w:pPr>
      <w:r w:rsidRPr="00AC4CA9">
        <w:rPr>
          <w:rStyle w:val="Guidance"/>
        </w:rPr>
        <w:t>If additional disclosures relating to any machinery of government changes occurring after the reporting period are considered useful for readers of the annual report, departments may wish to disclose general facts about the machinery of government changes that would impact on the next annual report. For example, in the case of certain outputs being transferred from one department to another department, if disclosure of the fact that those outputs would be reported under a different department in the next annual report is considered useful to readers, then both transferor and transferee should disclose general facts about the transfer (i.e. department name changes, new minister(s) name(s), output/activity shifts, etc.) in the section under subsequent events in their report of operations and financial statements.</w:t>
      </w:r>
    </w:p>
    <w:p w14:paraId="13E2FAA9" w14:textId="77777777" w:rsidR="00AC4CA9" w:rsidRPr="00AC4CA9" w:rsidRDefault="00AC4CA9" w:rsidP="00AC4CA9">
      <w:pPr>
        <w:pStyle w:val="GuidanceEnd"/>
        <w:rPr>
          <w:rStyle w:val="Guidance"/>
        </w:rPr>
      </w:pPr>
    </w:p>
    <w:p w14:paraId="3F7AA951" w14:textId="77777777" w:rsidR="00AC4CA9" w:rsidRPr="00AC4CA9" w:rsidRDefault="00AC4CA9" w:rsidP="00AC4CA9">
      <w:r w:rsidRPr="00AC4CA9">
        <w:br w:type="page"/>
      </w:r>
    </w:p>
    <w:p w14:paraId="316D6130" w14:textId="27F4EE7C" w:rsidR="00DC39DE" w:rsidRDefault="00CF1264" w:rsidP="00CF1264">
      <w:pPr>
        <w:pStyle w:val="Heading1"/>
      </w:pPr>
      <w:bookmarkStart w:id="116" w:name="_Toc65769755"/>
      <w:bookmarkStart w:id="117" w:name="_Toc199156278"/>
      <w:bookmarkStart w:id="118" w:name="_Toc199156551"/>
      <w:r>
        <w:lastRenderedPageBreak/>
        <w:t>Section 2: Governance and organisational structure</w:t>
      </w:r>
      <w:bookmarkEnd w:id="116"/>
      <w:bookmarkEnd w:id="117"/>
      <w:bookmarkEnd w:id="118"/>
    </w:p>
    <w:p w14:paraId="7C5F96D9" w14:textId="7743B14A" w:rsidR="00BB6DDA" w:rsidRDefault="00BB6DDA" w:rsidP="00BB6DDA">
      <w:pPr>
        <w:pStyle w:val="GuidanceBlockHeading"/>
      </w:pPr>
      <w:r>
        <w:t>Guidance – Governance and organisational structure (overview)</w:t>
      </w:r>
    </w:p>
    <w:p w14:paraId="7A2B002F" w14:textId="0EF733CF" w:rsidR="00BB6DDA" w:rsidRPr="00BB6DDA" w:rsidRDefault="00BB6DDA" w:rsidP="00BB6DDA">
      <w:pPr>
        <w:rPr>
          <w:rStyle w:val="Guidance"/>
        </w:rPr>
      </w:pPr>
      <w:r w:rsidRPr="00BB6DDA">
        <w:rPr>
          <w:rStyle w:val="Guidance"/>
        </w:rPr>
        <w:t>FRD 22 requires that the report should include an ‘organisational chart detailing members of the governing board, Audit Committee, Chief Executive Officer, senior officers and their responsibilities</w:t>
      </w:r>
      <w:r w:rsidR="00987F61">
        <w:rPr>
          <w:rStyle w:val="Guidance"/>
        </w:rPr>
        <w:t>’</w:t>
      </w:r>
      <w:r w:rsidRPr="00BB6DDA">
        <w:rPr>
          <w:rStyle w:val="Guidance"/>
        </w:rPr>
        <w:t xml:space="preserve">. </w:t>
      </w:r>
      <w:r w:rsidRPr="00BB6DDA">
        <w:rPr>
          <w:rStyle w:val="Reference"/>
        </w:rPr>
        <w:t>[FRD 22]</w:t>
      </w:r>
    </w:p>
    <w:p w14:paraId="5EB306EE" w14:textId="77777777" w:rsidR="00BB6DDA" w:rsidRPr="00BB6DDA" w:rsidRDefault="00BB6DDA" w:rsidP="00BB6DDA">
      <w:pPr>
        <w:pStyle w:val="GuidanceHeading"/>
        <w:rPr>
          <w:rStyle w:val="Guidance"/>
        </w:rPr>
      </w:pPr>
      <w:r w:rsidRPr="00BB6DDA">
        <w:rPr>
          <w:rStyle w:val="Guidance"/>
        </w:rPr>
        <w:t>Guidance</w:t>
      </w:r>
    </w:p>
    <w:p w14:paraId="151DBC0B" w14:textId="77777777" w:rsidR="00BB6DDA" w:rsidRPr="00BB6DDA" w:rsidRDefault="00BB6DDA" w:rsidP="00BB6DDA">
      <w:pPr>
        <w:rPr>
          <w:rStyle w:val="Guidance"/>
        </w:rPr>
      </w:pPr>
      <w:r w:rsidRPr="00BB6DDA">
        <w:rPr>
          <w:rStyle w:val="Guidance"/>
        </w:rPr>
        <w:t xml:space="preserve">This section may include a short profile on each of a department’s ministers, outlining their portfolio, area of responsibility and other portfolios held by the minister. Profiles of each of a department’s senior executives, outlining their role and professional background should also be included. </w:t>
      </w:r>
    </w:p>
    <w:p w14:paraId="30C3B4D5" w14:textId="23BA5CD8" w:rsidR="00BB6DDA" w:rsidRPr="00BB6DDA" w:rsidRDefault="00BB6DDA" w:rsidP="00BB6DDA">
      <w:pPr>
        <w:rPr>
          <w:rStyle w:val="Guidance"/>
        </w:rPr>
      </w:pPr>
      <w:r w:rsidRPr="00BB6DDA">
        <w:rPr>
          <w:rStyle w:val="Guidance"/>
        </w:rPr>
        <w:t xml:space="preserve">It may be useful to include stock photos of each minister and relevant secretary/CEO with their profiles for people who use the annual report as a research tool prior to </w:t>
      </w:r>
      <w:r w:rsidR="00C43D5A" w:rsidRPr="00BB6DDA">
        <w:rPr>
          <w:rStyle w:val="Guidance"/>
        </w:rPr>
        <w:t>contacting</w:t>
      </w:r>
      <w:r w:rsidRPr="00BB6DDA">
        <w:rPr>
          <w:rStyle w:val="Guidance"/>
        </w:rPr>
        <w:t xml:space="preserve"> a department. </w:t>
      </w:r>
    </w:p>
    <w:p w14:paraId="4C3647E7" w14:textId="5EFD2A1E" w:rsidR="00DC39DE" w:rsidRPr="00BB6DDA" w:rsidRDefault="00BB6DDA" w:rsidP="00BB6DDA">
      <w:pPr>
        <w:rPr>
          <w:rStyle w:val="Guidance"/>
        </w:rPr>
      </w:pPr>
      <w:r w:rsidRPr="00BB6DDA">
        <w:rPr>
          <w:rStyle w:val="Guidance"/>
        </w:rPr>
        <w:t>The organisational chart should show the names of the senior executives and the areas they are responsible for. Below the level of senior executive, names do not need to be shown, however sufficient detail should be included to show the areas of responsibility or key activities undertaken by a department.</w:t>
      </w:r>
    </w:p>
    <w:p w14:paraId="59713E1C" w14:textId="77777777" w:rsidR="00DC39DE" w:rsidRDefault="00DC39DE" w:rsidP="00BB6DDA">
      <w:pPr>
        <w:pStyle w:val="GuidanceEnd"/>
      </w:pPr>
    </w:p>
    <w:p w14:paraId="183656EC" w14:textId="01BED082" w:rsidR="00BB6DDA" w:rsidRDefault="00BB6DDA" w:rsidP="00BB6DDA">
      <w:pPr>
        <w:pStyle w:val="Heading2"/>
      </w:pPr>
      <w:bookmarkStart w:id="119" w:name="_Toc199156279"/>
      <w:r w:rsidRPr="00BB6DDA">
        <w:t>Organisational structure and corporate governance arrangements</w:t>
      </w:r>
      <w:r>
        <w:t xml:space="preserve"> </w:t>
      </w:r>
      <w:r w:rsidRPr="00BB6DDA">
        <w:rPr>
          <w:rStyle w:val="Reference"/>
        </w:rPr>
        <w:t>[FRD 22]</w:t>
      </w:r>
      <w:bookmarkEnd w:id="119"/>
    </w:p>
    <w:p w14:paraId="6868A62A" w14:textId="1D351369" w:rsidR="00DC39DE" w:rsidRDefault="00DC39DE" w:rsidP="00BB6DDA">
      <w:pPr>
        <w:pStyle w:val="Heading3"/>
      </w:pPr>
      <w:r>
        <w:t>The Department’s Ministers</w:t>
      </w:r>
    </w:p>
    <w:p w14:paraId="11BB8BFA" w14:textId="77777777" w:rsidR="00DC39DE" w:rsidRDefault="00DC39DE" w:rsidP="00BB6DDA">
      <w:pPr>
        <w:pStyle w:val="Heading4"/>
      </w:pPr>
      <w:r>
        <w:t>Minister for Technology</w:t>
      </w:r>
    </w:p>
    <w:p w14:paraId="62F5ACD1" w14:textId="1051B710" w:rsidR="00DC39DE" w:rsidRDefault="00DC39DE" w:rsidP="00DC39DE">
      <w:r>
        <w:t xml:space="preserve">The Hon. John Bristol MP was appointed as the Minister for Technology in </w:t>
      </w:r>
      <w:r w:rsidR="00A55598" w:rsidRPr="00B017E9">
        <w:rPr>
          <w:rStyle w:val="Guidance"/>
        </w:rPr>
        <w:t>[</w:t>
      </w:r>
      <w:r w:rsidR="00A55598">
        <w:rPr>
          <w:rStyle w:val="Guidance"/>
        </w:rPr>
        <w:t xml:space="preserve">month and </w:t>
      </w:r>
      <w:r w:rsidR="00A55598" w:rsidRPr="00B017E9">
        <w:rPr>
          <w:rStyle w:val="Guidance"/>
        </w:rPr>
        <w:t>year]</w:t>
      </w:r>
      <w:r>
        <w:t xml:space="preserve">. He is also the Minister for Parks and Forests. </w:t>
      </w:r>
    </w:p>
    <w:p w14:paraId="05F3B435" w14:textId="77777777" w:rsidR="00DC39DE" w:rsidRDefault="00DC39DE" w:rsidP="00DC39DE">
      <w:r>
        <w:t>The Minister for Technology is responsible for promoting the development of the technology sector in Victoria. The Minister also manages the provision of technology services to the Government.</w:t>
      </w:r>
    </w:p>
    <w:p w14:paraId="71550667" w14:textId="77777777" w:rsidR="00DC39DE" w:rsidRPr="00A15CDF" w:rsidRDefault="00DC39DE" w:rsidP="00DC39DE">
      <w:pPr>
        <w:rPr>
          <w:rStyle w:val="Guidance"/>
        </w:rPr>
      </w:pPr>
      <w:r w:rsidRPr="00A15CDF">
        <w:rPr>
          <w:rStyle w:val="Guidance"/>
        </w:rPr>
        <w:t>[Insert picture]</w:t>
      </w:r>
    </w:p>
    <w:p w14:paraId="65E3A39D" w14:textId="77777777" w:rsidR="00DC39DE" w:rsidRDefault="00DC39DE" w:rsidP="00BB6DDA">
      <w:pPr>
        <w:pStyle w:val="Heading4"/>
      </w:pPr>
      <w:r>
        <w:t>Minister for Biotechnology</w:t>
      </w:r>
    </w:p>
    <w:p w14:paraId="6908A429" w14:textId="29E89E42" w:rsidR="00DC39DE" w:rsidRDefault="00DC39DE" w:rsidP="00DC39DE">
      <w:r>
        <w:t xml:space="preserve">The Hon. Laura Toddingham MP was appointed as the Minister for Biotechnology in </w:t>
      </w:r>
      <w:r w:rsidR="00A55598" w:rsidRPr="00B017E9">
        <w:rPr>
          <w:rStyle w:val="Guidance"/>
        </w:rPr>
        <w:t>[</w:t>
      </w:r>
      <w:r w:rsidR="00A55598">
        <w:rPr>
          <w:rStyle w:val="Guidance"/>
        </w:rPr>
        <w:t xml:space="preserve">month and </w:t>
      </w:r>
      <w:r w:rsidR="00A55598" w:rsidRPr="00B017E9">
        <w:rPr>
          <w:rStyle w:val="Guidance"/>
        </w:rPr>
        <w:t>year]</w:t>
      </w:r>
      <w:r>
        <w:t xml:space="preserve">. She is also the Minister for Rural Communities. </w:t>
      </w:r>
    </w:p>
    <w:p w14:paraId="0B8EA8D7" w14:textId="77777777" w:rsidR="00DC39DE" w:rsidRDefault="00DC39DE" w:rsidP="00DC39DE">
      <w:r>
        <w:t>The Minister for Biotechnology is responsible for the regulation of Victoria’s biotechnology sector and managing research and development activities conducted by the Government.</w:t>
      </w:r>
    </w:p>
    <w:p w14:paraId="7AF001D0" w14:textId="77777777" w:rsidR="00DC39DE" w:rsidRPr="00A15CDF" w:rsidRDefault="00DC39DE" w:rsidP="00DC39DE">
      <w:pPr>
        <w:rPr>
          <w:rStyle w:val="Guidance"/>
        </w:rPr>
      </w:pPr>
      <w:r w:rsidRPr="00A15CDF">
        <w:rPr>
          <w:rStyle w:val="Guidance"/>
        </w:rPr>
        <w:t>[Insert picture]</w:t>
      </w:r>
    </w:p>
    <w:p w14:paraId="6482943A" w14:textId="77777777" w:rsidR="00DC39DE" w:rsidRDefault="00DC39DE" w:rsidP="00A15CDF">
      <w:pPr>
        <w:pStyle w:val="Heading3"/>
      </w:pPr>
      <w:r>
        <w:t>The Department’s senior executives</w:t>
      </w:r>
    </w:p>
    <w:p w14:paraId="007D6518" w14:textId="77777777" w:rsidR="00DC39DE" w:rsidRDefault="00DC39DE" w:rsidP="00DC39DE">
      <w:r>
        <w:t>The Department is led by the Secretary who reports to the Minister for Technology and the Minister for Biotechnology. The Department is managed by a senior executive group comprising the head of each of the Department’s four divisions. The role of the senior executive group is to set, monitor and review the strategic direction of the Department.</w:t>
      </w:r>
    </w:p>
    <w:p w14:paraId="659BEC09" w14:textId="77777777" w:rsidR="00DC39DE" w:rsidRDefault="00DC39DE" w:rsidP="00A15CDF">
      <w:pPr>
        <w:pStyle w:val="Heading4"/>
      </w:pPr>
      <w:r>
        <w:t>Jane Smith</w:t>
      </w:r>
    </w:p>
    <w:p w14:paraId="29BAF674" w14:textId="5C0C125B" w:rsidR="00DC39DE" w:rsidRDefault="00DC39DE" w:rsidP="00DC39DE">
      <w:r>
        <w:t xml:space="preserve">Jane Smith was appointed Secretary of the Department in </w:t>
      </w:r>
      <w:r w:rsidR="00A55598" w:rsidRPr="00B017E9">
        <w:rPr>
          <w:rStyle w:val="Guidance"/>
        </w:rPr>
        <w:t>[</w:t>
      </w:r>
      <w:r w:rsidR="00A55598">
        <w:rPr>
          <w:rStyle w:val="Guidance"/>
        </w:rPr>
        <w:t xml:space="preserve">month and </w:t>
      </w:r>
      <w:r w:rsidR="00A55598" w:rsidRPr="00B017E9">
        <w:rPr>
          <w:rStyle w:val="Guidance"/>
        </w:rPr>
        <w:t>year]</w:t>
      </w:r>
      <w:r>
        <w:t>. She leads the Department in developing and implementing government technology policy. She is responsible for giving policy advice to ministers and providing support to Cabinet on matters within the Department’s portfolio.</w:t>
      </w:r>
    </w:p>
    <w:p w14:paraId="048D95A3" w14:textId="77777777" w:rsidR="00DC39DE" w:rsidRPr="00A15CDF" w:rsidRDefault="00DC39DE" w:rsidP="00DC39DE">
      <w:pPr>
        <w:rPr>
          <w:rStyle w:val="Guidance"/>
        </w:rPr>
      </w:pPr>
      <w:r w:rsidRPr="00A15CDF">
        <w:rPr>
          <w:rStyle w:val="Guidance"/>
        </w:rPr>
        <w:t>[Optional picture]</w:t>
      </w:r>
    </w:p>
    <w:p w14:paraId="46B24B5B" w14:textId="77777777" w:rsidR="00DC39DE" w:rsidRDefault="00DC39DE" w:rsidP="00A15CDF">
      <w:pPr>
        <w:pStyle w:val="Heading4"/>
      </w:pPr>
      <w:r>
        <w:t>John Tails</w:t>
      </w:r>
    </w:p>
    <w:p w14:paraId="4101C44A" w14:textId="562918BB" w:rsidR="00DC39DE" w:rsidRDefault="00DC39DE" w:rsidP="00DC39DE">
      <w:r>
        <w:t xml:space="preserve">John heads the Strategic Policy Advice division of the Department and has done so since </w:t>
      </w:r>
      <w:r w:rsidR="00A55598" w:rsidRPr="00B017E9">
        <w:rPr>
          <w:rStyle w:val="Guidance"/>
        </w:rPr>
        <w:t>[</w:t>
      </w:r>
      <w:r w:rsidR="00A55598">
        <w:rPr>
          <w:rStyle w:val="Guidance"/>
        </w:rPr>
        <w:t xml:space="preserve">month and </w:t>
      </w:r>
      <w:r w:rsidR="00A55598" w:rsidRPr="00B017E9">
        <w:rPr>
          <w:rStyle w:val="Guidance"/>
        </w:rPr>
        <w:t>year]</w:t>
      </w:r>
      <w:r>
        <w:t xml:space="preserve">. John is responsible for coordinating the Department’s strategic policy advice to </w:t>
      </w:r>
      <w:r w:rsidR="003F4E6B">
        <w:t xml:space="preserve">the </w:t>
      </w:r>
      <w:r>
        <w:t xml:space="preserve">Government, including advice on the Department’s involvement in private sector ventures. </w:t>
      </w:r>
    </w:p>
    <w:p w14:paraId="7BD429BD" w14:textId="77777777" w:rsidR="00DC39DE" w:rsidRDefault="00DC39DE" w:rsidP="00A15CDF">
      <w:pPr>
        <w:pStyle w:val="Heading4"/>
      </w:pPr>
      <w:r>
        <w:lastRenderedPageBreak/>
        <w:t>Paul Germs</w:t>
      </w:r>
    </w:p>
    <w:p w14:paraId="15523638" w14:textId="6F33376F" w:rsidR="00DC39DE" w:rsidRDefault="00DC39DE" w:rsidP="00DC39DE">
      <w:r>
        <w:t xml:space="preserve">Paul heads the Research and Development Biological Technologies division, which coordinates the activities undertaken by several units of the Department in respect of research and development of new biological technology. Paul has extensive experience in pure and applied research and development programs, having previously held senior positions at various educational and research institutions. Paul was appointed in </w:t>
      </w:r>
      <w:r w:rsidR="00D87CC3" w:rsidRPr="00C619F8">
        <w:rPr>
          <w:rStyle w:val="Guidance"/>
        </w:rPr>
        <w:t>[</w:t>
      </w:r>
      <w:r w:rsidR="006F12B2">
        <w:rPr>
          <w:rStyle w:val="Guidance"/>
        </w:rPr>
        <w:t xml:space="preserve">month and </w:t>
      </w:r>
      <w:r w:rsidR="00D87CC3" w:rsidRPr="00C619F8">
        <w:rPr>
          <w:rStyle w:val="Guidance"/>
        </w:rPr>
        <w:t>year]</w:t>
      </w:r>
      <w:r>
        <w:t>.</w:t>
      </w:r>
    </w:p>
    <w:p w14:paraId="0DF6ADE1" w14:textId="77777777" w:rsidR="00DC39DE" w:rsidRDefault="00DC39DE" w:rsidP="00A15CDF">
      <w:pPr>
        <w:pStyle w:val="Heading4"/>
      </w:pPr>
      <w:r>
        <w:t>Gail Mods</w:t>
      </w:r>
    </w:p>
    <w:p w14:paraId="4B7958AB" w14:textId="29891FC1" w:rsidR="00DC39DE" w:rsidRDefault="00DC39DE" w:rsidP="00DC39DE">
      <w:r>
        <w:t xml:space="preserve">Gail heads the Information Technology and Telecommunication Services division of the Department, which supplies payroll, accounting and database management bureau services to other agencies and governments. Gail was appointed in </w:t>
      </w:r>
      <w:r w:rsidR="006F12B2" w:rsidRPr="00B017E9">
        <w:rPr>
          <w:rStyle w:val="Guidance"/>
        </w:rPr>
        <w:t>[</w:t>
      </w:r>
      <w:r w:rsidR="006F12B2">
        <w:rPr>
          <w:rStyle w:val="Guidance"/>
        </w:rPr>
        <w:t xml:space="preserve">month and </w:t>
      </w:r>
      <w:r w:rsidR="006F12B2" w:rsidRPr="00B017E9">
        <w:rPr>
          <w:rStyle w:val="Guidance"/>
        </w:rPr>
        <w:t>year]</w:t>
      </w:r>
      <w:r>
        <w:t xml:space="preserve">. </w:t>
      </w:r>
    </w:p>
    <w:p w14:paraId="094B805A" w14:textId="77777777" w:rsidR="00DC39DE" w:rsidRDefault="00DC39DE" w:rsidP="00A15CDF">
      <w:pPr>
        <w:pStyle w:val="Heading4"/>
      </w:pPr>
      <w:r>
        <w:t>Robert McIvor</w:t>
      </w:r>
    </w:p>
    <w:p w14:paraId="3087A336" w14:textId="21E9D234" w:rsidR="00DC39DE" w:rsidRDefault="00DC39DE" w:rsidP="00DC39DE">
      <w:r>
        <w:t xml:space="preserve">Robert is the Department’s Chief Finance Officer and was appointed in </w:t>
      </w:r>
      <w:r w:rsidR="006F12B2" w:rsidRPr="00B017E9">
        <w:rPr>
          <w:rStyle w:val="Guidance"/>
        </w:rPr>
        <w:t>[</w:t>
      </w:r>
      <w:r w:rsidR="006F12B2">
        <w:rPr>
          <w:rStyle w:val="Guidance"/>
        </w:rPr>
        <w:t xml:space="preserve">month and </w:t>
      </w:r>
      <w:r w:rsidR="006F12B2" w:rsidRPr="00B017E9">
        <w:rPr>
          <w:rStyle w:val="Guidance"/>
        </w:rPr>
        <w:t>year]</w:t>
      </w:r>
      <w:r>
        <w:t xml:space="preserve">. He is responsible for maintaining and developing the Department’s financial management systems and providing a full range of financial and accounting services. </w:t>
      </w:r>
    </w:p>
    <w:p w14:paraId="5E8D1007" w14:textId="2231D615" w:rsidR="00DC39DE" w:rsidRDefault="00A15CDF" w:rsidP="00A15CDF">
      <w:pPr>
        <w:pStyle w:val="Heading3"/>
      </w:pPr>
      <w:bookmarkStart w:id="120" w:name="INDEXOrgStructure"/>
      <w:bookmarkEnd w:id="120"/>
      <w:r w:rsidRPr="00A15CDF">
        <w:t>Organisational structure</w:t>
      </w:r>
      <w:r>
        <w:t xml:space="preserve"> </w:t>
      </w:r>
      <w:r w:rsidRPr="00A15CDF">
        <w:rPr>
          <w:rStyle w:val="Reference"/>
        </w:rPr>
        <w:t>[FRD 22]</w:t>
      </w:r>
    </w:p>
    <w:p w14:paraId="64ACCC56" w14:textId="57DC3D90" w:rsidR="00DC39DE" w:rsidRDefault="00A15CDF" w:rsidP="00DC39DE">
      <w:r w:rsidRPr="00940E38">
        <w:object w:dxaOrig="9874" w:dyaOrig="5037" w14:anchorId="30DE2D9B">
          <v:shape id="_x0000_i1026" type="#_x0000_t75" style="width:483.85pt;height:244.65pt" o:ole="">
            <v:imagedata r:id="rId43" o:title=""/>
          </v:shape>
          <o:OLEObject Type="Embed" ProgID="Visio.Drawing.11" ShapeID="_x0000_i1026" DrawAspect="Content" ObjectID="_1809783813" r:id="rId44"/>
        </w:object>
      </w:r>
    </w:p>
    <w:p w14:paraId="4364F153" w14:textId="77777777" w:rsidR="00A15CDF" w:rsidRDefault="00A15CDF">
      <w:pPr>
        <w:keepLines w:val="0"/>
        <w:rPr>
          <w:rFonts w:asciiTheme="majorHAnsi" w:eastAsiaTheme="majorEastAsia" w:hAnsiTheme="majorHAnsi" w:cstheme="majorBidi"/>
          <w:b/>
          <w:sz w:val="22"/>
          <w:szCs w:val="24"/>
        </w:rPr>
      </w:pPr>
      <w:r>
        <w:br w:type="page"/>
      </w:r>
    </w:p>
    <w:p w14:paraId="5427D961" w14:textId="589916DF" w:rsidR="00DC39DE" w:rsidRDefault="00DC39DE" w:rsidP="00A15CDF">
      <w:pPr>
        <w:pStyle w:val="Heading3"/>
      </w:pPr>
      <w:r>
        <w:lastRenderedPageBreak/>
        <w:t>Audit Committee membership and roles</w:t>
      </w:r>
      <w:r w:rsidR="00A811AE">
        <w:t xml:space="preserve"> </w:t>
      </w:r>
      <w:r w:rsidR="00A811AE" w:rsidRPr="00D023FB">
        <w:rPr>
          <w:color w:val="7030A0"/>
        </w:rPr>
        <w:t>[</w:t>
      </w:r>
      <w:r w:rsidR="00A811AE" w:rsidRPr="004E3458">
        <w:rPr>
          <w:rStyle w:val="Reference-Revised"/>
          <w:sz w:val="20"/>
          <w:szCs w:val="32"/>
        </w:rPr>
        <w:t>REVISED]</w:t>
      </w:r>
    </w:p>
    <w:p w14:paraId="733ABFA1" w14:textId="095D9AAA" w:rsidR="00A15CDF" w:rsidRDefault="00A15CDF" w:rsidP="00A15CDF">
      <w:r>
        <w:t xml:space="preserve">The Audit Committee consists of the following members: </w:t>
      </w:r>
      <w:r w:rsidRPr="00A15CDF">
        <w:rPr>
          <w:rStyle w:val="Reference"/>
        </w:rPr>
        <w:t>[SD 3.2.1.3(f)</w:t>
      </w:r>
      <w:r w:rsidR="00D12538">
        <w:rPr>
          <w:rStyle w:val="Reference"/>
        </w:rPr>
        <w:t>/</w:t>
      </w:r>
      <w:r w:rsidRPr="00A15CDF">
        <w:rPr>
          <w:rStyle w:val="Reference"/>
        </w:rPr>
        <w:t>FRD 22]</w:t>
      </w:r>
    </w:p>
    <w:p w14:paraId="2FD68198" w14:textId="184FF6AC" w:rsidR="00A15CDF" w:rsidRDefault="00A15CDF" w:rsidP="00367D84">
      <w:pPr>
        <w:pStyle w:val="ListBullet"/>
        <w:numPr>
          <w:ilvl w:val="0"/>
          <w:numId w:val="2"/>
        </w:numPr>
      </w:pPr>
      <w:r>
        <w:t>C A Maxwell, Chairman (independent member)</w:t>
      </w:r>
    </w:p>
    <w:p w14:paraId="533672AB" w14:textId="4EB6EA8B" w:rsidR="00A15CDF" w:rsidRDefault="00A15CDF" w:rsidP="00367D84">
      <w:pPr>
        <w:pStyle w:val="ListBullet"/>
        <w:numPr>
          <w:ilvl w:val="0"/>
          <w:numId w:val="2"/>
        </w:numPr>
      </w:pPr>
      <w:r>
        <w:t>A L Cunningham (independent member)</w:t>
      </w:r>
    </w:p>
    <w:p w14:paraId="6AD9EAC7" w14:textId="5A50A9F7" w:rsidR="00A15CDF" w:rsidRDefault="00A15CDF" w:rsidP="00367D84">
      <w:pPr>
        <w:pStyle w:val="ListBullet"/>
        <w:numPr>
          <w:ilvl w:val="0"/>
          <w:numId w:val="2"/>
        </w:numPr>
      </w:pPr>
      <w:r>
        <w:t>R J Hunter (independent member)</w:t>
      </w:r>
    </w:p>
    <w:p w14:paraId="4510BA45" w14:textId="63954FE8" w:rsidR="00A15CDF" w:rsidRDefault="00A15CDF" w:rsidP="00367D84">
      <w:pPr>
        <w:pStyle w:val="ListBullet"/>
        <w:numPr>
          <w:ilvl w:val="0"/>
          <w:numId w:val="2"/>
        </w:numPr>
      </w:pPr>
      <w:r>
        <w:t>B A Wilson</w:t>
      </w:r>
    </w:p>
    <w:p w14:paraId="2DC6CB26" w14:textId="77777777" w:rsidR="00A15CDF" w:rsidRDefault="00A15CDF" w:rsidP="00367D84">
      <w:pPr>
        <w:pStyle w:val="ListBullet"/>
        <w:numPr>
          <w:ilvl w:val="0"/>
          <w:numId w:val="2"/>
        </w:numPr>
      </w:pPr>
      <w:r>
        <w:t>J S Curtis.</w:t>
      </w:r>
    </w:p>
    <w:p w14:paraId="3E6C41BA" w14:textId="78CE5410" w:rsidR="00A15CDF" w:rsidRDefault="00A15CDF" w:rsidP="00A15CDF">
      <w:r>
        <w:t xml:space="preserve">The main responsibilities of the Audit Committee are to: </w:t>
      </w:r>
      <w:r w:rsidRPr="00A15CDF">
        <w:rPr>
          <w:rStyle w:val="Reference"/>
        </w:rPr>
        <w:t>[SD 3.2.1.1]</w:t>
      </w:r>
    </w:p>
    <w:p w14:paraId="5A225D00" w14:textId="54E892F7" w:rsidR="00A15CDF" w:rsidRPr="00205DD1" w:rsidRDefault="00A15CDF" w:rsidP="00367D84">
      <w:pPr>
        <w:pStyle w:val="ListBullet"/>
        <w:numPr>
          <w:ilvl w:val="0"/>
          <w:numId w:val="2"/>
        </w:numPr>
      </w:pPr>
      <w:r w:rsidRPr="00205DD1">
        <w:t xml:space="preserve">review and report independently to the </w:t>
      </w:r>
      <w:r w:rsidR="002B1991">
        <w:t xml:space="preserve">Responsible </w:t>
      </w:r>
      <w:r w:rsidR="00A811AE">
        <w:t>B</w:t>
      </w:r>
      <w:r w:rsidR="002B1991">
        <w:t>ody</w:t>
      </w:r>
      <w:r w:rsidRPr="00205DD1">
        <w:t xml:space="preserve"> on the annual report and all other financial information published by the Department</w:t>
      </w:r>
    </w:p>
    <w:p w14:paraId="280E01C4" w14:textId="54967B3B" w:rsidR="00A15CDF" w:rsidRPr="00205DD1" w:rsidRDefault="00A15CDF" w:rsidP="00367D84">
      <w:pPr>
        <w:pStyle w:val="ListBullet"/>
        <w:numPr>
          <w:ilvl w:val="0"/>
          <w:numId w:val="2"/>
        </w:numPr>
      </w:pPr>
      <w:r w:rsidRPr="00205DD1">
        <w:t xml:space="preserve">assist the </w:t>
      </w:r>
      <w:r w:rsidR="002B1991">
        <w:t xml:space="preserve">Responsible </w:t>
      </w:r>
      <w:r w:rsidR="00A811AE">
        <w:t>B</w:t>
      </w:r>
      <w:r w:rsidR="002B1991">
        <w:t>ody</w:t>
      </w:r>
      <w:r w:rsidRPr="00205DD1">
        <w:t xml:space="preserve"> in reviewing the effectiveness of the Department’s internal control environment covering</w:t>
      </w:r>
      <w:r w:rsidR="003F4E6B" w:rsidRPr="00205DD1">
        <w:t xml:space="preserve"> </w:t>
      </w:r>
      <w:r w:rsidRPr="00205DD1">
        <w:t>effectiveness and efficiency of operations</w:t>
      </w:r>
      <w:r w:rsidR="003F4E6B" w:rsidRPr="00205DD1">
        <w:t xml:space="preserve">, </w:t>
      </w:r>
      <w:r w:rsidRPr="00205DD1">
        <w:t>reliability of financial reporting</w:t>
      </w:r>
      <w:r w:rsidR="003F4E6B" w:rsidRPr="00205DD1">
        <w:t xml:space="preserve"> </w:t>
      </w:r>
      <w:r w:rsidRPr="00205DD1">
        <w:t>and</w:t>
      </w:r>
      <w:r w:rsidR="003F4E6B" w:rsidRPr="00205DD1">
        <w:t xml:space="preserve"> </w:t>
      </w:r>
      <w:r w:rsidRPr="00205DD1">
        <w:t xml:space="preserve">compliance with applicable laws and regulations </w:t>
      </w:r>
    </w:p>
    <w:p w14:paraId="3C6679DF" w14:textId="4AE589A4" w:rsidR="00A15CDF" w:rsidRPr="00205DD1" w:rsidRDefault="00A15CDF" w:rsidP="00367D84">
      <w:pPr>
        <w:pStyle w:val="ListBullet"/>
        <w:numPr>
          <w:ilvl w:val="0"/>
          <w:numId w:val="2"/>
        </w:numPr>
      </w:pPr>
      <w:r w:rsidRPr="00205DD1">
        <w:t xml:space="preserve">determine the scope of the internal audit function and ensure its resources are adequate and used effectively, including coordination with the external auditors </w:t>
      </w:r>
    </w:p>
    <w:p w14:paraId="425E264B" w14:textId="62DE3B8E" w:rsidR="00A15CDF" w:rsidRPr="00205DD1" w:rsidRDefault="00A15CDF" w:rsidP="00367D84">
      <w:pPr>
        <w:pStyle w:val="ListBullet"/>
        <w:numPr>
          <w:ilvl w:val="0"/>
          <w:numId w:val="2"/>
        </w:numPr>
      </w:pPr>
      <w:r w:rsidRPr="00205DD1">
        <w:t>maintain effective communication with external auditors</w:t>
      </w:r>
    </w:p>
    <w:p w14:paraId="30EFF39F" w14:textId="029FB4C5" w:rsidR="00A15CDF" w:rsidRPr="00205DD1" w:rsidRDefault="00A15CDF" w:rsidP="00367D84">
      <w:pPr>
        <w:pStyle w:val="ListBullet"/>
        <w:numPr>
          <w:ilvl w:val="0"/>
          <w:numId w:val="2"/>
        </w:numPr>
      </w:pPr>
      <w:r w:rsidRPr="00205DD1">
        <w:t>consider recommendations made by internal and external auditors and review the implementation of actions to resolve issues raised</w:t>
      </w:r>
    </w:p>
    <w:p w14:paraId="406D67E5" w14:textId="0061F594" w:rsidR="00A15CDF" w:rsidRPr="00205DD1" w:rsidRDefault="00A15CDF" w:rsidP="00367D84">
      <w:pPr>
        <w:pStyle w:val="ListBullet"/>
        <w:numPr>
          <w:ilvl w:val="0"/>
          <w:numId w:val="2"/>
        </w:numPr>
      </w:pPr>
      <w:r w:rsidRPr="00205DD1">
        <w:t>oversee the effective operation of the risk management framework.</w:t>
      </w:r>
    </w:p>
    <w:p w14:paraId="17CB4BC9" w14:textId="48A3B954" w:rsidR="00DC39DE" w:rsidRDefault="00DC39DE" w:rsidP="00A15CDF">
      <w:pPr>
        <w:pStyle w:val="Heading3"/>
      </w:pPr>
      <w:bookmarkStart w:id="121" w:name="INDEX_OHS_Policies"/>
      <w:bookmarkEnd w:id="121"/>
      <w:r>
        <w:t>Occupational health and safety</w:t>
      </w:r>
    </w:p>
    <w:p w14:paraId="14BEB7A8" w14:textId="185CBDA2" w:rsidR="00A15CDF" w:rsidRDefault="00A15CDF" w:rsidP="00A15CDF">
      <w:r>
        <w:t xml:space="preserve">The goal of the Department’s occupational health and safety (OH&amp;S) strategy is to ensure all staff remain safe and healthy at work. An OH&amp;S management system has been implemented across the </w:t>
      </w:r>
      <w:r w:rsidR="00C43D5A">
        <w:t xml:space="preserve">Department </w:t>
      </w:r>
      <w:r>
        <w:t xml:space="preserve">and the majority of business units within the Department have implemented OH&amp;S local action plans aimed at enhancing safety performance and ensuring safe systems of work. The employee attitude survey results (KPI 15) indicated improved attention to OH&amp;S matters in the Department and a high level of commitment to OH&amp;S management. </w:t>
      </w:r>
      <w:r w:rsidRPr="20EC4723">
        <w:rPr>
          <w:rStyle w:val="Reference"/>
        </w:rPr>
        <w:t xml:space="preserve">[FRD 22/Best practice disclosure based on Recommendation 70, PAEC </w:t>
      </w:r>
      <w:r w:rsidR="36FCEA49" w:rsidRPr="20EC4723">
        <w:rPr>
          <w:rStyle w:val="Reference"/>
        </w:rPr>
        <w:t>Report on the 2007-08 Financial and Performance Outcomes</w:t>
      </w:r>
      <w:r w:rsidRPr="20EC4723">
        <w:rPr>
          <w:rStyle w:val="Reference"/>
        </w:rPr>
        <w:t>]</w:t>
      </w:r>
    </w:p>
    <w:p w14:paraId="6D2726EC" w14:textId="3D0D263E" w:rsidR="00DC39DE" w:rsidRDefault="00DC39DE" w:rsidP="00DC39DE">
      <w:r>
        <w:t xml:space="preserve">During the </w:t>
      </w:r>
      <w:fldSimple w:instr="DOCPROPERTY  FinYearCurrent  \* MERGEFORMAT">
        <w:r w:rsidR="000E6299">
          <w:t>20X1</w:t>
        </w:r>
        <w:r w:rsidR="000E6299" w:rsidRPr="000E6299">
          <w:rPr>
            <w:rFonts w:ascii="Cambria Math" w:hAnsi="Cambria Math" w:cs="Cambria Math"/>
          </w:rPr>
          <w:t>‑</w:t>
        </w:r>
        <w:r w:rsidR="000E6299">
          <w:t>X2</w:t>
        </w:r>
      </w:fldSimple>
      <w:r>
        <w:t xml:space="preserve"> financial year, the Department implemented a number of initiatives to improve the health and safety of staff including publishing quarterly OH&amp;S bulletins, ergonomic assessments, quarterly workplace inspections to identify and address any workplace risks, the occupational risk reduction program, and the healthy lifestyle training program.</w:t>
      </w:r>
    </w:p>
    <w:p w14:paraId="120D21D3" w14:textId="77777777" w:rsidR="00DC39DE" w:rsidRPr="00A15CDF" w:rsidRDefault="00DC39DE" w:rsidP="00DC39DE">
      <w:pPr>
        <w:rPr>
          <w:rStyle w:val="Guidance"/>
        </w:rPr>
      </w:pPr>
      <w:r w:rsidRPr="00A15CDF">
        <w:rPr>
          <w:rStyle w:val="Guidance"/>
        </w:rPr>
        <w:t xml:space="preserve">[While the example best practice disclosure has been included in the body of the report, consideration might be given to structuring such disclosures as a short summary supported by a detailed appendix.] </w:t>
      </w:r>
    </w:p>
    <w:p w14:paraId="277B8202" w14:textId="77777777" w:rsidR="00E019F0" w:rsidRDefault="00E019F0">
      <w:pPr>
        <w:keepLines w:val="0"/>
        <w:rPr>
          <w:rFonts w:asciiTheme="majorHAnsi" w:eastAsiaTheme="majorEastAsia" w:hAnsiTheme="majorHAnsi" w:cstheme="majorBidi"/>
          <w:b/>
          <w:sz w:val="22"/>
          <w:szCs w:val="24"/>
        </w:rPr>
      </w:pPr>
      <w:r>
        <w:br w:type="page"/>
      </w:r>
    </w:p>
    <w:p w14:paraId="1CD75952" w14:textId="4C6A5CEB" w:rsidR="00DC39DE" w:rsidRDefault="00DC39DE" w:rsidP="00A15CDF">
      <w:pPr>
        <w:pStyle w:val="Heading3"/>
      </w:pPr>
      <w:r>
        <w:lastRenderedPageBreak/>
        <w:t>Incident management</w:t>
      </w:r>
    </w:p>
    <w:p w14:paraId="0C8A6513" w14:textId="5F7CADF6" w:rsidR="00DC39DE" w:rsidRDefault="00DC39DE" w:rsidP="00DC39DE">
      <w:r>
        <w:t xml:space="preserve">Incidents across the Department increased by 1.9 per cent per 100 FTE in </w:t>
      </w:r>
      <w:fldSimple w:instr="DOCPROPERTY  FinYearCurrent  \* MERGEFORMAT">
        <w:r w:rsidR="000E6299">
          <w:t>20X1</w:t>
        </w:r>
        <w:r w:rsidR="000E6299" w:rsidRPr="000E6299">
          <w:rPr>
            <w:rFonts w:ascii="Cambria Math" w:hAnsi="Cambria Math" w:cs="Cambria Math"/>
          </w:rPr>
          <w:t>‑</w:t>
        </w:r>
        <w:r w:rsidR="000E6299">
          <w:t>X2</w:t>
        </w:r>
      </w:fldSimple>
      <w:r>
        <w:t>. Incidents include injuries, ‘near</w:t>
      </w:r>
      <w:r w:rsidR="00203354">
        <w:noBreakHyphen/>
      </w:r>
      <w:r>
        <w:t xml:space="preserve">misses’ and detected workplace hazards. In real terms, the increase equates to 74 additional reported incidents compared with the previous year. While reported incidents were up, the number of incidents which resulted in injury </w:t>
      </w:r>
      <w:r w:rsidRPr="00A15CDF">
        <w:rPr>
          <w:rStyle w:val="Guidance"/>
        </w:rPr>
        <w:t>[fell/also rose]</w:t>
      </w:r>
      <w:r>
        <w:t>.</w:t>
      </w:r>
    </w:p>
    <w:p w14:paraId="34544BEA" w14:textId="77777777" w:rsidR="00DC39DE" w:rsidRDefault="00DC39DE" w:rsidP="00DC39DE">
      <w:r>
        <w:t>The increase was expected and is driven by the introduction of the Department’s online reporting system and an increased awareness of incident reporting among staff, which significantly increased reporting across the Department (refer to Figure 3).</w:t>
      </w:r>
    </w:p>
    <w:p w14:paraId="20F12AD3" w14:textId="3BA453FB" w:rsidR="00DC39DE" w:rsidRDefault="00DC39DE" w:rsidP="00DC39DE">
      <w:r>
        <w:t>There were 10 notifiable incidents that occurred across the Department. Notifiable incidents are those which require the OH</w:t>
      </w:r>
      <w:r w:rsidR="0014061F">
        <w:t>&amp;</w:t>
      </w:r>
      <w:r>
        <w:t xml:space="preserve">S Regulator to be notified if they occur. </w:t>
      </w:r>
    </w:p>
    <w:p w14:paraId="401C2D6F" w14:textId="33C4578A" w:rsidR="00A15CDF" w:rsidRDefault="00A15CDF" w:rsidP="00A15CDF">
      <w:pPr>
        <w:pStyle w:val="Caption"/>
      </w:pPr>
      <w:r w:rsidRPr="00A15CDF">
        <w:t xml:space="preserve">Figure 3: </w:t>
      </w:r>
      <w:r w:rsidRPr="00A15CDF">
        <w:tab/>
        <w:t>Number of incidents and rate per 100 FTE</w:t>
      </w:r>
    </w:p>
    <w:p w14:paraId="0E5F266C" w14:textId="0077086F" w:rsidR="00A15CDF" w:rsidRPr="00A15CDF" w:rsidRDefault="00841C13" w:rsidP="00291A3E">
      <w:r>
        <w:rPr>
          <w:noProof/>
        </w:rPr>
        <w:drawing>
          <wp:inline distT="0" distB="0" distL="0" distR="0" wp14:anchorId="1725A86A" wp14:editId="115E1312">
            <wp:extent cx="4056566" cy="2148280"/>
            <wp:effectExtent l="0" t="0" r="1270" b="4445"/>
            <wp:docPr id="463" name="Chart 463" descr="Number ('000)" title="Number ('000)">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9201AE7" w14:textId="1A59A7FF" w:rsidR="00A15CDF" w:rsidRPr="00A15CDF" w:rsidRDefault="00A15CDF" w:rsidP="00A15CDF">
      <w:pPr>
        <w:rPr>
          <w:rStyle w:val="Reference"/>
        </w:rPr>
      </w:pPr>
      <w:r w:rsidRPr="00A15CDF">
        <w:rPr>
          <w:rStyle w:val="Reference"/>
        </w:rPr>
        <w:t>[FRD 22/Best practice disclosure based on Recommendation 70, PAEC Report 87]</w:t>
      </w:r>
    </w:p>
    <w:p w14:paraId="5F0499D2" w14:textId="10A485E0" w:rsidR="00DC39DE" w:rsidRDefault="00DC39DE" w:rsidP="00DC39DE">
      <w:r>
        <w:t xml:space="preserve">While the number of standard claims rose marginally in </w:t>
      </w:r>
      <w:fldSimple w:instr="DOCPROPERTY  FinYearCurrent  \* MERGEFORMAT">
        <w:r w:rsidR="000E6299">
          <w:t>20X1</w:t>
        </w:r>
        <w:r w:rsidR="000E6299" w:rsidRPr="000E6299">
          <w:rPr>
            <w:rFonts w:ascii="Cambria Math" w:hAnsi="Cambria Math" w:cs="Cambria Math"/>
          </w:rPr>
          <w:t>‑</w:t>
        </w:r>
        <w:r w:rsidR="000E6299">
          <w:t>X2</w:t>
        </w:r>
      </w:fldSimple>
      <w:r>
        <w:t>, mainly due to predicted increases in muscular skeletal disorder and stress claims, the rate per 100 staff remained steady (Figure 4). To address the increase in the number of standard claims, the Department conducted a review of muscular skeletal disorder activities and introduced a number of proactive programs that focus on reducing sprains and strains, stress reductions, and good claims management practices in high-risk areas.</w:t>
      </w:r>
    </w:p>
    <w:p w14:paraId="4E8DFDD5" w14:textId="77777777" w:rsidR="00DC39DE" w:rsidRDefault="00DC39DE" w:rsidP="00A15CDF">
      <w:pPr>
        <w:pStyle w:val="Caption"/>
      </w:pPr>
      <w:r>
        <w:t xml:space="preserve">Figure 4: </w:t>
      </w:r>
      <w:r>
        <w:tab/>
        <w:t>Number of standard claims and rate per 100 FTE</w:t>
      </w:r>
    </w:p>
    <w:p w14:paraId="384FA77A" w14:textId="05FF90F3" w:rsidR="00DC39DE" w:rsidRDefault="00841C13" w:rsidP="00291A3E">
      <w:r>
        <w:rPr>
          <w:noProof/>
        </w:rPr>
        <w:drawing>
          <wp:inline distT="0" distB="0" distL="0" distR="0" wp14:anchorId="19677491" wp14:editId="76EA30C6">
            <wp:extent cx="4014545" cy="2140436"/>
            <wp:effectExtent l="0" t="0" r="5080" b="0"/>
            <wp:docPr id="464" name="Chart 464" descr="Number ('000)" title="Number ('000)">
              <a:extLst xmlns:a="http://schemas.openxmlformats.org/drawingml/2006/main">
                <a:ext uri="{FF2B5EF4-FFF2-40B4-BE49-F238E27FC236}">
                  <a16:creationId xmlns:a16="http://schemas.microsoft.com/office/drawing/2014/main" id="{00000000-0008-0000-02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2D8B7A7" w14:textId="1BF37802" w:rsidR="00DC39DE" w:rsidRDefault="00DC39DE" w:rsidP="00DC39DE">
      <w:r>
        <w:t xml:space="preserve">The total number of WorkCover claims lodged decreased in </w:t>
      </w:r>
      <w:fldSimple w:instr="DOCPROPERTY  FinYearCurrent  \* MERGEFORMAT">
        <w:r w:rsidR="000E6299">
          <w:t>20X1</w:t>
        </w:r>
        <w:r w:rsidR="000E6299" w:rsidRPr="000E6299">
          <w:rPr>
            <w:rFonts w:ascii="Cambria Math" w:hAnsi="Cambria Math" w:cs="Cambria Math"/>
          </w:rPr>
          <w:t>‑</w:t>
        </w:r>
        <w:r w:rsidR="000E6299">
          <w:t>X2</w:t>
        </w:r>
      </w:fldSimple>
      <w:r w:rsidR="00A15CDF">
        <w:t xml:space="preserve"> </w:t>
      </w:r>
      <w:r>
        <w:t xml:space="preserve">(Figures 5 and 6). In addition, the claims rate continued to decrease due to the growth in staff numbers </w:t>
      </w:r>
      <w:r w:rsidR="00E07B1A">
        <w:t xml:space="preserve">over the </w:t>
      </w:r>
      <w:r w:rsidR="008318C7">
        <w:t>p</w:t>
      </w:r>
      <w:r w:rsidR="00E07B1A">
        <w:t>ast three years</w:t>
      </w:r>
      <w:r>
        <w:t xml:space="preserve"> (due to the opening of two new research laboratories), effective early intervention strategies and improved claims performance management. The average cost per claim decreased from $36 070 to $33 131.</w:t>
      </w:r>
    </w:p>
    <w:p w14:paraId="64A038CB" w14:textId="141563A0" w:rsidR="00A15CDF" w:rsidRDefault="00A15CDF" w:rsidP="00A15CDF">
      <w:pPr>
        <w:pStyle w:val="Caption"/>
      </w:pPr>
      <w:r w:rsidRPr="00A15CDF">
        <w:lastRenderedPageBreak/>
        <w:t xml:space="preserve">Figure 5: </w:t>
      </w:r>
      <w:r w:rsidRPr="00A15CDF">
        <w:tab/>
        <w:t>Lost time claims and rate per 100 FTE</w:t>
      </w:r>
    </w:p>
    <w:p w14:paraId="139BB9BC" w14:textId="664FA863" w:rsidR="00A15CDF" w:rsidRDefault="00DE7F0F" w:rsidP="00291A3E">
      <w:r>
        <w:rPr>
          <w:noProof/>
        </w:rPr>
        <w:drawing>
          <wp:inline distT="0" distB="0" distL="0" distR="0" wp14:anchorId="6CDAE06A" wp14:editId="11DA187D">
            <wp:extent cx="4056566" cy="2148279"/>
            <wp:effectExtent l="0" t="0" r="1270" b="4445"/>
            <wp:docPr id="460" name="Chart 460" descr="Number ('000)" title="Number ('000)">
              <a:extLst xmlns:a="http://schemas.openxmlformats.org/drawingml/2006/main">
                <a:ext uri="{FF2B5EF4-FFF2-40B4-BE49-F238E27FC236}">
                  <a16:creationId xmlns:a16="http://schemas.microsoft.com/office/drawing/2014/main" id="{00000000-0008-0000-02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14873ED" w14:textId="71573806" w:rsidR="00A15CDF" w:rsidRPr="00A15CDF" w:rsidRDefault="00A15CDF" w:rsidP="00A15CDF">
      <w:pPr>
        <w:rPr>
          <w:rStyle w:val="Reference"/>
        </w:rPr>
      </w:pPr>
      <w:r w:rsidRPr="20EC4723">
        <w:rPr>
          <w:rStyle w:val="Reference"/>
        </w:rPr>
        <w:t>[FRD 22</w:t>
      </w:r>
      <w:r w:rsidR="00D12538">
        <w:rPr>
          <w:rStyle w:val="Reference"/>
        </w:rPr>
        <w:t>/</w:t>
      </w:r>
      <w:r w:rsidRPr="20EC4723">
        <w:rPr>
          <w:rStyle w:val="Reference"/>
        </w:rPr>
        <w:t>Best practice disclosure based on Recommendation 70, PAEC</w:t>
      </w:r>
      <w:r w:rsidR="514F04C9" w:rsidRPr="20EC4723">
        <w:rPr>
          <w:rStyle w:val="Reference"/>
        </w:rPr>
        <w:t xml:space="preserve"> Report on the 2007-08 Financial and Performance Outcomes</w:t>
      </w:r>
      <w:r w:rsidRPr="20EC4723">
        <w:rPr>
          <w:rStyle w:val="Reference"/>
        </w:rPr>
        <w:t>]</w:t>
      </w:r>
    </w:p>
    <w:p w14:paraId="2F0A74AF" w14:textId="77777777" w:rsidR="00DC39DE" w:rsidRDefault="00DC39DE" w:rsidP="00A15CDF">
      <w:pPr>
        <w:pStyle w:val="Caption"/>
      </w:pPr>
      <w:r>
        <w:t xml:space="preserve">Figure 6: </w:t>
      </w:r>
      <w:r>
        <w:tab/>
        <w:t>Claims exceeding 13 weeks and rate per 100 FTE</w:t>
      </w:r>
    </w:p>
    <w:p w14:paraId="3F2B3072" w14:textId="0BE6CA17" w:rsidR="00DC39DE" w:rsidRDefault="00E31235" w:rsidP="00291A3E">
      <w:r>
        <w:rPr>
          <w:noProof/>
        </w:rPr>
        <w:drawing>
          <wp:inline distT="0" distB="0" distL="0" distR="0" wp14:anchorId="0C4FDF74" wp14:editId="0A0235E4">
            <wp:extent cx="3989892" cy="2148279"/>
            <wp:effectExtent l="0" t="0" r="0" b="4445"/>
            <wp:docPr id="461" name="Chart 461" descr="Number ('000)" title="Number ('000)">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F99E2E4" w14:textId="2D8E49F4" w:rsidR="00A15CDF" w:rsidRDefault="00A15CDF" w:rsidP="00A15CDF">
      <w:r>
        <w:t xml:space="preserve">The Department’s WorkCover premium rate continued to decrease in </w:t>
      </w:r>
      <w:fldSimple w:instr="DOCPROPERTY  FinYearCurrent  \* MERGEFORMAT">
        <w:r w:rsidR="000E6299">
          <w:t>20X1</w:t>
        </w:r>
        <w:r w:rsidR="000E6299" w:rsidRPr="20EC4723">
          <w:rPr>
            <w:rFonts w:ascii="Cambria Math" w:hAnsi="Cambria Math" w:cs="Cambria Math"/>
          </w:rPr>
          <w:t>‑</w:t>
        </w:r>
        <w:r w:rsidR="000E6299">
          <w:t>X2</w:t>
        </w:r>
      </w:fldSimple>
      <w:r>
        <w:t xml:space="preserve"> (Figure 7). This is due to the continuing consultative approach adopted by the OH&amp;S unit. As a proportion of total staff and of increasing remuneration, the claim ratio is decreasing. </w:t>
      </w:r>
      <w:r w:rsidRPr="20EC4723">
        <w:rPr>
          <w:rStyle w:val="Reference"/>
        </w:rPr>
        <w:t>[FRD 22</w:t>
      </w:r>
      <w:r w:rsidR="00D12538">
        <w:rPr>
          <w:rStyle w:val="Reference"/>
        </w:rPr>
        <w:t>/</w:t>
      </w:r>
      <w:r w:rsidRPr="20EC4723">
        <w:rPr>
          <w:rStyle w:val="Reference"/>
        </w:rPr>
        <w:t xml:space="preserve">Best practice disclosure based on Recommendation 70, PAEC </w:t>
      </w:r>
      <w:r w:rsidR="2A7E8917" w:rsidRPr="20EC4723">
        <w:rPr>
          <w:rStyle w:val="Reference"/>
        </w:rPr>
        <w:t>Report on the 2007-08 Financial and Performance Outcomes</w:t>
      </w:r>
      <w:r w:rsidRPr="20EC4723">
        <w:rPr>
          <w:rStyle w:val="Reference"/>
        </w:rPr>
        <w:t>]</w:t>
      </w:r>
    </w:p>
    <w:p w14:paraId="76EE5B34" w14:textId="467280F0" w:rsidR="00DC39DE" w:rsidRDefault="00DC39DE" w:rsidP="00A15CDF">
      <w:pPr>
        <w:pStyle w:val="Caption"/>
      </w:pPr>
      <w:r>
        <w:t xml:space="preserve">Figure 7: </w:t>
      </w:r>
      <w:r>
        <w:tab/>
        <w:t>Department of Technology premium rate</w:t>
      </w:r>
    </w:p>
    <w:p w14:paraId="312DD945" w14:textId="31C946B0" w:rsidR="00DC39DE" w:rsidRDefault="0032033A" w:rsidP="00291A3E">
      <w:r>
        <w:rPr>
          <w:noProof/>
        </w:rPr>
        <w:drawing>
          <wp:inline distT="0" distB="0" distL="0" distR="0" wp14:anchorId="75910555" wp14:editId="44C6644A">
            <wp:extent cx="4074452" cy="2136383"/>
            <wp:effectExtent l="0" t="0" r="2540" b="0"/>
            <wp:docPr id="462" name="Chart 462" descr="Number ('000)" title="Number ('000)">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BF5CBD6" w14:textId="21FB4A0E" w:rsidR="00DC39DE" w:rsidRDefault="00DC39DE" w:rsidP="00DC39DE"/>
    <w:p w14:paraId="31D78035" w14:textId="77777777" w:rsidR="00E019F0" w:rsidRDefault="00E019F0">
      <w:pPr>
        <w:keepLines w:val="0"/>
        <w:rPr>
          <w:b/>
          <w:iCs/>
          <w:color w:val="404040" w:themeColor="text1" w:themeTint="BF"/>
        </w:rPr>
      </w:pPr>
      <w:r>
        <w:br w:type="page"/>
      </w:r>
    </w:p>
    <w:p w14:paraId="7F99C33B" w14:textId="569F2190" w:rsidR="00DC39DE" w:rsidRDefault="00DC39DE" w:rsidP="000E677F">
      <w:pPr>
        <w:pStyle w:val="Caption"/>
      </w:pPr>
      <w:r>
        <w:lastRenderedPageBreak/>
        <w:t>The Department’s performance against OH&amp;S management measures</w:t>
      </w:r>
    </w:p>
    <w:tbl>
      <w:tblPr>
        <w:tblStyle w:val="DTFFinancialTable"/>
        <w:tblW w:w="9639" w:type="dxa"/>
        <w:tblLayout w:type="fixed"/>
        <w:tblLook w:val="06A0" w:firstRow="1" w:lastRow="0" w:firstColumn="1" w:lastColumn="0" w:noHBand="1" w:noVBand="1"/>
      </w:tblPr>
      <w:tblGrid>
        <w:gridCol w:w="1334"/>
        <w:gridCol w:w="5329"/>
        <w:gridCol w:w="992"/>
        <w:gridCol w:w="992"/>
        <w:gridCol w:w="992"/>
      </w:tblGrid>
      <w:tr w:rsidR="003F775E" w:rsidRPr="00DD760B" w14:paraId="748B4699" w14:textId="77777777" w:rsidTr="00D1253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34" w:type="dxa"/>
            <w:vAlign w:val="top"/>
          </w:tcPr>
          <w:p w14:paraId="47992571" w14:textId="77777777" w:rsidR="003F775E" w:rsidRPr="00DD760B" w:rsidRDefault="003F775E" w:rsidP="00D12538">
            <w:pPr>
              <w:rPr>
                <w:sz w:val="16"/>
                <w:szCs w:val="16"/>
              </w:rPr>
            </w:pPr>
            <w:r w:rsidRPr="00DD760B">
              <w:rPr>
                <w:sz w:val="16"/>
                <w:szCs w:val="16"/>
              </w:rPr>
              <w:t>Measure</w:t>
            </w:r>
          </w:p>
        </w:tc>
        <w:tc>
          <w:tcPr>
            <w:tcW w:w="5329" w:type="dxa"/>
          </w:tcPr>
          <w:p w14:paraId="593E4AE6" w14:textId="77777777" w:rsidR="003F775E" w:rsidRPr="00DD760B" w:rsidRDefault="003F775E" w:rsidP="007205E6">
            <w:pPr>
              <w:jc w:val="left"/>
              <w:cnfStyle w:val="100000000000" w:firstRow="1" w:lastRow="0" w:firstColumn="0" w:lastColumn="0" w:oddVBand="0" w:evenVBand="0" w:oddHBand="0" w:evenHBand="0" w:firstRowFirstColumn="0" w:firstRowLastColumn="0" w:lastRowFirstColumn="0" w:lastRowLastColumn="0"/>
              <w:rPr>
                <w:sz w:val="16"/>
                <w:szCs w:val="16"/>
              </w:rPr>
            </w:pPr>
            <w:r w:rsidRPr="00DD760B">
              <w:rPr>
                <w:sz w:val="16"/>
                <w:szCs w:val="16"/>
              </w:rPr>
              <w:t>KPI</w:t>
            </w:r>
          </w:p>
        </w:tc>
        <w:tc>
          <w:tcPr>
            <w:tcW w:w="992" w:type="dxa"/>
          </w:tcPr>
          <w:p w14:paraId="45CC3425" w14:textId="11A99D11" w:rsidR="003F775E" w:rsidRPr="00DD760B" w:rsidRDefault="00250029" w:rsidP="007205E6">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Year 1</w:t>
            </w:r>
          </w:p>
        </w:tc>
        <w:tc>
          <w:tcPr>
            <w:tcW w:w="992" w:type="dxa"/>
          </w:tcPr>
          <w:p w14:paraId="45F93A12" w14:textId="32FB4176" w:rsidR="003F775E" w:rsidRPr="00DD760B" w:rsidRDefault="00250029" w:rsidP="007205E6">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Year 2</w:t>
            </w:r>
          </w:p>
        </w:tc>
        <w:tc>
          <w:tcPr>
            <w:tcW w:w="992" w:type="dxa"/>
          </w:tcPr>
          <w:p w14:paraId="05359B16" w14:textId="6C0B0CC1" w:rsidR="003F775E" w:rsidRPr="00DD760B" w:rsidRDefault="00250029" w:rsidP="007205E6">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Year 3</w:t>
            </w:r>
            <w:r w:rsidR="00804533" w:rsidRPr="00A2489A">
              <w:rPr>
                <w:sz w:val="16"/>
                <w:szCs w:val="16"/>
                <w:vertAlign w:val="superscript"/>
              </w:rPr>
              <w:t xml:space="preserve"> (a)</w:t>
            </w:r>
          </w:p>
        </w:tc>
      </w:tr>
      <w:tr w:rsidR="003F775E" w:rsidRPr="00DD760B" w14:paraId="2CA5391E"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1E2050D9" w14:textId="77777777" w:rsidR="003F775E" w:rsidRPr="00DD760B" w:rsidRDefault="003F775E" w:rsidP="00D12538">
            <w:pPr>
              <w:rPr>
                <w:sz w:val="16"/>
                <w:szCs w:val="16"/>
              </w:rPr>
            </w:pPr>
            <w:r w:rsidRPr="00DD760B">
              <w:rPr>
                <w:sz w:val="16"/>
                <w:szCs w:val="16"/>
              </w:rPr>
              <w:t>Incidents</w:t>
            </w:r>
          </w:p>
        </w:tc>
        <w:tc>
          <w:tcPr>
            <w:tcW w:w="5329" w:type="dxa"/>
          </w:tcPr>
          <w:p w14:paraId="58CA52A6"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No. of incidents</w:t>
            </w:r>
          </w:p>
        </w:tc>
        <w:tc>
          <w:tcPr>
            <w:tcW w:w="992" w:type="dxa"/>
          </w:tcPr>
          <w:p w14:paraId="64D17E86"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600</w:t>
            </w:r>
          </w:p>
        </w:tc>
        <w:tc>
          <w:tcPr>
            <w:tcW w:w="992" w:type="dxa"/>
          </w:tcPr>
          <w:p w14:paraId="53EFBAD0"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526</w:t>
            </w:r>
          </w:p>
        </w:tc>
        <w:tc>
          <w:tcPr>
            <w:tcW w:w="992" w:type="dxa"/>
          </w:tcPr>
          <w:p w14:paraId="2EDE9920"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730</w:t>
            </w:r>
          </w:p>
        </w:tc>
      </w:tr>
      <w:tr w:rsidR="003F775E" w:rsidRPr="00DD760B" w14:paraId="53D3EB16"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598CFB3B" w14:textId="77777777" w:rsidR="003F775E" w:rsidRPr="00DD760B" w:rsidRDefault="003F775E" w:rsidP="00D12538">
            <w:pPr>
              <w:rPr>
                <w:sz w:val="16"/>
                <w:szCs w:val="16"/>
              </w:rPr>
            </w:pPr>
          </w:p>
        </w:tc>
        <w:tc>
          <w:tcPr>
            <w:tcW w:w="5329" w:type="dxa"/>
          </w:tcPr>
          <w:p w14:paraId="108EDD47"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Rate per 100 FTE</w:t>
            </w:r>
          </w:p>
        </w:tc>
        <w:tc>
          <w:tcPr>
            <w:tcW w:w="992" w:type="dxa"/>
          </w:tcPr>
          <w:p w14:paraId="53CBB446"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9.4</w:t>
            </w:r>
          </w:p>
        </w:tc>
        <w:tc>
          <w:tcPr>
            <w:tcW w:w="992" w:type="dxa"/>
          </w:tcPr>
          <w:p w14:paraId="48CFC63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7.7</w:t>
            </w:r>
          </w:p>
        </w:tc>
        <w:tc>
          <w:tcPr>
            <w:tcW w:w="992" w:type="dxa"/>
          </w:tcPr>
          <w:p w14:paraId="65F3C4D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9.6</w:t>
            </w:r>
          </w:p>
        </w:tc>
      </w:tr>
      <w:tr w:rsidR="003F775E" w:rsidRPr="00DD760B" w14:paraId="59ACB12C" w14:textId="77777777" w:rsidTr="00D12538">
        <w:trPr>
          <w:trHeight w:val="286"/>
        </w:trPr>
        <w:tc>
          <w:tcPr>
            <w:cnfStyle w:val="001000000000" w:firstRow="0" w:lastRow="0" w:firstColumn="1" w:lastColumn="0" w:oddVBand="0" w:evenVBand="0" w:oddHBand="0" w:evenHBand="0" w:firstRowFirstColumn="0" w:firstRowLastColumn="0" w:lastRowFirstColumn="0" w:lastRowLastColumn="0"/>
            <w:tcW w:w="1334" w:type="dxa"/>
          </w:tcPr>
          <w:p w14:paraId="03EE898E" w14:textId="77777777" w:rsidR="003F775E" w:rsidRPr="00DD760B" w:rsidRDefault="003F775E" w:rsidP="00D12538">
            <w:pPr>
              <w:rPr>
                <w:sz w:val="16"/>
                <w:szCs w:val="16"/>
              </w:rPr>
            </w:pPr>
          </w:p>
        </w:tc>
        <w:tc>
          <w:tcPr>
            <w:tcW w:w="5329" w:type="dxa"/>
          </w:tcPr>
          <w:p w14:paraId="711FC8E7"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No. of incidents requiring first aid and/or further medical treatment</w:t>
            </w:r>
          </w:p>
        </w:tc>
        <w:tc>
          <w:tcPr>
            <w:tcW w:w="992" w:type="dxa"/>
          </w:tcPr>
          <w:p w14:paraId="6B6B2839"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w:t>
            </w:r>
          </w:p>
        </w:tc>
        <w:tc>
          <w:tcPr>
            <w:tcW w:w="992" w:type="dxa"/>
          </w:tcPr>
          <w:p w14:paraId="08F2F88A"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9</w:t>
            </w:r>
          </w:p>
        </w:tc>
        <w:tc>
          <w:tcPr>
            <w:tcW w:w="992" w:type="dxa"/>
          </w:tcPr>
          <w:p w14:paraId="6C3573E9"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11</w:t>
            </w:r>
          </w:p>
        </w:tc>
      </w:tr>
      <w:tr w:rsidR="003F775E" w:rsidRPr="00DD760B" w14:paraId="4CFF91DD" w14:textId="77777777" w:rsidTr="00D12538">
        <w:trPr>
          <w:trHeight w:val="256"/>
        </w:trPr>
        <w:tc>
          <w:tcPr>
            <w:cnfStyle w:val="001000000000" w:firstRow="0" w:lastRow="0" w:firstColumn="1" w:lastColumn="0" w:oddVBand="0" w:evenVBand="0" w:oddHBand="0" w:evenHBand="0" w:firstRowFirstColumn="0" w:firstRowLastColumn="0" w:lastRowFirstColumn="0" w:lastRowLastColumn="0"/>
            <w:tcW w:w="1334" w:type="dxa"/>
          </w:tcPr>
          <w:p w14:paraId="5115C4D1" w14:textId="77777777" w:rsidR="003F775E" w:rsidRPr="00DD760B" w:rsidRDefault="003F775E" w:rsidP="00D12538">
            <w:pPr>
              <w:rPr>
                <w:sz w:val="16"/>
                <w:szCs w:val="16"/>
              </w:rPr>
            </w:pPr>
            <w:r w:rsidRPr="00DD760B">
              <w:rPr>
                <w:sz w:val="16"/>
                <w:szCs w:val="16"/>
              </w:rPr>
              <w:t>Claims</w:t>
            </w:r>
          </w:p>
        </w:tc>
        <w:tc>
          <w:tcPr>
            <w:tcW w:w="5329" w:type="dxa"/>
          </w:tcPr>
          <w:p w14:paraId="4B2C6BFA" w14:textId="7EF52D7D"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 xml:space="preserve">No. of standard claims </w:t>
            </w:r>
            <w:r w:rsidRPr="00DD760B">
              <w:rPr>
                <w:sz w:val="16"/>
                <w:szCs w:val="16"/>
                <w:vertAlign w:val="superscript"/>
              </w:rPr>
              <w:t>(</w:t>
            </w:r>
            <w:r w:rsidR="00804533">
              <w:rPr>
                <w:sz w:val="16"/>
                <w:szCs w:val="16"/>
                <w:vertAlign w:val="superscript"/>
              </w:rPr>
              <w:t>b</w:t>
            </w:r>
            <w:r w:rsidRPr="00DD760B">
              <w:rPr>
                <w:sz w:val="16"/>
                <w:szCs w:val="16"/>
                <w:vertAlign w:val="superscript"/>
              </w:rPr>
              <w:t>)</w:t>
            </w:r>
          </w:p>
        </w:tc>
        <w:tc>
          <w:tcPr>
            <w:tcW w:w="992" w:type="dxa"/>
          </w:tcPr>
          <w:p w14:paraId="02373ECD"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110</w:t>
            </w:r>
          </w:p>
        </w:tc>
        <w:tc>
          <w:tcPr>
            <w:tcW w:w="992" w:type="dxa"/>
          </w:tcPr>
          <w:p w14:paraId="1C70DDF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134</w:t>
            </w:r>
          </w:p>
        </w:tc>
        <w:tc>
          <w:tcPr>
            <w:tcW w:w="992" w:type="dxa"/>
          </w:tcPr>
          <w:p w14:paraId="30FF4B7C"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143</w:t>
            </w:r>
          </w:p>
        </w:tc>
      </w:tr>
      <w:tr w:rsidR="003F775E" w:rsidRPr="00DD760B" w14:paraId="58B1B9A5"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038B9F82" w14:textId="77777777" w:rsidR="003F775E" w:rsidRPr="00DD760B" w:rsidRDefault="003F775E" w:rsidP="00D12538">
            <w:pPr>
              <w:rPr>
                <w:sz w:val="16"/>
                <w:szCs w:val="16"/>
              </w:rPr>
            </w:pPr>
          </w:p>
        </w:tc>
        <w:tc>
          <w:tcPr>
            <w:tcW w:w="5329" w:type="dxa"/>
          </w:tcPr>
          <w:p w14:paraId="1E72F800"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Rate per 100 FTE</w:t>
            </w:r>
          </w:p>
        </w:tc>
        <w:tc>
          <w:tcPr>
            <w:tcW w:w="992" w:type="dxa"/>
          </w:tcPr>
          <w:p w14:paraId="3BA0CD33"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41</w:t>
            </w:r>
          </w:p>
        </w:tc>
        <w:tc>
          <w:tcPr>
            <w:tcW w:w="992" w:type="dxa"/>
          </w:tcPr>
          <w:p w14:paraId="22ECF60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1.8</w:t>
            </w:r>
          </w:p>
        </w:tc>
        <w:tc>
          <w:tcPr>
            <w:tcW w:w="992" w:type="dxa"/>
          </w:tcPr>
          <w:p w14:paraId="77A6E52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2.1</w:t>
            </w:r>
          </w:p>
        </w:tc>
      </w:tr>
      <w:tr w:rsidR="003F775E" w:rsidRPr="00DD760B" w14:paraId="379C2AFA"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352BDCDD" w14:textId="77777777" w:rsidR="003F775E" w:rsidRPr="00DD760B" w:rsidRDefault="003F775E" w:rsidP="00D12538">
            <w:pPr>
              <w:rPr>
                <w:sz w:val="16"/>
                <w:szCs w:val="16"/>
              </w:rPr>
            </w:pPr>
          </w:p>
        </w:tc>
        <w:tc>
          <w:tcPr>
            <w:tcW w:w="5329" w:type="dxa"/>
          </w:tcPr>
          <w:p w14:paraId="6EC4CFAB" w14:textId="1EDF0B79"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 xml:space="preserve">No. of lost time claims </w:t>
            </w:r>
            <w:r w:rsidRPr="00DD760B">
              <w:rPr>
                <w:sz w:val="16"/>
                <w:szCs w:val="16"/>
                <w:vertAlign w:val="superscript"/>
              </w:rPr>
              <w:t>(</w:t>
            </w:r>
            <w:r w:rsidR="00804533">
              <w:rPr>
                <w:sz w:val="16"/>
                <w:szCs w:val="16"/>
                <w:vertAlign w:val="superscript"/>
              </w:rPr>
              <w:t>b</w:t>
            </w:r>
            <w:r w:rsidRPr="00DD760B">
              <w:rPr>
                <w:sz w:val="16"/>
                <w:szCs w:val="16"/>
                <w:vertAlign w:val="superscript"/>
              </w:rPr>
              <w:t>)</w:t>
            </w:r>
          </w:p>
        </w:tc>
        <w:tc>
          <w:tcPr>
            <w:tcW w:w="992" w:type="dxa"/>
          </w:tcPr>
          <w:p w14:paraId="0F5FB49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0.7</w:t>
            </w:r>
          </w:p>
        </w:tc>
        <w:tc>
          <w:tcPr>
            <w:tcW w:w="992" w:type="dxa"/>
          </w:tcPr>
          <w:p w14:paraId="65A05DEC"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55</w:t>
            </w:r>
          </w:p>
        </w:tc>
        <w:tc>
          <w:tcPr>
            <w:tcW w:w="992" w:type="dxa"/>
          </w:tcPr>
          <w:p w14:paraId="544008BD"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43</w:t>
            </w:r>
          </w:p>
        </w:tc>
      </w:tr>
      <w:tr w:rsidR="003F775E" w:rsidRPr="00DD760B" w14:paraId="50D68749"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7D299D5F" w14:textId="77777777" w:rsidR="003F775E" w:rsidRPr="00DD760B" w:rsidRDefault="003F775E" w:rsidP="00D12538">
            <w:pPr>
              <w:rPr>
                <w:sz w:val="16"/>
                <w:szCs w:val="16"/>
              </w:rPr>
            </w:pPr>
          </w:p>
        </w:tc>
        <w:tc>
          <w:tcPr>
            <w:tcW w:w="5329" w:type="dxa"/>
          </w:tcPr>
          <w:p w14:paraId="40873C93"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Rate per 100 FTE</w:t>
            </w:r>
          </w:p>
        </w:tc>
        <w:tc>
          <w:tcPr>
            <w:tcW w:w="992" w:type="dxa"/>
          </w:tcPr>
          <w:p w14:paraId="1F2B9F0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21</w:t>
            </w:r>
          </w:p>
        </w:tc>
        <w:tc>
          <w:tcPr>
            <w:tcW w:w="992" w:type="dxa"/>
          </w:tcPr>
          <w:p w14:paraId="677FCDC4"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0.7</w:t>
            </w:r>
          </w:p>
        </w:tc>
        <w:tc>
          <w:tcPr>
            <w:tcW w:w="992" w:type="dxa"/>
          </w:tcPr>
          <w:p w14:paraId="2D05C154"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0.6</w:t>
            </w:r>
          </w:p>
        </w:tc>
      </w:tr>
      <w:tr w:rsidR="003F775E" w:rsidRPr="00DD760B" w14:paraId="6656F99F"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5110D835" w14:textId="77777777" w:rsidR="003F775E" w:rsidRPr="00DD760B" w:rsidRDefault="003F775E" w:rsidP="00D12538">
            <w:pPr>
              <w:rPr>
                <w:sz w:val="16"/>
                <w:szCs w:val="16"/>
              </w:rPr>
            </w:pPr>
          </w:p>
        </w:tc>
        <w:tc>
          <w:tcPr>
            <w:tcW w:w="5329" w:type="dxa"/>
          </w:tcPr>
          <w:p w14:paraId="0E43372F" w14:textId="6DC7EC8F"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No. of claims exceeding 13 weeks </w:t>
            </w:r>
            <w:r w:rsidRPr="00DD760B">
              <w:rPr>
                <w:sz w:val="16"/>
                <w:szCs w:val="16"/>
                <w:vertAlign w:val="superscript"/>
              </w:rPr>
              <w:t>(</w:t>
            </w:r>
            <w:r w:rsidR="00804533">
              <w:rPr>
                <w:sz w:val="16"/>
                <w:szCs w:val="16"/>
                <w:vertAlign w:val="superscript"/>
              </w:rPr>
              <w:t>b</w:t>
            </w:r>
            <w:r w:rsidRPr="00DD760B">
              <w:rPr>
                <w:sz w:val="16"/>
                <w:szCs w:val="16"/>
                <w:vertAlign w:val="superscript"/>
              </w:rPr>
              <w:t>)</w:t>
            </w:r>
          </w:p>
        </w:tc>
        <w:tc>
          <w:tcPr>
            <w:tcW w:w="992" w:type="dxa"/>
          </w:tcPr>
          <w:p w14:paraId="43A8B5F4"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2.0</w:t>
            </w:r>
          </w:p>
        </w:tc>
        <w:tc>
          <w:tcPr>
            <w:tcW w:w="992" w:type="dxa"/>
          </w:tcPr>
          <w:p w14:paraId="3A592E1A"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19</w:t>
            </w:r>
          </w:p>
        </w:tc>
        <w:tc>
          <w:tcPr>
            <w:tcW w:w="992" w:type="dxa"/>
          </w:tcPr>
          <w:p w14:paraId="0A4A7AD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1.8</w:t>
            </w:r>
          </w:p>
        </w:tc>
      </w:tr>
      <w:tr w:rsidR="003F775E" w:rsidRPr="00DD760B" w14:paraId="34454FB4"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31B3241A" w14:textId="77777777" w:rsidR="003F775E" w:rsidRPr="00DD760B" w:rsidRDefault="003F775E" w:rsidP="00D12538">
            <w:pPr>
              <w:rPr>
                <w:sz w:val="16"/>
                <w:szCs w:val="16"/>
              </w:rPr>
            </w:pPr>
          </w:p>
        </w:tc>
        <w:tc>
          <w:tcPr>
            <w:tcW w:w="5329" w:type="dxa"/>
          </w:tcPr>
          <w:p w14:paraId="407CBD08"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Rate per 100 FTE</w:t>
            </w:r>
          </w:p>
        </w:tc>
        <w:tc>
          <w:tcPr>
            <w:tcW w:w="992" w:type="dxa"/>
          </w:tcPr>
          <w:p w14:paraId="0C6CAF9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0.5</w:t>
            </w:r>
          </w:p>
        </w:tc>
        <w:tc>
          <w:tcPr>
            <w:tcW w:w="992" w:type="dxa"/>
          </w:tcPr>
          <w:p w14:paraId="40997CAA"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0.2</w:t>
            </w:r>
          </w:p>
        </w:tc>
        <w:tc>
          <w:tcPr>
            <w:tcW w:w="992" w:type="dxa"/>
          </w:tcPr>
          <w:p w14:paraId="5B5057CE"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0.3</w:t>
            </w:r>
          </w:p>
        </w:tc>
      </w:tr>
      <w:tr w:rsidR="003F775E" w:rsidRPr="00DD760B" w14:paraId="7429FBF3"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620F8C5F" w14:textId="77777777" w:rsidR="003F775E" w:rsidRPr="00DD760B" w:rsidRDefault="003F775E" w:rsidP="00D12538">
            <w:pPr>
              <w:rPr>
                <w:sz w:val="16"/>
                <w:szCs w:val="16"/>
              </w:rPr>
            </w:pPr>
            <w:r w:rsidRPr="00DD760B">
              <w:rPr>
                <w:sz w:val="16"/>
                <w:szCs w:val="16"/>
              </w:rPr>
              <w:t>Fatalities</w:t>
            </w:r>
          </w:p>
        </w:tc>
        <w:tc>
          <w:tcPr>
            <w:tcW w:w="5329" w:type="dxa"/>
          </w:tcPr>
          <w:p w14:paraId="09890C81" w14:textId="29CB0E5B"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 xml:space="preserve">Fatality claims </w:t>
            </w:r>
            <w:r w:rsidRPr="00DD760B">
              <w:rPr>
                <w:sz w:val="16"/>
                <w:szCs w:val="16"/>
                <w:vertAlign w:val="superscript"/>
              </w:rPr>
              <w:t>(</w:t>
            </w:r>
            <w:r w:rsidR="00804533">
              <w:rPr>
                <w:sz w:val="16"/>
                <w:szCs w:val="16"/>
                <w:vertAlign w:val="superscript"/>
              </w:rPr>
              <w:t>c</w:t>
            </w:r>
            <w:r w:rsidRPr="00DD760B">
              <w:rPr>
                <w:sz w:val="16"/>
                <w:szCs w:val="16"/>
                <w:vertAlign w:val="superscript"/>
              </w:rPr>
              <w:t>)</w:t>
            </w:r>
          </w:p>
        </w:tc>
        <w:tc>
          <w:tcPr>
            <w:tcW w:w="992" w:type="dxa"/>
          </w:tcPr>
          <w:p w14:paraId="69B16B3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w:t>
            </w:r>
          </w:p>
        </w:tc>
        <w:tc>
          <w:tcPr>
            <w:tcW w:w="992" w:type="dxa"/>
          </w:tcPr>
          <w:p w14:paraId="566BA361"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w:t>
            </w:r>
          </w:p>
        </w:tc>
        <w:tc>
          <w:tcPr>
            <w:tcW w:w="992" w:type="dxa"/>
          </w:tcPr>
          <w:p w14:paraId="7A679E1F"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w:t>
            </w:r>
          </w:p>
        </w:tc>
      </w:tr>
      <w:tr w:rsidR="003F775E" w:rsidRPr="00DD760B" w14:paraId="76EB4E43"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09B3A0AD" w14:textId="77777777" w:rsidR="003F775E" w:rsidRPr="00DD760B" w:rsidRDefault="003F775E" w:rsidP="00D12538">
            <w:pPr>
              <w:rPr>
                <w:sz w:val="16"/>
                <w:szCs w:val="16"/>
              </w:rPr>
            </w:pPr>
            <w:r w:rsidRPr="00DD760B">
              <w:rPr>
                <w:sz w:val="16"/>
                <w:szCs w:val="16"/>
              </w:rPr>
              <w:t>Claim costs</w:t>
            </w:r>
          </w:p>
        </w:tc>
        <w:tc>
          <w:tcPr>
            <w:tcW w:w="5329" w:type="dxa"/>
          </w:tcPr>
          <w:p w14:paraId="4B27C904" w14:textId="6DF27BD1"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 xml:space="preserve">Average cost per standard claim </w:t>
            </w:r>
            <w:r w:rsidRPr="00DD760B">
              <w:rPr>
                <w:sz w:val="16"/>
                <w:szCs w:val="16"/>
                <w:vertAlign w:val="superscript"/>
              </w:rPr>
              <w:t>(</w:t>
            </w:r>
            <w:r w:rsidR="00804533">
              <w:rPr>
                <w:sz w:val="16"/>
                <w:szCs w:val="16"/>
                <w:vertAlign w:val="superscript"/>
              </w:rPr>
              <w:t>b</w:t>
            </w:r>
            <w:r w:rsidRPr="00DD760B">
              <w:rPr>
                <w:sz w:val="16"/>
                <w:szCs w:val="16"/>
                <w:vertAlign w:val="superscript"/>
              </w:rPr>
              <w:t>)</w:t>
            </w:r>
          </w:p>
        </w:tc>
        <w:tc>
          <w:tcPr>
            <w:tcW w:w="992" w:type="dxa"/>
          </w:tcPr>
          <w:p w14:paraId="505772D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$27 944</w:t>
            </w:r>
          </w:p>
        </w:tc>
        <w:tc>
          <w:tcPr>
            <w:tcW w:w="992" w:type="dxa"/>
          </w:tcPr>
          <w:p w14:paraId="45DCD05C"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$27 121</w:t>
            </w:r>
          </w:p>
        </w:tc>
        <w:tc>
          <w:tcPr>
            <w:tcW w:w="992" w:type="dxa"/>
          </w:tcPr>
          <w:p w14:paraId="43322CBE"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$29 334</w:t>
            </w:r>
          </w:p>
        </w:tc>
      </w:tr>
      <w:tr w:rsidR="003F775E" w:rsidRPr="00DD760B" w14:paraId="424DF955"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3C2646FE" w14:textId="77777777" w:rsidR="003F775E" w:rsidRPr="00DD760B" w:rsidRDefault="003F775E" w:rsidP="00D12538">
            <w:pPr>
              <w:rPr>
                <w:sz w:val="16"/>
                <w:szCs w:val="16"/>
              </w:rPr>
            </w:pPr>
            <w:r w:rsidRPr="00DD760B">
              <w:rPr>
                <w:sz w:val="16"/>
                <w:szCs w:val="16"/>
              </w:rPr>
              <w:t>Return to work</w:t>
            </w:r>
          </w:p>
        </w:tc>
        <w:tc>
          <w:tcPr>
            <w:tcW w:w="5329" w:type="dxa"/>
          </w:tcPr>
          <w:p w14:paraId="237E526C"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Percentage of claims with RTW plan &lt;30 days.</w:t>
            </w:r>
          </w:p>
        </w:tc>
        <w:tc>
          <w:tcPr>
            <w:tcW w:w="992" w:type="dxa"/>
          </w:tcPr>
          <w:p w14:paraId="402CAC09"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95%</w:t>
            </w:r>
          </w:p>
        </w:tc>
        <w:tc>
          <w:tcPr>
            <w:tcW w:w="992" w:type="dxa"/>
          </w:tcPr>
          <w:p w14:paraId="0CD0B4F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92%</w:t>
            </w:r>
          </w:p>
        </w:tc>
        <w:tc>
          <w:tcPr>
            <w:tcW w:w="992" w:type="dxa"/>
          </w:tcPr>
          <w:p w14:paraId="3DBACCC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95%</w:t>
            </w:r>
          </w:p>
        </w:tc>
      </w:tr>
      <w:tr w:rsidR="003F775E" w:rsidRPr="00DD760B" w14:paraId="42128944"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4462F6F6" w14:textId="77777777" w:rsidR="003F775E" w:rsidRPr="00DD760B" w:rsidRDefault="003F775E" w:rsidP="00D12538">
            <w:pPr>
              <w:rPr>
                <w:sz w:val="16"/>
                <w:szCs w:val="16"/>
              </w:rPr>
            </w:pPr>
            <w:r w:rsidRPr="00DD760B">
              <w:rPr>
                <w:sz w:val="16"/>
                <w:szCs w:val="16"/>
              </w:rPr>
              <w:t>Management commitment</w:t>
            </w:r>
          </w:p>
        </w:tc>
        <w:tc>
          <w:tcPr>
            <w:tcW w:w="5329" w:type="dxa"/>
          </w:tcPr>
          <w:p w14:paraId="23A92757"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Evidence of OH&amp;S policy statement, OH&amp;S objectives, regular reporting to senior management of OH&amp;S, and OH&amp;S plans (signed by CEO or equivalent).</w:t>
            </w:r>
          </w:p>
        </w:tc>
        <w:tc>
          <w:tcPr>
            <w:tcW w:w="992" w:type="dxa"/>
          </w:tcPr>
          <w:p w14:paraId="2B5704A1"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c>
          <w:tcPr>
            <w:tcW w:w="992" w:type="dxa"/>
          </w:tcPr>
          <w:p w14:paraId="44596E07"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c>
          <w:tcPr>
            <w:tcW w:w="992" w:type="dxa"/>
          </w:tcPr>
          <w:p w14:paraId="35DEDEB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r>
      <w:tr w:rsidR="003F775E" w:rsidRPr="00DD760B" w14:paraId="05207B87"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5C28C26E" w14:textId="77777777" w:rsidR="003F775E" w:rsidRPr="00DD760B" w:rsidRDefault="003F775E" w:rsidP="00D12538">
            <w:pPr>
              <w:rPr>
                <w:sz w:val="16"/>
                <w:szCs w:val="16"/>
              </w:rPr>
            </w:pPr>
          </w:p>
        </w:tc>
        <w:tc>
          <w:tcPr>
            <w:tcW w:w="5329" w:type="dxa"/>
          </w:tcPr>
          <w:p w14:paraId="22B7CFCD"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Evidence of OH&amp;S criteria(s) in purchasing guidelines (including goods, services and personnel).</w:t>
            </w:r>
          </w:p>
        </w:tc>
        <w:tc>
          <w:tcPr>
            <w:tcW w:w="992" w:type="dxa"/>
          </w:tcPr>
          <w:p w14:paraId="00ABBD26"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c>
          <w:tcPr>
            <w:tcW w:w="992" w:type="dxa"/>
          </w:tcPr>
          <w:p w14:paraId="57840DD4"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c>
          <w:tcPr>
            <w:tcW w:w="992" w:type="dxa"/>
          </w:tcPr>
          <w:p w14:paraId="0013729C"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r>
      <w:tr w:rsidR="003F775E" w:rsidRPr="00DD760B" w14:paraId="6794337F"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vMerge w:val="restart"/>
          </w:tcPr>
          <w:p w14:paraId="4A2FAE01" w14:textId="77777777" w:rsidR="003F775E" w:rsidRPr="00DD760B" w:rsidRDefault="003F775E" w:rsidP="00D12538">
            <w:pPr>
              <w:rPr>
                <w:sz w:val="16"/>
                <w:szCs w:val="16"/>
              </w:rPr>
            </w:pPr>
            <w:r w:rsidRPr="00DD760B">
              <w:rPr>
                <w:sz w:val="16"/>
                <w:szCs w:val="16"/>
              </w:rPr>
              <w:t>Consultation and participation</w:t>
            </w:r>
          </w:p>
        </w:tc>
        <w:tc>
          <w:tcPr>
            <w:tcW w:w="5329" w:type="dxa"/>
          </w:tcPr>
          <w:p w14:paraId="22333A32"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Evidence of agreed structure of designated workgroups (DWGs), health and safety representatives (HSRs), and issue resolution procedures (IRPs).</w:t>
            </w:r>
          </w:p>
        </w:tc>
        <w:tc>
          <w:tcPr>
            <w:tcW w:w="992" w:type="dxa"/>
          </w:tcPr>
          <w:p w14:paraId="224C4BA9"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c>
          <w:tcPr>
            <w:tcW w:w="992" w:type="dxa"/>
          </w:tcPr>
          <w:p w14:paraId="63FF4E69"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c>
          <w:tcPr>
            <w:tcW w:w="992" w:type="dxa"/>
          </w:tcPr>
          <w:p w14:paraId="546FFEF1"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r>
      <w:tr w:rsidR="003F775E" w:rsidRPr="00DD760B" w14:paraId="596F329F"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vMerge/>
          </w:tcPr>
          <w:p w14:paraId="3B888812" w14:textId="77777777" w:rsidR="003F775E" w:rsidRPr="00DD760B" w:rsidRDefault="003F775E" w:rsidP="00D12538">
            <w:pPr>
              <w:rPr>
                <w:sz w:val="16"/>
                <w:szCs w:val="16"/>
              </w:rPr>
            </w:pPr>
          </w:p>
        </w:tc>
        <w:tc>
          <w:tcPr>
            <w:tcW w:w="5329" w:type="dxa"/>
          </w:tcPr>
          <w:p w14:paraId="7FD8FAD1"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Compliance with agreed structure on DWGs, HSRs, and IRPs.</w:t>
            </w:r>
          </w:p>
        </w:tc>
        <w:tc>
          <w:tcPr>
            <w:tcW w:w="992" w:type="dxa"/>
          </w:tcPr>
          <w:p w14:paraId="421B33CA"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c>
          <w:tcPr>
            <w:tcW w:w="992" w:type="dxa"/>
          </w:tcPr>
          <w:p w14:paraId="289E9CA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c>
          <w:tcPr>
            <w:tcW w:w="992" w:type="dxa"/>
          </w:tcPr>
          <w:p w14:paraId="67EBBAEE"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completed</w:t>
            </w:r>
          </w:p>
        </w:tc>
      </w:tr>
      <w:tr w:rsidR="003F775E" w:rsidRPr="00DD760B" w14:paraId="586F8026"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19F5E8C3" w14:textId="77777777" w:rsidR="003F775E" w:rsidRPr="00DD760B" w:rsidRDefault="003F775E" w:rsidP="00D12538">
            <w:pPr>
              <w:rPr>
                <w:sz w:val="16"/>
                <w:szCs w:val="16"/>
              </w:rPr>
            </w:pPr>
          </w:p>
        </w:tc>
        <w:tc>
          <w:tcPr>
            <w:tcW w:w="5329" w:type="dxa"/>
          </w:tcPr>
          <w:p w14:paraId="09EF4301"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Number of qua</w:t>
            </w:r>
            <w:r>
              <w:rPr>
                <w:sz w:val="16"/>
                <w:szCs w:val="16"/>
              </w:rPr>
              <w:t>r</w:t>
            </w:r>
            <w:r w:rsidRPr="00DD760B">
              <w:rPr>
                <w:sz w:val="16"/>
                <w:szCs w:val="16"/>
              </w:rPr>
              <w:t>terly OHS Committee meetings.</w:t>
            </w:r>
          </w:p>
        </w:tc>
        <w:tc>
          <w:tcPr>
            <w:tcW w:w="992" w:type="dxa"/>
          </w:tcPr>
          <w:p w14:paraId="3AEA3FC0"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4</w:t>
            </w:r>
          </w:p>
        </w:tc>
        <w:tc>
          <w:tcPr>
            <w:tcW w:w="992" w:type="dxa"/>
          </w:tcPr>
          <w:p w14:paraId="479C800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4</w:t>
            </w:r>
          </w:p>
        </w:tc>
        <w:tc>
          <w:tcPr>
            <w:tcW w:w="992" w:type="dxa"/>
          </w:tcPr>
          <w:p w14:paraId="59E8F0EC"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4</w:t>
            </w:r>
          </w:p>
        </w:tc>
      </w:tr>
      <w:tr w:rsidR="003F775E" w:rsidRPr="00DD760B" w14:paraId="78D0C843" w14:textId="77777777" w:rsidTr="00D12538">
        <w:trPr>
          <w:trHeight w:val="360"/>
        </w:trPr>
        <w:tc>
          <w:tcPr>
            <w:cnfStyle w:val="001000000000" w:firstRow="0" w:lastRow="0" w:firstColumn="1" w:lastColumn="0" w:oddVBand="0" w:evenVBand="0" w:oddHBand="0" w:evenHBand="0" w:firstRowFirstColumn="0" w:firstRowLastColumn="0" w:lastRowFirstColumn="0" w:lastRowLastColumn="0"/>
            <w:tcW w:w="1334" w:type="dxa"/>
          </w:tcPr>
          <w:p w14:paraId="489419A8" w14:textId="77777777" w:rsidR="003F775E" w:rsidRPr="00DD760B" w:rsidRDefault="003F775E" w:rsidP="00D12538">
            <w:pPr>
              <w:rPr>
                <w:sz w:val="16"/>
                <w:szCs w:val="16"/>
              </w:rPr>
            </w:pPr>
            <w:r w:rsidRPr="00DD760B">
              <w:rPr>
                <w:sz w:val="16"/>
                <w:szCs w:val="16"/>
              </w:rPr>
              <w:t>Risk management</w:t>
            </w:r>
          </w:p>
        </w:tc>
        <w:tc>
          <w:tcPr>
            <w:tcW w:w="5329" w:type="dxa"/>
          </w:tcPr>
          <w:p w14:paraId="74A9126D"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Percentage of internal audits/inspections conducted as planned.</w:t>
            </w:r>
          </w:p>
        </w:tc>
        <w:tc>
          <w:tcPr>
            <w:tcW w:w="992" w:type="dxa"/>
          </w:tcPr>
          <w:p w14:paraId="1534DBF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27E7F3BE"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087E8569"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r>
      <w:tr w:rsidR="003F775E" w:rsidRPr="00DD760B" w14:paraId="68E2E7BA" w14:textId="77777777" w:rsidTr="00D12538">
        <w:tc>
          <w:tcPr>
            <w:cnfStyle w:val="001000000000" w:firstRow="0" w:lastRow="0" w:firstColumn="1" w:lastColumn="0" w:oddVBand="0" w:evenVBand="0" w:oddHBand="0" w:evenHBand="0" w:firstRowFirstColumn="0" w:firstRowLastColumn="0" w:lastRowFirstColumn="0" w:lastRowLastColumn="0"/>
            <w:tcW w:w="1334" w:type="dxa"/>
          </w:tcPr>
          <w:p w14:paraId="7C9F983D" w14:textId="77777777" w:rsidR="003F775E" w:rsidRPr="00DD760B" w:rsidRDefault="003F775E" w:rsidP="00D12538">
            <w:pPr>
              <w:rPr>
                <w:sz w:val="16"/>
                <w:szCs w:val="16"/>
              </w:rPr>
            </w:pPr>
          </w:p>
        </w:tc>
        <w:tc>
          <w:tcPr>
            <w:tcW w:w="5329" w:type="dxa"/>
          </w:tcPr>
          <w:p w14:paraId="11A05D91"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Percentage of reported incidents investigated.</w:t>
            </w:r>
          </w:p>
        </w:tc>
        <w:tc>
          <w:tcPr>
            <w:tcW w:w="992" w:type="dxa"/>
          </w:tcPr>
          <w:p w14:paraId="50322B76"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2FBA3904"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162A1E8E"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r>
      <w:tr w:rsidR="003F775E" w:rsidRPr="00DD760B" w14:paraId="385ED08F" w14:textId="77777777" w:rsidTr="00D12538">
        <w:trPr>
          <w:trHeight w:val="360"/>
        </w:trPr>
        <w:tc>
          <w:tcPr>
            <w:cnfStyle w:val="001000000000" w:firstRow="0" w:lastRow="0" w:firstColumn="1" w:lastColumn="0" w:oddVBand="0" w:evenVBand="0" w:oddHBand="0" w:evenHBand="0" w:firstRowFirstColumn="0" w:firstRowLastColumn="0" w:lastRowFirstColumn="0" w:lastRowLastColumn="0"/>
            <w:tcW w:w="1334" w:type="dxa"/>
          </w:tcPr>
          <w:p w14:paraId="63E0C8F9" w14:textId="77777777" w:rsidR="003F775E" w:rsidRPr="00DD760B" w:rsidRDefault="003F775E" w:rsidP="00D12538">
            <w:pPr>
              <w:rPr>
                <w:sz w:val="16"/>
                <w:szCs w:val="16"/>
              </w:rPr>
            </w:pPr>
          </w:p>
        </w:tc>
        <w:tc>
          <w:tcPr>
            <w:tcW w:w="5329" w:type="dxa"/>
          </w:tcPr>
          <w:p w14:paraId="418AE2B5"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No. of Improvement Notices issued across the Department by WorkSafe Inspector.</w:t>
            </w:r>
          </w:p>
        </w:tc>
        <w:tc>
          <w:tcPr>
            <w:tcW w:w="992" w:type="dxa"/>
          </w:tcPr>
          <w:p w14:paraId="082802F6"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w:t>
            </w:r>
          </w:p>
        </w:tc>
        <w:tc>
          <w:tcPr>
            <w:tcW w:w="992" w:type="dxa"/>
          </w:tcPr>
          <w:p w14:paraId="02065C9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w:t>
            </w:r>
          </w:p>
        </w:tc>
        <w:tc>
          <w:tcPr>
            <w:tcW w:w="992" w:type="dxa"/>
          </w:tcPr>
          <w:p w14:paraId="491B537D"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w:t>
            </w:r>
          </w:p>
        </w:tc>
      </w:tr>
      <w:tr w:rsidR="003F775E" w:rsidRPr="00DD760B" w14:paraId="6D6DE469"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2873C8E1" w14:textId="77777777" w:rsidR="003F775E" w:rsidRPr="00DD760B" w:rsidRDefault="003F775E" w:rsidP="00D12538">
            <w:pPr>
              <w:rPr>
                <w:sz w:val="16"/>
                <w:szCs w:val="16"/>
              </w:rPr>
            </w:pPr>
          </w:p>
        </w:tc>
        <w:tc>
          <w:tcPr>
            <w:tcW w:w="5329" w:type="dxa"/>
          </w:tcPr>
          <w:p w14:paraId="7CEE2BC9" w14:textId="77777777" w:rsidR="003F775E" w:rsidRPr="00DD760B" w:rsidRDefault="003F775E" w:rsidP="007205E6">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Percentage of issues identified and actioned arising from:</w:t>
            </w:r>
          </w:p>
        </w:tc>
        <w:tc>
          <w:tcPr>
            <w:tcW w:w="992" w:type="dxa"/>
          </w:tcPr>
          <w:p w14:paraId="5812CC3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6431EA58"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69F815EC"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r>
      <w:tr w:rsidR="003F775E" w:rsidRPr="00DD760B" w14:paraId="3AB23702"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2BE07CA4" w14:textId="77777777" w:rsidR="003F775E" w:rsidRPr="00DD760B" w:rsidRDefault="003F775E" w:rsidP="00D12538">
            <w:pPr>
              <w:rPr>
                <w:sz w:val="16"/>
                <w:szCs w:val="16"/>
              </w:rPr>
            </w:pPr>
          </w:p>
        </w:tc>
        <w:tc>
          <w:tcPr>
            <w:tcW w:w="5329" w:type="dxa"/>
          </w:tcPr>
          <w:p w14:paraId="5E1A7A04" w14:textId="77777777" w:rsidR="003F775E" w:rsidRPr="00DD760B" w:rsidRDefault="003F775E" w:rsidP="004C7B4D">
            <w:pPr>
              <w:pStyle w:val="ListBullet"/>
              <w:jc w:val="left"/>
              <w:cnfStyle w:val="000000000000" w:firstRow="0" w:lastRow="0" w:firstColumn="0" w:lastColumn="0" w:oddVBand="0" w:evenVBand="0" w:oddHBand="0" w:evenHBand="0" w:firstRowFirstColumn="0" w:firstRowLastColumn="0" w:lastRowFirstColumn="0" w:lastRowLastColumn="0"/>
            </w:pPr>
            <w:r w:rsidRPr="00DD760B">
              <w:t>internal audits;</w:t>
            </w:r>
          </w:p>
        </w:tc>
        <w:tc>
          <w:tcPr>
            <w:tcW w:w="992" w:type="dxa"/>
          </w:tcPr>
          <w:p w14:paraId="38C7CE8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644A300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0D20B451"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r>
      <w:tr w:rsidR="003F775E" w:rsidRPr="00DD760B" w14:paraId="64E550A4"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61F50850" w14:textId="77777777" w:rsidR="003F775E" w:rsidRPr="00DD760B" w:rsidRDefault="003F775E" w:rsidP="00D12538">
            <w:pPr>
              <w:rPr>
                <w:sz w:val="16"/>
                <w:szCs w:val="16"/>
              </w:rPr>
            </w:pPr>
          </w:p>
        </w:tc>
        <w:tc>
          <w:tcPr>
            <w:tcW w:w="5329" w:type="dxa"/>
          </w:tcPr>
          <w:p w14:paraId="104CD4EF" w14:textId="77777777" w:rsidR="003F775E" w:rsidRPr="00DD760B" w:rsidRDefault="003F775E" w:rsidP="004C7B4D">
            <w:pPr>
              <w:pStyle w:val="ListBullet"/>
              <w:jc w:val="left"/>
              <w:cnfStyle w:val="000000000000" w:firstRow="0" w:lastRow="0" w:firstColumn="0" w:lastColumn="0" w:oddVBand="0" w:evenVBand="0" w:oddHBand="0" w:evenHBand="0" w:firstRowFirstColumn="0" w:firstRowLastColumn="0" w:lastRowFirstColumn="0" w:lastRowLastColumn="0"/>
            </w:pPr>
            <w:r w:rsidRPr="00DD760B">
              <w:t>HSR provisional improvement notices; and</w:t>
            </w:r>
          </w:p>
        </w:tc>
        <w:tc>
          <w:tcPr>
            <w:tcW w:w="992" w:type="dxa"/>
          </w:tcPr>
          <w:p w14:paraId="6E918F91"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613D9719"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12DA89CE"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r>
      <w:tr w:rsidR="003F775E" w:rsidRPr="00DD760B" w14:paraId="2F82C150"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4C53953E" w14:textId="77777777" w:rsidR="003F775E" w:rsidRPr="00DD760B" w:rsidRDefault="003F775E" w:rsidP="00D12538">
            <w:pPr>
              <w:rPr>
                <w:sz w:val="16"/>
                <w:szCs w:val="16"/>
              </w:rPr>
            </w:pPr>
          </w:p>
        </w:tc>
        <w:tc>
          <w:tcPr>
            <w:tcW w:w="5329" w:type="dxa"/>
          </w:tcPr>
          <w:p w14:paraId="3D915A6B" w14:textId="77777777" w:rsidR="003F775E" w:rsidRPr="00DD760B" w:rsidRDefault="003F775E" w:rsidP="004C7B4D">
            <w:pPr>
              <w:pStyle w:val="ListBullet"/>
              <w:jc w:val="left"/>
              <w:cnfStyle w:val="000000000000" w:firstRow="0" w:lastRow="0" w:firstColumn="0" w:lastColumn="0" w:oddVBand="0" w:evenVBand="0" w:oddHBand="0" w:evenHBand="0" w:firstRowFirstColumn="0" w:firstRowLastColumn="0" w:lastRowFirstColumn="0" w:lastRowLastColumn="0"/>
            </w:pPr>
            <w:r w:rsidRPr="00DD760B">
              <w:t>WorkSafe notices.</w:t>
            </w:r>
          </w:p>
        </w:tc>
        <w:tc>
          <w:tcPr>
            <w:tcW w:w="992" w:type="dxa"/>
          </w:tcPr>
          <w:p w14:paraId="0C468E1F"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09C6E72C"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2E9F476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r>
      <w:tr w:rsidR="003F775E" w:rsidRPr="00DD760B" w14:paraId="21EB219A"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463EE8D0" w14:textId="77777777" w:rsidR="003F775E" w:rsidRPr="00DD760B" w:rsidRDefault="003F775E" w:rsidP="00D12538">
            <w:pPr>
              <w:rPr>
                <w:sz w:val="16"/>
                <w:szCs w:val="16"/>
              </w:rPr>
            </w:pPr>
            <w:r w:rsidRPr="00DD760B">
              <w:rPr>
                <w:sz w:val="16"/>
                <w:szCs w:val="16"/>
              </w:rPr>
              <w:t>Training</w:t>
            </w:r>
          </w:p>
        </w:tc>
        <w:tc>
          <w:tcPr>
            <w:tcW w:w="5329" w:type="dxa"/>
          </w:tcPr>
          <w:p w14:paraId="767649BA" w14:textId="77777777" w:rsidR="003F775E" w:rsidRPr="00DD760B" w:rsidRDefault="003F775E" w:rsidP="004C7B4D">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Percentage of managers and staff that have received OH&amp;S training:</w:t>
            </w:r>
          </w:p>
        </w:tc>
        <w:tc>
          <w:tcPr>
            <w:tcW w:w="992" w:type="dxa"/>
          </w:tcPr>
          <w:p w14:paraId="32F7606E"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573B192D"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1141BC8D"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r>
      <w:tr w:rsidR="003F775E" w:rsidRPr="00DD760B" w14:paraId="6C52ABBA"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5474C325" w14:textId="77777777" w:rsidR="003F775E" w:rsidRPr="00DD760B" w:rsidRDefault="003F775E" w:rsidP="00D12538">
            <w:pPr>
              <w:rPr>
                <w:sz w:val="16"/>
                <w:szCs w:val="16"/>
              </w:rPr>
            </w:pPr>
          </w:p>
        </w:tc>
        <w:tc>
          <w:tcPr>
            <w:tcW w:w="5329" w:type="dxa"/>
          </w:tcPr>
          <w:p w14:paraId="1E6F571B" w14:textId="77777777" w:rsidR="003F775E" w:rsidRPr="00DD760B" w:rsidRDefault="003F775E" w:rsidP="004C7B4D">
            <w:pPr>
              <w:pStyle w:val="ListBullet"/>
              <w:jc w:val="left"/>
              <w:cnfStyle w:val="000000000000" w:firstRow="0" w:lastRow="0" w:firstColumn="0" w:lastColumn="0" w:oddVBand="0" w:evenVBand="0" w:oddHBand="0" w:evenHBand="0" w:firstRowFirstColumn="0" w:firstRowLastColumn="0" w:lastRowFirstColumn="0" w:lastRowLastColumn="0"/>
            </w:pPr>
            <w:r w:rsidRPr="00DD760B">
              <w:t>induction;</w:t>
            </w:r>
          </w:p>
        </w:tc>
        <w:tc>
          <w:tcPr>
            <w:tcW w:w="992" w:type="dxa"/>
          </w:tcPr>
          <w:p w14:paraId="306D7988"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72DC1E4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0181D19A"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r>
      <w:tr w:rsidR="003F775E" w:rsidRPr="00DD760B" w14:paraId="75F4E3B3"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3A92F3E9" w14:textId="77777777" w:rsidR="003F775E" w:rsidRPr="00DD760B" w:rsidRDefault="003F775E" w:rsidP="00D12538">
            <w:pPr>
              <w:rPr>
                <w:sz w:val="16"/>
                <w:szCs w:val="16"/>
              </w:rPr>
            </w:pPr>
          </w:p>
        </w:tc>
        <w:tc>
          <w:tcPr>
            <w:tcW w:w="5329" w:type="dxa"/>
          </w:tcPr>
          <w:p w14:paraId="32A401E5" w14:textId="77777777" w:rsidR="003F775E" w:rsidRPr="00DD760B" w:rsidRDefault="003F775E" w:rsidP="004C7B4D">
            <w:pPr>
              <w:pStyle w:val="ListBullet"/>
              <w:jc w:val="left"/>
              <w:cnfStyle w:val="000000000000" w:firstRow="0" w:lastRow="0" w:firstColumn="0" w:lastColumn="0" w:oddVBand="0" w:evenVBand="0" w:oddHBand="0" w:evenHBand="0" w:firstRowFirstColumn="0" w:firstRowLastColumn="0" w:lastRowFirstColumn="0" w:lastRowLastColumn="0"/>
            </w:pPr>
            <w:r w:rsidRPr="00DD760B">
              <w:t>management training; and</w:t>
            </w:r>
          </w:p>
        </w:tc>
        <w:tc>
          <w:tcPr>
            <w:tcW w:w="992" w:type="dxa"/>
          </w:tcPr>
          <w:p w14:paraId="58E9764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12%</w:t>
            </w:r>
          </w:p>
        </w:tc>
        <w:tc>
          <w:tcPr>
            <w:tcW w:w="992" w:type="dxa"/>
          </w:tcPr>
          <w:p w14:paraId="0F6B2B3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16%</w:t>
            </w:r>
          </w:p>
        </w:tc>
        <w:tc>
          <w:tcPr>
            <w:tcW w:w="992" w:type="dxa"/>
          </w:tcPr>
          <w:p w14:paraId="1D663B12"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19%</w:t>
            </w:r>
          </w:p>
        </w:tc>
      </w:tr>
      <w:tr w:rsidR="003F775E" w:rsidRPr="00DD760B" w14:paraId="4207E2A6"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4ED032C7" w14:textId="77777777" w:rsidR="003F775E" w:rsidRPr="00DD760B" w:rsidRDefault="003F775E" w:rsidP="00D12538">
            <w:pPr>
              <w:rPr>
                <w:sz w:val="16"/>
                <w:szCs w:val="16"/>
              </w:rPr>
            </w:pPr>
          </w:p>
        </w:tc>
        <w:tc>
          <w:tcPr>
            <w:tcW w:w="5329" w:type="dxa"/>
          </w:tcPr>
          <w:p w14:paraId="2438D3BC" w14:textId="77777777" w:rsidR="003F775E" w:rsidRPr="00DD760B" w:rsidRDefault="003F775E" w:rsidP="004C7B4D">
            <w:pPr>
              <w:pStyle w:val="ListBullet"/>
              <w:jc w:val="left"/>
              <w:cnfStyle w:val="000000000000" w:firstRow="0" w:lastRow="0" w:firstColumn="0" w:lastColumn="0" w:oddVBand="0" w:evenVBand="0" w:oddHBand="0" w:evenHBand="0" w:firstRowFirstColumn="0" w:firstRowLastColumn="0" w:lastRowFirstColumn="0" w:lastRowLastColumn="0"/>
            </w:pPr>
            <w:r w:rsidRPr="00DD760B">
              <w:t>contractors and temps.</w:t>
            </w:r>
          </w:p>
        </w:tc>
        <w:tc>
          <w:tcPr>
            <w:tcW w:w="992" w:type="dxa"/>
          </w:tcPr>
          <w:p w14:paraId="331FAC2A"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n.a.</w:t>
            </w:r>
          </w:p>
        </w:tc>
        <w:tc>
          <w:tcPr>
            <w:tcW w:w="992" w:type="dxa"/>
          </w:tcPr>
          <w:p w14:paraId="611C8B11"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n.a.</w:t>
            </w:r>
          </w:p>
        </w:tc>
        <w:tc>
          <w:tcPr>
            <w:tcW w:w="992" w:type="dxa"/>
          </w:tcPr>
          <w:p w14:paraId="1F0FF3C7"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n.a.</w:t>
            </w:r>
          </w:p>
        </w:tc>
      </w:tr>
      <w:tr w:rsidR="003F775E" w:rsidRPr="00DD760B" w14:paraId="36FD2475"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438ECD7A" w14:textId="77777777" w:rsidR="003F775E" w:rsidRPr="00DD760B" w:rsidRDefault="003F775E" w:rsidP="00D12538">
            <w:pPr>
              <w:rPr>
                <w:sz w:val="16"/>
                <w:szCs w:val="16"/>
              </w:rPr>
            </w:pPr>
          </w:p>
        </w:tc>
        <w:tc>
          <w:tcPr>
            <w:tcW w:w="5329" w:type="dxa"/>
          </w:tcPr>
          <w:p w14:paraId="586D8C9F" w14:textId="77777777" w:rsidR="003F775E" w:rsidRPr="00DD760B" w:rsidRDefault="003F775E" w:rsidP="004C7B4D">
            <w:pPr>
              <w:jc w:val="left"/>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Percentage of HSRs trained:</w:t>
            </w:r>
          </w:p>
        </w:tc>
        <w:tc>
          <w:tcPr>
            <w:tcW w:w="992" w:type="dxa"/>
          </w:tcPr>
          <w:p w14:paraId="7DB89EA7"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2EAB6647"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007F842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p>
        </w:tc>
      </w:tr>
      <w:tr w:rsidR="003F775E" w:rsidRPr="00DD760B" w14:paraId="277ECAD8"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286C6C01" w14:textId="77777777" w:rsidR="003F775E" w:rsidRPr="00DD760B" w:rsidRDefault="003F775E" w:rsidP="00D12538">
            <w:pPr>
              <w:rPr>
                <w:sz w:val="16"/>
                <w:szCs w:val="16"/>
              </w:rPr>
            </w:pPr>
          </w:p>
        </w:tc>
        <w:tc>
          <w:tcPr>
            <w:tcW w:w="5329" w:type="dxa"/>
          </w:tcPr>
          <w:p w14:paraId="62783CF3" w14:textId="77777777" w:rsidR="003F775E" w:rsidRPr="00DD760B" w:rsidRDefault="003F775E" w:rsidP="004C7B4D">
            <w:pPr>
              <w:pStyle w:val="ListBullet"/>
              <w:jc w:val="left"/>
              <w:cnfStyle w:val="000000000000" w:firstRow="0" w:lastRow="0" w:firstColumn="0" w:lastColumn="0" w:oddVBand="0" w:evenVBand="0" w:oddHBand="0" w:evenHBand="0" w:firstRowFirstColumn="0" w:firstRowLastColumn="0" w:lastRowFirstColumn="0" w:lastRowLastColumn="0"/>
            </w:pPr>
            <w:r w:rsidRPr="00DD760B">
              <w:t>upon acceptance of role (initial training);</w:t>
            </w:r>
          </w:p>
        </w:tc>
        <w:tc>
          <w:tcPr>
            <w:tcW w:w="992" w:type="dxa"/>
          </w:tcPr>
          <w:p w14:paraId="39C7274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283A589C"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61662AA4"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r>
      <w:tr w:rsidR="003F775E" w:rsidRPr="00DD760B" w14:paraId="5622B965" w14:textId="77777777" w:rsidTr="00D12538">
        <w:trPr>
          <w:trHeight w:val="20"/>
        </w:trPr>
        <w:tc>
          <w:tcPr>
            <w:cnfStyle w:val="001000000000" w:firstRow="0" w:lastRow="0" w:firstColumn="1" w:lastColumn="0" w:oddVBand="0" w:evenVBand="0" w:oddHBand="0" w:evenHBand="0" w:firstRowFirstColumn="0" w:firstRowLastColumn="0" w:lastRowFirstColumn="0" w:lastRowLastColumn="0"/>
            <w:tcW w:w="1334" w:type="dxa"/>
          </w:tcPr>
          <w:p w14:paraId="46387E36" w14:textId="77777777" w:rsidR="003F775E" w:rsidRPr="00DD760B" w:rsidRDefault="003F775E" w:rsidP="00D12538">
            <w:pPr>
              <w:rPr>
                <w:sz w:val="16"/>
                <w:szCs w:val="16"/>
              </w:rPr>
            </w:pPr>
          </w:p>
        </w:tc>
        <w:tc>
          <w:tcPr>
            <w:tcW w:w="5329" w:type="dxa"/>
          </w:tcPr>
          <w:p w14:paraId="004EAADF" w14:textId="77777777" w:rsidR="003F775E" w:rsidRPr="00DD760B" w:rsidRDefault="003F775E" w:rsidP="004C7B4D">
            <w:pPr>
              <w:pStyle w:val="ListBullet"/>
              <w:jc w:val="left"/>
              <w:cnfStyle w:val="000000000000" w:firstRow="0" w:lastRow="0" w:firstColumn="0" w:lastColumn="0" w:oddVBand="0" w:evenVBand="0" w:oddHBand="0" w:evenHBand="0" w:firstRowFirstColumn="0" w:firstRowLastColumn="0" w:lastRowFirstColumn="0" w:lastRowLastColumn="0"/>
            </w:pPr>
            <w:r w:rsidRPr="00DD760B">
              <w:t>retraining (annual refresher).</w:t>
            </w:r>
          </w:p>
        </w:tc>
        <w:tc>
          <w:tcPr>
            <w:tcW w:w="992" w:type="dxa"/>
          </w:tcPr>
          <w:p w14:paraId="64FDEAE7"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7C297B1B"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c>
          <w:tcPr>
            <w:tcW w:w="992" w:type="dxa"/>
          </w:tcPr>
          <w:p w14:paraId="5E64A535" w14:textId="77777777" w:rsidR="003F775E" w:rsidRPr="00DD760B" w:rsidRDefault="003F775E" w:rsidP="007205E6">
            <w:pPr>
              <w:cnfStyle w:val="000000000000" w:firstRow="0" w:lastRow="0" w:firstColumn="0" w:lastColumn="0" w:oddVBand="0" w:evenVBand="0" w:oddHBand="0" w:evenHBand="0" w:firstRowFirstColumn="0" w:firstRowLastColumn="0" w:lastRowFirstColumn="0" w:lastRowLastColumn="0"/>
              <w:rPr>
                <w:sz w:val="16"/>
                <w:szCs w:val="16"/>
              </w:rPr>
            </w:pPr>
            <w:r w:rsidRPr="00DD760B">
              <w:rPr>
                <w:sz w:val="16"/>
                <w:szCs w:val="16"/>
              </w:rPr>
              <w:t>100%</w:t>
            </w:r>
          </w:p>
        </w:tc>
      </w:tr>
    </w:tbl>
    <w:p w14:paraId="48E39D41" w14:textId="002698B7" w:rsidR="00DC39DE" w:rsidRPr="000E677F" w:rsidRDefault="000E677F" w:rsidP="000E677F">
      <w:pPr>
        <w:rPr>
          <w:rStyle w:val="Reference"/>
        </w:rPr>
      </w:pPr>
      <w:r w:rsidRPr="20EC4723">
        <w:rPr>
          <w:rStyle w:val="Reference"/>
        </w:rPr>
        <w:t>[FRD 22</w:t>
      </w:r>
      <w:r w:rsidR="00D12538">
        <w:rPr>
          <w:rStyle w:val="Reference"/>
        </w:rPr>
        <w:t>/</w:t>
      </w:r>
      <w:r w:rsidRPr="20EC4723">
        <w:rPr>
          <w:rStyle w:val="Reference"/>
        </w:rPr>
        <w:t xml:space="preserve">Recommendation 10, PAEC </w:t>
      </w:r>
      <w:r w:rsidR="31C5C822" w:rsidRPr="20EC4723">
        <w:rPr>
          <w:rStyle w:val="Reference"/>
        </w:rPr>
        <w:t>Review of the 2009-10 and 2010-11 Annual Reports</w:t>
      </w:r>
      <w:r w:rsidRPr="20EC4723">
        <w:rPr>
          <w:rStyle w:val="Reference"/>
        </w:rPr>
        <w:t>]</w:t>
      </w:r>
    </w:p>
    <w:p w14:paraId="5765DF14" w14:textId="6C34669F" w:rsidR="000E677F" w:rsidRDefault="000E677F" w:rsidP="000E677F">
      <w:pPr>
        <w:pStyle w:val="Note"/>
      </w:pPr>
      <w:r>
        <w:t>Notes:</w:t>
      </w:r>
    </w:p>
    <w:p w14:paraId="1798500F" w14:textId="11A5DE65" w:rsidR="00E37E50" w:rsidRPr="000529B6" w:rsidRDefault="00E37E50" w:rsidP="00E37E50">
      <w:pPr>
        <w:pStyle w:val="Note"/>
      </w:pPr>
      <w:r>
        <w:t>(a)</w:t>
      </w:r>
      <w:r>
        <w:tab/>
        <w:t>This table presents data from the current reporting year with comparative data from the past two reporting years. Year 3 denotes the current year (</w:t>
      </w:r>
      <w:fldSimple w:instr="DOCPROPERTY  FinYearCurrent  \* MERGEFORMAT">
        <w:r>
          <w:t>20X1</w:t>
        </w:r>
        <w:r>
          <w:rPr>
            <w:rFonts w:ascii="Cambria Math" w:hAnsi="Cambria Math" w:cs="Cambria Math"/>
          </w:rPr>
          <w:t>‑</w:t>
        </w:r>
        <w:r>
          <w:t>X2</w:t>
        </w:r>
      </w:fldSimple>
      <w:r>
        <w:t>).</w:t>
      </w:r>
    </w:p>
    <w:p w14:paraId="7A2BE89D" w14:textId="2AA04B49" w:rsidR="000E677F" w:rsidRDefault="000E677F" w:rsidP="000E677F">
      <w:pPr>
        <w:pStyle w:val="Note"/>
      </w:pPr>
      <w:r>
        <w:t>(</w:t>
      </w:r>
      <w:r w:rsidR="00804533">
        <w:t>b</w:t>
      </w:r>
      <w:r>
        <w:t>)</w:t>
      </w:r>
      <w:r>
        <w:tab/>
        <w:t>Data sourced from Victorian WorkCover Authority (VWA).</w:t>
      </w:r>
    </w:p>
    <w:p w14:paraId="5F1492F7" w14:textId="08A5CC05" w:rsidR="00DC39DE" w:rsidRDefault="000E677F" w:rsidP="0009716C">
      <w:pPr>
        <w:pStyle w:val="Note"/>
      </w:pPr>
      <w:r>
        <w:t>(</w:t>
      </w:r>
      <w:r w:rsidR="00804533">
        <w:t>c</w:t>
      </w:r>
      <w:r>
        <w:t>)</w:t>
      </w:r>
      <w:r>
        <w:tab/>
        <w:t xml:space="preserve">The fatality claim received in 2017-18 was due to a vehicle accident. </w:t>
      </w:r>
      <w:r w:rsidRPr="20EC4723">
        <w:rPr>
          <w:rStyle w:val="Guidance"/>
        </w:rPr>
        <w:t>[An explanation of the circumstances contributing to the fatality and the preventive measures taken should also be included. However, in circumstances where the fatality is under investigation or subject to an inquiry, a statement to that effect should be included.]</w:t>
      </w:r>
      <w:r w:rsidR="0009716C">
        <w:t xml:space="preserve"> </w:t>
      </w:r>
      <w:r w:rsidR="0009716C" w:rsidRPr="20EC4723">
        <w:rPr>
          <w:rStyle w:val="Reference"/>
          <w:sz w:val="14"/>
          <w:szCs w:val="14"/>
        </w:rPr>
        <w:t xml:space="preserve">[Recommendation 24, PAEC </w:t>
      </w:r>
      <w:r w:rsidR="0B920CEA" w:rsidRPr="20EC4723">
        <w:rPr>
          <w:rStyle w:val="Reference"/>
          <w:sz w:val="14"/>
          <w:szCs w:val="14"/>
        </w:rPr>
        <w:t>Review of the 2009-10 and 2010-11 Annual Reports</w:t>
      </w:r>
      <w:r w:rsidR="0009716C" w:rsidRPr="20EC4723">
        <w:rPr>
          <w:rStyle w:val="Reference"/>
          <w:sz w:val="14"/>
          <w:szCs w:val="14"/>
        </w:rPr>
        <w:t>]</w:t>
      </w:r>
    </w:p>
    <w:p w14:paraId="56B2836C" w14:textId="77777777" w:rsidR="00E019F0" w:rsidRDefault="00E019F0">
      <w:pPr>
        <w:keepLines w:val="0"/>
        <w:rPr>
          <w:rFonts w:asciiTheme="majorHAnsi" w:eastAsiaTheme="majorEastAsia" w:hAnsiTheme="majorHAnsi" w:cstheme="majorBidi"/>
          <w:b/>
          <w:sz w:val="22"/>
          <w:szCs w:val="24"/>
        </w:rPr>
      </w:pPr>
      <w:r>
        <w:br w:type="page"/>
      </w:r>
    </w:p>
    <w:p w14:paraId="2885B7A2" w14:textId="0A0AAD99" w:rsidR="00DC39DE" w:rsidRDefault="00DC39DE" w:rsidP="0009716C">
      <w:pPr>
        <w:pStyle w:val="Heading3"/>
      </w:pPr>
      <w:bookmarkStart w:id="122" w:name="INDEXemploymentconductprinciples"/>
      <w:bookmarkEnd w:id="122"/>
      <w:r>
        <w:lastRenderedPageBreak/>
        <w:t>Employment and conduct principles</w:t>
      </w:r>
    </w:p>
    <w:p w14:paraId="104389F1" w14:textId="3F427C9A" w:rsidR="0009716C" w:rsidRDefault="0009716C" w:rsidP="0009716C">
      <w:r>
        <w:t xml:space="preserve">The Department is committed to applying merit and equity principles when appointing staff. The selection processes ensure applicants are assessed and evaluated fairly and equitably on the basis of the key selection criteria and other accountabilities without discrimination. Employees have been correctly classified in workforce data collections. </w:t>
      </w:r>
      <w:r w:rsidRPr="0009716C">
        <w:rPr>
          <w:rStyle w:val="Reference"/>
        </w:rPr>
        <w:t>[FRD 22]</w:t>
      </w:r>
    </w:p>
    <w:p w14:paraId="169052F6" w14:textId="2C22B5D0" w:rsidR="0009716C" w:rsidRDefault="0009716C" w:rsidP="0009716C">
      <w:pPr>
        <w:pStyle w:val="GuidanceBlockHeading"/>
      </w:pPr>
      <w:r>
        <w:t>Guidance – Occupational health and safety</w:t>
      </w:r>
    </w:p>
    <w:p w14:paraId="39CB767E" w14:textId="32492DEF" w:rsidR="0009716C" w:rsidRPr="0009716C" w:rsidRDefault="0009716C" w:rsidP="0009716C">
      <w:pPr>
        <w:rPr>
          <w:rStyle w:val="Guidance"/>
        </w:rPr>
      </w:pPr>
      <w:r w:rsidRPr="0009716C">
        <w:rPr>
          <w:rStyle w:val="Guidance"/>
        </w:rPr>
        <w:t>FRD 22 requires an entity to disclose:</w:t>
      </w:r>
    </w:p>
    <w:p w14:paraId="4D8D926B" w14:textId="11A6BFE0" w:rsidR="0009716C" w:rsidRPr="0009716C" w:rsidRDefault="0009716C" w:rsidP="00367D84">
      <w:pPr>
        <w:pStyle w:val="ListBullet"/>
        <w:numPr>
          <w:ilvl w:val="0"/>
          <w:numId w:val="20"/>
        </w:numPr>
        <w:rPr>
          <w:rStyle w:val="Guidance"/>
        </w:rPr>
      </w:pPr>
      <w:r w:rsidRPr="0009716C">
        <w:rPr>
          <w:rStyle w:val="Guidance"/>
        </w:rPr>
        <w:t xml:space="preserve">a statement on occupational health and safety matters, including the performance indicators adopted to monitor such matters and the entity’s performance against those indicators </w:t>
      </w:r>
    </w:p>
    <w:p w14:paraId="4B36FA1F" w14:textId="28943439" w:rsidR="0009716C" w:rsidRPr="0009716C" w:rsidRDefault="0009716C" w:rsidP="00367D84">
      <w:pPr>
        <w:pStyle w:val="ListBullet"/>
        <w:numPr>
          <w:ilvl w:val="0"/>
          <w:numId w:val="20"/>
        </w:numPr>
        <w:rPr>
          <w:rStyle w:val="Guidance"/>
        </w:rPr>
      </w:pPr>
      <w:r w:rsidRPr="0009716C">
        <w:rPr>
          <w:rStyle w:val="Guidance"/>
        </w:rPr>
        <w:t>workforce data for the current and previous financial year, including a general statement on the application of employment and conduct principles and that employees have been correctly classified in workforce data collections.</w:t>
      </w:r>
    </w:p>
    <w:p w14:paraId="17265CA4" w14:textId="5898107D" w:rsidR="0009716C" w:rsidRPr="0009716C" w:rsidRDefault="0009716C" w:rsidP="0009716C">
      <w:pPr>
        <w:pStyle w:val="GuidanceHeading"/>
        <w:rPr>
          <w:rStyle w:val="Guidance"/>
        </w:rPr>
      </w:pPr>
      <w:r w:rsidRPr="20EC4723">
        <w:rPr>
          <w:rStyle w:val="Guidance"/>
        </w:rPr>
        <w:t xml:space="preserve">Guidance </w:t>
      </w:r>
      <w:r w:rsidRPr="20EC4723">
        <w:rPr>
          <w:rStyle w:val="Reference"/>
        </w:rPr>
        <w:t xml:space="preserve">[Recommendation 10, PAEC </w:t>
      </w:r>
      <w:r w:rsidR="4F15003B" w:rsidRPr="20EC4723">
        <w:rPr>
          <w:rStyle w:val="Reference"/>
        </w:rPr>
        <w:t>Review of the 2009-10 and 2010-11 Annual Reports</w:t>
      </w:r>
      <w:r w:rsidRPr="20EC4723">
        <w:rPr>
          <w:rStyle w:val="Reference"/>
        </w:rPr>
        <w:t>]</w:t>
      </w:r>
    </w:p>
    <w:p w14:paraId="35BCD034" w14:textId="77777777" w:rsidR="0009716C" w:rsidRPr="0009716C" w:rsidRDefault="0009716C" w:rsidP="0009716C">
      <w:pPr>
        <w:rPr>
          <w:rStyle w:val="Guidance"/>
        </w:rPr>
      </w:pPr>
      <w:r w:rsidRPr="0009716C">
        <w:rPr>
          <w:rStyle w:val="Guidance"/>
        </w:rPr>
        <w:t>General commentary on programs or initiatives that have a significant impact on occupational health and safety incidents between the current and previous reporting period should be explained in the report of operations. Entities are required to explain significant variances between:</w:t>
      </w:r>
    </w:p>
    <w:p w14:paraId="278C1F74" w14:textId="451BADD8" w:rsidR="0009716C" w:rsidRPr="0009716C" w:rsidRDefault="0009716C" w:rsidP="00367D84">
      <w:pPr>
        <w:pStyle w:val="ListBullet"/>
        <w:numPr>
          <w:ilvl w:val="0"/>
          <w:numId w:val="21"/>
        </w:numPr>
        <w:rPr>
          <w:rStyle w:val="Guidance"/>
        </w:rPr>
      </w:pPr>
      <w:r w:rsidRPr="0009716C">
        <w:rPr>
          <w:rStyle w:val="Guidance"/>
        </w:rPr>
        <w:t>the number of reported hazards/incidents for the year</w:t>
      </w:r>
    </w:p>
    <w:p w14:paraId="459F6055" w14:textId="51E91D85" w:rsidR="0009716C" w:rsidRPr="0009716C" w:rsidRDefault="0009716C" w:rsidP="00367D84">
      <w:pPr>
        <w:pStyle w:val="ListBullet"/>
        <w:numPr>
          <w:ilvl w:val="0"/>
          <w:numId w:val="21"/>
        </w:numPr>
        <w:rPr>
          <w:rStyle w:val="Guidance"/>
        </w:rPr>
      </w:pPr>
      <w:r w:rsidRPr="0009716C">
        <w:rPr>
          <w:rStyle w:val="Guidance"/>
        </w:rPr>
        <w:t>the number of ‘lost time’ standard claims for the year</w:t>
      </w:r>
    </w:p>
    <w:p w14:paraId="2CE2995F" w14:textId="246554D9" w:rsidR="00DC39DE" w:rsidRPr="0009716C" w:rsidRDefault="0009716C" w:rsidP="00367D84">
      <w:pPr>
        <w:pStyle w:val="ListBullet"/>
        <w:numPr>
          <w:ilvl w:val="0"/>
          <w:numId w:val="21"/>
        </w:numPr>
        <w:rPr>
          <w:rStyle w:val="Guidance"/>
        </w:rPr>
      </w:pPr>
      <w:r w:rsidRPr="0009716C">
        <w:rPr>
          <w:rStyle w:val="Guidance"/>
        </w:rPr>
        <w:t>the average cost per claim for the year, including payments to date plus an estimate of outstanding claim costs as advised by WorkSafe.</w:t>
      </w:r>
    </w:p>
    <w:p w14:paraId="0C228AFC" w14:textId="77777777" w:rsidR="00DC39DE" w:rsidRDefault="00DC39DE" w:rsidP="0009716C">
      <w:pPr>
        <w:pStyle w:val="GuidanceEnd"/>
      </w:pPr>
    </w:p>
    <w:p w14:paraId="5467F9C4" w14:textId="77777777" w:rsidR="00DC39DE" w:rsidRDefault="00DC39DE" w:rsidP="00DC39DE"/>
    <w:p w14:paraId="33E5C7BE" w14:textId="77777777" w:rsidR="00DC39DE" w:rsidRDefault="00DC39DE" w:rsidP="00DC39DE">
      <w:r>
        <w:t xml:space="preserve"> </w:t>
      </w:r>
    </w:p>
    <w:p w14:paraId="794E8400" w14:textId="77777777" w:rsidR="0009716C" w:rsidRDefault="0009716C">
      <w:pPr>
        <w:keepLines w:val="0"/>
        <w:rPr>
          <w:rFonts w:asciiTheme="majorHAnsi" w:eastAsiaTheme="majorEastAsia" w:hAnsiTheme="majorHAnsi" w:cstheme="majorBidi"/>
          <w:b/>
          <w:caps/>
          <w:sz w:val="32"/>
          <w:szCs w:val="32"/>
        </w:rPr>
      </w:pPr>
      <w:r>
        <w:br w:type="page"/>
      </w:r>
    </w:p>
    <w:p w14:paraId="112CA150" w14:textId="64E9A4DF" w:rsidR="00DC39DE" w:rsidRPr="00CF1264" w:rsidRDefault="00CF1264" w:rsidP="00CF1264">
      <w:pPr>
        <w:pStyle w:val="Heading1"/>
      </w:pPr>
      <w:bookmarkStart w:id="123" w:name="Report_Section3"/>
      <w:bookmarkStart w:id="124" w:name="_Toc65769756"/>
      <w:bookmarkStart w:id="125" w:name="_Toc199156280"/>
      <w:bookmarkStart w:id="126" w:name="_Toc199156552"/>
      <w:bookmarkEnd w:id="123"/>
      <w:r w:rsidRPr="00CF1264">
        <w:lastRenderedPageBreak/>
        <w:t>Section 3: Workforce data</w:t>
      </w:r>
      <w:bookmarkEnd w:id="124"/>
      <w:bookmarkEnd w:id="125"/>
      <w:bookmarkEnd w:id="126"/>
    </w:p>
    <w:p w14:paraId="78353301" w14:textId="77777777" w:rsidR="00DC39DE" w:rsidRDefault="00DC39DE" w:rsidP="00A90932">
      <w:pPr>
        <w:pStyle w:val="Heading2"/>
      </w:pPr>
      <w:bookmarkStart w:id="127" w:name="_Toc199156281"/>
      <w:r>
        <w:t>Public sector values and employment principles</w:t>
      </w:r>
      <w:bookmarkEnd w:id="127"/>
    </w:p>
    <w:p w14:paraId="2BF2AF5E" w14:textId="77777777" w:rsidR="00DC39DE" w:rsidRDefault="00DC39DE" w:rsidP="00DC39DE">
      <w:r>
        <w:t xml:space="preserve">The </w:t>
      </w:r>
      <w:r w:rsidRPr="00A90932">
        <w:rPr>
          <w:i/>
          <w:iCs/>
        </w:rPr>
        <w:t>Public Administration Act 2004</w:t>
      </w:r>
      <w:r>
        <w:t xml:space="preserve"> established the Victorian Public Sector Commission (VPSC). The VPSC’s role is to strengthen public sector efficiency, effectiveness and capability, and advocate for public sector professionalism and integrity. </w:t>
      </w:r>
    </w:p>
    <w:p w14:paraId="183E6252" w14:textId="77777777" w:rsidR="00DC39DE" w:rsidRDefault="00DC39DE" w:rsidP="00DC39DE">
      <w:r>
        <w:t>The Department introduced policies and practices that are consistent with the VPSC’s employment standards and provide for fair treatment, career opportunities and the early resolution of workplace issues. The Department advised its employees on how to avoid conflicts of interest, how to respond to offers of gifts and how it deals with misconduct.</w:t>
      </w:r>
    </w:p>
    <w:p w14:paraId="36A2790D" w14:textId="42758A49" w:rsidR="00A90932" w:rsidRPr="00A90932" w:rsidRDefault="00A90932" w:rsidP="00E019F0">
      <w:pPr>
        <w:pStyle w:val="GuidanceBlockHeading"/>
      </w:pPr>
      <w:r w:rsidRPr="00A90932">
        <w:t>Guidance – Public sector values and employment principles</w:t>
      </w:r>
    </w:p>
    <w:p w14:paraId="120AC430" w14:textId="18F13BD5" w:rsidR="00A90932" w:rsidRPr="00A90932" w:rsidRDefault="00A90932" w:rsidP="00A90932">
      <w:pPr>
        <w:pStyle w:val="GuidanceHeading"/>
        <w:rPr>
          <w:rStyle w:val="Guidance"/>
        </w:rPr>
      </w:pPr>
      <w:r w:rsidRPr="00A90932">
        <w:rPr>
          <w:rStyle w:val="Guidance"/>
        </w:rPr>
        <w:t>Legislative and documented references</w:t>
      </w:r>
    </w:p>
    <w:p w14:paraId="42151E75" w14:textId="77777777" w:rsidR="00A90932" w:rsidRPr="00A90932" w:rsidRDefault="00A90932" w:rsidP="00A90932">
      <w:pPr>
        <w:rPr>
          <w:rStyle w:val="Guidance"/>
        </w:rPr>
      </w:pPr>
      <w:r w:rsidRPr="00A90932">
        <w:rPr>
          <w:rStyle w:val="Guidance"/>
        </w:rPr>
        <w:t xml:space="preserve">The </w:t>
      </w:r>
      <w:r w:rsidRPr="00A90932">
        <w:rPr>
          <w:rStyle w:val="Guidance"/>
          <w:i/>
          <w:iCs/>
        </w:rPr>
        <w:t>Public Administration Act 2004</w:t>
      </w:r>
      <w:r w:rsidRPr="00A90932">
        <w:rPr>
          <w:rStyle w:val="Guidance"/>
        </w:rPr>
        <w:t xml:space="preserve"> (PAA) enshrines public sector values (s7) and employment principles (s8). This Act establishes the Victorian Public Sector Commission (VPSC). </w:t>
      </w:r>
    </w:p>
    <w:p w14:paraId="3F3E511C" w14:textId="77777777" w:rsidR="00A90932" w:rsidRPr="00A90932" w:rsidRDefault="00A90932" w:rsidP="00A90932">
      <w:pPr>
        <w:rPr>
          <w:rStyle w:val="Guidance"/>
        </w:rPr>
      </w:pPr>
      <w:r w:rsidRPr="00A90932">
        <w:rPr>
          <w:rStyle w:val="Guidance"/>
        </w:rPr>
        <w:t xml:space="preserve">The VPSC’s role is to maintain and advocate for public sector professionalism and integrity. </w:t>
      </w:r>
    </w:p>
    <w:p w14:paraId="54BA7A82" w14:textId="77777777" w:rsidR="00A90932" w:rsidRPr="00A90932" w:rsidRDefault="00A90932" w:rsidP="00A90932">
      <w:pPr>
        <w:rPr>
          <w:rStyle w:val="Guidance"/>
        </w:rPr>
      </w:pPr>
      <w:r w:rsidRPr="00A90932">
        <w:rPr>
          <w:rStyle w:val="Guidance"/>
        </w:rPr>
        <w:t>To do this the VPSC may:</w:t>
      </w:r>
    </w:p>
    <w:p w14:paraId="10FAB72E" w14:textId="771E604A" w:rsidR="00A90932" w:rsidRPr="00A90932" w:rsidRDefault="00A90932" w:rsidP="00367D84">
      <w:pPr>
        <w:pStyle w:val="ListBullet"/>
        <w:numPr>
          <w:ilvl w:val="0"/>
          <w:numId w:val="22"/>
        </w:numPr>
        <w:rPr>
          <w:rStyle w:val="Guidance"/>
        </w:rPr>
      </w:pPr>
      <w:r w:rsidRPr="00A90932">
        <w:rPr>
          <w:rStyle w:val="Guidance"/>
        </w:rPr>
        <w:t>prepare and issue codes of conduct to promote adherence to public sector values (s61)</w:t>
      </w:r>
    </w:p>
    <w:p w14:paraId="7D520D0A" w14:textId="6360E314" w:rsidR="00A90932" w:rsidRPr="00A90932" w:rsidRDefault="00A90932" w:rsidP="00367D84">
      <w:pPr>
        <w:pStyle w:val="ListBullet"/>
        <w:numPr>
          <w:ilvl w:val="0"/>
          <w:numId w:val="22"/>
        </w:numPr>
        <w:rPr>
          <w:rStyle w:val="Guidance"/>
        </w:rPr>
      </w:pPr>
      <w:r w:rsidRPr="00A90932">
        <w:rPr>
          <w:rStyle w:val="Guidance"/>
        </w:rPr>
        <w:t>establish and issue standards concerning the application of employment principles (s62)</w:t>
      </w:r>
    </w:p>
    <w:p w14:paraId="4FCB34B7" w14:textId="16F45B32" w:rsidR="00A90932" w:rsidRPr="00A90932" w:rsidRDefault="00A90932" w:rsidP="00367D84">
      <w:pPr>
        <w:pStyle w:val="ListBullet"/>
        <w:numPr>
          <w:ilvl w:val="0"/>
          <w:numId w:val="22"/>
        </w:numPr>
        <w:rPr>
          <w:rStyle w:val="Guidance"/>
        </w:rPr>
      </w:pPr>
      <w:r w:rsidRPr="00A90932">
        <w:rPr>
          <w:rStyle w:val="Guidance"/>
        </w:rPr>
        <w:t>monitor and report to public sector body heads on compliance with the public sector values, codes of conduct, and public sector employment principles and standards (s63)</w:t>
      </w:r>
    </w:p>
    <w:p w14:paraId="41B22287" w14:textId="26BD966E" w:rsidR="00A90932" w:rsidRPr="00A90932" w:rsidRDefault="00A90932" w:rsidP="00367D84">
      <w:pPr>
        <w:pStyle w:val="ListBullet"/>
        <w:numPr>
          <w:ilvl w:val="0"/>
          <w:numId w:val="22"/>
        </w:numPr>
        <w:rPr>
          <w:rStyle w:val="Guidance"/>
        </w:rPr>
      </w:pPr>
      <w:r w:rsidRPr="00A90932">
        <w:rPr>
          <w:rStyle w:val="Guidance"/>
        </w:rPr>
        <w:t xml:space="preserve">review employment-related actions and make recommendations following those reviews (s64 and s65). </w:t>
      </w:r>
    </w:p>
    <w:p w14:paraId="69E36AE9" w14:textId="280285B9" w:rsidR="00A90932" w:rsidRPr="00A90932" w:rsidRDefault="00A90932" w:rsidP="00A90932">
      <w:pPr>
        <w:rPr>
          <w:rStyle w:val="Guidance"/>
        </w:rPr>
      </w:pPr>
      <w:r w:rsidRPr="00A90932">
        <w:rPr>
          <w:rStyle w:val="Guidance"/>
        </w:rPr>
        <w:t>Departments should check for further FRD 22</w:t>
      </w:r>
      <w:r w:rsidR="00970F95">
        <w:rPr>
          <w:rStyle w:val="Guidance"/>
        </w:rPr>
        <w:t xml:space="preserve"> </w:t>
      </w:r>
      <w:r w:rsidRPr="00A90932">
        <w:rPr>
          <w:rStyle w:val="Guidance"/>
        </w:rPr>
        <w:t xml:space="preserve">workforce requirements that may not be illustrated in the Model, and any other information on reporting requirements that may be contained on the VPSC website </w:t>
      </w:r>
      <w:hyperlink r:id="rId50" w:history="1">
        <w:r w:rsidRPr="00A90932">
          <w:rPr>
            <w:rStyle w:val="Hyperlink"/>
          </w:rPr>
          <w:t>vpsc.vic.gov.au</w:t>
        </w:r>
      </w:hyperlink>
      <w:r w:rsidRPr="00A90932">
        <w:rPr>
          <w:rStyle w:val="Guidance"/>
        </w:rPr>
        <w:t>.</w:t>
      </w:r>
    </w:p>
    <w:p w14:paraId="6174D630" w14:textId="77777777" w:rsidR="00DC39DE" w:rsidRDefault="00DC39DE" w:rsidP="00A90932">
      <w:pPr>
        <w:pStyle w:val="GuidanceEnd"/>
      </w:pPr>
    </w:p>
    <w:p w14:paraId="5A49DA22" w14:textId="77777777" w:rsidR="00DC39DE" w:rsidRDefault="00DC39DE" w:rsidP="00DC39DE">
      <w:r>
        <w:t xml:space="preserve"> </w:t>
      </w:r>
    </w:p>
    <w:p w14:paraId="180BC5C8" w14:textId="77777777" w:rsidR="007205E6" w:rsidRDefault="007205E6" w:rsidP="00A90932">
      <w:pPr>
        <w:pStyle w:val="Heading2"/>
        <w:sectPr w:rsidR="007205E6" w:rsidSect="003C0AEA">
          <w:headerReference w:type="even" r:id="rId51"/>
          <w:headerReference w:type="default" r:id="rId52"/>
          <w:headerReference w:type="first" r:id="rId53"/>
          <w:pgSz w:w="11906" w:h="16838" w:code="9"/>
          <w:pgMar w:top="1134" w:right="1134" w:bottom="1134" w:left="1134" w:header="624" w:footer="567" w:gutter="0"/>
          <w:cols w:space="708"/>
          <w:titlePg/>
          <w:docGrid w:linePitch="360"/>
        </w:sectPr>
      </w:pPr>
    </w:p>
    <w:p w14:paraId="5E423D5D" w14:textId="124AB3C5" w:rsidR="00DC39DE" w:rsidRDefault="00DC39DE" w:rsidP="00A90932">
      <w:pPr>
        <w:pStyle w:val="Heading2"/>
      </w:pPr>
      <w:bookmarkStart w:id="128" w:name="_Toc199156282"/>
      <w:r w:rsidRPr="00BF5F52">
        <w:lastRenderedPageBreak/>
        <w:t>Comparative workforce data</w:t>
      </w:r>
      <w:r>
        <w:t xml:space="preserve"> </w:t>
      </w:r>
      <w:r w:rsidR="00DD7236" w:rsidRPr="00693DB9">
        <w:rPr>
          <w:color w:val="7030A0"/>
        </w:rPr>
        <w:t>[REVISED]</w:t>
      </w:r>
      <w:bookmarkEnd w:id="128"/>
    </w:p>
    <w:p w14:paraId="2E391205" w14:textId="65592063" w:rsidR="00DC39DE" w:rsidRDefault="00DC39DE" w:rsidP="00DC39DE">
      <w:r>
        <w:t>The following table discloses the head count and full-time equivalent (FTE) of all active public service employees of the Department, employed in the last full pay period in June of the current reporting period, and in the last full pay period in June of the previous reporting period (</w:t>
      </w:r>
      <w:fldSimple w:instr="DOCPROPERTY  YearPrevious  \* MERGEFORMAT">
        <w:r w:rsidR="00A545BA">
          <w:t>20X1</w:t>
        </w:r>
      </w:fldSimple>
      <w:r>
        <w:t xml:space="preserve">). </w:t>
      </w:r>
    </w:p>
    <w:p w14:paraId="5E751F9C" w14:textId="6522CCA6" w:rsidR="00DC39DE" w:rsidRDefault="00A90932" w:rsidP="00A90932">
      <w:pPr>
        <w:pStyle w:val="Caption"/>
        <w:rPr>
          <w:rStyle w:val="Reference"/>
        </w:rPr>
      </w:pPr>
      <w:r w:rsidRPr="00A90932">
        <w:t xml:space="preserve">Table 6: </w:t>
      </w:r>
      <w:r w:rsidRPr="00A90932">
        <w:tab/>
        <w:t xml:space="preserve">Details of employment levels in June </w:t>
      </w:r>
      <w:fldSimple w:instr="DOCPROPERTY  YearPrevious  \* MERGEFORMAT">
        <w:r w:rsidR="00A545BA">
          <w:t>20X1</w:t>
        </w:r>
      </w:fldSimple>
      <w:r w:rsidRPr="00A90932">
        <w:t xml:space="preserve"> and </w:t>
      </w:r>
      <w:fldSimple w:instr="DOCPROPERTY  YearCurrent  \* MERGEFORMAT">
        <w:r w:rsidR="00A545BA">
          <w:t>20X2</w:t>
        </w:r>
      </w:fldSimple>
      <w:r>
        <w:t xml:space="preserve"> </w:t>
      </w:r>
      <w:r w:rsidRPr="00A90932">
        <w:rPr>
          <w:rStyle w:val="Reference"/>
        </w:rPr>
        <w:t>[FRD 29</w:t>
      </w:r>
      <w:r w:rsidR="00453770">
        <w:rPr>
          <w:rStyle w:val="Reference"/>
        </w:rPr>
        <w:t xml:space="preserve"> Revised</w:t>
      </w:r>
      <w:r w:rsidRPr="00A90932">
        <w:rPr>
          <w:rStyle w:val="Reference"/>
        </w:rPr>
        <w:t>]</w:t>
      </w:r>
    </w:p>
    <w:tbl>
      <w:tblPr>
        <w:tblStyle w:val="DTFFinancialTable"/>
        <w:tblW w:w="14459" w:type="dxa"/>
        <w:tblLayout w:type="fixed"/>
        <w:tblLook w:val="06E0" w:firstRow="1" w:lastRow="1" w:firstColumn="1" w:lastColumn="0" w:noHBand="1" w:noVBand="1"/>
      </w:tblPr>
      <w:tblGrid>
        <w:gridCol w:w="426"/>
        <w:gridCol w:w="1282"/>
        <w:gridCol w:w="986"/>
        <w:gridCol w:w="708"/>
        <w:gridCol w:w="1134"/>
        <w:gridCol w:w="993"/>
        <w:gridCol w:w="708"/>
        <w:gridCol w:w="1134"/>
        <w:gridCol w:w="709"/>
        <w:gridCol w:w="1134"/>
        <w:gridCol w:w="709"/>
        <w:gridCol w:w="992"/>
        <w:gridCol w:w="992"/>
        <w:gridCol w:w="709"/>
        <w:gridCol w:w="1134"/>
        <w:gridCol w:w="709"/>
      </w:tblGrid>
      <w:tr w:rsidR="007205E6" w:rsidRPr="00DD253A" w14:paraId="63738DEA" w14:textId="77777777" w:rsidTr="00DF5BA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6" w:type="dxa"/>
          </w:tcPr>
          <w:p w14:paraId="2FD26A4F" w14:textId="77777777" w:rsidR="007205E6" w:rsidRPr="00DD253A" w:rsidRDefault="007205E6" w:rsidP="007205E6">
            <w:pPr>
              <w:rPr>
                <w:sz w:val="15"/>
                <w:szCs w:val="15"/>
              </w:rPr>
            </w:pPr>
          </w:p>
        </w:tc>
        <w:tc>
          <w:tcPr>
            <w:tcW w:w="1282" w:type="dxa"/>
          </w:tcPr>
          <w:p w14:paraId="364522E1" w14:textId="77777777" w:rsidR="007205E6" w:rsidRPr="00DD253A" w:rsidRDefault="007205E6" w:rsidP="007205E6">
            <w:pPr>
              <w:cnfStyle w:val="100000000000" w:firstRow="1" w:lastRow="0" w:firstColumn="0" w:lastColumn="0" w:oddVBand="0" w:evenVBand="0" w:oddHBand="0" w:evenHBand="0" w:firstRowFirstColumn="0" w:firstRowLastColumn="0" w:lastRowFirstColumn="0" w:lastRowLastColumn="0"/>
              <w:rPr>
                <w:sz w:val="15"/>
                <w:szCs w:val="15"/>
              </w:rPr>
            </w:pPr>
          </w:p>
        </w:tc>
        <w:tc>
          <w:tcPr>
            <w:tcW w:w="6372" w:type="dxa"/>
            <w:gridSpan w:val="7"/>
            <w:tcBorders>
              <w:bottom w:val="single" w:sz="6" w:space="0" w:color="FFFFFF" w:themeColor="background1"/>
            </w:tcBorders>
          </w:tcPr>
          <w:p w14:paraId="1557E4D6" w14:textId="64B64DE8" w:rsidR="007205E6" w:rsidRPr="00DD253A" w:rsidRDefault="007205E6" w:rsidP="007205E6">
            <w:pPr>
              <w:jc w:val="cente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 xml:space="preserve">June </w:t>
            </w:r>
            <w:r>
              <w:rPr>
                <w:sz w:val="15"/>
                <w:szCs w:val="15"/>
              </w:rPr>
              <w:fldChar w:fldCharType="begin"/>
            </w:r>
            <w:r>
              <w:rPr>
                <w:sz w:val="15"/>
                <w:szCs w:val="15"/>
              </w:rPr>
              <w:instrText xml:space="preserve"> DOCPROPERTY  YearCurrent  \* MERGEFORMAT </w:instrText>
            </w:r>
            <w:r>
              <w:rPr>
                <w:sz w:val="15"/>
                <w:szCs w:val="15"/>
              </w:rPr>
              <w:fldChar w:fldCharType="separate"/>
            </w:r>
            <w:r w:rsidR="00A545BA">
              <w:rPr>
                <w:sz w:val="15"/>
                <w:szCs w:val="15"/>
              </w:rPr>
              <w:t>20X2</w:t>
            </w:r>
            <w:r>
              <w:rPr>
                <w:sz w:val="15"/>
                <w:szCs w:val="15"/>
              </w:rPr>
              <w:fldChar w:fldCharType="end"/>
            </w:r>
          </w:p>
        </w:tc>
        <w:tc>
          <w:tcPr>
            <w:tcW w:w="6379" w:type="dxa"/>
            <w:gridSpan w:val="7"/>
          </w:tcPr>
          <w:p w14:paraId="67F2AA13" w14:textId="2A546BDB" w:rsidR="007205E6" w:rsidRPr="00DD253A" w:rsidRDefault="007205E6" w:rsidP="007205E6">
            <w:pPr>
              <w:jc w:val="cente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 xml:space="preserve">June </w:t>
            </w:r>
            <w:r>
              <w:rPr>
                <w:sz w:val="15"/>
                <w:szCs w:val="15"/>
              </w:rPr>
              <w:fldChar w:fldCharType="begin"/>
            </w:r>
            <w:r>
              <w:rPr>
                <w:sz w:val="15"/>
                <w:szCs w:val="15"/>
              </w:rPr>
              <w:instrText xml:space="preserve"> DOCPROPERTY  YearPrevious  \* MERGEFORMAT </w:instrText>
            </w:r>
            <w:r>
              <w:rPr>
                <w:sz w:val="15"/>
                <w:szCs w:val="15"/>
              </w:rPr>
              <w:fldChar w:fldCharType="separate"/>
            </w:r>
            <w:r w:rsidR="00A545BA">
              <w:rPr>
                <w:sz w:val="15"/>
                <w:szCs w:val="15"/>
              </w:rPr>
              <w:t>20X1</w:t>
            </w:r>
            <w:r>
              <w:rPr>
                <w:sz w:val="15"/>
                <w:szCs w:val="15"/>
              </w:rPr>
              <w:fldChar w:fldCharType="end"/>
            </w:r>
          </w:p>
        </w:tc>
      </w:tr>
      <w:tr w:rsidR="007205E6" w:rsidRPr="00DD253A" w14:paraId="42965C8E" w14:textId="77777777" w:rsidTr="00DF5BA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6" w:type="dxa"/>
          </w:tcPr>
          <w:p w14:paraId="6318433D" w14:textId="77777777" w:rsidR="007205E6" w:rsidRPr="00DD253A" w:rsidRDefault="007205E6" w:rsidP="007205E6">
            <w:pPr>
              <w:rPr>
                <w:sz w:val="15"/>
                <w:szCs w:val="15"/>
              </w:rPr>
            </w:pPr>
          </w:p>
        </w:tc>
        <w:tc>
          <w:tcPr>
            <w:tcW w:w="1282" w:type="dxa"/>
          </w:tcPr>
          <w:p w14:paraId="34D87751" w14:textId="77777777" w:rsidR="007205E6" w:rsidRPr="00DD253A" w:rsidRDefault="007205E6" w:rsidP="007205E6">
            <w:pPr>
              <w:cnfStyle w:val="100000000000" w:firstRow="1" w:lastRow="0" w:firstColumn="0" w:lastColumn="0" w:oddVBand="0" w:evenVBand="0" w:oddHBand="0" w:evenHBand="0" w:firstRowFirstColumn="0" w:firstRowLastColumn="0" w:lastRowFirstColumn="0" w:lastRowLastColumn="0"/>
              <w:rPr>
                <w:sz w:val="15"/>
                <w:szCs w:val="15"/>
              </w:rPr>
            </w:pPr>
          </w:p>
        </w:tc>
        <w:tc>
          <w:tcPr>
            <w:tcW w:w="1694" w:type="dxa"/>
            <w:gridSpan w:val="2"/>
          </w:tcPr>
          <w:p w14:paraId="6F663770" w14:textId="77777777" w:rsidR="007205E6" w:rsidRPr="00DD253A" w:rsidRDefault="007205E6" w:rsidP="007205E6">
            <w:pPr>
              <w:jc w:val="cente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All employees</w:t>
            </w:r>
          </w:p>
        </w:tc>
        <w:tc>
          <w:tcPr>
            <w:tcW w:w="2835" w:type="dxa"/>
            <w:gridSpan w:val="3"/>
          </w:tcPr>
          <w:p w14:paraId="3F69BBCC" w14:textId="77777777" w:rsidR="007205E6" w:rsidRPr="00DD253A" w:rsidRDefault="007205E6" w:rsidP="007205E6">
            <w:pPr>
              <w:jc w:val="cente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Ongoing</w:t>
            </w:r>
          </w:p>
        </w:tc>
        <w:tc>
          <w:tcPr>
            <w:tcW w:w="1843" w:type="dxa"/>
            <w:gridSpan w:val="2"/>
          </w:tcPr>
          <w:p w14:paraId="5656618B" w14:textId="77777777" w:rsidR="007205E6" w:rsidRPr="00DD253A" w:rsidRDefault="007205E6" w:rsidP="007205E6">
            <w:pPr>
              <w:jc w:val="cente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 xml:space="preserve">Fixed term </w:t>
            </w:r>
            <w:r w:rsidRPr="00DD253A">
              <w:rPr>
                <w:sz w:val="15"/>
                <w:szCs w:val="15"/>
              </w:rPr>
              <w:br/>
              <w:t>and casual</w:t>
            </w:r>
          </w:p>
        </w:tc>
        <w:tc>
          <w:tcPr>
            <w:tcW w:w="1843" w:type="dxa"/>
            <w:gridSpan w:val="2"/>
          </w:tcPr>
          <w:p w14:paraId="4AE8E291" w14:textId="77777777" w:rsidR="007205E6" w:rsidRPr="00DD253A" w:rsidRDefault="007205E6" w:rsidP="007205E6">
            <w:pPr>
              <w:jc w:val="cente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All employees</w:t>
            </w:r>
          </w:p>
        </w:tc>
        <w:tc>
          <w:tcPr>
            <w:tcW w:w="2693" w:type="dxa"/>
            <w:gridSpan w:val="3"/>
          </w:tcPr>
          <w:p w14:paraId="6348C30B" w14:textId="77777777" w:rsidR="007205E6" w:rsidRPr="00DD253A" w:rsidRDefault="007205E6" w:rsidP="007205E6">
            <w:pPr>
              <w:jc w:val="cente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Ongoing</w:t>
            </w:r>
          </w:p>
        </w:tc>
        <w:tc>
          <w:tcPr>
            <w:tcW w:w="1843" w:type="dxa"/>
            <w:gridSpan w:val="2"/>
          </w:tcPr>
          <w:p w14:paraId="796F6C30" w14:textId="77777777" w:rsidR="007205E6" w:rsidRPr="00DD253A" w:rsidRDefault="007205E6" w:rsidP="007205E6">
            <w:pPr>
              <w:jc w:val="cente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 xml:space="preserve">Fixed term </w:t>
            </w:r>
            <w:r w:rsidRPr="00DD253A">
              <w:rPr>
                <w:sz w:val="15"/>
                <w:szCs w:val="15"/>
              </w:rPr>
              <w:br/>
              <w:t>and casual</w:t>
            </w:r>
          </w:p>
        </w:tc>
      </w:tr>
      <w:tr w:rsidR="00DD470D" w:rsidRPr="00DD253A" w14:paraId="76F99502" w14:textId="77777777" w:rsidTr="00DF5BA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6" w:type="dxa"/>
          </w:tcPr>
          <w:p w14:paraId="1D699BD0" w14:textId="77777777" w:rsidR="007205E6" w:rsidRPr="00DD253A" w:rsidRDefault="007205E6" w:rsidP="007205E6">
            <w:pPr>
              <w:rPr>
                <w:sz w:val="15"/>
                <w:szCs w:val="15"/>
              </w:rPr>
            </w:pPr>
          </w:p>
        </w:tc>
        <w:tc>
          <w:tcPr>
            <w:tcW w:w="1282" w:type="dxa"/>
          </w:tcPr>
          <w:p w14:paraId="778B4770" w14:textId="77777777" w:rsidR="007205E6" w:rsidRPr="00DD253A" w:rsidRDefault="007205E6" w:rsidP="007205E6">
            <w:pPr>
              <w:cnfStyle w:val="100000000000" w:firstRow="1" w:lastRow="0" w:firstColumn="0" w:lastColumn="0" w:oddVBand="0" w:evenVBand="0" w:oddHBand="0" w:evenHBand="0" w:firstRowFirstColumn="0" w:firstRowLastColumn="0" w:lastRowFirstColumn="0" w:lastRowLastColumn="0"/>
              <w:rPr>
                <w:sz w:val="15"/>
                <w:szCs w:val="15"/>
              </w:rPr>
            </w:pPr>
          </w:p>
        </w:tc>
        <w:tc>
          <w:tcPr>
            <w:tcW w:w="986" w:type="dxa"/>
          </w:tcPr>
          <w:p w14:paraId="35407B77"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Number</w:t>
            </w:r>
          </w:p>
          <w:p w14:paraId="05CD4DBD"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(headcount)</w:t>
            </w:r>
          </w:p>
        </w:tc>
        <w:tc>
          <w:tcPr>
            <w:tcW w:w="708" w:type="dxa"/>
            <w:tcBorders>
              <w:bottom w:val="nil"/>
            </w:tcBorders>
          </w:tcPr>
          <w:p w14:paraId="302C0668"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FTE</w:t>
            </w:r>
          </w:p>
        </w:tc>
        <w:tc>
          <w:tcPr>
            <w:tcW w:w="1134" w:type="dxa"/>
          </w:tcPr>
          <w:p w14:paraId="23FE86D8"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Full-time</w:t>
            </w:r>
          </w:p>
          <w:p w14:paraId="7687D5BF"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(headcount)</w:t>
            </w:r>
          </w:p>
        </w:tc>
        <w:tc>
          <w:tcPr>
            <w:tcW w:w="993" w:type="dxa"/>
          </w:tcPr>
          <w:p w14:paraId="541FF2F4"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Part-time (headcount)</w:t>
            </w:r>
          </w:p>
        </w:tc>
        <w:tc>
          <w:tcPr>
            <w:tcW w:w="708" w:type="dxa"/>
            <w:tcBorders>
              <w:bottom w:val="nil"/>
            </w:tcBorders>
          </w:tcPr>
          <w:p w14:paraId="68B84A23"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FTE</w:t>
            </w:r>
          </w:p>
        </w:tc>
        <w:tc>
          <w:tcPr>
            <w:tcW w:w="1134" w:type="dxa"/>
          </w:tcPr>
          <w:p w14:paraId="01011635"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Number</w:t>
            </w:r>
          </w:p>
          <w:p w14:paraId="21BD9B8A"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(headcount)</w:t>
            </w:r>
          </w:p>
        </w:tc>
        <w:tc>
          <w:tcPr>
            <w:tcW w:w="709" w:type="dxa"/>
            <w:tcBorders>
              <w:bottom w:val="nil"/>
            </w:tcBorders>
          </w:tcPr>
          <w:p w14:paraId="0204BE07"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FTE</w:t>
            </w:r>
          </w:p>
        </w:tc>
        <w:tc>
          <w:tcPr>
            <w:tcW w:w="1134" w:type="dxa"/>
            <w:tcBorders>
              <w:bottom w:val="nil"/>
            </w:tcBorders>
          </w:tcPr>
          <w:p w14:paraId="0AFAB6B3"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Number</w:t>
            </w:r>
          </w:p>
          <w:p w14:paraId="4F3FA9F0"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(headcount)</w:t>
            </w:r>
          </w:p>
        </w:tc>
        <w:tc>
          <w:tcPr>
            <w:tcW w:w="709" w:type="dxa"/>
            <w:tcBorders>
              <w:bottom w:val="nil"/>
            </w:tcBorders>
          </w:tcPr>
          <w:p w14:paraId="58673827"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FTE</w:t>
            </w:r>
          </w:p>
        </w:tc>
        <w:tc>
          <w:tcPr>
            <w:tcW w:w="992" w:type="dxa"/>
            <w:tcBorders>
              <w:bottom w:val="nil"/>
            </w:tcBorders>
          </w:tcPr>
          <w:p w14:paraId="0AE20C8F"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Full-time</w:t>
            </w:r>
          </w:p>
          <w:p w14:paraId="1D087C01"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(headcount)</w:t>
            </w:r>
          </w:p>
        </w:tc>
        <w:tc>
          <w:tcPr>
            <w:tcW w:w="992" w:type="dxa"/>
            <w:tcBorders>
              <w:bottom w:val="nil"/>
            </w:tcBorders>
          </w:tcPr>
          <w:p w14:paraId="6989F2B9"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Part-time</w:t>
            </w:r>
          </w:p>
          <w:p w14:paraId="6C31A488"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(headcount)</w:t>
            </w:r>
          </w:p>
        </w:tc>
        <w:tc>
          <w:tcPr>
            <w:tcW w:w="709" w:type="dxa"/>
            <w:tcBorders>
              <w:bottom w:val="nil"/>
            </w:tcBorders>
          </w:tcPr>
          <w:p w14:paraId="4781E2E0"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FTE</w:t>
            </w:r>
          </w:p>
        </w:tc>
        <w:tc>
          <w:tcPr>
            <w:tcW w:w="1134" w:type="dxa"/>
            <w:tcBorders>
              <w:bottom w:val="nil"/>
            </w:tcBorders>
          </w:tcPr>
          <w:p w14:paraId="5CE993C0"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Number</w:t>
            </w:r>
          </w:p>
          <w:p w14:paraId="07D60791"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(headcount)</w:t>
            </w:r>
          </w:p>
        </w:tc>
        <w:tc>
          <w:tcPr>
            <w:tcW w:w="709" w:type="dxa"/>
            <w:tcBorders>
              <w:bottom w:val="nil"/>
            </w:tcBorders>
          </w:tcPr>
          <w:p w14:paraId="38ECFED9" w14:textId="77777777" w:rsidR="007205E6" w:rsidRPr="00DD253A" w:rsidRDefault="007205E6" w:rsidP="00E019F0">
            <w:pPr>
              <w:cnfStyle w:val="100000000000" w:firstRow="1" w:lastRow="0" w:firstColumn="0" w:lastColumn="0" w:oddVBand="0" w:evenVBand="0" w:oddHBand="0" w:evenHBand="0" w:firstRowFirstColumn="0" w:firstRowLastColumn="0" w:lastRowFirstColumn="0" w:lastRowLastColumn="0"/>
              <w:rPr>
                <w:sz w:val="15"/>
                <w:szCs w:val="15"/>
              </w:rPr>
            </w:pPr>
            <w:r w:rsidRPr="00DD253A">
              <w:rPr>
                <w:sz w:val="15"/>
                <w:szCs w:val="15"/>
              </w:rPr>
              <w:t>FTE</w:t>
            </w:r>
          </w:p>
        </w:tc>
      </w:tr>
      <w:tr w:rsidR="00573DAE" w:rsidRPr="00DD253A" w14:paraId="29FC75F4" w14:textId="77777777" w:rsidTr="001026C2">
        <w:tc>
          <w:tcPr>
            <w:cnfStyle w:val="001000000000" w:firstRow="0" w:lastRow="0" w:firstColumn="1" w:lastColumn="0" w:oddVBand="0" w:evenVBand="0" w:oddHBand="0" w:evenHBand="0" w:firstRowFirstColumn="0" w:firstRowLastColumn="0" w:lastRowFirstColumn="0" w:lastRowLastColumn="0"/>
            <w:tcW w:w="426" w:type="dxa"/>
            <w:vMerge w:val="restart"/>
            <w:textDirection w:val="btLr"/>
            <w:vAlign w:val="center"/>
          </w:tcPr>
          <w:p w14:paraId="5FD6672F" w14:textId="77777777" w:rsidR="007205E6" w:rsidRPr="00DD253A" w:rsidRDefault="007205E6" w:rsidP="007C78EB">
            <w:pPr>
              <w:jc w:val="center"/>
              <w:rPr>
                <w:b/>
                <w:bCs w:val="0"/>
                <w:sz w:val="15"/>
                <w:szCs w:val="15"/>
              </w:rPr>
            </w:pPr>
            <w:r w:rsidRPr="00DD253A">
              <w:rPr>
                <w:b/>
                <w:sz w:val="15"/>
                <w:szCs w:val="15"/>
              </w:rPr>
              <w:t>Demographic data</w:t>
            </w:r>
          </w:p>
        </w:tc>
        <w:tc>
          <w:tcPr>
            <w:tcW w:w="1282" w:type="dxa"/>
          </w:tcPr>
          <w:p w14:paraId="3F4160D9"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Gender</w:t>
            </w:r>
          </w:p>
        </w:tc>
        <w:tc>
          <w:tcPr>
            <w:tcW w:w="986" w:type="dxa"/>
          </w:tcPr>
          <w:p w14:paraId="4A2D387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8" w:type="dxa"/>
            <w:tcBorders>
              <w:right w:val="single" w:sz="6" w:space="0" w:color="auto"/>
            </w:tcBorders>
          </w:tcPr>
          <w:p w14:paraId="43DB88E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1134" w:type="dxa"/>
            <w:tcBorders>
              <w:left w:val="single" w:sz="6" w:space="0" w:color="auto"/>
            </w:tcBorders>
          </w:tcPr>
          <w:p w14:paraId="581F68F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993" w:type="dxa"/>
          </w:tcPr>
          <w:p w14:paraId="480BD42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8" w:type="dxa"/>
            <w:tcBorders>
              <w:right w:val="single" w:sz="6" w:space="0" w:color="auto"/>
            </w:tcBorders>
          </w:tcPr>
          <w:p w14:paraId="08D5D97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1134" w:type="dxa"/>
            <w:tcBorders>
              <w:left w:val="single" w:sz="6" w:space="0" w:color="auto"/>
            </w:tcBorders>
          </w:tcPr>
          <w:p w14:paraId="0F05990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9" w:type="dxa"/>
            <w:tcBorders>
              <w:right w:val="single" w:sz="6" w:space="0" w:color="auto"/>
            </w:tcBorders>
          </w:tcPr>
          <w:p w14:paraId="64CB9A3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1134" w:type="dxa"/>
            <w:tcBorders>
              <w:left w:val="single" w:sz="6" w:space="0" w:color="auto"/>
              <w:bottom w:val="nil"/>
            </w:tcBorders>
            <w:shd w:val="clear" w:color="auto" w:fill="F2F2F2" w:themeFill="background1" w:themeFillShade="F2"/>
          </w:tcPr>
          <w:p w14:paraId="71E854E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9" w:type="dxa"/>
            <w:tcBorders>
              <w:bottom w:val="nil"/>
              <w:right w:val="single" w:sz="6" w:space="0" w:color="auto"/>
            </w:tcBorders>
            <w:shd w:val="clear" w:color="auto" w:fill="F2F2F2" w:themeFill="background1" w:themeFillShade="F2"/>
          </w:tcPr>
          <w:p w14:paraId="790DCD6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992" w:type="dxa"/>
            <w:tcBorders>
              <w:left w:val="single" w:sz="6" w:space="0" w:color="auto"/>
              <w:bottom w:val="nil"/>
            </w:tcBorders>
            <w:shd w:val="clear" w:color="auto" w:fill="F2F2F2" w:themeFill="background1" w:themeFillShade="F2"/>
          </w:tcPr>
          <w:p w14:paraId="218CC33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992" w:type="dxa"/>
            <w:tcBorders>
              <w:bottom w:val="nil"/>
            </w:tcBorders>
            <w:shd w:val="clear" w:color="auto" w:fill="F2F2F2" w:themeFill="background1" w:themeFillShade="F2"/>
          </w:tcPr>
          <w:p w14:paraId="302967F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9" w:type="dxa"/>
            <w:tcBorders>
              <w:bottom w:val="nil"/>
              <w:right w:val="single" w:sz="6" w:space="0" w:color="auto"/>
            </w:tcBorders>
            <w:shd w:val="clear" w:color="auto" w:fill="F2F2F2" w:themeFill="background1" w:themeFillShade="F2"/>
          </w:tcPr>
          <w:p w14:paraId="3F85A8B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1134" w:type="dxa"/>
            <w:tcBorders>
              <w:left w:val="single" w:sz="6" w:space="0" w:color="auto"/>
              <w:bottom w:val="nil"/>
            </w:tcBorders>
            <w:shd w:val="clear" w:color="auto" w:fill="F2F2F2" w:themeFill="background1" w:themeFillShade="F2"/>
          </w:tcPr>
          <w:p w14:paraId="05A78E9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9" w:type="dxa"/>
            <w:tcBorders>
              <w:bottom w:val="nil"/>
            </w:tcBorders>
            <w:shd w:val="clear" w:color="auto" w:fill="F2F2F2" w:themeFill="background1" w:themeFillShade="F2"/>
          </w:tcPr>
          <w:p w14:paraId="081508B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r>
      <w:tr w:rsidR="00573DAE" w:rsidRPr="00DD253A" w14:paraId="020F9F79"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5545D5D3" w14:textId="77777777" w:rsidR="007205E6" w:rsidRPr="00DD253A" w:rsidRDefault="007205E6" w:rsidP="007C78EB">
            <w:pPr>
              <w:jc w:val="center"/>
              <w:rPr>
                <w:b/>
                <w:bCs w:val="0"/>
                <w:sz w:val="15"/>
                <w:szCs w:val="15"/>
              </w:rPr>
            </w:pPr>
          </w:p>
        </w:tc>
        <w:tc>
          <w:tcPr>
            <w:tcW w:w="1282" w:type="dxa"/>
          </w:tcPr>
          <w:p w14:paraId="7328E4BA"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 xml:space="preserve">Women </w:t>
            </w:r>
          </w:p>
        </w:tc>
        <w:tc>
          <w:tcPr>
            <w:tcW w:w="986" w:type="dxa"/>
          </w:tcPr>
          <w:p w14:paraId="02DBB50D" w14:textId="34CAE1BE"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24</w:t>
            </w:r>
            <w:r w:rsidR="00FC15ED">
              <w:rPr>
                <w:sz w:val="15"/>
                <w:szCs w:val="15"/>
              </w:rPr>
              <w:t>4</w:t>
            </w:r>
          </w:p>
        </w:tc>
        <w:tc>
          <w:tcPr>
            <w:tcW w:w="708" w:type="dxa"/>
            <w:tcBorders>
              <w:right w:val="single" w:sz="6" w:space="0" w:color="auto"/>
            </w:tcBorders>
          </w:tcPr>
          <w:p w14:paraId="41BD6267" w14:textId="66430D3D"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20</w:t>
            </w:r>
            <w:r w:rsidR="00FC15ED">
              <w:rPr>
                <w:sz w:val="15"/>
                <w:szCs w:val="15"/>
              </w:rPr>
              <w:t>2</w:t>
            </w:r>
          </w:p>
        </w:tc>
        <w:tc>
          <w:tcPr>
            <w:tcW w:w="1134" w:type="dxa"/>
            <w:tcBorders>
              <w:left w:val="single" w:sz="6" w:space="0" w:color="auto"/>
            </w:tcBorders>
          </w:tcPr>
          <w:p w14:paraId="1974E97B" w14:textId="355FC77C"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13</w:t>
            </w:r>
            <w:r w:rsidR="00FC15ED">
              <w:rPr>
                <w:sz w:val="15"/>
                <w:szCs w:val="15"/>
              </w:rPr>
              <w:t>5</w:t>
            </w:r>
          </w:p>
        </w:tc>
        <w:tc>
          <w:tcPr>
            <w:tcW w:w="993" w:type="dxa"/>
          </w:tcPr>
          <w:p w14:paraId="352DD8E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76</w:t>
            </w:r>
          </w:p>
        </w:tc>
        <w:tc>
          <w:tcPr>
            <w:tcW w:w="708" w:type="dxa"/>
            <w:tcBorders>
              <w:right w:val="single" w:sz="6" w:space="0" w:color="auto"/>
            </w:tcBorders>
          </w:tcPr>
          <w:p w14:paraId="3AE782EB" w14:textId="3674B039"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18</w:t>
            </w:r>
            <w:r w:rsidR="00FC15ED">
              <w:rPr>
                <w:sz w:val="15"/>
                <w:szCs w:val="15"/>
              </w:rPr>
              <w:t>4</w:t>
            </w:r>
          </w:p>
        </w:tc>
        <w:tc>
          <w:tcPr>
            <w:tcW w:w="1134" w:type="dxa"/>
            <w:tcBorders>
              <w:left w:val="single" w:sz="6" w:space="0" w:color="auto"/>
            </w:tcBorders>
          </w:tcPr>
          <w:p w14:paraId="5E96392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33</w:t>
            </w:r>
          </w:p>
        </w:tc>
        <w:tc>
          <w:tcPr>
            <w:tcW w:w="709" w:type="dxa"/>
            <w:tcBorders>
              <w:right w:val="single" w:sz="6" w:space="0" w:color="auto"/>
            </w:tcBorders>
          </w:tcPr>
          <w:p w14:paraId="441B677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18</w:t>
            </w:r>
          </w:p>
        </w:tc>
        <w:tc>
          <w:tcPr>
            <w:tcW w:w="1134" w:type="dxa"/>
            <w:tcBorders>
              <w:left w:val="single" w:sz="6" w:space="0" w:color="auto"/>
              <w:bottom w:val="nil"/>
            </w:tcBorders>
            <w:shd w:val="clear" w:color="auto" w:fill="F2F2F2" w:themeFill="background1" w:themeFillShade="F2"/>
          </w:tcPr>
          <w:p w14:paraId="6A5CC89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192</w:t>
            </w:r>
          </w:p>
        </w:tc>
        <w:tc>
          <w:tcPr>
            <w:tcW w:w="709" w:type="dxa"/>
            <w:tcBorders>
              <w:bottom w:val="nil"/>
              <w:right w:val="single" w:sz="6" w:space="0" w:color="auto"/>
            </w:tcBorders>
            <w:shd w:val="clear" w:color="auto" w:fill="F2F2F2" w:themeFill="background1" w:themeFillShade="F2"/>
          </w:tcPr>
          <w:p w14:paraId="048962C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157</w:t>
            </w:r>
          </w:p>
        </w:tc>
        <w:tc>
          <w:tcPr>
            <w:tcW w:w="992" w:type="dxa"/>
            <w:tcBorders>
              <w:left w:val="single" w:sz="6" w:space="0" w:color="auto"/>
              <w:bottom w:val="nil"/>
            </w:tcBorders>
            <w:shd w:val="clear" w:color="auto" w:fill="F2F2F2" w:themeFill="background1" w:themeFillShade="F2"/>
          </w:tcPr>
          <w:p w14:paraId="259FAFD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108</w:t>
            </w:r>
          </w:p>
        </w:tc>
        <w:tc>
          <w:tcPr>
            <w:tcW w:w="992" w:type="dxa"/>
            <w:tcBorders>
              <w:bottom w:val="nil"/>
            </w:tcBorders>
            <w:shd w:val="clear" w:color="auto" w:fill="F2F2F2" w:themeFill="background1" w:themeFillShade="F2"/>
          </w:tcPr>
          <w:p w14:paraId="7A2A418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63</w:t>
            </w:r>
          </w:p>
        </w:tc>
        <w:tc>
          <w:tcPr>
            <w:tcW w:w="709" w:type="dxa"/>
            <w:tcBorders>
              <w:bottom w:val="nil"/>
              <w:right w:val="single" w:sz="6" w:space="0" w:color="auto"/>
            </w:tcBorders>
            <w:shd w:val="clear" w:color="auto" w:fill="F2F2F2" w:themeFill="background1" w:themeFillShade="F2"/>
          </w:tcPr>
          <w:p w14:paraId="42215B4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145</w:t>
            </w:r>
          </w:p>
        </w:tc>
        <w:tc>
          <w:tcPr>
            <w:tcW w:w="1134" w:type="dxa"/>
            <w:tcBorders>
              <w:left w:val="single" w:sz="6" w:space="0" w:color="auto"/>
              <w:bottom w:val="nil"/>
            </w:tcBorders>
            <w:shd w:val="clear" w:color="auto" w:fill="F2F2F2" w:themeFill="background1" w:themeFillShade="F2"/>
          </w:tcPr>
          <w:p w14:paraId="14B8385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21</w:t>
            </w:r>
          </w:p>
        </w:tc>
        <w:tc>
          <w:tcPr>
            <w:tcW w:w="709" w:type="dxa"/>
            <w:tcBorders>
              <w:bottom w:val="nil"/>
            </w:tcBorders>
            <w:shd w:val="clear" w:color="auto" w:fill="F2F2F2" w:themeFill="background1" w:themeFillShade="F2"/>
          </w:tcPr>
          <w:p w14:paraId="7A574C1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12</w:t>
            </w:r>
          </w:p>
        </w:tc>
      </w:tr>
      <w:tr w:rsidR="00573DAE" w:rsidRPr="00DD253A" w14:paraId="47664F9D"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2C659B95" w14:textId="77777777" w:rsidR="007205E6" w:rsidRPr="00DD253A" w:rsidRDefault="007205E6" w:rsidP="007C78EB">
            <w:pPr>
              <w:jc w:val="center"/>
              <w:rPr>
                <w:b/>
                <w:bCs w:val="0"/>
                <w:sz w:val="15"/>
                <w:szCs w:val="15"/>
              </w:rPr>
            </w:pPr>
          </w:p>
        </w:tc>
        <w:tc>
          <w:tcPr>
            <w:tcW w:w="1282" w:type="dxa"/>
          </w:tcPr>
          <w:p w14:paraId="510E6691"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Men</w:t>
            </w:r>
          </w:p>
        </w:tc>
        <w:tc>
          <w:tcPr>
            <w:tcW w:w="986" w:type="dxa"/>
          </w:tcPr>
          <w:p w14:paraId="3081A570" w14:textId="7D4DF9A8"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321</w:t>
            </w:r>
          </w:p>
        </w:tc>
        <w:tc>
          <w:tcPr>
            <w:tcW w:w="708" w:type="dxa"/>
            <w:tcBorders>
              <w:right w:val="single" w:sz="6" w:space="0" w:color="auto"/>
            </w:tcBorders>
          </w:tcPr>
          <w:p w14:paraId="78B48E94" w14:textId="5B421693"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277</w:t>
            </w:r>
          </w:p>
        </w:tc>
        <w:tc>
          <w:tcPr>
            <w:tcW w:w="1134" w:type="dxa"/>
            <w:tcBorders>
              <w:left w:val="single" w:sz="6" w:space="0" w:color="auto"/>
            </w:tcBorders>
          </w:tcPr>
          <w:p w14:paraId="41CEBC40" w14:textId="23C033E1"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212</w:t>
            </w:r>
          </w:p>
        </w:tc>
        <w:tc>
          <w:tcPr>
            <w:tcW w:w="993" w:type="dxa"/>
          </w:tcPr>
          <w:p w14:paraId="3318C01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93</w:t>
            </w:r>
          </w:p>
        </w:tc>
        <w:tc>
          <w:tcPr>
            <w:tcW w:w="708" w:type="dxa"/>
            <w:tcBorders>
              <w:right w:val="single" w:sz="6" w:space="0" w:color="auto"/>
            </w:tcBorders>
          </w:tcPr>
          <w:p w14:paraId="578DE7DA" w14:textId="564E04AC"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267</w:t>
            </w:r>
          </w:p>
        </w:tc>
        <w:tc>
          <w:tcPr>
            <w:tcW w:w="1134" w:type="dxa"/>
            <w:tcBorders>
              <w:left w:val="single" w:sz="6" w:space="0" w:color="auto"/>
            </w:tcBorders>
          </w:tcPr>
          <w:p w14:paraId="7A048A8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16</w:t>
            </w:r>
          </w:p>
        </w:tc>
        <w:tc>
          <w:tcPr>
            <w:tcW w:w="709" w:type="dxa"/>
            <w:tcBorders>
              <w:right w:val="single" w:sz="6" w:space="0" w:color="auto"/>
            </w:tcBorders>
          </w:tcPr>
          <w:p w14:paraId="1B446D2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10</w:t>
            </w:r>
          </w:p>
        </w:tc>
        <w:tc>
          <w:tcPr>
            <w:tcW w:w="1134" w:type="dxa"/>
            <w:tcBorders>
              <w:left w:val="single" w:sz="6" w:space="0" w:color="auto"/>
              <w:bottom w:val="nil"/>
            </w:tcBorders>
            <w:shd w:val="clear" w:color="auto" w:fill="F2F2F2" w:themeFill="background1" w:themeFillShade="F2"/>
          </w:tcPr>
          <w:p w14:paraId="2B1C963D" w14:textId="784313D5"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240</w:t>
            </w:r>
          </w:p>
        </w:tc>
        <w:tc>
          <w:tcPr>
            <w:tcW w:w="709" w:type="dxa"/>
            <w:tcBorders>
              <w:bottom w:val="nil"/>
              <w:right w:val="single" w:sz="6" w:space="0" w:color="auto"/>
            </w:tcBorders>
            <w:shd w:val="clear" w:color="auto" w:fill="F2F2F2" w:themeFill="background1" w:themeFillShade="F2"/>
          </w:tcPr>
          <w:p w14:paraId="02BC5B8F" w14:textId="2CBD0F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197</w:t>
            </w:r>
          </w:p>
        </w:tc>
        <w:tc>
          <w:tcPr>
            <w:tcW w:w="992" w:type="dxa"/>
            <w:tcBorders>
              <w:left w:val="single" w:sz="6" w:space="0" w:color="auto"/>
              <w:bottom w:val="nil"/>
            </w:tcBorders>
            <w:shd w:val="clear" w:color="auto" w:fill="F2F2F2" w:themeFill="background1" w:themeFillShade="F2"/>
          </w:tcPr>
          <w:p w14:paraId="0F1135AC" w14:textId="4A9C94A9"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133</w:t>
            </w:r>
          </w:p>
        </w:tc>
        <w:tc>
          <w:tcPr>
            <w:tcW w:w="992" w:type="dxa"/>
            <w:tcBorders>
              <w:bottom w:val="nil"/>
            </w:tcBorders>
            <w:shd w:val="clear" w:color="auto" w:fill="F2F2F2" w:themeFill="background1" w:themeFillShade="F2"/>
          </w:tcPr>
          <w:p w14:paraId="2244CE3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89</w:t>
            </w:r>
          </w:p>
        </w:tc>
        <w:tc>
          <w:tcPr>
            <w:tcW w:w="709" w:type="dxa"/>
            <w:tcBorders>
              <w:bottom w:val="nil"/>
              <w:right w:val="single" w:sz="6" w:space="0" w:color="auto"/>
            </w:tcBorders>
            <w:shd w:val="clear" w:color="auto" w:fill="F2F2F2" w:themeFill="background1" w:themeFillShade="F2"/>
          </w:tcPr>
          <w:p w14:paraId="44A816CE" w14:textId="157932C4"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186</w:t>
            </w:r>
          </w:p>
        </w:tc>
        <w:tc>
          <w:tcPr>
            <w:tcW w:w="1134" w:type="dxa"/>
            <w:tcBorders>
              <w:left w:val="single" w:sz="6" w:space="0" w:color="auto"/>
              <w:bottom w:val="nil"/>
            </w:tcBorders>
            <w:shd w:val="clear" w:color="auto" w:fill="F2F2F2" w:themeFill="background1" w:themeFillShade="F2"/>
          </w:tcPr>
          <w:p w14:paraId="7F7FBC3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18</w:t>
            </w:r>
          </w:p>
        </w:tc>
        <w:tc>
          <w:tcPr>
            <w:tcW w:w="709" w:type="dxa"/>
            <w:tcBorders>
              <w:bottom w:val="nil"/>
            </w:tcBorders>
            <w:shd w:val="clear" w:color="auto" w:fill="F2F2F2" w:themeFill="background1" w:themeFillShade="F2"/>
          </w:tcPr>
          <w:p w14:paraId="626492F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11</w:t>
            </w:r>
          </w:p>
        </w:tc>
      </w:tr>
      <w:tr w:rsidR="00573DAE" w:rsidRPr="00DD253A" w14:paraId="24DC5117"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3B0923FC" w14:textId="77777777" w:rsidR="007205E6" w:rsidRPr="00DD253A" w:rsidRDefault="007205E6" w:rsidP="007C78EB">
            <w:pPr>
              <w:jc w:val="center"/>
              <w:rPr>
                <w:b/>
                <w:bCs w:val="0"/>
                <w:sz w:val="15"/>
                <w:szCs w:val="15"/>
              </w:rPr>
            </w:pPr>
          </w:p>
        </w:tc>
        <w:tc>
          <w:tcPr>
            <w:tcW w:w="1282" w:type="dxa"/>
          </w:tcPr>
          <w:p w14:paraId="68B64E3D"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Self-described</w:t>
            </w:r>
          </w:p>
        </w:tc>
        <w:tc>
          <w:tcPr>
            <w:tcW w:w="986" w:type="dxa"/>
          </w:tcPr>
          <w:p w14:paraId="34E4763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708" w:type="dxa"/>
            <w:tcBorders>
              <w:right w:val="single" w:sz="6" w:space="0" w:color="auto"/>
            </w:tcBorders>
          </w:tcPr>
          <w:p w14:paraId="3B98FA9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1134" w:type="dxa"/>
            <w:tcBorders>
              <w:left w:val="single" w:sz="6" w:space="0" w:color="auto"/>
            </w:tcBorders>
          </w:tcPr>
          <w:p w14:paraId="76D188E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993" w:type="dxa"/>
          </w:tcPr>
          <w:p w14:paraId="5F7E0C4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708" w:type="dxa"/>
            <w:tcBorders>
              <w:right w:val="single" w:sz="6" w:space="0" w:color="auto"/>
            </w:tcBorders>
          </w:tcPr>
          <w:p w14:paraId="01A95A6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1134" w:type="dxa"/>
            <w:tcBorders>
              <w:left w:val="single" w:sz="6" w:space="0" w:color="auto"/>
            </w:tcBorders>
          </w:tcPr>
          <w:p w14:paraId="58FE091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709" w:type="dxa"/>
            <w:tcBorders>
              <w:right w:val="single" w:sz="6" w:space="0" w:color="auto"/>
            </w:tcBorders>
          </w:tcPr>
          <w:p w14:paraId="24B0ACB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1134" w:type="dxa"/>
            <w:tcBorders>
              <w:left w:val="single" w:sz="6" w:space="0" w:color="auto"/>
              <w:bottom w:val="nil"/>
            </w:tcBorders>
            <w:shd w:val="clear" w:color="auto" w:fill="F2F2F2" w:themeFill="background1" w:themeFillShade="F2"/>
          </w:tcPr>
          <w:p w14:paraId="28DF1EE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709" w:type="dxa"/>
            <w:tcBorders>
              <w:bottom w:val="nil"/>
              <w:right w:val="single" w:sz="6" w:space="0" w:color="auto"/>
            </w:tcBorders>
            <w:shd w:val="clear" w:color="auto" w:fill="F2F2F2" w:themeFill="background1" w:themeFillShade="F2"/>
          </w:tcPr>
          <w:p w14:paraId="12B2759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992" w:type="dxa"/>
            <w:tcBorders>
              <w:left w:val="single" w:sz="6" w:space="0" w:color="auto"/>
              <w:bottom w:val="nil"/>
            </w:tcBorders>
            <w:shd w:val="clear" w:color="auto" w:fill="F2F2F2" w:themeFill="background1" w:themeFillShade="F2"/>
          </w:tcPr>
          <w:p w14:paraId="6356EA1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992" w:type="dxa"/>
            <w:tcBorders>
              <w:bottom w:val="nil"/>
            </w:tcBorders>
            <w:shd w:val="clear" w:color="auto" w:fill="F2F2F2" w:themeFill="background1" w:themeFillShade="F2"/>
          </w:tcPr>
          <w:p w14:paraId="186051D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709" w:type="dxa"/>
            <w:tcBorders>
              <w:bottom w:val="nil"/>
              <w:right w:val="single" w:sz="6" w:space="0" w:color="auto"/>
            </w:tcBorders>
            <w:shd w:val="clear" w:color="auto" w:fill="F2F2F2" w:themeFill="background1" w:themeFillShade="F2"/>
          </w:tcPr>
          <w:p w14:paraId="422FC5B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1134" w:type="dxa"/>
            <w:tcBorders>
              <w:left w:val="single" w:sz="6" w:space="0" w:color="auto"/>
              <w:bottom w:val="nil"/>
            </w:tcBorders>
            <w:shd w:val="clear" w:color="auto" w:fill="F2F2F2" w:themeFill="background1" w:themeFillShade="F2"/>
          </w:tcPr>
          <w:p w14:paraId="3DC11B4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c>
          <w:tcPr>
            <w:tcW w:w="709" w:type="dxa"/>
            <w:tcBorders>
              <w:bottom w:val="nil"/>
            </w:tcBorders>
            <w:shd w:val="clear" w:color="auto" w:fill="F2F2F2" w:themeFill="background1" w:themeFillShade="F2"/>
          </w:tcPr>
          <w:p w14:paraId="3440612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n</w:t>
            </w:r>
          </w:p>
        </w:tc>
      </w:tr>
      <w:tr w:rsidR="00573DAE" w:rsidRPr="00DD253A" w14:paraId="030E874F"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331FA81D" w14:textId="77777777" w:rsidR="007205E6" w:rsidRPr="00DD253A" w:rsidRDefault="007205E6" w:rsidP="007C78EB">
            <w:pPr>
              <w:jc w:val="center"/>
              <w:rPr>
                <w:b/>
                <w:bCs w:val="0"/>
                <w:sz w:val="15"/>
                <w:szCs w:val="15"/>
              </w:rPr>
            </w:pPr>
          </w:p>
        </w:tc>
        <w:tc>
          <w:tcPr>
            <w:tcW w:w="1282" w:type="dxa"/>
          </w:tcPr>
          <w:p w14:paraId="60812252"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Age</w:t>
            </w:r>
          </w:p>
        </w:tc>
        <w:tc>
          <w:tcPr>
            <w:tcW w:w="986" w:type="dxa"/>
          </w:tcPr>
          <w:p w14:paraId="550E900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8" w:type="dxa"/>
            <w:tcBorders>
              <w:right w:val="single" w:sz="6" w:space="0" w:color="auto"/>
            </w:tcBorders>
          </w:tcPr>
          <w:p w14:paraId="2AB97B5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1134" w:type="dxa"/>
            <w:tcBorders>
              <w:left w:val="single" w:sz="6" w:space="0" w:color="auto"/>
            </w:tcBorders>
          </w:tcPr>
          <w:p w14:paraId="28BDCE6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993" w:type="dxa"/>
          </w:tcPr>
          <w:p w14:paraId="14A389A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8" w:type="dxa"/>
            <w:tcBorders>
              <w:right w:val="single" w:sz="6" w:space="0" w:color="auto"/>
            </w:tcBorders>
          </w:tcPr>
          <w:p w14:paraId="60E39AE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1134" w:type="dxa"/>
            <w:tcBorders>
              <w:left w:val="single" w:sz="6" w:space="0" w:color="auto"/>
            </w:tcBorders>
          </w:tcPr>
          <w:p w14:paraId="16BACA0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9" w:type="dxa"/>
            <w:tcBorders>
              <w:right w:val="single" w:sz="6" w:space="0" w:color="auto"/>
            </w:tcBorders>
          </w:tcPr>
          <w:p w14:paraId="16E5C2F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1134" w:type="dxa"/>
            <w:tcBorders>
              <w:left w:val="single" w:sz="6" w:space="0" w:color="auto"/>
              <w:bottom w:val="nil"/>
            </w:tcBorders>
            <w:shd w:val="clear" w:color="auto" w:fill="F2F2F2" w:themeFill="background1" w:themeFillShade="F2"/>
          </w:tcPr>
          <w:p w14:paraId="077555B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9" w:type="dxa"/>
            <w:tcBorders>
              <w:bottom w:val="nil"/>
              <w:right w:val="single" w:sz="6" w:space="0" w:color="auto"/>
            </w:tcBorders>
            <w:shd w:val="clear" w:color="auto" w:fill="F2F2F2" w:themeFill="background1" w:themeFillShade="F2"/>
          </w:tcPr>
          <w:p w14:paraId="3B6570F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992" w:type="dxa"/>
            <w:tcBorders>
              <w:left w:val="single" w:sz="6" w:space="0" w:color="auto"/>
              <w:bottom w:val="nil"/>
            </w:tcBorders>
            <w:shd w:val="clear" w:color="auto" w:fill="F2F2F2" w:themeFill="background1" w:themeFillShade="F2"/>
          </w:tcPr>
          <w:p w14:paraId="3DAAC13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992" w:type="dxa"/>
            <w:tcBorders>
              <w:bottom w:val="nil"/>
            </w:tcBorders>
            <w:shd w:val="clear" w:color="auto" w:fill="F2F2F2" w:themeFill="background1" w:themeFillShade="F2"/>
          </w:tcPr>
          <w:p w14:paraId="5AC42C6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9" w:type="dxa"/>
            <w:tcBorders>
              <w:bottom w:val="nil"/>
              <w:right w:val="single" w:sz="6" w:space="0" w:color="auto"/>
            </w:tcBorders>
            <w:shd w:val="clear" w:color="auto" w:fill="F2F2F2" w:themeFill="background1" w:themeFillShade="F2"/>
          </w:tcPr>
          <w:p w14:paraId="32E782A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1134" w:type="dxa"/>
            <w:tcBorders>
              <w:left w:val="single" w:sz="6" w:space="0" w:color="auto"/>
              <w:bottom w:val="nil"/>
            </w:tcBorders>
            <w:shd w:val="clear" w:color="auto" w:fill="F2F2F2" w:themeFill="background1" w:themeFillShade="F2"/>
          </w:tcPr>
          <w:p w14:paraId="768CB68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c>
          <w:tcPr>
            <w:tcW w:w="709" w:type="dxa"/>
            <w:tcBorders>
              <w:bottom w:val="nil"/>
            </w:tcBorders>
            <w:shd w:val="clear" w:color="auto" w:fill="F2F2F2" w:themeFill="background1" w:themeFillShade="F2"/>
          </w:tcPr>
          <w:p w14:paraId="0F4271A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p>
        </w:tc>
      </w:tr>
      <w:tr w:rsidR="00573DAE" w:rsidRPr="00DD253A" w14:paraId="060A148E"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5F69964C" w14:textId="77777777" w:rsidR="007205E6" w:rsidRPr="00DD253A" w:rsidRDefault="007205E6" w:rsidP="007C78EB">
            <w:pPr>
              <w:jc w:val="center"/>
              <w:rPr>
                <w:b/>
                <w:bCs w:val="0"/>
                <w:sz w:val="15"/>
                <w:szCs w:val="15"/>
              </w:rPr>
            </w:pPr>
          </w:p>
        </w:tc>
        <w:tc>
          <w:tcPr>
            <w:tcW w:w="1282" w:type="dxa"/>
          </w:tcPr>
          <w:p w14:paraId="70B7CF14"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15-24</w:t>
            </w:r>
          </w:p>
        </w:tc>
        <w:tc>
          <w:tcPr>
            <w:tcW w:w="986" w:type="dxa"/>
          </w:tcPr>
          <w:p w14:paraId="5690319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33</w:t>
            </w:r>
          </w:p>
        </w:tc>
        <w:tc>
          <w:tcPr>
            <w:tcW w:w="708" w:type="dxa"/>
            <w:tcBorders>
              <w:right w:val="single" w:sz="6" w:space="0" w:color="auto"/>
            </w:tcBorders>
          </w:tcPr>
          <w:p w14:paraId="74CA78E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26</w:t>
            </w:r>
          </w:p>
        </w:tc>
        <w:tc>
          <w:tcPr>
            <w:tcW w:w="1134" w:type="dxa"/>
            <w:tcBorders>
              <w:left w:val="single" w:sz="6" w:space="0" w:color="auto"/>
            </w:tcBorders>
          </w:tcPr>
          <w:p w14:paraId="168CAE4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21</w:t>
            </w:r>
          </w:p>
        </w:tc>
        <w:tc>
          <w:tcPr>
            <w:tcW w:w="993" w:type="dxa"/>
          </w:tcPr>
          <w:p w14:paraId="2E069F8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708" w:type="dxa"/>
            <w:tcBorders>
              <w:right w:val="single" w:sz="6" w:space="0" w:color="auto"/>
            </w:tcBorders>
          </w:tcPr>
          <w:p w14:paraId="4F23C22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20</w:t>
            </w:r>
          </w:p>
        </w:tc>
        <w:tc>
          <w:tcPr>
            <w:tcW w:w="1134" w:type="dxa"/>
            <w:tcBorders>
              <w:left w:val="single" w:sz="6" w:space="0" w:color="auto"/>
            </w:tcBorders>
          </w:tcPr>
          <w:p w14:paraId="29DD566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11</w:t>
            </w:r>
          </w:p>
        </w:tc>
        <w:tc>
          <w:tcPr>
            <w:tcW w:w="709" w:type="dxa"/>
            <w:tcBorders>
              <w:right w:val="single" w:sz="6" w:space="0" w:color="auto"/>
            </w:tcBorders>
          </w:tcPr>
          <w:p w14:paraId="2B47576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w:t>
            </w:r>
          </w:p>
        </w:tc>
        <w:tc>
          <w:tcPr>
            <w:tcW w:w="1134" w:type="dxa"/>
            <w:tcBorders>
              <w:left w:val="single" w:sz="6" w:space="0" w:color="auto"/>
              <w:bottom w:val="nil"/>
            </w:tcBorders>
            <w:shd w:val="clear" w:color="auto" w:fill="F2F2F2" w:themeFill="background1" w:themeFillShade="F2"/>
          </w:tcPr>
          <w:p w14:paraId="6AF1AD1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w:t>
            </w:r>
          </w:p>
        </w:tc>
        <w:tc>
          <w:tcPr>
            <w:tcW w:w="709" w:type="dxa"/>
            <w:tcBorders>
              <w:bottom w:val="nil"/>
              <w:right w:val="single" w:sz="6" w:space="0" w:color="auto"/>
            </w:tcBorders>
            <w:shd w:val="clear" w:color="auto" w:fill="F2F2F2" w:themeFill="background1" w:themeFillShade="F2"/>
          </w:tcPr>
          <w:p w14:paraId="54892F0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w:t>
            </w:r>
          </w:p>
        </w:tc>
        <w:tc>
          <w:tcPr>
            <w:tcW w:w="992" w:type="dxa"/>
            <w:tcBorders>
              <w:left w:val="single" w:sz="6" w:space="0" w:color="auto"/>
              <w:bottom w:val="nil"/>
            </w:tcBorders>
            <w:shd w:val="clear" w:color="auto" w:fill="F2F2F2" w:themeFill="background1" w:themeFillShade="F2"/>
          </w:tcPr>
          <w:p w14:paraId="2DDF09D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w:t>
            </w:r>
          </w:p>
        </w:tc>
        <w:tc>
          <w:tcPr>
            <w:tcW w:w="992" w:type="dxa"/>
            <w:tcBorders>
              <w:bottom w:val="nil"/>
            </w:tcBorders>
            <w:shd w:val="clear" w:color="auto" w:fill="F2F2F2" w:themeFill="background1" w:themeFillShade="F2"/>
          </w:tcPr>
          <w:p w14:paraId="6088A00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right w:val="single" w:sz="6" w:space="0" w:color="auto"/>
            </w:tcBorders>
            <w:shd w:val="clear" w:color="auto" w:fill="F2F2F2" w:themeFill="background1" w:themeFillShade="F2"/>
          </w:tcPr>
          <w:p w14:paraId="7470AF4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w:t>
            </w:r>
          </w:p>
        </w:tc>
        <w:tc>
          <w:tcPr>
            <w:tcW w:w="1134" w:type="dxa"/>
            <w:tcBorders>
              <w:left w:val="single" w:sz="6" w:space="0" w:color="auto"/>
              <w:bottom w:val="nil"/>
            </w:tcBorders>
            <w:shd w:val="clear" w:color="auto" w:fill="F2F2F2" w:themeFill="background1" w:themeFillShade="F2"/>
          </w:tcPr>
          <w:p w14:paraId="2200CBC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13963F6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573DAE" w:rsidRPr="00DD253A" w14:paraId="22B63368"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4BC3346C" w14:textId="77777777" w:rsidR="007205E6" w:rsidRPr="00DD253A" w:rsidRDefault="007205E6" w:rsidP="007C78EB">
            <w:pPr>
              <w:jc w:val="center"/>
              <w:rPr>
                <w:b/>
                <w:bCs w:val="0"/>
                <w:sz w:val="15"/>
                <w:szCs w:val="15"/>
              </w:rPr>
            </w:pPr>
          </w:p>
        </w:tc>
        <w:tc>
          <w:tcPr>
            <w:tcW w:w="1282" w:type="dxa"/>
          </w:tcPr>
          <w:p w14:paraId="1ABEECDA"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25-34</w:t>
            </w:r>
          </w:p>
        </w:tc>
        <w:tc>
          <w:tcPr>
            <w:tcW w:w="986" w:type="dxa"/>
          </w:tcPr>
          <w:p w14:paraId="299123F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123</w:t>
            </w:r>
          </w:p>
        </w:tc>
        <w:tc>
          <w:tcPr>
            <w:tcW w:w="708" w:type="dxa"/>
            <w:tcBorders>
              <w:right w:val="single" w:sz="6" w:space="0" w:color="auto"/>
            </w:tcBorders>
          </w:tcPr>
          <w:p w14:paraId="401D7A1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95</w:t>
            </w:r>
          </w:p>
        </w:tc>
        <w:tc>
          <w:tcPr>
            <w:tcW w:w="1134" w:type="dxa"/>
            <w:tcBorders>
              <w:left w:val="single" w:sz="6" w:space="0" w:color="auto"/>
            </w:tcBorders>
          </w:tcPr>
          <w:p w14:paraId="45E2C45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52</w:t>
            </w:r>
          </w:p>
        </w:tc>
        <w:tc>
          <w:tcPr>
            <w:tcW w:w="993" w:type="dxa"/>
          </w:tcPr>
          <w:p w14:paraId="2793FA1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53</w:t>
            </w:r>
          </w:p>
        </w:tc>
        <w:tc>
          <w:tcPr>
            <w:tcW w:w="708" w:type="dxa"/>
            <w:tcBorders>
              <w:right w:val="single" w:sz="6" w:space="0" w:color="auto"/>
            </w:tcBorders>
          </w:tcPr>
          <w:p w14:paraId="72EE9AD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84</w:t>
            </w:r>
          </w:p>
        </w:tc>
        <w:tc>
          <w:tcPr>
            <w:tcW w:w="1134" w:type="dxa"/>
            <w:tcBorders>
              <w:left w:val="single" w:sz="6" w:space="0" w:color="auto"/>
            </w:tcBorders>
          </w:tcPr>
          <w:p w14:paraId="46B85EA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18</w:t>
            </w:r>
          </w:p>
        </w:tc>
        <w:tc>
          <w:tcPr>
            <w:tcW w:w="709" w:type="dxa"/>
            <w:tcBorders>
              <w:right w:val="single" w:sz="6" w:space="0" w:color="auto"/>
            </w:tcBorders>
          </w:tcPr>
          <w:p w14:paraId="2A13765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10</w:t>
            </w:r>
          </w:p>
        </w:tc>
        <w:tc>
          <w:tcPr>
            <w:tcW w:w="1134" w:type="dxa"/>
            <w:tcBorders>
              <w:left w:val="single" w:sz="6" w:space="0" w:color="auto"/>
              <w:bottom w:val="nil"/>
            </w:tcBorders>
            <w:shd w:val="clear" w:color="auto" w:fill="F2F2F2" w:themeFill="background1" w:themeFillShade="F2"/>
          </w:tcPr>
          <w:p w14:paraId="47AFF3B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77</w:t>
            </w:r>
          </w:p>
        </w:tc>
        <w:tc>
          <w:tcPr>
            <w:tcW w:w="709" w:type="dxa"/>
            <w:tcBorders>
              <w:bottom w:val="nil"/>
              <w:right w:val="single" w:sz="6" w:space="0" w:color="auto"/>
            </w:tcBorders>
            <w:shd w:val="clear" w:color="auto" w:fill="F2F2F2" w:themeFill="background1" w:themeFillShade="F2"/>
          </w:tcPr>
          <w:p w14:paraId="4425CD4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66</w:t>
            </w:r>
          </w:p>
        </w:tc>
        <w:tc>
          <w:tcPr>
            <w:tcW w:w="992" w:type="dxa"/>
            <w:tcBorders>
              <w:left w:val="single" w:sz="6" w:space="0" w:color="auto"/>
              <w:bottom w:val="nil"/>
            </w:tcBorders>
            <w:shd w:val="clear" w:color="auto" w:fill="F2F2F2" w:themeFill="background1" w:themeFillShade="F2"/>
          </w:tcPr>
          <w:p w14:paraId="7942260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50</w:t>
            </w:r>
          </w:p>
        </w:tc>
        <w:tc>
          <w:tcPr>
            <w:tcW w:w="992" w:type="dxa"/>
            <w:tcBorders>
              <w:bottom w:val="nil"/>
            </w:tcBorders>
            <w:shd w:val="clear" w:color="auto" w:fill="F2F2F2" w:themeFill="background1" w:themeFillShade="F2"/>
          </w:tcPr>
          <w:p w14:paraId="79B94AE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24</w:t>
            </w:r>
          </w:p>
        </w:tc>
        <w:tc>
          <w:tcPr>
            <w:tcW w:w="709" w:type="dxa"/>
            <w:tcBorders>
              <w:bottom w:val="nil"/>
              <w:right w:val="single" w:sz="6" w:space="0" w:color="auto"/>
            </w:tcBorders>
            <w:shd w:val="clear" w:color="auto" w:fill="F2F2F2" w:themeFill="background1" w:themeFillShade="F2"/>
          </w:tcPr>
          <w:p w14:paraId="547A9B7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64</w:t>
            </w:r>
          </w:p>
        </w:tc>
        <w:tc>
          <w:tcPr>
            <w:tcW w:w="1134" w:type="dxa"/>
            <w:tcBorders>
              <w:left w:val="single" w:sz="6" w:space="0" w:color="auto"/>
              <w:bottom w:val="nil"/>
            </w:tcBorders>
            <w:shd w:val="clear" w:color="auto" w:fill="F2F2F2" w:themeFill="background1" w:themeFillShade="F2"/>
          </w:tcPr>
          <w:p w14:paraId="7EAA01B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w:t>
            </w:r>
          </w:p>
        </w:tc>
        <w:tc>
          <w:tcPr>
            <w:tcW w:w="709" w:type="dxa"/>
            <w:tcBorders>
              <w:bottom w:val="nil"/>
            </w:tcBorders>
            <w:shd w:val="clear" w:color="auto" w:fill="F2F2F2" w:themeFill="background1" w:themeFillShade="F2"/>
          </w:tcPr>
          <w:p w14:paraId="5B107DC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r>
      <w:tr w:rsidR="00573DAE" w:rsidRPr="00DD253A" w14:paraId="6A479F09"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42DED6C7" w14:textId="77777777" w:rsidR="007205E6" w:rsidRPr="00DD253A" w:rsidRDefault="007205E6" w:rsidP="007C78EB">
            <w:pPr>
              <w:jc w:val="center"/>
              <w:rPr>
                <w:b/>
                <w:bCs w:val="0"/>
                <w:sz w:val="15"/>
                <w:szCs w:val="15"/>
              </w:rPr>
            </w:pPr>
          </w:p>
        </w:tc>
        <w:tc>
          <w:tcPr>
            <w:tcW w:w="1282" w:type="dxa"/>
          </w:tcPr>
          <w:p w14:paraId="79E25A65"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35-44</w:t>
            </w:r>
          </w:p>
        </w:tc>
        <w:tc>
          <w:tcPr>
            <w:tcW w:w="986" w:type="dxa"/>
          </w:tcPr>
          <w:p w14:paraId="7BB2C72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135</w:t>
            </w:r>
          </w:p>
        </w:tc>
        <w:tc>
          <w:tcPr>
            <w:tcW w:w="708" w:type="dxa"/>
            <w:tcBorders>
              <w:right w:val="single" w:sz="6" w:space="0" w:color="auto"/>
            </w:tcBorders>
          </w:tcPr>
          <w:p w14:paraId="14901E8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117</w:t>
            </w:r>
          </w:p>
        </w:tc>
        <w:tc>
          <w:tcPr>
            <w:tcW w:w="1134" w:type="dxa"/>
            <w:tcBorders>
              <w:left w:val="single" w:sz="6" w:space="0" w:color="auto"/>
            </w:tcBorders>
          </w:tcPr>
          <w:p w14:paraId="77F013C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90</w:t>
            </w:r>
          </w:p>
        </w:tc>
        <w:tc>
          <w:tcPr>
            <w:tcW w:w="993" w:type="dxa"/>
          </w:tcPr>
          <w:p w14:paraId="5032D6D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30</w:t>
            </w:r>
          </w:p>
        </w:tc>
        <w:tc>
          <w:tcPr>
            <w:tcW w:w="708" w:type="dxa"/>
            <w:tcBorders>
              <w:right w:val="single" w:sz="6" w:space="0" w:color="auto"/>
            </w:tcBorders>
          </w:tcPr>
          <w:p w14:paraId="4968B62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108</w:t>
            </w:r>
          </w:p>
        </w:tc>
        <w:tc>
          <w:tcPr>
            <w:tcW w:w="1134" w:type="dxa"/>
            <w:tcBorders>
              <w:left w:val="single" w:sz="6" w:space="0" w:color="auto"/>
            </w:tcBorders>
          </w:tcPr>
          <w:p w14:paraId="5121751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15</w:t>
            </w:r>
          </w:p>
        </w:tc>
        <w:tc>
          <w:tcPr>
            <w:tcW w:w="709" w:type="dxa"/>
            <w:tcBorders>
              <w:right w:val="single" w:sz="6" w:space="0" w:color="auto"/>
            </w:tcBorders>
          </w:tcPr>
          <w:p w14:paraId="0B95317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w:t>
            </w:r>
          </w:p>
        </w:tc>
        <w:tc>
          <w:tcPr>
            <w:tcW w:w="1134" w:type="dxa"/>
            <w:tcBorders>
              <w:left w:val="single" w:sz="6" w:space="0" w:color="auto"/>
              <w:bottom w:val="nil"/>
            </w:tcBorders>
            <w:shd w:val="clear" w:color="auto" w:fill="F2F2F2" w:themeFill="background1" w:themeFillShade="F2"/>
          </w:tcPr>
          <w:p w14:paraId="7598959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113</w:t>
            </w:r>
          </w:p>
        </w:tc>
        <w:tc>
          <w:tcPr>
            <w:tcW w:w="709" w:type="dxa"/>
            <w:tcBorders>
              <w:bottom w:val="nil"/>
              <w:right w:val="single" w:sz="6" w:space="0" w:color="auto"/>
            </w:tcBorders>
            <w:shd w:val="clear" w:color="auto" w:fill="F2F2F2" w:themeFill="background1" w:themeFillShade="F2"/>
          </w:tcPr>
          <w:p w14:paraId="79AF0A5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97</w:t>
            </w:r>
          </w:p>
        </w:tc>
        <w:tc>
          <w:tcPr>
            <w:tcW w:w="992" w:type="dxa"/>
            <w:tcBorders>
              <w:left w:val="single" w:sz="6" w:space="0" w:color="auto"/>
              <w:bottom w:val="nil"/>
            </w:tcBorders>
            <w:shd w:val="clear" w:color="auto" w:fill="F2F2F2" w:themeFill="background1" w:themeFillShade="F2"/>
          </w:tcPr>
          <w:p w14:paraId="4B2C484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73</w:t>
            </w:r>
          </w:p>
        </w:tc>
        <w:tc>
          <w:tcPr>
            <w:tcW w:w="992" w:type="dxa"/>
            <w:tcBorders>
              <w:bottom w:val="nil"/>
            </w:tcBorders>
            <w:shd w:val="clear" w:color="auto" w:fill="F2F2F2" w:themeFill="background1" w:themeFillShade="F2"/>
          </w:tcPr>
          <w:p w14:paraId="7CDEA1B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13</w:t>
            </w:r>
          </w:p>
        </w:tc>
        <w:tc>
          <w:tcPr>
            <w:tcW w:w="709" w:type="dxa"/>
            <w:tcBorders>
              <w:bottom w:val="nil"/>
              <w:right w:val="single" w:sz="6" w:space="0" w:color="auto"/>
            </w:tcBorders>
            <w:shd w:val="clear" w:color="auto" w:fill="F2F2F2" w:themeFill="background1" w:themeFillShade="F2"/>
          </w:tcPr>
          <w:p w14:paraId="03EDD67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81</w:t>
            </w:r>
          </w:p>
        </w:tc>
        <w:tc>
          <w:tcPr>
            <w:tcW w:w="1134" w:type="dxa"/>
            <w:tcBorders>
              <w:left w:val="single" w:sz="6" w:space="0" w:color="auto"/>
              <w:bottom w:val="nil"/>
            </w:tcBorders>
            <w:shd w:val="clear" w:color="auto" w:fill="F2F2F2" w:themeFill="background1" w:themeFillShade="F2"/>
          </w:tcPr>
          <w:p w14:paraId="5649AB6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27</w:t>
            </w:r>
          </w:p>
        </w:tc>
        <w:tc>
          <w:tcPr>
            <w:tcW w:w="709" w:type="dxa"/>
            <w:tcBorders>
              <w:bottom w:val="nil"/>
            </w:tcBorders>
            <w:shd w:val="clear" w:color="auto" w:fill="F2F2F2" w:themeFill="background1" w:themeFillShade="F2"/>
          </w:tcPr>
          <w:p w14:paraId="6341B19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16</w:t>
            </w:r>
          </w:p>
        </w:tc>
      </w:tr>
      <w:tr w:rsidR="00573DAE" w:rsidRPr="00DD253A" w14:paraId="42F1338F"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58AD15A7" w14:textId="77777777" w:rsidR="007205E6" w:rsidRPr="00DD253A" w:rsidRDefault="007205E6" w:rsidP="007C78EB">
            <w:pPr>
              <w:jc w:val="center"/>
              <w:rPr>
                <w:b/>
                <w:bCs w:val="0"/>
                <w:sz w:val="15"/>
                <w:szCs w:val="15"/>
              </w:rPr>
            </w:pPr>
          </w:p>
        </w:tc>
        <w:tc>
          <w:tcPr>
            <w:tcW w:w="1282" w:type="dxa"/>
          </w:tcPr>
          <w:p w14:paraId="03248B67"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45-54</w:t>
            </w:r>
          </w:p>
        </w:tc>
        <w:tc>
          <w:tcPr>
            <w:tcW w:w="986" w:type="dxa"/>
          </w:tcPr>
          <w:p w14:paraId="2C0498D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176</w:t>
            </w:r>
          </w:p>
        </w:tc>
        <w:tc>
          <w:tcPr>
            <w:tcW w:w="708" w:type="dxa"/>
            <w:tcBorders>
              <w:right w:val="single" w:sz="6" w:space="0" w:color="auto"/>
            </w:tcBorders>
          </w:tcPr>
          <w:p w14:paraId="4767CF8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158</w:t>
            </w:r>
          </w:p>
        </w:tc>
        <w:tc>
          <w:tcPr>
            <w:tcW w:w="1134" w:type="dxa"/>
            <w:tcBorders>
              <w:left w:val="single" w:sz="6" w:space="0" w:color="auto"/>
            </w:tcBorders>
          </w:tcPr>
          <w:p w14:paraId="7490C4E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125</w:t>
            </w:r>
          </w:p>
        </w:tc>
        <w:tc>
          <w:tcPr>
            <w:tcW w:w="993" w:type="dxa"/>
          </w:tcPr>
          <w:p w14:paraId="70DEDCD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46</w:t>
            </w:r>
          </w:p>
        </w:tc>
        <w:tc>
          <w:tcPr>
            <w:tcW w:w="708" w:type="dxa"/>
            <w:tcBorders>
              <w:right w:val="single" w:sz="6" w:space="0" w:color="auto"/>
            </w:tcBorders>
          </w:tcPr>
          <w:p w14:paraId="30CACE9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156</w:t>
            </w:r>
          </w:p>
        </w:tc>
        <w:tc>
          <w:tcPr>
            <w:tcW w:w="1134" w:type="dxa"/>
            <w:tcBorders>
              <w:left w:val="single" w:sz="6" w:space="0" w:color="auto"/>
            </w:tcBorders>
          </w:tcPr>
          <w:p w14:paraId="6F64506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709" w:type="dxa"/>
            <w:tcBorders>
              <w:right w:val="single" w:sz="6" w:space="0" w:color="auto"/>
            </w:tcBorders>
          </w:tcPr>
          <w:p w14:paraId="766D0ED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w:t>
            </w:r>
          </w:p>
        </w:tc>
        <w:tc>
          <w:tcPr>
            <w:tcW w:w="1134" w:type="dxa"/>
            <w:tcBorders>
              <w:left w:val="single" w:sz="6" w:space="0" w:color="auto"/>
              <w:bottom w:val="nil"/>
            </w:tcBorders>
            <w:shd w:val="clear" w:color="auto" w:fill="F2F2F2" w:themeFill="background1" w:themeFillShade="F2"/>
          </w:tcPr>
          <w:p w14:paraId="50DFAB3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167</w:t>
            </w:r>
          </w:p>
        </w:tc>
        <w:tc>
          <w:tcPr>
            <w:tcW w:w="709" w:type="dxa"/>
            <w:tcBorders>
              <w:bottom w:val="nil"/>
              <w:right w:val="single" w:sz="6" w:space="0" w:color="auto"/>
            </w:tcBorders>
            <w:shd w:val="clear" w:color="auto" w:fill="F2F2F2" w:themeFill="background1" w:themeFillShade="F2"/>
          </w:tcPr>
          <w:p w14:paraId="2FB85E1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143</w:t>
            </w:r>
          </w:p>
        </w:tc>
        <w:tc>
          <w:tcPr>
            <w:tcW w:w="992" w:type="dxa"/>
            <w:tcBorders>
              <w:left w:val="single" w:sz="6" w:space="0" w:color="auto"/>
              <w:bottom w:val="nil"/>
            </w:tcBorders>
            <w:shd w:val="clear" w:color="auto" w:fill="F2F2F2" w:themeFill="background1" w:themeFillShade="F2"/>
          </w:tcPr>
          <w:p w14:paraId="4EFE243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110</w:t>
            </w:r>
          </w:p>
        </w:tc>
        <w:tc>
          <w:tcPr>
            <w:tcW w:w="992" w:type="dxa"/>
            <w:tcBorders>
              <w:bottom w:val="nil"/>
            </w:tcBorders>
            <w:shd w:val="clear" w:color="auto" w:fill="F2F2F2" w:themeFill="background1" w:themeFillShade="F2"/>
          </w:tcPr>
          <w:p w14:paraId="06BF607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50</w:t>
            </w:r>
          </w:p>
        </w:tc>
        <w:tc>
          <w:tcPr>
            <w:tcW w:w="709" w:type="dxa"/>
            <w:tcBorders>
              <w:bottom w:val="nil"/>
              <w:right w:val="single" w:sz="6" w:space="0" w:color="auto"/>
            </w:tcBorders>
            <w:shd w:val="clear" w:color="auto" w:fill="F2F2F2" w:themeFill="background1" w:themeFillShade="F2"/>
          </w:tcPr>
          <w:p w14:paraId="76E487F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139</w:t>
            </w:r>
          </w:p>
        </w:tc>
        <w:tc>
          <w:tcPr>
            <w:tcW w:w="1134" w:type="dxa"/>
            <w:tcBorders>
              <w:left w:val="single" w:sz="6" w:space="0" w:color="auto"/>
              <w:bottom w:val="nil"/>
            </w:tcBorders>
            <w:shd w:val="clear" w:color="auto" w:fill="F2F2F2" w:themeFill="background1" w:themeFillShade="F2"/>
          </w:tcPr>
          <w:p w14:paraId="3840637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w:t>
            </w:r>
          </w:p>
        </w:tc>
        <w:tc>
          <w:tcPr>
            <w:tcW w:w="709" w:type="dxa"/>
            <w:tcBorders>
              <w:bottom w:val="nil"/>
            </w:tcBorders>
            <w:shd w:val="clear" w:color="auto" w:fill="F2F2F2" w:themeFill="background1" w:themeFillShade="F2"/>
          </w:tcPr>
          <w:p w14:paraId="1935E07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w:t>
            </w:r>
          </w:p>
        </w:tc>
      </w:tr>
      <w:tr w:rsidR="00573DAE" w:rsidRPr="00DD253A" w14:paraId="4D5C8CD8"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extDirection w:val="btLr"/>
            <w:vAlign w:val="center"/>
          </w:tcPr>
          <w:p w14:paraId="3A53D83B" w14:textId="77777777" w:rsidR="007205E6" w:rsidRPr="00DD253A" w:rsidRDefault="007205E6" w:rsidP="007C78EB">
            <w:pPr>
              <w:jc w:val="center"/>
              <w:rPr>
                <w:b/>
                <w:bCs w:val="0"/>
                <w:sz w:val="15"/>
                <w:szCs w:val="15"/>
              </w:rPr>
            </w:pPr>
          </w:p>
        </w:tc>
        <w:tc>
          <w:tcPr>
            <w:tcW w:w="1282" w:type="dxa"/>
          </w:tcPr>
          <w:p w14:paraId="3D9B1CC3"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55-64</w:t>
            </w:r>
          </w:p>
        </w:tc>
        <w:tc>
          <w:tcPr>
            <w:tcW w:w="986" w:type="dxa"/>
          </w:tcPr>
          <w:p w14:paraId="02AB29B4" w14:textId="35993BD2" w:rsidR="007205E6" w:rsidRPr="00DD253A" w:rsidRDefault="00992947" w:rsidP="007205E6">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w:t>
            </w:r>
          </w:p>
        </w:tc>
        <w:tc>
          <w:tcPr>
            <w:tcW w:w="708" w:type="dxa"/>
            <w:tcBorders>
              <w:right w:val="single" w:sz="6" w:space="0" w:color="auto"/>
            </w:tcBorders>
          </w:tcPr>
          <w:p w14:paraId="7B6B8F17" w14:textId="5298BB35"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w:t>
            </w:r>
            <w:r w:rsidR="00992947">
              <w:rPr>
                <w:sz w:val="15"/>
                <w:szCs w:val="15"/>
              </w:rPr>
              <w:t>8</w:t>
            </w:r>
          </w:p>
        </w:tc>
        <w:tc>
          <w:tcPr>
            <w:tcW w:w="1134" w:type="dxa"/>
            <w:tcBorders>
              <w:left w:val="single" w:sz="6" w:space="0" w:color="auto"/>
            </w:tcBorders>
          </w:tcPr>
          <w:p w14:paraId="685D681B" w14:textId="4852CAE0"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r w:rsidR="00EF4D6A">
              <w:rPr>
                <w:sz w:val="15"/>
                <w:szCs w:val="15"/>
              </w:rPr>
              <w:t>9</w:t>
            </w:r>
          </w:p>
        </w:tc>
        <w:tc>
          <w:tcPr>
            <w:tcW w:w="993" w:type="dxa"/>
          </w:tcPr>
          <w:p w14:paraId="626FC33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31</w:t>
            </w:r>
          </w:p>
        </w:tc>
        <w:tc>
          <w:tcPr>
            <w:tcW w:w="708" w:type="dxa"/>
            <w:tcBorders>
              <w:right w:val="single" w:sz="6" w:space="0" w:color="auto"/>
            </w:tcBorders>
          </w:tcPr>
          <w:p w14:paraId="74A165BA" w14:textId="2B3DDF6C"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w:t>
            </w:r>
            <w:r w:rsidR="00EF4D6A">
              <w:rPr>
                <w:sz w:val="15"/>
                <w:szCs w:val="15"/>
              </w:rPr>
              <w:t>8</w:t>
            </w:r>
          </w:p>
        </w:tc>
        <w:tc>
          <w:tcPr>
            <w:tcW w:w="1134" w:type="dxa"/>
            <w:tcBorders>
              <w:left w:val="single" w:sz="6" w:space="0" w:color="auto"/>
            </w:tcBorders>
          </w:tcPr>
          <w:p w14:paraId="6EC892B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right w:val="single" w:sz="6" w:space="0" w:color="auto"/>
            </w:tcBorders>
          </w:tcPr>
          <w:p w14:paraId="1FB18A5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7914076F" w14:textId="19E3C515"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63</w:t>
            </w:r>
          </w:p>
        </w:tc>
        <w:tc>
          <w:tcPr>
            <w:tcW w:w="709" w:type="dxa"/>
            <w:tcBorders>
              <w:bottom w:val="nil"/>
              <w:right w:val="single" w:sz="6" w:space="0" w:color="auto"/>
            </w:tcBorders>
            <w:shd w:val="clear" w:color="auto" w:fill="F2F2F2" w:themeFill="background1" w:themeFillShade="F2"/>
          </w:tcPr>
          <w:p w14:paraId="106E2E81" w14:textId="2E465AE0"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38</w:t>
            </w:r>
          </w:p>
        </w:tc>
        <w:tc>
          <w:tcPr>
            <w:tcW w:w="992" w:type="dxa"/>
            <w:tcBorders>
              <w:left w:val="single" w:sz="6" w:space="0" w:color="auto"/>
              <w:bottom w:val="nil"/>
            </w:tcBorders>
            <w:shd w:val="clear" w:color="auto" w:fill="F2F2F2" w:themeFill="background1" w:themeFillShade="F2"/>
          </w:tcPr>
          <w:p w14:paraId="6DFAC408" w14:textId="275A4921"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992" w:type="dxa"/>
            <w:tcBorders>
              <w:bottom w:val="nil"/>
            </w:tcBorders>
            <w:shd w:val="clear" w:color="auto" w:fill="F2F2F2" w:themeFill="background1" w:themeFillShade="F2"/>
          </w:tcPr>
          <w:p w14:paraId="483F577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63</w:t>
            </w:r>
          </w:p>
        </w:tc>
        <w:tc>
          <w:tcPr>
            <w:tcW w:w="709" w:type="dxa"/>
            <w:tcBorders>
              <w:bottom w:val="nil"/>
              <w:right w:val="single" w:sz="6" w:space="0" w:color="auto"/>
            </w:tcBorders>
            <w:shd w:val="clear" w:color="auto" w:fill="F2F2F2" w:themeFill="background1" w:themeFillShade="F2"/>
          </w:tcPr>
          <w:p w14:paraId="410AAA06" w14:textId="380CF62E"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38</w:t>
            </w:r>
          </w:p>
        </w:tc>
        <w:tc>
          <w:tcPr>
            <w:tcW w:w="1134" w:type="dxa"/>
            <w:tcBorders>
              <w:left w:val="single" w:sz="6" w:space="0" w:color="auto"/>
              <w:bottom w:val="nil"/>
            </w:tcBorders>
            <w:shd w:val="clear" w:color="auto" w:fill="F2F2F2" w:themeFill="background1" w:themeFillShade="F2"/>
          </w:tcPr>
          <w:p w14:paraId="51297A7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3F4B788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573DAE" w:rsidRPr="00DD253A" w14:paraId="485DA6FC"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Borders>
              <w:bottom w:val="single" w:sz="6" w:space="0" w:color="auto"/>
            </w:tcBorders>
            <w:textDirection w:val="btLr"/>
            <w:vAlign w:val="center"/>
          </w:tcPr>
          <w:p w14:paraId="72940937" w14:textId="77777777" w:rsidR="007205E6" w:rsidRPr="00DD253A" w:rsidRDefault="007205E6" w:rsidP="007C78EB">
            <w:pPr>
              <w:jc w:val="center"/>
              <w:rPr>
                <w:b/>
                <w:bCs w:val="0"/>
                <w:sz w:val="15"/>
                <w:szCs w:val="15"/>
              </w:rPr>
            </w:pPr>
          </w:p>
        </w:tc>
        <w:tc>
          <w:tcPr>
            <w:tcW w:w="1282" w:type="dxa"/>
            <w:tcBorders>
              <w:bottom w:val="single" w:sz="6" w:space="0" w:color="auto"/>
            </w:tcBorders>
          </w:tcPr>
          <w:p w14:paraId="34327F83"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65+</w:t>
            </w:r>
          </w:p>
        </w:tc>
        <w:tc>
          <w:tcPr>
            <w:tcW w:w="986" w:type="dxa"/>
            <w:tcBorders>
              <w:bottom w:val="single" w:sz="6" w:space="0" w:color="auto"/>
            </w:tcBorders>
          </w:tcPr>
          <w:p w14:paraId="10529A3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8</w:t>
            </w:r>
          </w:p>
        </w:tc>
        <w:tc>
          <w:tcPr>
            <w:tcW w:w="708" w:type="dxa"/>
            <w:tcBorders>
              <w:bottom w:val="single" w:sz="6" w:space="0" w:color="auto"/>
              <w:right w:val="single" w:sz="6" w:space="0" w:color="auto"/>
            </w:tcBorders>
          </w:tcPr>
          <w:p w14:paraId="4BF3BAE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1134" w:type="dxa"/>
            <w:tcBorders>
              <w:left w:val="single" w:sz="6" w:space="0" w:color="auto"/>
              <w:bottom w:val="single" w:sz="6" w:space="0" w:color="auto"/>
            </w:tcBorders>
          </w:tcPr>
          <w:p w14:paraId="6054FD5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993" w:type="dxa"/>
            <w:tcBorders>
              <w:bottom w:val="single" w:sz="6" w:space="0" w:color="auto"/>
            </w:tcBorders>
          </w:tcPr>
          <w:p w14:paraId="3788B86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8</w:t>
            </w:r>
          </w:p>
        </w:tc>
        <w:tc>
          <w:tcPr>
            <w:tcW w:w="708" w:type="dxa"/>
            <w:tcBorders>
              <w:bottom w:val="single" w:sz="6" w:space="0" w:color="auto"/>
              <w:right w:val="single" w:sz="6" w:space="0" w:color="auto"/>
            </w:tcBorders>
          </w:tcPr>
          <w:p w14:paraId="1316CBD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1134" w:type="dxa"/>
            <w:tcBorders>
              <w:left w:val="single" w:sz="6" w:space="0" w:color="auto"/>
              <w:bottom w:val="single" w:sz="6" w:space="0" w:color="auto"/>
            </w:tcBorders>
          </w:tcPr>
          <w:p w14:paraId="6C96C61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single" w:sz="6" w:space="0" w:color="auto"/>
              <w:right w:val="single" w:sz="6" w:space="0" w:color="auto"/>
            </w:tcBorders>
          </w:tcPr>
          <w:p w14:paraId="6F39D85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single" w:sz="6" w:space="0" w:color="auto"/>
            </w:tcBorders>
            <w:shd w:val="clear" w:color="auto" w:fill="F2F2F2" w:themeFill="background1" w:themeFillShade="F2"/>
          </w:tcPr>
          <w:p w14:paraId="192D4AD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w:t>
            </w:r>
          </w:p>
        </w:tc>
        <w:tc>
          <w:tcPr>
            <w:tcW w:w="709" w:type="dxa"/>
            <w:tcBorders>
              <w:bottom w:val="single" w:sz="6" w:space="0" w:color="auto"/>
              <w:right w:val="single" w:sz="6" w:space="0" w:color="auto"/>
            </w:tcBorders>
            <w:shd w:val="clear" w:color="auto" w:fill="F2F2F2" w:themeFill="background1" w:themeFillShade="F2"/>
          </w:tcPr>
          <w:p w14:paraId="799BD2D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w:t>
            </w:r>
          </w:p>
        </w:tc>
        <w:tc>
          <w:tcPr>
            <w:tcW w:w="992" w:type="dxa"/>
            <w:tcBorders>
              <w:left w:val="single" w:sz="6" w:space="0" w:color="auto"/>
              <w:bottom w:val="single" w:sz="6" w:space="0" w:color="auto"/>
            </w:tcBorders>
            <w:shd w:val="clear" w:color="auto" w:fill="F2F2F2" w:themeFill="background1" w:themeFillShade="F2"/>
          </w:tcPr>
          <w:p w14:paraId="69F58F8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992" w:type="dxa"/>
            <w:tcBorders>
              <w:bottom w:val="single" w:sz="6" w:space="0" w:color="auto"/>
            </w:tcBorders>
            <w:shd w:val="clear" w:color="auto" w:fill="F2F2F2" w:themeFill="background1" w:themeFillShade="F2"/>
          </w:tcPr>
          <w:p w14:paraId="0C8FF1B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709" w:type="dxa"/>
            <w:tcBorders>
              <w:bottom w:val="single" w:sz="6" w:space="0" w:color="auto"/>
              <w:right w:val="single" w:sz="6" w:space="0" w:color="auto"/>
            </w:tcBorders>
            <w:shd w:val="clear" w:color="auto" w:fill="F2F2F2" w:themeFill="background1" w:themeFillShade="F2"/>
          </w:tcPr>
          <w:p w14:paraId="0938610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w:t>
            </w:r>
          </w:p>
        </w:tc>
        <w:tc>
          <w:tcPr>
            <w:tcW w:w="1134" w:type="dxa"/>
            <w:tcBorders>
              <w:left w:val="single" w:sz="6" w:space="0" w:color="auto"/>
              <w:bottom w:val="single" w:sz="6" w:space="0" w:color="auto"/>
            </w:tcBorders>
            <w:shd w:val="clear" w:color="auto" w:fill="F2F2F2" w:themeFill="background1" w:themeFillShade="F2"/>
          </w:tcPr>
          <w:p w14:paraId="52F027A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709" w:type="dxa"/>
            <w:tcBorders>
              <w:bottom w:val="single" w:sz="6" w:space="0" w:color="auto"/>
            </w:tcBorders>
            <w:shd w:val="clear" w:color="auto" w:fill="F2F2F2" w:themeFill="background1" w:themeFillShade="F2"/>
          </w:tcPr>
          <w:p w14:paraId="622F36F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r>
      <w:tr w:rsidR="00573DAE" w:rsidRPr="00DD253A" w14:paraId="155FBAA1" w14:textId="77777777" w:rsidTr="007C78EB">
        <w:tc>
          <w:tcPr>
            <w:cnfStyle w:val="001000000000" w:firstRow="0" w:lastRow="0" w:firstColumn="1" w:lastColumn="0" w:oddVBand="0" w:evenVBand="0" w:oddHBand="0" w:evenHBand="0" w:firstRowFirstColumn="0" w:firstRowLastColumn="0" w:lastRowFirstColumn="0" w:lastRowLastColumn="0"/>
            <w:tcW w:w="426" w:type="dxa"/>
            <w:vMerge w:val="restart"/>
            <w:tcBorders>
              <w:top w:val="single" w:sz="6" w:space="0" w:color="auto"/>
              <w:bottom w:val="nil"/>
            </w:tcBorders>
            <w:textDirection w:val="btLr"/>
            <w:vAlign w:val="center"/>
          </w:tcPr>
          <w:p w14:paraId="4BDBDCED" w14:textId="77777777" w:rsidR="007205E6" w:rsidRPr="00DD253A" w:rsidRDefault="007205E6" w:rsidP="007C78EB">
            <w:pPr>
              <w:jc w:val="center"/>
              <w:rPr>
                <w:b/>
                <w:bCs w:val="0"/>
                <w:sz w:val="15"/>
                <w:szCs w:val="15"/>
              </w:rPr>
            </w:pPr>
            <w:r w:rsidRPr="00DD253A">
              <w:rPr>
                <w:b/>
                <w:sz w:val="15"/>
                <w:szCs w:val="15"/>
              </w:rPr>
              <w:t>Classification data</w:t>
            </w:r>
          </w:p>
        </w:tc>
        <w:tc>
          <w:tcPr>
            <w:tcW w:w="1282" w:type="dxa"/>
            <w:tcBorders>
              <w:top w:val="single" w:sz="6" w:space="0" w:color="auto"/>
              <w:bottom w:val="nil"/>
            </w:tcBorders>
          </w:tcPr>
          <w:p w14:paraId="4CB73F99"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VPS 1-6 grades</w:t>
            </w:r>
          </w:p>
        </w:tc>
        <w:tc>
          <w:tcPr>
            <w:tcW w:w="986" w:type="dxa"/>
            <w:tcBorders>
              <w:top w:val="single" w:sz="6" w:space="0" w:color="auto"/>
              <w:bottom w:val="nil"/>
            </w:tcBorders>
          </w:tcPr>
          <w:p w14:paraId="2D0F9FB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482</w:t>
            </w:r>
          </w:p>
        </w:tc>
        <w:tc>
          <w:tcPr>
            <w:tcW w:w="708" w:type="dxa"/>
            <w:tcBorders>
              <w:top w:val="single" w:sz="6" w:space="0" w:color="auto"/>
              <w:bottom w:val="nil"/>
              <w:right w:val="single" w:sz="6" w:space="0" w:color="auto"/>
            </w:tcBorders>
          </w:tcPr>
          <w:p w14:paraId="4B6EB56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396</w:t>
            </w:r>
          </w:p>
        </w:tc>
        <w:tc>
          <w:tcPr>
            <w:tcW w:w="1134" w:type="dxa"/>
            <w:tcBorders>
              <w:top w:val="single" w:sz="6" w:space="0" w:color="auto"/>
              <w:left w:val="single" w:sz="6" w:space="0" w:color="auto"/>
              <w:bottom w:val="nil"/>
            </w:tcBorders>
          </w:tcPr>
          <w:p w14:paraId="7131F14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266</w:t>
            </w:r>
          </w:p>
        </w:tc>
        <w:tc>
          <w:tcPr>
            <w:tcW w:w="993" w:type="dxa"/>
            <w:tcBorders>
              <w:top w:val="single" w:sz="6" w:space="0" w:color="auto"/>
              <w:bottom w:val="nil"/>
            </w:tcBorders>
          </w:tcPr>
          <w:p w14:paraId="240322B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167</w:t>
            </w:r>
          </w:p>
        </w:tc>
        <w:tc>
          <w:tcPr>
            <w:tcW w:w="708" w:type="dxa"/>
            <w:tcBorders>
              <w:top w:val="single" w:sz="6" w:space="0" w:color="auto"/>
              <w:bottom w:val="nil"/>
              <w:right w:val="single" w:sz="6" w:space="0" w:color="auto"/>
            </w:tcBorders>
          </w:tcPr>
          <w:p w14:paraId="2757972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368</w:t>
            </w:r>
          </w:p>
        </w:tc>
        <w:tc>
          <w:tcPr>
            <w:tcW w:w="1134" w:type="dxa"/>
            <w:tcBorders>
              <w:top w:val="single" w:sz="6" w:space="0" w:color="auto"/>
              <w:left w:val="single" w:sz="6" w:space="0" w:color="auto"/>
              <w:bottom w:val="nil"/>
            </w:tcBorders>
          </w:tcPr>
          <w:p w14:paraId="664F8B3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49</w:t>
            </w:r>
          </w:p>
        </w:tc>
        <w:tc>
          <w:tcPr>
            <w:tcW w:w="709" w:type="dxa"/>
            <w:tcBorders>
              <w:top w:val="single" w:sz="6" w:space="0" w:color="auto"/>
              <w:bottom w:val="nil"/>
              <w:right w:val="single" w:sz="6" w:space="0" w:color="auto"/>
            </w:tcBorders>
          </w:tcPr>
          <w:p w14:paraId="149D809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28</w:t>
            </w:r>
          </w:p>
        </w:tc>
        <w:tc>
          <w:tcPr>
            <w:tcW w:w="1134" w:type="dxa"/>
            <w:tcBorders>
              <w:top w:val="single" w:sz="6" w:space="0" w:color="auto"/>
              <w:left w:val="single" w:sz="6" w:space="0" w:color="auto"/>
              <w:bottom w:val="nil"/>
            </w:tcBorders>
            <w:shd w:val="clear" w:color="auto" w:fill="F2F2F2" w:themeFill="background1" w:themeFillShade="F2"/>
          </w:tcPr>
          <w:p w14:paraId="795B347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354</w:t>
            </w:r>
          </w:p>
        </w:tc>
        <w:tc>
          <w:tcPr>
            <w:tcW w:w="709" w:type="dxa"/>
            <w:tcBorders>
              <w:top w:val="single" w:sz="6" w:space="0" w:color="auto"/>
              <w:bottom w:val="nil"/>
              <w:right w:val="single" w:sz="6" w:space="0" w:color="auto"/>
            </w:tcBorders>
            <w:shd w:val="clear" w:color="auto" w:fill="F2F2F2" w:themeFill="background1" w:themeFillShade="F2"/>
          </w:tcPr>
          <w:p w14:paraId="3AF88CA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278</w:t>
            </w:r>
          </w:p>
        </w:tc>
        <w:tc>
          <w:tcPr>
            <w:tcW w:w="992" w:type="dxa"/>
            <w:tcBorders>
              <w:top w:val="single" w:sz="6" w:space="0" w:color="auto"/>
              <w:left w:val="single" w:sz="6" w:space="0" w:color="auto"/>
              <w:bottom w:val="nil"/>
            </w:tcBorders>
            <w:shd w:val="clear" w:color="auto" w:fill="F2F2F2" w:themeFill="background1" w:themeFillShade="F2"/>
          </w:tcPr>
          <w:p w14:paraId="6C37B66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168</w:t>
            </w:r>
          </w:p>
        </w:tc>
        <w:tc>
          <w:tcPr>
            <w:tcW w:w="992" w:type="dxa"/>
            <w:tcBorders>
              <w:top w:val="single" w:sz="6" w:space="0" w:color="auto"/>
              <w:bottom w:val="nil"/>
            </w:tcBorders>
            <w:shd w:val="clear" w:color="auto" w:fill="F2F2F2" w:themeFill="background1" w:themeFillShade="F2"/>
          </w:tcPr>
          <w:p w14:paraId="305D9D4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147</w:t>
            </w:r>
          </w:p>
        </w:tc>
        <w:tc>
          <w:tcPr>
            <w:tcW w:w="709" w:type="dxa"/>
            <w:tcBorders>
              <w:top w:val="single" w:sz="6" w:space="0" w:color="auto"/>
              <w:bottom w:val="nil"/>
              <w:right w:val="single" w:sz="6" w:space="0" w:color="auto"/>
            </w:tcBorders>
            <w:shd w:val="clear" w:color="auto" w:fill="F2F2F2" w:themeFill="background1" w:themeFillShade="F2"/>
          </w:tcPr>
          <w:p w14:paraId="1267A36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255</w:t>
            </w:r>
          </w:p>
        </w:tc>
        <w:tc>
          <w:tcPr>
            <w:tcW w:w="1134" w:type="dxa"/>
            <w:tcBorders>
              <w:top w:val="single" w:sz="6" w:space="0" w:color="auto"/>
              <w:left w:val="single" w:sz="6" w:space="0" w:color="auto"/>
              <w:bottom w:val="nil"/>
            </w:tcBorders>
            <w:shd w:val="clear" w:color="auto" w:fill="F2F2F2" w:themeFill="background1" w:themeFillShade="F2"/>
          </w:tcPr>
          <w:p w14:paraId="2CF494D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39</w:t>
            </w:r>
          </w:p>
        </w:tc>
        <w:tc>
          <w:tcPr>
            <w:tcW w:w="709" w:type="dxa"/>
            <w:tcBorders>
              <w:top w:val="single" w:sz="6" w:space="0" w:color="auto"/>
              <w:bottom w:val="nil"/>
            </w:tcBorders>
            <w:shd w:val="clear" w:color="auto" w:fill="F2F2F2" w:themeFill="background1" w:themeFillShade="F2"/>
          </w:tcPr>
          <w:p w14:paraId="3DFFB21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23</w:t>
            </w:r>
          </w:p>
        </w:tc>
      </w:tr>
      <w:tr w:rsidR="00573DAE" w:rsidRPr="00DD253A" w14:paraId="006620E2" w14:textId="77777777" w:rsidTr="001026C2">
        <w:tc>
          <w:tcPr>
            <w:cnfStyle w:val="001000000000" w:firstRow="0" w:lastRow="0" w:firstColumn="1" w:lastColumn="0" w:oddVBand="0" w:evenVBand="0" w:oddHBand="0" w:evenHBand="0" w:firstRowFirstColumn="0" w:firstRowLastColumn="0" w:lastRowFirstColumn="0" w:lastRowLastColumn="0"/>
            <w:tcW w:w="426" w:type="dxa"/>
            <w:vMerge/>
            <w:tcBorders>
              <w:top w:val="nil"/>
            </w:tcBorders>
            <w:textDirection w:val="btLr"/>
          </w:tcPr>
          <w:p w14:paraId="148774A7" w14:textId="77777777" w:rsidR="007205E6" w:rsidRPr="00DD253A" w:rsidRDefault="007205E6" w:rsidP="007205E6">
            <w:pPr>
              <w:rPr>
                <w:sz w:val="15"/>
                <w:szCs w:val="15"/>
              </w:rPr>
            </w:pPr>
          </w:p>
        </w:tc>
        <w:tc>
          <w:tcPr>
            <w:tcW w:w="1282" w:type="dxa"/>
            <w:tcBorders>
              <w:top w:val="nil"/>
            </w:tcBorders>
          </w:tcPr>
          <w:p w14:paraId="2B92ED0E"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VPS 1</w:t>
            </w:r>
          </w:p>
        </w:tc>
        <w:tc>
          <w:tcPr>
            <w:tcW w:w="986" w:type="dxa"/>
            <w:tcBorders>
              <w:top w:val="nil"/>
            </w:tcBorders>
          </w:tcPr>
          <w:p w14:paraId="3E9D096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24</w:t>
            </w:r>
          </w:p>
        </w:tc>
        <w:tc>
          <w:tcPr>
            <w:tcW w:w="708" w:type="dxa"/>
            <w:tcBorders>
              <w:top w:val="nil"/>
              <w:right w:val="single" w:sz="6" w:space="0" w:color="auto"/>
            </w:tcBorders>
          </w:tcPr>
          <w:p w14:paraId="297D992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20</w:t>
            </w:r>
          </w:p>
        </w:tc>
        <w:tc>
          <w:tcPr>
            <w:tcW w:w="1134" w:type="dxa"/>
            <w:tcBorders>
              <w:top w:val="nil"/>
              <w:left w:val="single" w:sz="6" w:space="0" w:color="auto"/>
            </w:tcBorders>
          </w:tcPr>
          <w:p w14:paraId="5269D2A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16</w:t>
            </w:r>
          </w:p>
        </w:tc>
        <w:tc>
          <w:tcPr>
            <w:tcW w:w="993" w:type="dxa"/>
            <w:tcBorders>
              <w:top w:val="nil"/>
            </w:tcBorders>
          </w:tcPr>
          <w:p w14:paraId="40C3F85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708" w:type="dxa"/>
            <w:tcBorders>
              <w:top w:val="nil"/>
              <w:right w:val="single" w:sz="6" w:space="0" w:color="auto"/>
            </w:tcBorders>
          </w:tcPr>
          <w:p w14:paraId="391ACBA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19</w:t>
            </w:r>
          </w:p>
        </w:tc>
        <w:tc>
          <w:tcPr>
            <w:tcW w:w="1134" w:type="dxa"/>
            <w:tcBorders>
              <w:top w:val="nil"/>
              <w:left w:val="single" w:sz="6" w:space="0" w:color="auto"/>
            </w:tcBorders>
          </w:tcPr>
          <w:p w14:paraId="5403289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w:t>
            </w:r>
          </w:p>
        </w:tc>
        <w:tc>
          <w:tcPr>
            <w:tcW w:w="709" w:type="dxa"/>
            <w:tcBorders>
              <w:top w:val="nil"/>
              <w:right w:val="single" w:sz="6" w:space="0" w:color="auto"/>
            </w:tcBorders>
          </w:tcPr>
          <w:p w14:paraId="18393D2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1134" w:type="dxa"/>
            <w:tcBorders>
              <w:top w:val="nil"/>
              <w:left w:val="single" w:sz="6" w:space="0" w:color="auto"/>
              <w:bottom w:val="nil"/>
            </w:tcBorders>
            <w:shd w:val="clear" w:color="auto" w:fill="F2F2F2" w:themeFill="background1" w:themeFillShade="F2"/>
          </w:tcPr>
          <w:p w14:paraId="66EB537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18</w:t>
            </w:r>
          </w:p>
        </w:tc>
        <w:tc>
          <w:tcPr>
            <w:tcW w:w="709" w:type="dxa"/>
            <w:tcBorders>
              <w:top w:val="nil"/>
              <w:bottom w:val="nil"/>
              <w:right w:val="single" w:sz="6" w:space="0" w:color="auto"/>
            </w:tcBorders>
            <w:shd w:val="clear" w:color="auto" w:fill="F2F2F2" w:themeFill="background1" w:themeFillShade="F2"/>
          </w:tcPr>
          <w:p w14:paraId="6CEDB75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14</w:t>
            </w:r>
          </w:p>
        </w:tc>
        <w:tc>
          <w:tcPr>
            <w:tcW w:w="992" w:type="dxa"/>
            <w:tcBorders>
              <w:top w:val="nil"/>
              <w:left w:val="single" w:sz="6" w:space="0" w:color="auto"/>
              <w:bottom w:val="nil"/>
            </w:tcBorders>
            <w:shd w:val="clear" w:color="auto" w:fill="F2F2F2" w:themeFill="background1" w:themeFillShade="F2"/>
          </w:tcPr>
          <w:p w14:paraId="769FB73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w:t>
            </w:r>
          </w:p>
        </w:tc>
        <w:tc>
          <w:tcPr>
            <w:tcW w:w="992" w:type="dxa"/>
            <w:tcBorders>
              <w:top w:val="nil"/>
              <w:bottom w:val="nil"/>
            </w:tcBorders>
            <w:shd w:val="clear" w:color="auto" w:fill="F2F2F2" w:themeFill="background1" w:themeFillShade="F2"/>
          </w:tcPr>
          <w:p w14:paraId="684553D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709" w:type="dxa"/>
            <w:tcBorders>
              <w:top w:val="nil"/>
              <w:bottom w:val="nil"/>
              <w:right w:val="single" w:sz="6" w:space="0" w:color="auto"/>
            </w:tcBorders>
            <w:shd w:val="clear" w:color="auto" w:fill="F2F2F2" w:themeFill="background1" w:themeFillShade="F2"/>
          </w:tcPr>
          <w:p w14:paraId="46AE06E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12</w:t>
            </w:r>
          </w:p>
        </w:tc>
        <w:tc>
          <w:tcPr>
            <w:tcW w:w="1134" w:type="dxa"/>
            <w:tcBorders>
              <w:top w:val="nil"/>
              <w:left w:val="single" w:sz="6" w:space="0" w:color="auto"/>
              <w:bottom w:val="nil"/>
            </w:tcBorders>
            <w:shd w:val="clear" w:color="auto" w:fill="F2F2F2" w:themeFill="background1" w:themeFillShade="F2"/>
          </w:tcPr>
          <w:p w14:paraId="1D4B43F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w:t>
            </w:r>
          </w:p>
        </w:tc>
        <w:tc>
          <w:tcPr>
            <w:tcW w:w="709" w:type="dxa"/>
            <w:tcBorders>
              <w:top w:val="nil"/>
              <w:bottom w:val="nil"/>
            </w:tcBorders>
            <w:shd w:val="clear" w:color="auto" w:fill="F2F2F2" w:themeFill="background1" w:themeFillShade="F2"/>
          </w:tcPr>
          <w:p w14:paraId="6B7B9DE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r>
      <w:tr w:rsidR="00DD470D" w:rsidRPr="00DD253A" w14:paraId="26C66496"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69082FC7" w14:textId="77777777" w:rsidR="007205E6" w:rsidRPr="00DD253A" w:rsidRDefault="007205E6" w:rsidP="007205E6">
            <w:pPr>
              <w:rPr>
                <w:sz w:val="15"/>
                <w:szCs w:val="15"/>
              </w:rPr>
            </w:pPr>
          </w:p>
        </w:tc>
        <w:tc>
          <w:tcPr>
            <w:tcW w:w="1282" w:type="dxa"/>
          </w:tcPr>
          <w:p w14:paraId="7A1DCF8A"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VPS 2</w:t>
            </w:r>
          </w:p>
        </w:tc>
        <w:tc>
          <w:tcPr>
            <w:tcW w:w="986" w:type="dxa"/>
          </w:tcPr>
          <w:p w14:paraId="64AFDF1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102</w:t>
            </w:r>
          </w:p>
        </w:tc>
        <w:tc>
          <w:tcPr>
            <w:tcW w:w="708" w:type="dxa"/>
            <w:tcBorders>
              <w:right w:val="single" w:sz="6" w:space="0" w:color="auto"/>
            </w:tcBorders>
          </w:tcPr>
          <w:p w14:paraId="4A0E35D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93</w:t>
            </w:r>
          </w:p>
        </w:tc>
        <w:tc>
          <w:tcPr>
            <w:tcW w:w="1134" w:type="dxa"/>
            <w:tcBorders>
              <w:left w:val="single" w:sz="6" w:space="0" w:color="auto"/>
            </w:tcBorders>
          </w:tcPr>
          <w:p w14:paraId="1E356E8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79</w:t>
            </w:r>
          </w:p>
        </w:tc>
        <w:tc>
          <w:tcPr>
            <w:tcW w:w="993" w:type="dxa"/>
          </w:tcPr>
          <w:p w14:paraId="02DED61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21</w:t>
            </w:r>
          </w:p>
        </w:tc>
        <w:tc>
          <w:tcPr>
            <w:tcW w:w="708" w:type="dxa"/>
            <w:tcBorders>
              <w:right w:val="single" w:sz="6" w:space="0" w:color="auto"/>
            </w:tcBorders>
          </w:tcPr>
          <w:p w14:paraId="39C7F30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92</w:t>
            </w:r>
          </w:p>
        </w:tc>
        <w:tc>
          <w:tcPr>
            <w:tcW w:w="1134" w:type="dxa"/>
            <w:tcBorders>
              <w:left w:val="single" w:sz="6" w:space="0" w:color="auto"/>
            </w:tcBorders>
          </w:tcPr>
          <w:p w14:paraId="46C3B9C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709" w:type="dxa"/>
            <w:tcBorders>
              <w:right w:val="single" w:sz="6" w:space="0" w:color="auto"/>
            </w:tcBorders>
          </w:tcPr>
          <w:p w14:paraId="5DBBBEE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1134" w:type="dxa"/>
            <w:tcBorders>
              <w:left w:val="single" w:sz="6" w:space="0" w:color="auto"/>
              <w:bottom w:val="nil"/>
            </w:tcBorders>
            <w:shd w:val="clear" w:color="auto" w:fill="F2F2F2" w:themeFill="background1" w:themeFillShade="F2"/>
          </w:tcPr>
          <w:p w14:paraId="0698283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89</w:t>
            </w:r>
          </w:p>
        </w:tc>
        <w:tc>
          <w:tcPr>
            <w:tcW w:w="709" w:type="dxa"/>
            <w:tcBorders>
              <w:bottom w:val="nil"/>
              <w:right w:val="single" w:sz="6" w:space="0" w:color="auto"/>
            </w:tcBorders>
            <w:shd w:val="clear" w:color="auto" w:fill="F2F2F2" w:themeFill="background1" w:themeFillShade="F2"/>
          </w:tcPr>
          <w:p w14:paraId="164BC6E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67</w:t>
            </w:r>
          </w:p>
        </w:tc>
        <w:tc>
          <w:tcPr>
            <w:tcW w:w="992" w:type="dxa"/>
            <w:tcBorders>
              <w:left w:val="single" w:sz="6" w:space="0" w:color="auto"/>
              <w:bottom w:val="nil"/>
            </w:tcBorders>
            <w:shd w:val="clear" w:color="auto" w:fill="F2F2F2" w:themeFill="background1" w:themeFillShade="F2"/>
          </w:tcPr>
          <w:p w14:paraId="741B897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36</w:t>
            </w:r>
          </w:p>
        </w:tc>
        <w:tc>
          <w:tcPr>
            <w:tcW w:w="992" w:type="dxa"/>
            <w:tcBorders>
              <w:bottom w:val="nil"/>
            </w:tcBorders>
            <w:shd w:val="clear" w:color="auto" w:fill="F2F2F2" w:themeFill="background1" w:themeFillShade="F2"/>
          </w:tcPr>
          <w:p w14:paraId="5F74FDA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34</w:t>
            </w:r>
          </w:p>
        </w:tc>
        <w:tc>
          <w:tcPr>
            <w:tcW w:w="709" w:type="dxa"/>
            <w:tcBorders>
              <w:bottom w:val="nil"/>
              <w:right w:val="single" w:sz="6" w:space="0" w:color="auto"/>
            </w:tcBorders>
            <w:shd w:val="clear" w:color="auto" w:fill="F2F2F2" w:themeFill="background1" w:themeFillShade="F2"/>
          </w:tcPr>
          <w:p w14:paraId="2634F49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56</w:t>
            </w:r>
          </w:p>
        </w:tc>
        <w:tc>
          <w:tcPr>
            <w:tcW w:w="1134" w:type="dxa"/>
            <w:tcBorders>
              <w:left w:val="single" w:sz="6" w:space="0" w:color="auto"/>
              <w:bottom w:val="nil"/>
            </w:tcBorders>
            <w:shd w:val="clear" w:color="auto" w:fill="F2F2F2" w:themeFill="background1" w:themeFillShade="F2"/>
          </w:tcPr>
          <w:p w14:paraId="58994DA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19</w:t>
            </w:r>
          </w:p>
        </w:tc>
        <w:tc>
          <w:tcPr>
            <w:tcW w:w="709" w:type="dxa"/>
            <w:tcBorders>
              <w:bottom w:val="nil"/>
            </w:tcBorders>
            <w:shd w:val="clear" w:color="auto" w:fill="F2F2F2" w:themeFill="background1" w:themeFillShade="F2"/>
          </w:tcPr>
          <w:p w14:paraId="0C43F97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11</w:t>
            </w:r>
          </w:p>
        </w:tc>
      </w:tr>
      <w:tr w:rsidR="00DD470D" w:rsidRPr="00DD253A" w14:paraId="7149778B"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240D88DD" w14:textId="77777777" w:rsidR="007205E6" w:rsidRPr="00DD253A" w:rsidRDefault="007205E6" w:rsidP="007205E6">
            <w:pPr>
              <w:rPr>
                <w:sz w:val="15"/>
                <w:szCs w:val="15"/>
              </w:rPr>
            </w:pPr>
          </w:p>
        </w:tc>
        <w:tc>
          <w:tcPr>
            <w:tcW w:w="1282" w:type="dxa"/>
          </w:tcPr>
          <w:p w14:paraId="36484CDE"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VPS 3</w:t>
            </w:r>
          </w:p>
        </w:tc>
        <w:tc>
          <w:tcPr>
            <w:tcW w:w="986" w:type="dxa"/>
          </w:tcPr>
          <w:p w14:paraId="0EB9BE8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138</w:t>
            </w:r>
          </w:p>
        </w:tc>
        <w:tc>
          <w:tcPr>
            <w:tcW w:w="708" w:type="dxa"/>
            <w:tcBorders>
              <w:right w:val="single" w:sz="6" w:space="0" w:color="auto"/>
            </w:tcBorders>
          </w:tcPr>
          <w:p w14:paraId="06CF581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112</w:t>
            </w:r>
          </w:p>
        </w:tc>
        <w:tc>
          <w:tcPr>
            <w:tcW w:w="1134" w:type="dxa"/>
            <w:tcBorders>
              <w:left w:val="single" w:sz="6" w:space="0" w:color="auto"/>
            </w:tcBorders>
          </w:tcPr>
          <w:p w14:paraId="5B73981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73</w:t>
            </w:r>
          </w:p>
        </w:tc>
        <w:tc>
          <w:tcPr>
            <w:tcW w:w="993" w:type="dxa"/>
          </w:tcPr>
          <w:p w14:paraId="7C9F72F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50</w:t>
            </w:r>
          </w:p>
        </w:tc>
        <w:tc>
          <w:tcPr>
            <w:tcW w:w="708" w:type="dxa"/>
            <w:tcBorders>
              <w:right w:val="single" w:sz="6" w:space="0" w:color="auto"/>
            </w:tcBorders>
          </w:tcPr>
          <w:p w14:paraId="0C0B47A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103</w:t>
            </w:r>
          </w:p>
        </w:tc>
        <w:tc>
          <w:tcPr>
            <w:tcW w:w="1134" w:type="dxa"/>
            <w:tcBorders>
              <w:left w:val="single" w:sz="6" w:space="0" w:color="auto"/>
            </w:tcBorders>
          </w:tcPr>
          <w:p w14:paraId="27C983C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15</w:t>
            </w:r>
          </w:p>
        </w:tc>
        <w:tc>
          <w:tcPr>
            <w:tcW w:w="709" w:type="dxa"/>
            <w:tcBorders>
              <w:right w:val="single" w:sz="6" w:space="0" w:color="auto"/>
            </w:tcBorders>
          </w:tcPr>
          <w:p w14:paraId="78D036A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w:t>
            </w:r>
          </w:p>
        </w:tc>
        <w:tc>
          <w:tcPr>
            <w:tcW w:w="1134" w:type="dxa"/>
            <w:tcBorders>
              <w:left w:val="single" w:sz="6" w:space="0" w:color="auto"/>
              <w:bottom w:val="nil"/>
            </w:tcBorders>
            <w:shd w:val="clear" w:color="auto" w:fill="F2F2F2" w:themeFill="background1" w:themeFillShade="F2"/>
          </w:tcPr>
          <w:p w14:paraId="66CDF06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97</w:t>
            </w:r>
          </w:p>
        </w:tc>
        <w:tc>
          <w:tcPr>
            <w:tcW w:w="709" w:type="dxa"/>
            <w:tcBorders>
              <w:bottom w:val="nil"/>
              <w:right w:val="single" w:sz="6" w:space="0" w:color="auto"/>
            </w:tcBorders>
            <w:shd w:val="clear" w:color="auto" w:fill="F2F2F2" w:themeFill="background1" w:themeFillShade="F2"/>
          </w:tcPr>
          <w:p w14:paraId="058C4E6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78</w:t>
            </w:r>
          </w:p>
        </w:tc>
        <w:tc>
          <w:tcPr>
            <w:tcW w:w="992" w:type="dxa"/>
            <w:tcBorders>
              <w:left w:val="single" w:sz="6" w:space="0" w:color="auto"/>
              <w:bottom w:val="nil"/>
            </w:tcBorders>
            <w:shd w:val="clear" w:color="auto" w:fill="F2F2F2" w:themeFill="background1" w:themeFillShade="F2"/>
          </w:tcPr>
          <w:p w14:paraId="72A8749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50</w:t>
            </w:r>
          </w:p>
        </w:tc>
        <w:tc>
          <w:tcPr>
            <w:tcW w:w="992" w:type="dxa"/>
            <w:tcBorders>
              <w:bottom w:val="nil"/>
            </w:tcBorders>
            <w:shd w:val="clear" w:color="auto" w:fill="F2F2F2" w:themeFill="background1" w:themeFillShade="F2"/>
          </w:tcPr>
          <w:p w14:paraId="438EE23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39</w:t>
            </w:r>
          </w:p>
        </w:tc>
        <w:tc>
          <w:tcPr>
            <w:tcW w:w="709" w:type="dxa"/>
            <w:tcBorders>
              <w:bottom w:val="nil"/>
              <w:right w:val="single" w:sz="6" w:space="0" w:color="auto"/>
            </w:tcBorders>
            <w:shd w:val="clear" w:color="auto" w:fill="F2F2F2" w:themeFill="background1" w:themeFillShade="F2"/>
          </w:tcPr>
          <w:p w14:paraId="5B89F5F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74</w:t>
            </w:r>
          </w:p>
        </w:tc>
        <w:tc>
          <w:tcPr>
            <w:tcW w:w="1134" w:type="dxa"/>
            <w:tcBorders>
              <w:left w:val="single" w:sz="6" w:space="0" w:color="auto"/>
              <w:bottom w:val="nil"/>
            </w:tcBorders>
            <w:shd w:val="clear" w:color="auto" w:fill="F2F2F2" w:themeFill="background1" w:themeFillShade="F2"/>
          </w:tcPr>
          <w:p w14:paraId="56AE846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8</w:t>
            </w:r>
          </w:p>
        </w:tc>
        <w:tc>
          <w:tcPr>
            <w:tcW w:w="709" w:type="dxa"/>
            <w:tcBorders>
              <w:bottom w:val="nil"/>
            </w:tcBorders>
            <w:shd w:val="clear" w:color="auto" w:fill="F2F2F2" w:themeFill="background1" w:themeFillShade="F2"/>
          </w:tcPr>
          <w:p w14:paraId="00199A8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w:t>
            </w:r>
          </w:p>
        </w:tc>
      </w:tr>
      <w:tr w:rsidR="00DD470D" w:rsidRPr="00DD253A" w14:paraId="13071B99"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2A7BF52D" w14:textId="77777777" w:rsidR="007205E6" w:rsidRPr="00DD253A" w:rsidRDefault="007205E6" w:rsidP="007205E6">
            <w:pPr>
              <w:rPr>
                <w:sz w:val="15"/>
                <w:szCs w:val="15"/>
              </w:rPr>
            </w:pPr>
          </w:p>
        </w:tc>
        <w:tc>
          <w:tcPr>
            <w:tcW w:w="1282" w:type="dxa"/>
          </w:tcPr>
          <w:p w14:paraId="70799331"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VPS 4</w:t>
            </w:r>
          </w:p>
        </w:tc>
        <w:tc>
          <w:tcPr>
            <w:tcW w:w="986" w:type="dxa"/>
          </w:tcPr>
          <w:p w14:paraId="0310A27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91</w:t>
            </w:r>
          </w:p>
        </w:tc>
        <w:tc>
          <w:tcPr>
            <w:tcW w:w="708" w:type="dxa"/>
            <w:tcBorders>
              <w:right w:val="single" w:sz="6" w:space="0" w:color="auto"/>
            </w:tcBorders>
          </w:tcPr>
          <w:p w14:paraId="30352C7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79</w:t>
            </w:r>
          </w:p>
        </w:tc>
        <w:tc>
          <w:tcPr>
            <w:tcW w:w="1134" w:type="dxa"/>
            <w:tcBorders>
              <w:left w:val="single" w:sz="6" w:space="0" w:color="auto"/>
            </w:tcBorders>
          </w:tcPr>
          <w:p w14:paraId="02F7691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60</w:t>
            </w:r>
          </w:p>
        </w:tc>
        <w:tc>
          <w:tcPr>
            <w:tcW w:w="993" w:type="dxa"/>
          </w:tcPr>
          <w:p w14:paraId="68864C2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22</w:t>
            </w:r>
          </w:p>
        </w:tc>
        <w:tc>
          <w:tcPr>
            <w:tcW w:w="708" w:type="dxa"/>
            <w:tcBorders>
              <w:right w:val="single" w:sz="6" w:space="0" w:color="auto"/>
            </w:tcBorders>
          </w:tcPr>
          <w:p w14:paraId="032436A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74</w:t>
            </w:r>
          </w:p>
        </w:tc>
        <w:tc>
          <w:tcPr>
            <w:tcW w:w="1134" w:type="dxa"/>
            <w:tcBorders>
              <w:left w:val="single" w:sz="6" w:space="0" w:color="auto"/>
            </w:tcBorders>
          </w:tcPr>
          <w:p w14:paraId="1F50B3C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w:t>
            </w:r>
          </w:p>
        </w:tc>
        <w:tc>
          <w:tcPr>
            <w:tcW w:w="709" w:type="dxa"/>
            <w:tcBorders>
              <w:right w:val="single" w:sz="6" w:space="0" w:color="auto"/>
            </w:tcBorders>
          </w:tcPr>
          <w:p w14:paraId="760CB0D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1134" w:type="dxa"/>
            <w:tcBorders>
              <w:left w:val="single" w:sz="6" w:space="0" w:color="auto"/>
              <w:bottom w:val="nil"/>
            </w:tcBorders>
            <w:shd w:val="clear" w:color="auto" w:fill="F2F2F2" w:themeFill="background1" w:themeFillShade="F2"/>
          </w:tcPr>
          <w:p w14:paraId="5FE9A5D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82</w:t>
            </w:r>
          </w:p>
        </w:tc>
        <w:tc>
          <w:tcPr>
            <w:tcW w:w="709" w:type="dxa"/>
            <w:tcBorders>
              <w:bottom w:val="nil"/>
              <w:right w:val="single" w:sz="6" w:space="0" w:color="auto"/>
            </w:tcBorders>
            <w:shd w:val="clear" w:color="auto" w:fill="F2F2F2" w:themeFill="background1" w:themeFillShade="F2"/>
          </w:tcPr>
          <w:p w14:paraId="218AF7E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66</w:t>
            </w:r>
          </w:p>
        </w:tc>
        <w:tc>
          <w:tcPr>
            <w:tcW w:w="992" w:type="dxa"/>
            <w:tcBorders>
              <w:left w:val="single" w:sz="6" w:space="0" w:color="auto"/>
              <w:bottom w:val="nil"/>
            </w:tcBorders>
            <w:shd w:val="clear" w:color="auto" w:fill="F2F2F2" w:themeFill="background1" w:themeFillShade="F2"/>
          </w:tcPr>
          <w:p w14:paraId="6B551C8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42</w:t>
            </w:r>
          </w:p>
        </w:tc>
        <w:tc>
          <w:tcPr>
            <w:tcW w:w="992" w:type="dxa"/>
            <w:tcBorders>
              <w:bottom w:val="nil"/>
            </w:tcBorders>
            <w:shd w:val="clear" w:color="auto" w:fill="F2F2F2" w:themeFill="background1" w:themeFillShade="F2"/>
          </w:tcPr>
          <w:p w14:paraId="3B33548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34</w:t>
            </w:r>
          </w:p>
        </w:tc>
        <w:tc>
          <w:tcPr>
            <w:tcW w:w="709" w:type="dxa"/>
            <w:tcBorders>
              <w:bottom w:val="nil"/>
              <w:right w:val="single" w:sz="6" w:space="0" w:color="auto"/>
            </w:tcBorders>
            <w:shd w:val="clear" w:color="auto" w:fill="F2F2F2" w:themeFill="background1" w:themeFillShade="F2"/>
          </w:tcPr>
          <w:p w14:paraId="3B3FC7B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62</w:t>
            </w:r>
          </w:p>
        </w:tc>
        <w:tc>
          <w:tcPr>
            <w:tcW w:w="1134" w:type="dxa"/>
            <w:tcBorders>
              <w:left w:val="single" w:sz="6" w:space="0" w:color="auto"/>
              <w:bottom w:val="nil"/>
            </w:tcBorders>
            <w:shd w:val="clear" w:color="auto" w:fill="F2F2F2" w:themeFill="background1" w:themeFillShade="F2"/>
          </w:tcPr>
          <w:p w14:paraId="18DE9D0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w:t>
            </w:r>
          </w:p>
        </w:tc>
        <w:tc>
          <w:tcPr>
            <w:tcW w:w="709" w:type="dxa"/>
            <w:tcBorders>
              <w:bottom w:val="nil"/>
            </w:tcBorders>
            <w:shd w:val="clear" w:color="auto" w:fill="F2F2F2" w:themeFill="background1" w:themeFillShade="F2"/>
          </w:tcPr>
          <w:p w14:paraId="2F3B5A6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w:t>
            </w:r>
          </w:p>
        </w:tc>
      </w:tr>
      <w:tr w:rsidR="00DD470D" w:rsidRPr="00DD253A" w14:paraId="2E8F4890"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12BA86B0" w14:textId="77777777" w:rsidR="007205E6" w:rsidRPr="00DD253A" w:rsidRDefault="007205E6" w:rsidP="007205E6">
            <w:pPr>
              <w:rPr>
                <w:sz w:val="15"/>
                <w:szCs w:val="15"/>
              </w:rPr>
            </w:pPr>
          </w:p>
        </w:tc>
        <w:tc>
          <w:tcPr>
            <w:tcW w:w="1282" w:type="dxa"/>
          </w:tcPr>
          <w:p w14:paraId="18CDDA11"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VPS 5</w:t>
            </w:r>
          </w:p>
        </w:tc>
        <w:tc>
          <w:tcPr>
            <w:tcW w:w="986" w:type="dxa"/>
          </w:tcPr>
          <w:p w14:paraId="2C3386A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90</w:t>
            </w:r>
          </w:p>
        </w:tc>
        <w:tc>
          <w:tcPr>
            <w:tcW w:w="708" w:type="dxa"/>
            <w:tcBorders>
              <w:right w:val="single" w:sz="6" w:space="0" w:color="auto"/>
            </w:tcBorders>
          </w:tcPr>
          <w:p w14:paraId="4FC0C12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66</w:t>
            </w:r>
          </w:p>
        </w:tc>
        <w:tc>
          <w:tcPr>
            <w:tcW w:w="1134" w:type="dxa"/>
            <w:tcBorders>
              <w:left w:val="single" w:sz="6" w:space="0" w:color="auto"/>
            </w:tcBorders>
          </w:tcPr>
          <w:p w14:paraId="30BDE56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29</w:t>
            </w:r>
          </w:p>
        </w:tc>
        <w:tc>
          <w:tcPr>
            <w:tcW w:w="993" w:type="dxa"/>
          </w:tcPr>
          <w:p w14:paraId="0015A4A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52</w:t>
            </w:r>
          </w:p>
        </w:tc>
        <w:tc>
          <w:tcPr>
            <w:tcW w:w="708" w:type="dxa"/>
            <w:tcBorders>
              <w:right w:val="single" w:sz="6" w:space="0" w:color="auto"/>
            </w:tcBorders>
          </w:tcPr>
          <w:p w14:paraId="5959D85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61</w:t>
            </w:r>
          </w:p>
        </w:tc>
        <w:tc>
          <w:tcPr>
            <w:tcW w:w="1134" w:type="dxa"/>
            <w:tcBorders>
              <w:left w:val="single" w:sz="6" w:space="0" w:color="auto"/>
            </w:tcBorders>
          </w:tcPr>
          <w:p w14:paraId="66CDFE6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w:t>
            </w:r>
          </w:p>
        </w:tc>
        <w:tc>
          <w:tcPr>
            <w:tcW w:w="709" w:type="dxa"/>
            <w:tcBorders>
              <w:right w:val="single" w:sz="6" w:space="0" w:color="auto"/>
            </w:tcBorders>
          </w:tcPr>
          <w:p w14:paraId="07A60A7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1134" w:type="dxa"/>
            <w:tcBorders>
              <w:left w:val="single" w:sz="6" w:space="0" w:color="auto"/>
              <w:bottom w:val="nil"/>
            </w:tcBorders>
            <w:shd w:val="clear" w:color="auto" w:fill="F2F2F2" w:themeFill="background1" w:themeFillShade="F2"/>
          </w:tcPr>
          <w:p w14:paraId="07EB540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54</w:t>
            </w:r>
          </w:p>
        </w:tc>
        <w:tc>
          <w:tcPr>
            <w:tcW w:w="709" w:type="dxa"/>
            <w:tcBorders>
              <w:bottom w:val="nil"/>
              <w:right w:val="single" w:sz="6" w:space="0" w:color="auto"/>
            </w:tcBorders>
            <w:shd w:val="clear" w:color="auto" w:fill="F2F2F2" w:themeFill="background1" w:themeFillShade="F2"/>
          </w:tcPr>
          <w:p w14:paraId="6A03C5F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43</w:t>
            </w:r>
          </w:p>
        </w:tc>
        <w:tc>
          <w:tcPr>
            <w:tcW w:w="992" w:type="dxa"/>
            <w:tcBorders>
              <w:left w:val="single" w:sz="6" w:space="0" w:color="auto"/>
              <w:bottom w:val="nil"/>
            </w:tcBorders>
            <w:shd w:val="clear" w:color="auto" w:fill="F2F2F2" w:themeFill="background1" w:themeFillShade="F2"/>
          </w:tcPr>
          <w:p w14:paraId="2DCDA53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26</w:t>
            </w:r>
          </w:p>
        </w:tc>
        <w:tc>
          <w:tcPr>
            <w:tcW w:w="992" w:type="dxa"/>
            <w:tcBorders>
              <w:bottom w:val="nil"/>
            </w:tcBorders>
            <w:shd w:val="clear" w:color="auto" w:fill="F2F2F2" w:themeFill="background1" w:themeFillShade="F2"/>
          </w:tcPr>
          <w:p w14:paraId="4548E43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26</w:t>
            </w:r>
          </w:p>
        </w:tc>
        <w:tc>
          <w:tcPr>
            <w:tcW w:w="709" w:type="dxa"/>
            <w:tcBorders>
              <w:bottom w:val="nil"/>
              <w:right w:val="single" w:sz="6" w:space="0" w:color="auto"/>
            </w:tcBorders>
            <w:shd w:val="clear" w:color="auto" w:fill="F2F2F2" w:themeFill="background1" w:themeFillShade="F2"/>
          </w:tcPr>
          <w:p w14:paraId="1867B74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41</w:t>
            </w:r>
          </w:p>
        </w:tc>
        <w:tc>
          <w:tcPr>
            <w:tcW w:w="1134" w:type="dxa"/>
            <w:tcBorders>
              <w:left w:val="single" w:sz="6" w:space="0" w:color="auto"/>
              <w:bottom w:val="nil"/>
            </w:tcBorders>
            <w:shd w:val="clear" w:color="auto" w:fill="F2F2F2" w:themeFill="background1" w:themeFillShade="F2"/>
          </w:tcPr>
          <w:p w14:paraId="5DEFA39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709" w:type="dxa"/>
            <w:tcBorders>
              <w:bottom w:val="nil"/>
            </w:tcBorders>
            <w:shd w:val="clear" w:color="auto" w:fill="F2F2F2" w:themeFill="background1" w:themeFillShade="F2"/>
          </w:tcPr>
          <w:p w14:paraId="4D64C96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r>
      <w:tr w:rsidR="00DD470D" w:rsidRPr="00DD253A" w14:paraId="59E88F1D"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49DF957A" w14:textId="77777777" w:rsidR="007205E6" w:rsidRPr="00DD253A" w:rsidRDefault="007205E6" w:rsidP="007205E6">
            <w:pPr>
              <w:rPr>
                <w:sz w:val="15"/>
                <w:szCs w:val="15"/>
              </w:rPr>
            </w:pPr>
          </w:p>
        </w:tc>
        <w:tc>
          <w:tcPr>
            <w:tcW w:w="1282" w:type="dxa"/>
          </w:tcPr>
          <w:p w14:paraId="21764902"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VPS 6</w:t>
            </w:r>
          </w:p>
        </w:tc>
        <w:tc>
          <w:tcPr>
            <w:tcW w:w="986" w:type="dxa"/>
          </w:tcPr>
          <w:p w14:paraId="51DB837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 xml:space="preserve">37 </w:t>
            </w:r>
            <w:r w:rsidRPr="00E019F0">
              <w:rPr>
                <w:sz w:val="15"/>
                <w:szCs w:val="15"/>
                <w:vertAlign w:val="superscript"/>
              </w:rPr>
              <w:t>(a)</w:t>
            </w:r>
          </w:p>
        </w:tc>
        <w:tc>
          <w:tcPr>
            <w:tcW w:w="708" w:type="dxa"/>
            <w:tcBorders>
              <w:right w:val="single" w:sz="6" w:space="0" w:color="auto"/>
            </w:tcBorders>
          </w:tcPr>
          <w:p w14:paraId="6D4FD08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26</w:t>
            </w:r>
          </w:p>
        </w:tc>
        <w:tc>
          <w:tcPr>
            <w:tcW w:w="1134" w:type="dxa"/>
            <w:tcBorders>
              <w:left w:val="single" w:sz="6" w:space="0" w:color="auto"/>
            </w:tcBorders>
          </w:tcPr>
          <w:p w14:paraId="2A00033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w:t>
            </w:r>
          </w:p>
        </w:tc>
        <w:tc>
          <w:tcPr>
            <w:tcW w:w="993" w:type="dxa"/>
          </w:tcPr>
          <w:p w14:paraId="5D88411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17</w:t>
            </w:r>
          </w:p>
        </w:tc>
        <w:tc>
          <w:tcPr>
            <w:tcW w:w="708" w:type="dxa"/>
            <w:tcBorders>
              <w:right w:val="single" w:sz="6" w:space="0" w:color="auto"/>
            </w:tcBorders>
          </w:tcPr>
          <w:p w14:paraId="4F36606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19</w:t>
            </w:r>
          </w:p>
        </w:tc>
        <w:tc>
          <w:tcPr>
            <w:tcW w:w="1134" w:type="dxa"/>
            <w:tcBorders>
              <w:left w:val="single" w:sz="6" w:space="0" w:color="auto"/>
            </w:tcBorders>
          </w:tcPr>
          <w:p w14:paraId="741D471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11</w:t>
            </w:r>
          </w:p>
        </w:tc>
        <w:tc>
          <w:tcPr>
            <w:tcW w:w="709" w:type="dxa"/>
            <w:tcBorders>
              <w:right w:val="single" w:sz="6" w:space="0" w:color="auto"/>
            </w:tcBorders>
          </w:tcPr>
          <w:p w14:paraId="223CA72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w:t>
            </w:r>
          </w:p>
        </w:tc>
        <w:tc>
          <w:tcPr>
            <w:tcW w:w="1134" w:type="dxa"/>
            <w:tcBorders>
              <w:left w:val="single" w:sz="6" w:space="0" w:color="auto"/>
              <w:bottom w:val="nil"/>
            </w:tcBorders>
            <w:shd w:val="clear" w:color="auto" w:fill="F2F2F2" w:themeFill="background1" w:themeFillShade="F2"/>
          </w:tcPr>
          <w:p w14:paraId="0BE64C2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14</w:t>
            </w:r>
          </w:p>
        </w:tc>
        <w:tc>
          <w:tcPr>
            <w:tcW w:w="709" w:type="dxa"/>
            <w:tcBorders>
              <w:bottom w:val="nil"/>
              <w:right w:val="single" w:sz="6" w:space="0" w:color="auto"/>
            </w:tcBorders>
            <w:shd w:val="clear" w:color="auto" w:fill="F2F2F2" w:themeFill="background1" w:themeFillShade="F2"/>
          </w:tcPr>
          <w:p w14:paraId="1D054A9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10</w:t>
            </w:r>
          </w:p>
        </w:tc>
        <w:tc>
          <w:tcPr>
            <w:tcW w:w="992" w:type="dxa"/>
            <w:tcBorders>
              <w:left w:val="single" w:sz="6" w:space="0" w:color="auto"/>
              <w:bottom w:val="nil"/>
            </w:tcBorders>
            <w:shd w:val="clear" w:color="auto" w:fill="F2F2F2" w:themeFill="background1" w:themeFillShade="F2"/>
          </w:tcPr>
          <w:p w14:paraId="6F0B607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992" w:type="dxa"/>
            <w:tcBorders>
              <w:bottom w:val="nil"/>
            </w:tcBorders>
            <w:shd w:val="clear" w:color="auto" w:fill="F2F2F2" w:themeFill="background1" w:themeFillShade="F2"/>
          </w:tcPr>
          <w:p w14:paraId="227FA3D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9</w:t>
            </w:r>
          </w:p>
        </w:tc>
        <w:tc>
          <w:tcPr>
            <w:tcW w:w="709" w:type="dxa"/>
            <w:tcBorders>
              <w:bottom w:val="nil"/>
              <w:right w:val="single" w:sz="6" w:space="0" w:color="auto"/>
            </w:tcBorders>
            <w:shd w:val="clear" w:color="auto" w:fill="F2F2F2" w:themeFill="background1" w:themeFillShade="F2"/>
          </w:tcPr>
          <w:p w14:paraId="15BE6D2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10</w:t>
            </w:r>
          </w:p>
        </w:tc>
        <w:tc>
          <w:tcPr>
            <w:tcW w:w="1134" w:type="dxa"/>
            <w:tcBorders>
              <w:left w:val="single" w:sz="6" w:space="0" w:color="auto"/>
              <w:bottom w:val="nil"/>
            </w:tcBorders>
            <w:shd w:val="clear" w:color="auto" w:fill="F2F2F2" w:themeFill="background1" w:themeFillShade="F2"/>
          </w:tcPr>
          <w:p w14:paraId="456EC53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4590AA7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DD470D" w:rsidRPr="00DD253A" w14:paraId="352604B3"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49C73D5A" w14:textId="77777777" w:rsidR="007205E6" w:rsidRPr="00DD253A" w:rsidRDefault="007205E6" w:rsidP="007205E6">
            <w:pPr>
              <w:rPr>
                <w:sz w:val="15"/>
                <w:szCs w:val="15"/>
              </w:rPr>
            </w:pPr>
          </w:p>
        </w:tc>
        <w:tc>
          <w:tcPr>
            <w:tcW w:w="1282" w:type="dxa"/>
          </w:tcPr>
          <w:p w14:paraId="7B897C29"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Senior employees</w:t>
            </w:r>
          </w:p>
        </w:tc>
        <w:tc>
          <w:tcPr>
            <w:tcW w:w="986" w:type="dxa"/>
          </w:tcPr>
          <w:p w14:paraId="646D224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82</w:t>
            </w:r>
          </w:p>
        </w:tc>
        <w:tc>
          <w:tcPr>
            <w:tcW w:w="708" w:type="dxa"/>
            <w:tcBorders>
              <w:right w:val="single" w:sz="6" w:space="0" w:color="auto"/>
            </w:tcBorders>
          </w:tcPr>
          <w:p w14:paraId="49C8376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82</w:t>
            </w:r>
          </w:p>
        </w:tc>
        <w:tc>
          <w:tcPr>
            <w:tcW w:w="1134" w:type="dxa"/>
            <w:tcBorders>
              <w:left w:val="single" w:sz="6" w:space="0" w:color="auto"/>
            </w:tcBorders>
          </w:tcPr>
          <w:p w14:paraId="2103880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80</w:t>
            </w:r>
          </w:p>
        </w:tc>
        <w:tc>
          <w:tcPr>
            <w:tcW w:w="993" w:type="dxa"/>
          </w:tcPr>
          <w:p w14:paraId="1F861AD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2</w:t>
            </w:r>
          </w:p>
        </w:tc>
        <w:tc>
          <w:tcPr>
            <w:tcW w:w="708" w:type="dxa"/>
            <w:tcBorders>
              <w:right w:val="single" w:sz="6" w:space="0" w:color="auto"/>
            </w:tcBorders>
          </w:tcPr>
          <w:p w14:paraId="76C0303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82</w:t>
            </w:r>
          </w:p>
        </w:tc>
        <w:tc>
          <w:tcPr>
            <w:tcW w:w="1134" w:type="dxa"/>
            <w:tcBorders>
              <w:left w:val="single" w:sz="6" w:space="0" w:color="auto"/>
            </w:tcBorders>
          </w:tcPr>
          <w:p w14:paraId="4607DD0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0</w:t>
            </w:r>
          </w:p>
        </w:tc>
        <w:tc>
          <w:tcPr>
            <w:tcW w:w="709" w:type="dxa"/>
            <w:tcBorders>
              <w:right w:val="single" w:sz="6" w:space="0" w:color="auto"/>
            </w:tcBorders>
          </w:tcPr>
          <w:p w14:paraId="36B7C81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0</w:t>
            </w:r>
          </w:p>
        </w:tc>
        <w:tc>
          <w:tcPr>
            <w:tcW w:w="1134" w:type="dxa"/>
            <w:tcBorders>
              <w:left w:val="single" w:sz="6" w:space="0" w:color="auto"/>
              <w:bottom w:val="nil"/>
            </w:tcBorders>
            <w:shd w:val="clear" w:color="auto" w:fill="F2F2F2" w:themeFill="background1" w:themeFillShade="F2"/>
          </w:tcPr>
          <w:p w14:paraId="4383CCB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78</w:t>
            </w:r>
          </w:p>
        </w:tc>
        <w:tc>
          <w:tcPr>
            <w:tcW w:w="709" w:type="dxa"/>
            <w:tcBorders>
              <w:bottom w:val="nil"/>
              <w:right w:val="single" w:sz="6" w:space="0" w:color="auto"/>
            </w:tcBorders>
            <w:shd w:val="clear" w:color="auto" w:fill="F2F2F2" w:themeFill="background1" w:themeFillShade="F2"/>
          </w:tcPr>
          <w:p w14:paraId="325117F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76</w:t>
            </w:r>
          </w:p>
        </w:tc>
        <w:tc>
          <w:tcPr>
            <w:tcW w:w="992" w:type="dxa"/>
            <w:tcBorders>
              <w:left w:val="single" w:sz="6" w:space="0" w:color="auto"/>
              <w:bottom w:val="nil"/>
            </w:tcBorders>
            <w:shd w:val="clear" w:color="auto" w:fill="F2F2F2" w:themeFill="background1" w:themeFillShade="F2"/>
          </w:tcPr>
          <w:p w14:paraId="6C1235C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73</w:t>
            </w:r>
          </w:p>
        </w:tc>
        <w:tc>
          <w:tcPr>
            <w:tcW w:w="992" w:type="dxa"/>
            <w:tcBorders>
              <w:bottom w:val="nil"/>
            </w:tcBorders>
            <w:shd w:val="clear" w:color="auto" w:fill="F2F2F2" w:themeFill="background1" w:themeFillShade="F2"/>
          </w:tcPr>
          <w:p w14:paraId="11A4F5B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5</w:t>
            </w:r>
          </w:p>
        </w:tc>
        <w:tc>
          <w:tcPr>
            <w:tcW w:w="709" w:type="dxa"/>
            <w:tcBorders>
              <w:bottom w:val="nil"/>
              <w:right w:val="single" w:sz="6" w:space="0" w:color="auto"/>
            </w:tcBorders>
            <w:shd w:val="clear" w:color="auto" w:fill="F2F2F2" w:themeFill="background1" w:themeFillShade="F2"/>
          </w:tcPr>
          <w:p w14:paraId="00736E2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76</w:t>
            </w:r>
          </w:p>
        </w:tc>
        <w:tc>
          <w:tcPr>
            <w:tcW w:w="1134" w:type="dxa"/>
            <w:tcBorders>
              <w:left w:val="single" w:sz="6" w:space="0" w:color="auto"/>
              <w:bottom w:val="nil"/>
            </w:tcBorders>
            <w:shd w:val="clear" w:color="auto" w:fill="F2F2F2" w:themeFill="background1" w:themeFillShade="F2"/>
          </w:tcPr>
          <w:p w14:paraId="6754E37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0</w:t>
            </w:r>
          </w:p>
        </w:tc>
        <w:tc>
          <w:tcPr>
            <w:tcW w:w="709" w:type="dxa"/>
            <w:tcBorders>
              <w:bottom w:val="nil"/>
            </w:tcBorders>
            <w:shd w:val="clear" w:color="auto" w:fill="F2F2F2" w:themeFill="background1" w:themeFillShade="F2"/>
          </w:tcPr>
          <w:p w14:paraId="3EA7599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b/>
                <w:bCs/>
                <w:sz w:val="15"/>
                <w:szCs w:val="15"/>
              </w:rPr>
            </w:pPr>
            <w:r w:rsidRPr="00DD253A">
              <w:rPr>
                <w:b/>
                <w:bCs/>
                <w:sz w:val="15"/>
                <w:szCs w:val="15"/>
              </w:rPr>
              <w:t>0</w:t>
            </w:r>
          </w:p>
        </w:tc>
      </w:tr>
      <w:tr w:rsidR="00DD470D" w:rsidRPr="00DD253A" w14:paraId="2CDA94EA"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0E8F1C00" w14:textId="77777777" w:rsidR="007205E6" w:rsidRPr="00DD253A" w:rsidRDefault="007205E6" w:rsidP="007205E6">
            <w:pPr>
              <w:rPr>
                <w:sz w:val="15"/>
                <w:szCs w:val="15"/>
              </w:rPr>
            </w:pPr>
          </w:p>
        </w:tc>
        <w:tc>
          <w:tcPr>
            <w:tcW w:w="1282" w:type="dxa"/>
          </w:tcPr>
          <w:p w14:paraId="2331DEBB"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STS</w:t>
            </w:r>
          </w:p>
        </w:tc>
        <w:tc>
          <w:tcPr>
            <w:tcW w:w="986" w:type="dxa"/>
          </w:tcPr>
          <w:p w14:paraId="4B3A5E4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708" w:type="dxa"/>
            <w:tcBorders>
              <w:right w:val="single" w:sz="6" w:space="0" w:color="auto"/>
            </w:tcBorders>
          </w:tcPr>
          <w:p w14:paraId="193FF2C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1134" w:type="dxa"/>
            <w:tcBorders>
              <w:left w:val="single" w:sz="6" w:space="0" w:color="auto"/>
            </w:tcBorders>
          </w:tcPr>
          <w:p w14:paraId="4550C6F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993" w:type="dxa"/>
          </w:tcPr>
          <w:p w14:paraId="46ED6D9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8" w:type="dxa"/>
            <w:tcBorders>
              <w:right w:val="single" w:sz="6" w:space="0" w:color="auto"/>
            </w:tcBorders>
          </w:tcPr>
          <w:p w14:paraId="1D92D3E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1134" w:type="dxa"/>
            <w:tcBorders>
              <w:left w:val="single" w:sz="6" w:space="0" w:color="auto"/>
            </w:tcBorders>
          </w:tcPr>
          <w:p w14:paraId="24D7799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right w:val="single" w:sz="6" w:space="0" w:color="auto"/>
            </w:tcBorders>
          </w:tcPr>
          <w:p w14:paraId="7961672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28C0462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709" w:type="dxa"/>
            <w:tcBorders>
              <w:bottom w:val="nil"/>
              <w:right w:val="single" w:sz="6" w:space="0" w:color="auto"/>
            </w:tcBorders>
            <w:shd w:val="clear" w:color="auto" w:fill="F2F2F2" w:themeFill="background1" w:themeFillShade="F2"/>
          </w:tcPr>
          <w:p w14:paraId="7350E69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992" w:type="dxa"/>
            <w:tcBorders>
              <w:left w:val="single" w:sz="6" w:space="0" w:color="auto"/>
              <w:bottom w:val="nil"/>
            </w:tcBorders>
            <w:shd w:val="clear" w:color="auto" w:fill="F2F2F2" w:themeFill="background1" w:themeFillShade="F2"/>
          </w:tcPr>
          <w:p w14:paraId="01AA27B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992" w:type="dxa"/>
            <w:tcBorders>
              <w:bottom w:val="nil"/>
            </w:tcBorders>
            <w:shd w:val="clear" w:color="auto" w:fill="F2F2F2" w:themeFill="background1" w:themeFillShade="F2"/>
          </w:tcPr>
          <w:p w14:paraId="77C14AB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right w:val="single" w:sz="6" w:space="0" w:color="auto"/>
            </w:tcBorders>
            <w:shd w:val="clear" w:color="auto" w:fill="F2F2F2" w:themeFill="background1" w:themeFillShade="F2"/>
          </w:tcPr>
          <w:p w14:paraId="4D5BA4F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1134" w:type="dxa"/>
            <w:tcBorders>
              <w:left w:val="single" w:sz="6" w:space="0" w:color="auto"/>
              <w:bottom w:val="nil"/>
            </w:tcBorders>
            <w:shd w:val="clear" w:color="auto" w:fill="F2F2F2" w:themeFill="background1" w:themeFillShade="F2"/>
          </w:tcPr>
          <w:p w14:paraId="4FD4B1B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2DB2510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DD470D" w:rsidRPr="00DD253A" w14:paraId="7BA3ABB9"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588FB105" w14:textId="77777777" w:rsidR="007205E6" w:rsidRPr="00DD253A" w:rsidRDefault="007205E6" w:rsidP="007205E6">
            <w:pPr>
              <w:rPr>
                <w:sz w:val="15"/>
                <w:szCs w:val="15"/>
              </w:rPr>
            </w:pPr>
          </w:p>
        </w:tc>
        <w:tc>
          <w:tcPr>
            <w:tcW w:w="1282" w:type="dxa"/>
          </w:tcPr>
          <w:p w14:paraId="1B86E8C2"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PS</w:t>
            </w:r>
          </w:p>
        </w:tc>
        <w:tc>
          <w:tcPr>
            <w:tcW w:w="986" w:type="dxa"/>
          </w:tcPr>
          <w:p w14:paraId="219C091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708" w:type="dxa"/>
            <w:tcBorders>
              <w:right w:val="single" w:sz="6" w:space="0" w:color="auto"/>
            </w:tcBorders>
          </w:tcPr>
          <w:p w14:paraId="7A1543B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1134" w:type="dxa"/>
            <w:tcBorders>
              <w:left w:val="single" w:sz="6" w:space="0" w:color="auto"/>
            </w:tcBorders>
          </w:tcPr>
          <w:p w14:paraId="1CD3C29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993" w:type="dxa"/>
          </w:tcPr>
          <w:p w14:paraId="02DBC43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8" w:type="dxa"/>
            <w:tcBorders>
              <w:right w:val="single" w:sz="6" w:space="0" w:color="auto"/>
            </w:tcBorders>
          </w:tcPr>
          <w:p w14:paraId="44022FE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1134" w:type="dxa"/>
            <w:tcBorders>
              <w:left w:val="single" w:sz="6" w:space="0" w:color="auto"/>
            </w:tcBorders>
          </w:tcPr>
          <w:p w14:paraId="22F512F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right w:val="single" w:sz="6" w:space="0" w:color="auto"/>
            </w:tcBorders>
          </w:tcPr>
          <w:p w14:paraId="2EE5F20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46832EB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709" w:type="dxa"/>
            <w:tcBorders>
              <w:bottom w:val="nil"/>
              <w:right w:val="single" w:sz="6" w:space="0" w:color="auto"/>
            </w:tcBorders>
            <w:shd w:val="clear" w:color="auto" w:fill="F2F2F2" w:themeFill="background1" w:themeFillShade="F2"/>
          </w:tcPr>
          <w:p w14:paraId="31A40E7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992" w:type="dxa"/>
            <w:tcBorders>
              <w:left w:val="single" w:sz="6" w:space="0" w:color="auto"/>
              <w:bottom w:val="nil"/>
            </w:tcBorders>
            <w:shd w:val="clear" w:color="auto" w:fill="F2F2F2" w:themeFill="background1" w:themeFillShade="F2"/>
          </w:tcPr>
          <w:p w14:paraId="7DCB482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992" w:type="dxa"/>
            <w:tcBorders>
              <w:bottom w:val="nil"/>
            </w:tcBorders>
            <w:shd w:val="clear" w:color="auto" w:fill="F2F2F2" w:themeFill="background1" w:themeFillShade="F2"/>
          </w:tcPr>
          <w:p w14:paraId="7A9C4CC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right w:val="single" w:sz="6" w:space="0" w:color="auto"/>
            </w:tcBorders>
            <w:shd w:val="clear" w:color="auto" w:fill="F2F2F2" w:themeFill="background1" w:themeFillShade="F2"/>
          </w:tcPr>
          <w:p w14:paraId="593B0A5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1134" w:type="dxa"/>
            <w:tcBorders>
              <w:left w:val="single" w:sz="6" w:space="0" w:color="auto"/>
              <w:bottom w:val="nil"/>
            </w:tcBorders>
            <w:shd w:val="clear" w:color="auto" w:fill="F2F2F2" w:themeFill="background1" w:themeFillShade="F2"/>
          </w:tcPr>
          <w:p w14:paraId="4908C2E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70294E0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DD470D" w:rsidRPr="00DD253A" w14:paraId="5AEC9CB2"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50FFCD2B" w14:textId="77777777" w:rsidR="007205E6" w:rsidRPr="00DD253A" w:rsidRDefault="007205E6" w:rsidP="007205E6">
            <w:pPr>
              <w:rPr>
                <w:sz w:val="15"/>
                <w:szCs w:val="15"/>
              </w:rPr>
            </w:pPr>
          </w:p>
        </w:tc>
        <w:tc>
          <w:tcPr>
            <w:tcW w:w="1282" w:type="dxa"/>
          </w:tcPr>
          <w:p w14:paraId="006ED94B"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 xml:space="preserve">SMA </w:t>
            </w:r>
          </w:p>
        </w:tc>
        <w:tc>
          <w:tcPr>
            <w:tcW w:w="986" w:type="dxa"/>
          </w:tcPr>
          <w:p w14:paraId="3792D09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708" w:type="dxa"/>
            <w:tcBorders>
              <w:right w:val="single" w:sz="6" w:space="0" w:color="auto"/>
            </w:tcBorders>
          </w:tcPr>
          <w:p w14:paraId="1658E92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1134" w:type="dxa"/>
            <w:tcBorders>
              <w:left w:val="single" w:sz="6" w:space="0" w:color="auto"/>
            </w:tcBorders>
          </w:tcPr>
          <w:p w14:paraId="6BF465B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993" w:type="dxa"/>
          </w:tcPr>
          <w:p w14:paraId="19EFD9D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8" w:type="dxa"/>
            <w:tcBorders>
              <w:right w:val="single" w:sz="6" w:space="0" w:color="auto"/>
            </w:tcBorders>
          </w:tcPr>
          <w:p w14:paraId="21846FA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1134" w:type="dxa"/>
            <w:tcBorders>
              <w:left w:val="single" w:sz="6" w:space="0" w:color="auto"/>
            </w:tcBorders>
          </w:tcPr>
          <w:p w14:paraId="70BC717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right w:val="single" w:sz="6" w:space="0" w:color="auto"/>
            </w:tcBorders>
          </w:tcPr>
          <w:p w14:paraId="085A08F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01160B9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709" w:type="dxa"/>
            <w:tcBorders>
              <w:bottom w:val="nil"/>
              <w:right w:val="single" w:sz="6" w:space="0" w:color="auto"/>
            </w:tcBorders>
            <w:shd w:val="clear" w:color="auto" w:fill="F2F2F2" w:themeFill="background1" w:themeFillShade="F2"/>
          </w:tcPr>
          <w:p w14:paraId="45C7C4B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992" w:type="dxa"/>
            <w:tcBorders>
              <w:left w:val="single" w:sz="6" w:space="0" w:color="auto"/>
              <w:bottom w:val="nil"/>
            </w:tcBorders>
            <w:shd w:val="clear" w:color="auto" w:fill="F2F2F2" w:themeFill="background1" w:themeFillShade="F2"/>
          </w:tcPr>
          <w:p w14:paraId="1BD1D1E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992" w:type="dxa"/>
            <w:tcBorders>
              <w:bottom w:val="nil"/>
            </w:tcBorders>
            <w:shd w:val="clear" w:color="auto" w:fill="F2F2F2" w:themeFill="background1" w:themeFillShade="F2"/>
          </w:tcPr>
          <w:p w14:paraId="5B6D9BA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right w:val="single" w:sz="6" w:space="0" w:color="auto"/>
            </w:tcBorders>
            <w:shd w:val="clear" w:color="auto" w:fill="F2F2F2" w:themeFill="background1" w:themeFillShade="F2"/>
          </w:tcPr>
          <w:p w14:paraId="16F9134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1</w:t>
            </w:r>
          </w:p>
        </w:tc>
        <w:tc>
          <w:tcPr>
            <w:tcW w:w="1134" w:type="dxa"/>
            <w:tcBorders>
              <w:left w:val="single" w:sz="6" w:space="0" w:color="auto"/>
              <w:bottom w:val="nil"/>
            </w:tcBorders>
            <w:shd w:val="clear" w:color="auto" w:fill="F2F2F2" w:themeFill="background1" w:themeFillShade="F2"/>
          </w:tcPr>
          <w:p w14:paraId="6C64B0A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6DD9E329"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DD470D" w:rsidRPr="00DD253A" w14:paraId="7EBEC41F"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42443BCB" w14:textId="77777777" w:rsidR="007205E6" w:rsidRPr="00DD253A" w:rsidRDefault="007205E6" w:rsidP="007205E6">
            <w:pPr>
              <w:rPr>
                <w:sz w:val="15"/>
                <w:szCs w:val="15"/>
              </w:rPr>
            </w:pPr>
          </w:p>
        </w:tc>
        <w:tc>
          <w:tcPr>
            <w:tcW w:w="1282" w:type="dxa"/>
          </w:tcPr>
          <w:p w14:paraId="4EB6C080"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SRA</w:t>
            </w:r>
          </w:p>
        </w:tc>
        <w:tc>
          <w:tcPr>
            <w:tcW w:w="986" w:type="dxa"/>
          </w:tcPr>
          <w:p w14:paraId="5403BB9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8" w:type="dxa"/>
            <w:tcBorders>
              <w:right w:val="single" w:sz="6" w:space="0" w:color="auto"/>
            </w:tcBorders>
          </w:tcPr>
          <w:p w14:paraId="2E40D94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tcBorders>
          </w:tcPr>
          <w:p w14:paraId="08DBC2C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993" w:type="dxa"/>
          </w:tcPr>
          <w:p w14:paraId="71CBDAD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8" w:type="dxa"/>
            <w:tcBorders>
              <w:right w:val="single" w:sz="6" w:space="0" w:color="auto"/>
            </w:tcBorders>
          </w:tcPr>
          <w:p w14:paraId="3496D9F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tcBorders>
          </w:tcPr>
          <w:p w14:paraId="1A35E388"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right w:val="single" w:sz="6" w:space="0" w:color="auto"/>
            </w:tcBorders>
          </w:tcPr>
          <w:p w14:paraId="20668E5B"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19700A8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right w:val="single" w:sz="6" w:space="0" w:color="auto"/>
            </w:tcBorders>
            <w:shd w:val="clear" w:color="auto" w:fill="F2F2F2" w:themeFill="background1" w:themeFillShade="F2"/>
          </w:tcPr>
          <w:p w14:paraId="7A4FE1B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992" w:type="dxa"/>
            <w:tcBorders>
              <w:left w:val="single" w:sz="6" w:space="0" w:color="auto"/>
              <w:bottom w:val="nil"/>
            </w:tcBorders>
            <w:shd w:val="clear" w:color="auto" w:fill="F2F2F2" w:themeFill="background1" w:themeFillShade="F2"/>
          </w:tcPr>
          <w:p w14:paraId="6592DDB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992" w:type="dxa"/>
            <w:tcBorders>
              <w:bottom w:val="nil"/>
            </w:tcBorders>
            <w:shd w:val="clear" w:color="auto" w:fill="F2F2F2" w:themeFill="background1" w:themeFillShade="F2"/>
          </w:tcPr>
          <w:p w14:paraId="4E50337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right w:val="single" w:sz="6" w:space="0" w:color="auto"/>
            </w:tcBorders>
            <w:shd w:val="clear" w:color="auto" w:fill="F2F2F2" w:themeFill="background1" w:themeFillShade="F2"/>
          </w:tcPr>
          <w:p w14:paraId="75D2ED03"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37DB804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7AD5FFA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DD470D" w:rsidRPr="00DD253A" w14:paraId="6A7DE1E5"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7776DAA9" w14:textId="77777777" w:rsidR="007205E6" w:rsidRPr="00DD253A" w:rsidRDefault="007205E6" w:rsidP="007205E6">
            <w:pPr>
              <w:rPr>
                <w:sz w:val="15"/>
                <w:szCs w:val="15"/>
              </w:rPr>
            </w:pPr>
          </w:p>
        </w:tc>
        <w:tc>
          <w:tcPr>
            <w:tcW w:w="1282" w:type="dxa"/>
          </w:tcPr>
          <w:p w14:paraId="25AF79E9"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Executives</w:t>
            </w:r>
          </w:p>
        </w:tc>
        <w:tc>
          <w:tcPr>
            <w:tcW w:w="986" w:type="dxa"/>
          </w:tcPr>
          <w:p w14:paraId="57E4A481" w14:textId="7FB10939"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w:t>
            </w:r>
            <w:r w:rsidR="009B7EE0">
              <w:rPr>
                <w:sz w:val="15"/>
                <w:szCs w:val="15"/>
              </w:rPr>
              <w:t>9</w:t>
            </w:r>
          </w:p>
        </w:tc>
        <w:tc>
          <w:tcPr>
            <w:tcW w:w="708" w:type="dxa"/>
            <w:tcBorders>
              <w:right w:val="single" w:sz="6" w:space="0" w:color="auto"/>
            </w:tcBorders>
          </w:tcPr>
          <w:p w14:paraId="7987BFED" w14:textId="45BBCB7D"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w:t>
            </w:r>
            <w:r w:rsidR="009B7EE0">
              <w:rPr>
                <w:sz w:val="15"/>
                <w:szCs w:val="15"/>
              </w:rPr>
              <w:t>9</w:t>
            </w:r>
          </w:p>
        </w:tc>
        <w:tc>
          <w:tcPr>
            <w:tcW w:w="1134" w:type="dxa"/>
            <w:tcBorders>
              <w:left w:val="single" w:sz="6" w:space="0" w:color="auto"/>
            </w:tcBorders>
          </w:tcPr>
          <w:p w14:paraId="67DAE9D8" w14:textId="507A56F2"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w:t>
            </w:r>
            <w:r w:rsidR="00992947">
              <w:rPr>
                <w:sz w:val="15"/>
                <w:szCs w:val="15"/>
              </w:rPr>
              <w:t>7</w:t>
            </w:r>
          </w:p>
        </w:tc>
        <w:tc>
          <w:tcPr>
            <w:tcW w:w="993" w:type="dxa"/>
          </w:tcPr>
          <w:p w14:paraId="544A025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2</w:t>
            </w:r>
          </w:p>
        </w:tc>
        <w:tc>
          <w:tcPr>
            <w:tcW w:w="708" w:type="dxa"/>
            <w:tcBorders>
              <w:right w:val="single" w:sz="6" w:space="0" w:color="auto"/>
            </w:tcBorders>
          </w:tcPr>
          <w:p w14:paraId="3647F17C" w14:textId="00666845"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w:t>
            </w:r>
            <w:r w:rsidR="00992947">
              <w:rPr>
                <w:sz w:val="15"/>
                <w:szCs w:val="15"/>
              </w:rPr>
              <w:t>9</w:t>
            </w:r>
          </w:p>
        </w:tc>
        <w:tc>
          <w:tcPr>
            <w:tcW w:w="1134" w:type="dxa"/>
            <w:tcBorders>
              <w:left w:val="single" w:sz="6" w:space="0" w:color="auto"/>
            </w:tcBorders>
          </w:tcPr>
          <w:p w14:paraId="0107F8E5"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right w:val="single" w:sz="6" w:space="0" w:color="auto"/>
            </w:tcBorders>
          </w:tcPr>
          <w:p w14:paraId="29E40A50"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2C6C5D7B" w14:textId="4AEB4ABF"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74</w:t>
            </w:r>
          </w:p>
        </w:tc>
        <w:tc>
          <w:tcPr>
            <w:tcW w:w="709" w:type="dxa"/>
            <w:tcBorders>
              <w:bottom w:val="nil"/>
              <w:right w:val="single" w:sz="6" w:space="0" w:color="auto"/>
            </w:tcBorders>
            <w:shd w:val="clear" w:color="auto" w:fill="F2F2F2" w:themeFill="background1" w:themeFillShade="F2"/>
          </w:tcPr>
          <w:p w14:paraId="544B026C" w14:textId="1874474E"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72</w:t>
            </w:r>
          </w:p>
        </w:tc>
        <w:tc>
          <w:tcPr>
            <w:tcW w:w="992" w:type="dxa"/>
            <w:tcBorders>
              <w:left w:val="single" w:sz="6" w:space="0" w:color="auto"/>
              <w:bottom w:val="nil"/>
            </w:tcBorders>
            <w:shd w:val="clear" w:color="auto" w:fill="F2F2F2" w:themeFill="background1" w:themeFillShade="F2"/>
          </w:tcPr>
          <w:p w14:paraId="5CA8DD69" w14:textId="3A152AC3"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69</w:t>
            </w:r>
          </w:p>
        </w:tc>
        <w:tc>
          <w:tcPr>
            <w:tcW w:w="992" w:type="dxa"/>
            <w:tcBorders>
              <w:bottom w:val="nil"/>
            </w:tcBorders>
            <w:shd w:val="clear" w:color="auto" w:fill="F2F2F2" w:themeFill="background1" w:themeFillShade="F2"/>
          </w:tcPr>
          <w:p w14:paraId="5542E42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5</w:t>
            </w:r>
          </w:p>
        </w:tc>
        <w:tc>
          <w:tcPr>
            <w:tcW w:w="709" w:type="dxa"/>
            <w:tcBorders>
              <w:bottom w:val="nil"/>
              <w:right w:val="single" w:sz="6" w:space="0" w:color="auto"/>
            </w:tcBorders>
            <w:shd w:val="clear" w:color="auto" w:fill="F2F2F2" w:themeFill="background1" w:themeFillShade="F2"/>
          </w:tcPr>
          <w:p w14:paraId="0237924D" w14:textId="0C66C724"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72</w:t>
            </w:r>
          </w:p>
        </w:tc>
        <w:tc>
          <w:tcPr>
            <w:tcW w:w="1134" w:type="dxa"/>
            <w:tcBorders>
              <w:left w:val="single" w:sz="6" w:space="0" w:color="auto"/>
              <w:bottom w:val="nil"/>
            </w:tcBorders>
            <w:shd w:val="clear" w:color="auto" w:fill="F2F2F2" w:themeFill="background1" w:themeFillShade="F2"/>
          </w:tcPr>
          <w:p w14:paraId="28F4373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3BF61484"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DD470D" w:rsidRPr="00DD253A" w14:paraId="7B300276" w14:textId="77777777" w:rsidTr="007C78EB">
        <w:tc>
          <w:tcPr>
            <w:cnfStyle w:val="001000000000" w:firstRow="0" w:lastRow="0" w:firstColumn="1" w:lastColumn="0" w:oddVBand="0" w:evenVBand="0" w:oddHBand="0" w:evenHBand="0" w:firstRowFirstColumn="0" w:firstRowLastColumn="0" w:lastRowFirstColumn="0" w:lastRowLastColumn="0"/>
            <w:tcW w:w="426" w:type="dxa"/>
            <w:vMerge/>
          </w:tcPr>
          <w:p w14:paraId="7A4FF524" w14:textId="77777777" w:rsidR="007205E6" w:rsidRPr="00DD253A" w:rsidRDefault="007205E6" w:rsidP="007205E6">
            <w:pPr>
              <w:rPr>
                <w:sz w:val="15"/>
                <w:szCs w:val="15"/>
              </w:rPr>
            </w:pPr>
          </w:p>
        </w:tc>
        <w:tc>
          <w:tcPr>
            <w:tcW w:w="1282" w:type="dxa"/>
          </w:tcPr>
          <w:p w14:paraId="687C55F2" w14:textId="77777777" w:rsidR="007205E6" w:rsidRPr="00DD253A" w:rsidRDefault="007205E6" w:rsidP="007205E6">
            <w:pPr>
              <w:jc w:val="left"/>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Other</w:t>
            </w:r>
          </w:p>
        </w:tc>
        <w:tc>
          <w:tcPr>
            <w:tcW w:w="986" w:type="dxa"/>
          </w:tcPr>
          <w:p w14:paraId="04FA061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8" w:type="dxa"/>
            <w:tcBorders>
              <w:right w:val="single" w:sz="6" w:space="0" w:color="auto"/>
            </w:tcBorders>
          </w:tcPr>
          <w:p w14:paraId="06C8B71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tcBorders>
          </w:tcPr>
          <w:p w14:paraId="5D2598B1"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993" w:type="dxa"/>
          </w:tcPr>
          <w:p w14:paraId="065FB13F"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8" w:type="dxa"/>
            <w:tcBorders>
              <w:right w:val="single" w:sz="6" w:space="0" w:color="auto"/>
            </w:tcBorders>
          </w:tcPr>
          <w:p w14:paraId="201F636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tcBorders>
          </w:tcPr>
          <w:p w14:paraId="6F362682"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right w:val="single" w:sz="6" w:space="0" w:color="auto"/>
            </w:tcBorders>
          </w:tcPr>
          <w:p w14:paraId="0B70483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6D8FD4C6"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right w:val="single" w:sz="6" w:space="0" w:color="auto"/>
            </w:tcBorders>
            <w:shd w:val="clear" w:color="auto" w:fill="F2F2F2" w:themeFill="background1" w:themeFillShade="F2"/>
          </w:tcPr>
          <w:p w14:paraId="41E2ABD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992" w:type="dxa"/>
            <w:tcBorders>
              <w:left w:val="single" w:sz="6" w:space="0" w:color="auto"/>
              <w:bottom w:val="nil"/>
            </w:tcBorders>
            <w:shd w:val="clear" w:color="auto" w:fill="F2F2F2" w:themeFill="background1" w:themeFillShade="F2"/>
          </w:tcPr>
          <w:p w14:paraId="2FE8018C"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992" w:type="dxa"/>
            <w:tcBorders>
              <w:bottom w:val="nil"/>
            </w:tcBorders>
            <w:shd w:val="clear" w:color="auto" w:fill="F2F2F2" w:themeFill="background1" w:themeFillShade="F2"/>
          </w:tcPr>
          <w:p w14:paraId="72901D8A"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right w:val="single" w:sz="6" w:space="0" w:color="auto"/>
            </w:tcBorders>
            <w:shd w:val="clear" w:color="auto" w:fill="F2F2F2" w:themeFill="background1" w:themeFillShade="F2"/>
          </w:tcPr>
          <w:p w14:paraId="1DCA347E"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1134" w:type="dxa"/>
            <w:tcBorders>
              <w:left w:val="single" w:sz="6" w:space="0" w:color="auto"/>
              <w:bottom w:val="nil"/>
            </w:tcBorders>
            <w:shd w:val="clear" w:color="auto" w:fill="F2F2F2" w:themeFill="background1" w:themeFillShade="F2"/>
          </w:tcPr>
          <w:p w14:paraId="714C74E7"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c>
          <w:tcPr>
            <w:tcW w:w="709" w:type="dxa"/>
            <w:tcBorders>
              <w:bottom w:val="nil"/>
            </w:tcBorders>
            <w:shd w:val="clear" w:color="auto" w:fill="F2F2F2" w:themeFill="background1" w:themeFillShade="F2"/>
          </w:tcPr>
          <w:p w14:paraId="1D2DA56D" w14:textId="77777777" w:rsidR="007205E6" w:rsidRPr="00DD253A" w:rsidRDefault="007205E6" w:rsidP="007205E6">
            <w:pPr>
              <w:cnfStyle w:val="000000000000" w:firstRow="0" w:lastRow="0" w:firstColumn="0" w:lastColumn="0" w:oddVBand="0" w:evenVBand="0" w:oddHBand="0" w:evenHBand="0" w:firstRowFirstColumn="0" w:firstRowLastColumn="0" w:lastRowFirstColumn="0" w:lastRowLastColumn="0"/>
              <w:rPr>
                <w:sz w:val="15"/>
                <w:szCs w:val="15"/>
              </w:rPr>
            </w:pPr>
            <w:r w:rsidRPr="00DD253A">
              <w:rPr>
                <w:sz w:val="15"/>
                <w:szCs w:val="15"/>
              </w:rPr>
              <w:t>0</w:t>
            </w:r>
          </w:p>
        </w:tc>
      </w:tr>
      <w:tr w:rsidR="00DD470D" w:rsidRPr="00DD253A" w14:paraId="540BD3B5" w14:textId="77777777" w:rsidTr="007C78E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7BDB6E16" w14:textId="77777777" w:rsidR="007205E6" w:rsidRPr="00DD253A" w:rsidRDefault="007205E6" w:rsidP="007205E6">
            <w:pPr>
              <w:rPr>
                <w:sz w:val="15"/>
                <w:szCs w:val="15"/>
              </w:rPr>
            </w:pPr>
          </w:p>
        </w:tc>
        <w:tc>
          <w:tcPr>
            <w:tcW w:w="1282" w:type="dxa"/>
          </w:tcPr>
          <w:p w14:paraId="2C1B40B3" w14:textId="77777777" w:rsidR="007205E6" w:rsidRPr="00DD253A" w:rsidRDefault="007205E6" w:rsidP="007205E6">
            <w:pPr>
              <w:jc w:val="left"/>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Total employees</w:t>
            </w:r>
          </w:p>
        </w:tc>
        <w:tc>
          <w:tcPr>
            <w:tcW w:w="986" w:type="dxa"/>
          </w:tcPr>
          <w:p w14:paraId="2C8DCC80" w14:textId="73BAD72F"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56</w:t>
            </w:r>
            <w:r w:rsidR="00992947">
              <w:rPr>
                <w:sz w:val="15"/>
                <w:szCs w:val="15"/>
              </w:rPr>
              <w:t>5</w:t>
            </w:r>
          </w:p>
        </w:tc>
        <w:tc>
          <w:tcPr>
            <w:tcW w:w="708" w:type="dxa"/>
            <w:tcBorders>
              <w:right w:val="single" w:sz="6" w:space="0" w:color="auto"/>
            </w:tcBorders>
          </w:tcPr>
          <w:p w14:paraId="56EB0A30" w14:textId="61DE2826"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47</w:t>
            </w:r>
            <w:r w:rsidR="00992947">
              <w:rPr>
                <w:sz w:val="15"/>
                <w:szCs w:val="15"/>
              </w:rPr>
              <w:t>9</w:t>
            </w:r>
          </w:p>
        </w:tc>
        <w:tc>
          <w:tcPr>
            <w:tcW w:w="1134" w:type="dxa"/>
            <w:tcBorders>
              <w:left w:val="single" w:sz="6" w:space="0" w:color="auto"/>
            </w:tcBorders>
          </w:tcPr>
          <w:p w14:paraId="11F2BC6A" w14:textId="22B72E9F"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34</w:t>
            </w:r>
            <w:r w:rsidR="00992947">
              <w:rPr>
                <w:sz w:val="15"/>
                <w:szCs w:val="15"/>
              </w:rPr>
              <w:t>7</w:t>
            </w:r>
          </w:p>
        </w:tc>
        <w:tc>
          <w:tcPr>
            <w:tcW w:w="993" w:type="dxa"/>
          </w:tcPr>
          <w:p w14:paraId="2832F458" w14:textId="77777777"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169</w:t>
            </w:r>
          </w:p>
        </w:tc>
        <w:tc>
          <w:tcPr>
            <w:tcW w:w="708" w:type="dxa"/>
            <w:tcBorders>
              <w:right w:val="single" w:sz="6" w:space="0" w:color="auto"/>
            </w:tcBorders>
          </w:tcPr>
          <w:p w14:paraId="45D49289" w14:textId="6884440E"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45</w:t>
            </w:r>
            <w:r w:rsidR="00992947">
              <w:rPr>
                <w:sz w:val="15"/>
                <w:szCs w:val="15"/>
              </w:rPr>
              <w:t>1</w:t>
            </w:r>
          </w:p>
        </w:tc>
        <w:tc>
          <w:tcPr>
            <w:tcW w:w="1134" w:type="dxa"/>
            <w:tcBorders>
              <w:left w:val="single" w:sz="6" w:space="0" w:color="auto"/>
            </w:tcBorders>
          </w:tcPr>
          <w:p w14:paraId="07065EF3" w14:textId="77777777"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49</w:t>
            </w:r>
          </w:p>
        </w:tc>
        <w:tc>
          <w:tcPr>
            <w:tcW w:w="709" w:type="dxa"/>
            <w:tcBorders>
              <w:right w:val="single" w:sz="6" w:space="0" w:color="auto"/>
            </w:tcBorders>
          </w:tcPr>
          <w:p w14:paraId="1A754734" w14:textId="77777777"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28</w:t>
            </w:r>
          </w:p>
        </w:tc>
        <w:tc>
          <w:tcPr>
            <w:tcW w:w="1134" w:type="dxa"/>
            <w:tcBorders>
              <w:left w:val="single" w:sz="6" w:space="0" w:color="auto"/>
            </w:tcBorders>
            <w:shd w:val="clear" w:color="auto" w:fill="F2F2F2" w:themeFill="background1" w:themeFillShade="F2"/>
          </w:tcPr>
          <w:p w14:paraId="20394ED7" w14:textId="62D90D58"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432</w:t>
            </w:r>
          </w:p>
        </w:tc>
        <w:tc>
          <w:tcPr>
            <w:tcW w:w="709" w:type="dxa"/>
            <w:tcBorders>
              <w:right w:val="single" w:sz="6" w:space="0" w:color="auto"/>
            </w:tcBorders>
            <w:shd w:val="clear" w:color="auto" w:fill="F2F2F2" w:themeFill="background1" w:themeFillShade="F2"/>
          </w:tcPr>
          <w:p w14:paraId="51924361" w14:textId="749B573D"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354</w:t>
            </w:r>
          </w:p>
        </w:tc>
        <w:tc>
          <w:tcPr>
            <w:tcW w:w="992" w:type="dxa"/>
            <w:tcBorders>
              <w:left w:val="single" w:sz="6" w:space="0" w:color="auto"/>
            </w:tcBorders>
            <w:shd w:val="clear" w:color="auto" w:fill="F2F2F2" w:themeFill="background1" w:themeFillShade="F2"/>
          </w:tcPr>
          <w:p w14:paraId="732FBFB2" w14:textId="1F18ABA6"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241</w:t>
            </w:r>
          </w:p>
        </w:tc>
        <w:tc>
          <w:tcPr>
            <w:tcW w:w="992" w:type="dxa"/>
            <w:shd w:val="clear" w:color="auto" w:fill="F2F2F2" w:themeFill="background1" w:themeFillShade="F2"/>
          </w:tcPr>
          <w:p w14:paraId="09D9F93E" w14:textId="77777777"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152</w:t>
            </w:r>
          </w:p>
        </w:tc>
        <w:tc>
          <w:tcPr>
            <w:tcW w:w="709" w:type="dxa"/>
            <w:tcBorders>
              <w:right w:val="single" w:sz="6" w:space="0" w:color="auto"/>
            </w:tcBorders>
            <w:shd w:val="clear" w:color="auto" w:fill="F2F2F2" w:themeFill="background1" w:themeFillShade="F2"/>
          </w:tcPr>
          <w:p w14:paraId="0A3B7075" w14:textId="4FE9C49C"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331</w:t>
            </w:r>
          </w:p>
        </w:tc>
        <w:tc>
          <w:tcPr>
            <w:tcW w:w="1134" w:type="dxa"/>
            <w:tcBorders>
              <w:left w:val="single" w:sz="6" w:space="0" w:color="auto"/>
            </w:tcBorders>
            <w:shd w:val="clear" w:color="auto" w:fill="F2F2F2" w:themeFill="background1" w:themeFillShade="F2"/>
          </w:tcPr>
          <w:p w14:paraId="2555DD12" w14:textId="77777777"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39</w:t>
            </w:r>
          </w:p>
        </w:tc>
        <w:tc>
          <w:tcPr>
            <w:tcW w:w="709" w:type="dxa"/>
            <w:shd w:val="clear" w:color="auto" w:fill="F2F2F2" w:themeFill="background1" w:themeFillShade="F2"/>
          </w:tcPr>
          <w:p w14:paraId="6A0EC797" w14:textId="77777777" w:rsidR="007205E6" w:rsidRPr="00DD253A" w:rsidRDefault="007205E6" w:rsidP="007205E6">
            <w:pPr>
              <w:cnfStyle w:val="010000000000" w:firstRow="0" w:lastRow="1" w:firstColumn="0" w:lastColumn="0" w:oddVBand="0" w:evenVBand="0" w:oddHBand="0" w:evenHBand="0" w:firstRowFirstColumn="0" w:firstRowLastColumn="0" w:lastRowFirstColumn="0" w:lastRowLastColumn="0"/>
              <w:rPr>
                <w:sz w:val="15"/>
                <w:szCs w:val="15"/>
              </w:rPr>
            </w:pPr>
            <w:r w:rsidRPr="00DD253A">
              <w:rPr>
                <w:sz w:val="15"/>
                <w:szCs w:val="15"/>
              </w:rPr>
              <w:t>23</w:t>
            </w:r>
          </w:p>
        </w:tc>
      </w:tr>
    </w:tbl>
    <w:p w14:paraId="4E4A7CB0" w14:textId="77777777" w:rsidR="00DC39DE" w:rsidRDefault="00DC39DE" w:rsidP="00A90932">
      <w:pPr>
        <w:pStyle w:val="Note"/>
      </w:pPr>
      <w:r>
        <w:t>Note:</w:t>
      </w:r>
    </w:p>
    <w:p w14:paraId="4F0A87C6" w14:textId="77777777" w:rsidR="007205E6" w:rsidRDefault="00DC39DE" w:rsidP="00A90932">
      <w:pPr>
        <w:pStyle w:val="Note"/>
      </w:pPr>
      <w:r>
        <w:t>(a)</w:t>
      </w:r>
      <w:r>
        <w:tab/>
        <w:t>There are 2 VPS-6 employees acting as executives under long-term acting arrangements.</w:t>
      </w:r>
    </w:p>
    <w:p w14:paraId="2735A3C1" w14:textId="77777777" w:rsidR="002A467F" w:rsidRDefault="002A467F" w:rsidP="00A90932">
      <w:pPr>
        <w:pStyle w:val="Note"/>
        <w:sectPr w:rsidR="002A467F" w:rsidSect="00B50EB6">
          <w:headerReference w:type="even" r:id="rId54"/>
          <w:footerReference w:type="even" r:id="rId55"/>
          <w:headerReference w:type="first" r:id="rId56"/>
          <w:footerReference w:type="first" r:id="rId57"/>
          <w:pgSz w:w="16838" w:h="11906" w:orient="landscape" w:code="9"/>
          <w:pgMar w:top="1134" w:right="1134" w:bottom="1134" w:left="1134" w:header="624" w:footer="567" w:gutter="0"/>
          <w:cols w:space="708"/>
          <w:titlePg/>
          <w:docGrid w:linePitch="360"/>
        </w:sectPr>
      </w:pPr>
    </w:p>
    <w:p w14:paraId="749B3A96" w14:textId="6066208E" w:rsidR="00DC39DE" w:rsidRDefault="00DC39DE" w:rsidP="00DC39DE">
      <w:r>
        <w:lastRenderedPageBreak/>
        <w:t>The following table discloses the annualised total salary for senior employees of the Department, categorised by classification. The salary amount is reported as the full-time annualised salary.</w:t>
      </w:r>
    </w:p>
    <w:p w14:paraId="48FBDE92" w14:textId="533FC56A" w:rsidR="00A90932" w:rsidRDefault="00A90932" w:rsidP="00C847DB">
      <w:pPr>
        <w:pStyle w:val="Caption"/>
        <w:ind w:left="964" w:hanging="964"/>
      </w:pPr>
      <w:r w:rsidRPr="00A90932">
        <w:t xml:space="preserve">Table 7: </w:t>
      </w:r>
      <w:r w:rsidRPr="00A90932">
        <w:tab/>
        <w:t>Annualised total salary, by $20 000 bands, for executives and other senior non</w:t>
      </w:r>
      <w:r>
        <w:t>-</w:t>
      </w:r>
      <w:r w:rsidRPr="00A90932">
        <w:t>executive staff</w:t>
      </w:r>
      <w:r>
        <w:t xml:space="preserve"> </w:t>
      </w:r>
      <w:r w:rsidR="0029293D" w:rsidRPr="0029293D">
        <w:rPr>
          <w:vertAlign w:val="superscript"/>
        </w:rPr>
        <w:t>(a)</w:t>
      </w:r>
      <w:r w:rsidR="0029293D">
        <w:rPr>
          <w:rStyle w:val="Reference"/>
        </w:rPr>
        <w:t xml:space="preserve"> </w:t>
      </w:r>
      <w:r w:rsidRPr="00A90932">
        <w:rPr>
          <w:rStyle w:val="Reference"/>
        </w:rPr>
        <w:t>[FRD</w:t>
      </w:r>
      <w:r w:rsidR="002E3231">
        <w:rPr>
          <w:rStyle w:val="Reference"/>
        </w:rPr>
        <w:t> </w:t>
      </w:r>
      <w:r w:rsidRPr="00A90932">
        <w:rPr>
          <w:rStyle w:val="Reference"/>
        </w:rPr>
        <w:t>29</w:t>
      </w:r>
      <w:r w:rsidR="00453770">
        <w:rPr>
          <w:rStyle w:val="Reference"/>
        </w:rPr>
        <w:t xml:space="preserve"> Revised</w:t>
      </w:r>
      <w:r w:rsidRPr="00A90932">
        <w:rPr>
          <w:rStyle w:val="Reference"/>
        </w:rPr>
        <w:t>]</w:t>
      </w:r>
    </w:p>
    <w:tbl>
      <w:tblPr>
        <w:tblStyle w:val="DTFFinancialTable"/>
        <w:tblW w:w="9639" w:type="dxa"/>
        <w:tblLook w:val="04E0" w:firstRow="1" w:lastRow="1" w:firstColumn="1" w:lastColumn="0" w:noHBand="0" w:noVBand="1"/>
      </w:tblPr>
      <w:tblGrid>
        <w:gridCol w:w="3087"/>
        <w:gridCol w:w="1350"/>
        <w:gridCol w:w="1024"/>
        <w:gridCol w:w="1024"/>
        <w:gridCol w:w="1024"/>
        <w:gridCol w:w="1031"/>
        <w:gridCol w:w="1099"/>
      </w:tblGrid>
      <w:tr w:rsidR="00A90932" w:rsidRPr="00C62425" w14:paraId="24B9E444" w14:textId="77777777" w:rsidTr="006043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01" w:type="pct"/>
          </w:tcPr>
          <w:p w14:paraId="6F9101FC" w14:textId="77777777" w:rsidR="00A90932" w:rsidRPr="00C62425" w:rsidRDefault="00A90932" w:rsidP="00E1548D">
            <w:r w:rsidRPr="00C62425">
              <w:t>Income band (salary)</w:t>
            </w:r>
          </w:p>
        </w:tc>
        <w:tc>
          <w:tcPr>
            <w:tcW w:w="700" w:type="pct"/>
          </w:tcPr>
          <w:p w14:paraId="29061450" w14:textId="77777777" w:rsidR="00A90932" w:rsidRPr="00C62425" w:rsidRDefault="00A90932" w:rsidP="00E1548D">
            <w:pPr>
              <w:cnfStyle w:val="100000000000" w:firstRow="1" w:lastRow="0" w:firstColumn="0" w:lastColumn="0" w:oddVBand="0" w:evenVBand="0" w:oddHBand="0" w:evenHBand="0" w:firstRowFirstColumn="0" w:firstRowLastColumn="0" w:lastRowFirstColumn="0" w:lastRowLastColumn="0"/>
            </w:pPr>
            <w:r w:rsidRPr="00C62425">
              <w:t>Executives</w:t>
            </w:r>
          </w:p>
        </w:tc>
        <w:tc>
          <w:tcPr>
            <w:tcW w:w="531" w:type="pct"/>
          </w:tcPr>
          <w:p w14:paraId="69460CF6" w14:textId="77777777" w:rsidR="00A90932" w:rsidRPr="00C62425" w:rsidRDefault="00A90932" w:rsidP="00E1548D">
            <w:pPr>
              <w:cnfStyle w:val="100000000000" w:firstRow="1" w:lastRow="0" w:firstColumn="0" w:lastColumn="0" w:oddVBand="0" w:evenVBand="0" w:oddHBand="0" w:evenHBand="0" w:firstRowFirstColumn="0" w:firstRowLastColumn="0" w:lastRowFirstColumn="0" w:lastRowLastColumn="0"/>
            </w:pPr>
            <w:r w:rsidRPr="00C62425">
              <w:t>STS</w:t>
            </w:r>
          </w:p>
        </w:tc>
        <w:tc>
          <w:tcPr>
            <w:tcW w:w="531" w:type="pct"/>
          </w:tcPr>
          <w:p w14:paraId="3F6C39A5" w14:textId="77777777" w:rsidR="00A90932" w:rsidRPr="00C62425" w:rsidRDefault="00A90932" w:rsidP="00E1548D">
            <w:pPr>
              <w:cnfStyle w:val="100000000000" w:firstRow="1" w:lastRow="0" w:firstColumn="0" w:lastColumn="0" w:oddVBand="0" w:evenVBand="0" w:oddHBand="0" w:evenHBand="0" w:firstRowFirstColumn="0" w:firstRowLastColumn="0" w:lastRowFirstColumn="0" w:lastRowLastColumn="0"/>
            </w:pPr>
            <w:r w:rsidRPr="00C62425">
              <w:t>PS</w:t>
            </w:r>
          </w:p>
        </w:tc>
        <w:tc>
          <w:tcPr>
            <w:tcW w:w="531" w:type="pct"/>
          </w:tcPr>
          <w:p w14:paraId="35EC4795" w14:textId="77777777" w:rsidR="00A90932" w:rsidRPr="00C62425" w:rsidRDefault="00A90932" w:rsidP="00E1548D">
            <w:pPr>
              <w:cnfStyle w:val="100000000000" w:firstRow="1" w:lastRow="0" w:firstColumn="0" w:lastColumn="0" w:oddVBand="0" w:evenVBand="0" w:oddHBand="0" w:evenHBand="0" w:firstRowFirstColumn="0" w:firstRowLastColumn="0" w:lastRowFirstColumn="0" w:lastRowLastColumn="0"/>
            </w:pPr>
            <w:r w:rsidRPr="00C62425">
              <w:t>SMA</w:t>
            </w:r>
          </w:p>
        </w:tc>
        <w:tc>
          <w:tcPr>
            <w:tcW w:w="535" w:type="pct"/>
          </w:tcPr>
          <w:p w14:paraId="4482F466" w14:textId="77777777" w:rsidR="00A90932" w:rsidRPr="00C62425" w:rsidRDefault="00A90932" w:rsidP="00E1548D">
            <w:pPr>
              <w:cnfStyle w:val="100000000000" w:firstRow="1" w:lastRow="0" w:firstColumn="0" w:lastColumn="0" w:oddVBand="0" w:evenVBand="0" w:oddHBand="0" w:evenHBand="0" w:firstRowFirstColumn="0" w:firstRowLastColumn="0" w:lastRowFirstColumn="0" w:lastRowLastColumn="0"/>
            </w:pPr>
            <w:r w:rsidRPr="00C62425">
              <w:t>SRA</w:t>
            </w:r>
          </w:p>
        </w:tc>
        <w:tc>
          <w:tcPr>
            <w:tcW w:w="570" w:type="pct"/>
          </w:tcPr>
          <w:p w14:paraId="6EE6BBA7" w14:textId="77777777" w:rsidR="00A90932" w:rsidRPr="00C62425" w:rsidRDefault="00A90932" w:rsidP="00E1548D">
            <w:pPr>
              <w:cnfStyle w:val="100000000000" w:firstRow="1" w:lastRow="0" w:firstColumn="0" w:lastColumn="0" w:oddVBand="0" w:evenVBand="0" w:oddHBand="0" w:evenHBand="0" w:firstRowFirstColumn="0" w:firstRowLastColumn="0" w:lastRowFirstColumn="0" w:lastRowLastColumn="0"/>
            </w:pPr>
            <w:r w:rsidRPr="00C62425">
              <w:t>Other</w:t>
            </w:r>
          </w:p>
        </w:tc>
      </w:tr>
      <w:tr w:rsidR="00604332" w:rsidRPr="00C62425" w14:paraId="7AF90511"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0A76BC14" w14:textId="17D8FD80" w:rsidR="00A90932" w:rsidRPr="00C62425" w:rsidRDefault="00A90932" w:rsidP="00E1548D">
            <w:r w:rsidRPr="00C62425">
              <w:t>&lt; $160 000</w:t>
            </w:r>
          </w:p>
        </w:tc>
        <w:tc>
          <w:tcPr>
            <w:tcW w:w="700" w:type="pct"/>
          </w:tcPr>
          <w:p w14:paraId="081A07A9"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r w:rsidRPr="00C62425">
              <w:t>16</w:t>
            </w:r>
          </w:p>
        </w:tc>
        <w:tc>
          <w:tcPr>
            <w:tcW w:w="531" w:type="pct"/>
          </w:tcPr>
          <w:p w14:paraId="69A4A14E"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6BCD0F0A"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34C6ED71"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r w:rsidRPr="00C62425">
              <w:t>1</w:t>
            </w:r>
          </w:p>
        </w:tc>
        <w:tc>
          <w:tcPr>
            <w:tcW w:w="535" w:type="pct"/>
          </w:tcPr>
          <w:p w14:paraId="4E8FD6CD"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7F304CA3"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60E75585"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3E44671F" w14:textId="77777777" w:rsidR="00A90932" w:rsidRPr="00C62425" w:rsidRDefault="00A90932" w:rsidP="00E1548D">
            <w:r w:rsidRPr="00C62425">
              <w:t>$160 000 – $179 999</w:t>
            </w:r>
          </w:p>
        </w:tc>
        <w:tc>
          <w:tcPr>
            <w:tcW w:w="700" w:type="pct"/>
          </w:tcPr>
          <w:p w14:paraId="6134D32C" w14:textId="198A5B43"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r w:rsidRPr="00C62425">
              <w:t>25</w:t>
            </w:r>
            <w:r w:rsidRPr="00A90932">
              <w:rPr>
                <w:vertAlign w:val="superscript"/>
              </w:rPr>
              <w:t>(</w:t>
            </w:r>
            <w:r w:rsidR="0029293D">
              <w:rPr>
                <w:vertAlign w:val="superscript"/>
              </w:rPr>
              <w:t>b</w:t>
            </w:r>
            <w:r w:rsidRPr="00A90932">
              <w:rPr>
                <w:vertAlign w:val="superscript"/>
              </w:rPr>
              <w:t>)</w:t>
            </w:r>
          </w:p>
        </w:tc>
        <w:tc>
          <w:tcPr>
            <w:tcW w:w="531" w:type="pct"/>
          </w:tcPr>
          <w:p w14:paraId="429620B1"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1470FABF"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4D504010"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1AB67504"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64B3CDB4"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604332" w:rsidRPr="00C62425" w14:paraId="7A55CC75"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25C8B512" w14:textId="77777777" w:rsidR="00A90932" w:rsidRPr="00C62425" w:rsidRDefault="00A90932" w:rsidP="00E1548D">
            <w:r w:rsidRPr="00C62425">
              <w:t>$180 000 – $199 999</w:t>
            </w:r>
          </w:p>
        </w:tc>
        <w:tc>
          <w:tcPr>
            <w:tcW w:w="700" w:type="pct"/>
          </w:tcPr>
          <w:p w14:paraId="1FD740A4"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r w:rsidRPr="00C62425">
              <w:t>17</w:t>
            </w:r>
          </w:p>
        </w:tc>
        <w:tc>
          <w:tcPr>
            <w:tcW w:w="531" w:type="pct"/>
          </w:tcPr>
          <w:p w14:paraId="1FD7A9E6"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2F9D999F"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4C1B4406"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5" w:type="pct"/>
          </w:tcPr>
          <w:p w14:paraId="4D0D7D29"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198765B7"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56E56AD1"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4891A06F" w14:textId="77777777" w:rsidR="00A90932" w:rsidRPr="00C62425" w:rsidRDefault="00A90932" w:rsidP="00E1548D">
            <w:r w:rsidRPr="00C62425">
              <w:t>$200 000 – $219 999</w:t>
            </w:r>
          </w:p>
        </w:tc>
        <w:tc>
          <w:tcPr>
            <w:tcW w:w="700" w:type="pct"/>
          </w:tcPr>
          <w:p w14:paraId="15C4ACF3"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r w:rsidRPr="00C62425">
              <w:t>9</w:t>
            </w:r>
          </w:p>
        </w:tc>
        <w:tc>
          <w:tcPr>
            <w:tcW w:w="531" w:type="pct"/>
          </w:tcPr>
          <w:p w14:paraId="352BABF6"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r w:rsidRPr="00C62425">
              <w:t>1</w:t>
            </w:r>
          </w:p>
        </w:tc>
        <w:tc>
          <w:tcPr>
            <w:tcW w:w="531" w:type="pct"/>
          </w:tcPr>
          <w:p w14:paraId="6770D35B"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6E6945D6"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57A925A4"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0F15EB02"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604332" w:rsidRPr="00C62425" w14:paraId="41F2B268"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3A3FAB85" w14:textId="77777777" w:rsidR="00A90932" w:rsidRPr="00C62425" w:rsidRDefault="00A90932" w:rsidP="00E1548D">
            <w:r w:rsidRPr="00C62425">
              <w:t>$220 000 – $239 999</w:t>
            </w:r>
          </w:p>
        </w:tc>
        <w:tc>
          <w:tcPr>
            <w:tcW w:w="700" w:type="pct"/>
          </w:tcPr>
          <w:p w14:paraId="37A3CDC1"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r w:rsidRPr="00C62425">
              <w:t>4</w:t>
            </w:r>
          </w:p>
        </w:tc>
        <w:tc>
          <w:tcPr>
            <w:tcW w:w="531" w:type="pct"/>
          </w:tcPr>
          <w:p w14:paraId="2219470C"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3EC75A58"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00E1CAA6"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5" w:type="pct"/>
          </w:tcPr>
          <w:p w14:paraId="7127EC43"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239FBBC1"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761E7B5B"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16B30AB6" w14:textId="77777777" w:rsidR="00A90932" w:rsidRPr="00C62425" w:rsidRDefault="00A90932" w:rsidP="00E1548D">
            <w:r w:rsidRPr="00C62425">
              <w:t>$240 000 – $259 999</w:t>
            </w:r>
          </w:p>
        </w:tc>
        <w:tc>
          <w:tcPr>
            <w:tcW w:w="700" w:type="pct"/>
          </w:tcPr>
          <w:p w14:paraId="6DAEB42B"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6242BD78"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356B9B82"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7C3987D0"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461C429A"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4533FA84"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604332" w:rsidRPr="00C62425" w14:paraId="6474F790"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0A6F575C" w14:textId="77777777" w:rsidR="00A90932" w:rsidRPr="00C62425" w:rsidRDefault="00A90932" w:rsidP="00E1548D">
            <w:r w:rsidRPr="00C62425">
              <w:t>$260 000 – $279 999</w:t>
            </w:r>
          </w:p>
        </w:tc>
        <w:tc>
          <w:tcPr>
            <w:tcW w:w="700" w:type="pct"/>
          </w:tcPr>
          <w:p w14:paraId="6C771D4A"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30AB9AEB"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4262E6BD"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673AB16E"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5" w:type="pct"/>
          </w:tcPr>
          <w:p w14:paraId="51B5C1D2"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44D96E9B"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2BD3DB5F"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764A458C" w14:textId="77777777" w:rsidR="00A90932" w:rsidRPr="00C62425" w:rsidRDefault="00A90932" w:rsidP="00E1548D">
            <w:r w:rsidRPr="00C62425">
              <w:t>$280 000 – $299 999</w:t>
            </w:r>
          </w:p>
        </w:tc>
        <w:tc>
          <w:tcPr>
            <w:tcW w:w="700" w:type="pct"/>
          </w:tcPr>
          <w:p w14:paraId="1A5AFDD4"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2FC86C22"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36E91E15"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r w:rsidRPr="00C62425">
              <w:t>1</w:t>
            </w:r>
          </w:p>
        </w:tc>
        <w:tc>
          <w:tcPr>
            <w:tcW w:w="531" w:type="pct"/>
          </w:tcPr>
          <w:p w14:paraId="2833DB48"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68700FDA"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2E1D0EF7"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604332" w:rsidRPr="00C62425" w14:paraId="0332B85D"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7993837B" w14:textId="77777777" w:rsidR="00A90932" w:rsidRPr="00C62425" w:rsidRDefault="00A90932" w:rsidP="00E1548D">
            <w:r w:rsidRPr="00C62425">
              <w:t>$300 000 – $319 999</w:t>
            </w:r>
          </w:p>
        </w:tc>
        <w:tc>
          <w:tcPr>
            <w:tcW w:w="700" w:type="pct"/>
          </w:tcPr>
          <w:p w14:paraId="2B27F9D3"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37A7DC1C"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3DB3EA73"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3A36142C"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5" w:type="pct"/>
          </w:tcPr>
          <w:p w14:paraId="47B0A005"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5DF7B6F5"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0E4136DF"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4BD775B7" w14:textId="77777777" w:rsidR="00A90932" w:rsidRPr="00C62425" w:rsidRDefault="00A90932" w:rsidP="00E1548D">
            <w:r w:rsidRPr="00C62425">
              <w:t>$320 000 – $339 999</w:t>
            </w:r>
          </w:p>
        </w:tc>
        <w:tc>
          <w:tcPr>
            <w:tcW w:w="700" w:type="pct"/>
          </w:tcPr>
          <w:p w14:paraId="23CBD496"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r w:rsidRPr="00C62425">
              <w:t>3</w:t>
            </w:r>
          </w:p>
        </w:tc>
        <w:tc>
          <w:tcPr>
            <w:tcW w:w="531" w:type="pct"/>
          </w:tcPr>
          <w:p w14:paraId="5DA74692"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754B4533"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63AAA086"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23DD1D35"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74B63CA3"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604332" w:rsidRPr="00C62425" w14:paraId="6E0F27E1"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76E2D403" w14:textId="77777777" w:rsidR="00A90932" w:rsidRPr="00C62425" w:rsidRDefault="00A90932" w:rsidP="00E1548D">
            <w:r w:rsidRPr="00C62425">
              <w:t>$340 000 – $359 999</w:t>
            </w:r>
          </w:p>
        </w:tc>
        <w:tc>
          <w:tcPr>
            <w:tcW w:w="700" w:type="pct"/>
          </w:tcPr>
          <w:p w14:paraId="76EC7078"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67A3B5AF"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0E7DF1CA"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10B1857D"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5" w:type="pct"/>
          </w:tcPr>
          <w:p w14:paraId="055ABB3F"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04CE0129"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61CEBA12"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5679E676" w14:textId="77777777" w:rsidR="00A90932" w:rsidRPr="00C62425" w:rsidRDefault="00A90932" w:rsidP="00E1548D">
            <w:r w:rsidRPr="00C62425">
              <w:t>$360 000 – $379 999</w:t>
            </w:r>
          </w:p>
        </w:tc>
        <w:tc>
          <w:tcPr>
            <w:tcW w:w="700" w:type="pct"/>
          </w:tcPr>
          <w:p w14:paraId="1D8B234C"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7DD5D9B2"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r w:rsidRPr="00C62425">
              <w:t>1</w:t>
            </w:r>
          </w:p>
        </w:tc>
        <w:tc>
          <w:tcPr>
            <w:tcW w:w="531" w:type="pct"/>
          </w:tcPr>
          <w:p w14:paraId="100D7F9F"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70E5B746"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37B4E155"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313538BF"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604332" w:rsidRPr="00C62425" w14:paraId="11BFBE2D"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52C537B4" w14:textId="77777777" w:rsidR="00A90932" w:rsidRPr="00C62425" w:rsidRDefault="00A90932" w:rsidP="00E1548D">
            <w:r w:rsidRPr="00C62425">
              <w:t>$380 000 – $399 999</w:t>
            </w:r>
          </w:p>
        </w:tc>
        <w:tc>
          <w:tcPr>
            <w:tcW w:w="700" w:type="pct"/>
          </w:tcPr>
          <w:p w14:paraId="72F6D532"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025DD315"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6477801A"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577A5D7B"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5" w:type="pct"/>
          </w:tcPr>
          <w:p w14:paraId="0C612814"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064B4C6E"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5D0553A5"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03EF9041" w14:textId="77777777" w:rsidR="00A90932" w:rsidRPr="00C62425" w:rsidRDefault="00A90932" w:rsidP="00E1548D">
            <w:r w:rsidRPr="00C62425">
              <w:t>$400 000 – $419 999</w:t>
            </w:r>
          </w:p>
        </w:tc>
        <w:tc>
          <w:tcPr>
            <w:tcW w:w="700" w:type="pct"/>
          </w:tcPr>
          <w:p w14:paraId="187DC12B"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r w:rsidRPr="00C62425">
              <w:t>3</w:t>
            </w:r>
          </w:p>
        </w:tc>
        <w:tc>
          <w:tcPr>
            <w:tcW w:w="531" w:type="pct"/>
          </w:tcPr>
          <w:p w14:paraId="2B6840E6"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598E8CD2"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4CBD4940"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14B00AD9"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409CDE34"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604332" w:rsidRPr="00C62425" w14:paraId="5F3F3557"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3066CA38" w14:textId="77777777" w:rsidR="00A90932" w:rsidRPr="00C62425" w:rsidRDefault="00A90932" w:rsidP="00E1548D">
            <w:r w:rsidRPr="00C62425">
              <w:t>$420 000 – $439 999</w:t>
            </w:r>
          </w:p>
        </w:tc>
        <w:tc>
          <w:tcPr>
            <w:tcW w:w="700" w:type="pct"/>
          </w:tcPr>
          <w:p w14:paraId="726881AF"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2E441162"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045BAB5B"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4BC971DD"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5" w:type="pct"/>
          </w:tcPr>
          <w:p w14:paraId="0A2200C8"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5584B5CC"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5C1EEACF"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16EE2978" w14:textId="77777777" w:rsidR="00A90932" w:rsidRPr="00C62425" w:rsidRDefault="00A90932" w:rsidP="00E1548D">
            <w:r w:rsidRPr="00C62425">
              <w:t>$440 000 – $459 999</w:t>
            </w:r>
          </w:p>
        </w:tc>
        <w:tc>
          <w:tcPr>
            <w:tcW w:w="700" w:type="pct"/>
          </w:tcPr>
          <w:p w14:paraId="49B9926C"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6F330B0E"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143BFF6A"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5CC24B90"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24D9CD26"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529FEB9E"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604332" w:rsidRPr="00C62425" w14:paraId="1A5B3459" w14:textId="77777777" w:rsidTr="006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2922DBF2" w14:textId="77777777" w:rsidR="00A90932" w:rsidRPr="00C62425" w:rsidRDefault="00A90932" w:rsidP="00E1548D">
            <w:r w:rsidRPr="00C62425">
              <w:t>$460 000 – $479 999</w:t>
            </w:r>
          </w:p>
        </w:tc>
        <w:tc>
          <w:tcPr>
            <w:tcW w:w="700" w:type="pct"/>
          </w:tcPr>
          <w:p w14:paraId="395C9719"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r w:rsidRPr="00C62425">
              <w:t>1</w:t>
            </w:r>
          </w:p>
        </w:tc>
        <w:tc>
          <w:tcPr>
            <w:tcW w:w="531" w:type="pct"/>
          </w:tcPr>
          <w:p w14:paraId="301D7F29"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76A42301"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1" w:type="pct"/>
          </w:tcPr>
          <w:p w14:paraId="11DFD8C6"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35" w:type="pct"/>
          </w:tcPr>
          <w:p w14:paraId="538BDDB3"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c>
          <w:tcPr>
            <w:tcW w:w="570" w:type="pct"/>
          </w:tcPr>
          <w:p w14:paraId="37C4F797" w14:textId="77777777" w:rsidR="00A90932" w:rsidRPr="00C62425" w:rsidRDefault="00A90932" w:rsidP="00E1548D">
            <w:pPr>
              <w:cnfStyle w:val="000000100000" w:firstRow="0" w:lastRow="0" w:firstColumn="0" w:lastColumn="0" w:oddVBand="0" w:evenVBand="0" w:oddHBand="1" w:evenHBand="0" w:firstRowFirstColumn="0" w:firstRowLastColumn="0" w:lastRowFirstColumn="0" w:lastRowLastColumn="0"/>
            </w:pPr>
          </w:p>
        </w:tc>
      </w:tr>
      <w:tr w:rsidR="00604332" w:rsidRPr="00C62425" w14:paraId="7C5BE148" w14:textId="77777777" w:rsidTr="006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tcPr>
          <w:p w14:paraId="37F401AA" w14:textId="77777777" w:rsidR="00A90932" w:rsidRPr="00C62425" w:rsidRDefault="00A90932" w:rsidP="00E1548D">
            <w:r w:rsidRPr="00C62425">
              <w:t>$480 000 – $499 999</w:t>
            </w:r>
          </w:p>
        </w:tc>
        <w:tc>
          <w:tcPr>
            <w:tcW w:w="700" w:type="pct"/>
          </w:tcPr>
          <w:p w14:paraId="26F0AD9A"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7A40B46C"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1F569E61"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1" w:type="pct"/>
          </w:tcPr>
          <w:p w14:paraId="5906AE8D"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35" w:type="pct"/>
          </w:tcPr>
          <w:p w14:paraId="706343B7"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c>
          <w:tcPr>
            <w:tcW w:w="570" w:type="pct"/>
          </w:tcPr>
          <w:p w14:paraId="2B29C449" w14:textId="77777777" w:rsidR="00A90932" w:rsidRPr="00C62425" w:rsidRDefault="00A90932" w:rsidP="00E1548D">
            <w:pPr>
              <w:cnfStyle w:val="000000010000" w:firstRow="0" w:lastRow="0" w:firstColumn="0" w:lastColumn="0" w:oddVBand="0" w:evenVBand="0" w:oddHBand="0" w:evenHBand="1" w:firstRowFirstColumn="0" w:firstRowLastColumn="0" w:lastRowFirstColumn="0" w:lastRowLastColumn="0"/>
            </w:pPr>
          </w:p>
        </w:tc>
      </w:tr>
      <w:tr w:rsidR="00A90932" w:rsidRPr="00C62425" w14:paraId="2642D5F2" w14:textId="77777777" w:rsidTr="00604332">
        <w:trPr>
          <w:cnfStyle w:val="010000000000" w:firstRow="0" w:lastRow="1"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1" w:type="pct"/>
          </w:tcPr>
          <w:p w14:paraId="6BDE9345" w14:textId="77777777" w:rsidR="00A90932" w:rsidRPr="00C62425" w:rsidRDefault="00A90932" w:rsidP="00E1548D">
            <w:r w:rsidRPr="00C62425">
              <w:t>Total</w:t>
            </w:r>
          </w:p>
        </w:tc>
        <w:tc>
          <w:tcPr>
            <w:tcW w:w="700" w:type="pct"/>
          </w:tcPr>
          <w:p w14:paraId="54C4B1AE" w14:textId="77777777" w:rsidR="00A90932" w:rsidRPr="00C62425" w:rsidRDefault="00A90932" w:rsidP="00E1548D">
            <w:pPr>
              <w:cnfStyle w:val="010000000000" w:firstRow="0" w:lastRow="1" w:firstColumn="0" w:lastColumn="0" w:oddVBand="0" w:evenVBand="0" w:oddHBand="0" w:evenHBand="0" w:firstRowFirstColumn="0" w:firstRowLastColumn="0" w:lastRowFirstColumn="0" w:lastRowLastColumn="0"/>
            </w:pPr>
            <w:r w:rsidRPr="00C62425">
              <w:t>78</w:t>
            </w:r>
          </w:p>
        </w:tc>
        <w:tc>
          <w:tcPr>
            <w:tcW w:w="531" w:type="pct"/>
          </w:tcPr>
          <w:p w14:paraId="18E1448B" w14:textId="77777777" w:rsidR="00A90932" w:rsidRPr="00C62425" w:rsidRDefault="00A90932" w:rsidP="00E1548D">
            <w:pPr>
              <w:cnfStyle w:val="010000000000" w:firstRow="0" w:lastRow="1" w:firstColumn="0" w:lastColumn="0" w:oddVBand="0" w:evenVBand="0" w:oddHBand="0" w:evenHBand="0" w:firstRowFirstColumn="0" w:firstRowLastColumn="0" w:lastRowFirstColumn="0" w:lastRowLastColumn="0"/>
            </w:pPr>
            <w:r w:rsidRPr="00C62425">
              <w:t>2</w:t>
            </w:r>
          </w:p>
        </w:tc>
        <w:tc>
          <w:tcPr>
            <w:tcW w:w="531" w:type="pct"/>
          </w:tcPr>
          <w:p w14:paraId="150F444B" w14:textId="77777777" w:rsidR="00A90932" w:rsidRPr="00C62425" w:rsidRDefault="00A90932" w:rsidP="00E1548D">
            <w:pPr>
              <w:cnfStyle w:val="010000000000" w:firstRow="0" w:lastRow="1" w:firstColumn="0" w:lastColumn="0" w:oddVBand="0" w:evenVBand="0" w:oddHBand="0" w:evenHBand="0" w:firstRowFirstColumn="0" w:firstRowLastColumn="0" w:lastRowFirstColumn="0" w:lastRowLastColumn="0"/>
            </w:pPr>
            <w:r w:rsidRPr="00C62425">
              <w:t>1</w:t>
            </w:r>
          </w:p>
        </w:tc>
        <w:tc>
          <w:tcPr>
            <w:tcW w:w="531" w:type="pct"/>
          </w:tcPr>
          <w:p w14:paraId="05BBA2C7" w14:textId="77777777" w:rsidR="00A90932" w:rsidRPr="00C62425" w:rsidRDefault="00A90932" w:rsidP="00E1548D">
            <w:pPr>
              <w:cnfStyle w:val="010000000000" w:firstRow="0" w:lastRow="1" w:firstColumn="0" w:lastColumn="0" w:oddVBand="0" w:evenVBand="0" w:oddHBand="0" w:evenHBand="0" w:firstRowFirstColumn="0" w:firstRowLastColumn="0" w:lastRowFirstColumn="0" w:lastRowLastColumn="0"/>
            </w:pPr>
            <w:r w:rsidRPr="00C62425">
              <w:t>1</w:t>
            </w:r>
          </w:p>
        </w:tc>
        <w:tc>
          <w:tcPr>
            <w:tcW w:w="535" w:type="pct"/>
          </w:tcPr>
          <w:p w14:paraId="0A60623F" w14:textId="77777777" w:rsidR="00A90932" w:rsidRPr="00C62425" w:rsidRDefault="00A90932" w:rsidP="00E1548D">
            <w:pPr>
              <w:cnfStyle w:val="010000000000" w:firstRow="0" w:lastRow="1" w:firstColumn="0" w:lastColumn="0" w:oddVBand="0" w:evenVBand="0" w:oddHBand="0" w:evenHBand="0" w:firstRowFirstColumn="0" w:firstRowLastColumn="0" w:lastRowFirstColumn="0" w:lastRowLastColumn="0"/>
            </w:pPr>
            <w:r w:rsidRPr="00C62425">
              <w:t>0</w:t>
            </w:r>
          </w:p>
        </w:tc>
        <w:tc>
          <w:tcPr>
            <w:tcW w:w="570" w:type="pct"/>
          </w:tcPr>
          <w:p w14:paraId="2EA5B5F9" w14:textId="77777777" w:rsidR="00A90932" w:rsidRPr="00C62425" w:rsidRDefault="00A90932" w:rsidP="00E1548D">
            <w:pPr>
              <w:cnfStyle w:val="010000000000" w:firstRow="0" w:lastRow="1" w:firstColumn="0" w:lastColumn="0" w:oddVBand="0" w:evenVBand="0" w:oddHBand="0" w:evenHBand="0" w:firstRowFirstColumn="0" w:firstRowLastColumn="0" w:lastRowFirstColumn="0" w:lastRowLastColumn="0"/>
            </w:pPr>
            <w:r w:rsidRPr="00C62425">
              <w:t>0</w:t>
            </w:r>
          </w:p>
        </w:tc>
      </w:tr>
    </w:tbl>
    <w:p w14:paraId="02237B51" w14:textId="308B397A" w:rsidR="00DC39DE" w:rsidRDefault="00DC39DE" w:rsidP="00A90932">
      <w:pPr>
        <w:pStyle w:val="Note"/>
      </w:pPr>
      <w:r>
        <w:t>Note</w:t>
      </w:r>
      <w:r w:rsidR="0029293D">
        <w:t>s</w:t>
      </w:r>
      <w:r>
        <w:t>:</w:t>
      </w:r>
    </w:p>
    <w:p w14:paraId="263E8F58" w14:textId="34A22971" w:rsidR="00DC39DE" w:rsidRDefault="0029293D" w:rsidP="00A90932">
      <w:pPr>
        <w:pStyle w:val="Note"/>
      </w:pPr>
      <w:r>
        <w:t>(a)</w:t>
      </w:r>
      <w:r>
        <w:tab/>
      </w:r>
      <w:r w:rsidR="00DC39DE">
        <w:t>The salaries reported are for the full financial year, at a 1-FTE rate, and exclude superannuation.</w:t>
      </w:r>
    </w:p>
    <w:p w14:paraId="36C86F79" w14:textId="5916A9CB" w:rsidR="00DC39DE" w:rsidRDefault="00DC39DE" w:rsidP="00D023FB">
      <w:pPr>
        <w:pStyle w:val="Note"/>
      </w:pPr>
      <w:r>
        <w:t>(</w:t>
      </w:r>
      <w:r w:rsidR="0029293D">
        <w:t>b</w:t>
      </w:r>
      <w:r>
        <w:t>)</w:t>
      </w:r>
      <w:r>
        <w:tab/>
        <w:t>There are two employees employed on a part-time basis at a 0.6 FTE rate and a 0.8 FTE rate respectively.</w:t>
      </w:r>
    </w:p>
    <w:p w14:paraId="74640047" w14:textId="6B2F0431" w:rsidR="00A90932" w:rsidRDefault="00A90932" w:rsidP="00A90932">
      <w:pPr>
        <w:pStyle w:val="GuidanceBlockHeading"/>
      </w:pPr>
      <w:r>
        <w:t>Guidance – Workforce data staffing trends</w:t>
      </w:r>
      <w:r w:rsidR="002905F3">
        <w:t xml:space="preserve"> </w:t>
      </w:r>
      <w:r w:rsidR="002905F3" w:rsidRPr="006D2835">
        <w:rPr>
          <w:color w:val="FFF8FF"/>
        </w:rPr>
        <w:t>[REVISED]</w:t>
      </w:r>
    </w:p>
    <w:p w14:paraId="3B6B9C0E" w14:textId="449F1DF9" w:rsidR="00A90932" w:rsidRPr="00A90932" w:rsidRDefault="00A90932" w:rsidP="00A90932">
      <w:pPr>
        <w:rPr>
          <w:rStyle w:val="Guidance"/>
        </w:rPr>
      </w:pPr>
      <w:r w:rsidRPr="00A90932">
        <w:rPr>
          <w:rStyle w:val="Guidance"/>
        </w:rPr>
        <w:t>FRD 22</w:t>
      </w:r>
      <w:r w:rsidR="00970F95">
        <w:rPr>
          <w:rStyle w:val="Guidance"/>
        </w:rPr>
        <w:t xml:space="preserve"> </w:t>
      </w:r>
      <w:r w:rsidRPr="00A90932">
        <w:rPr>
          <w:rStyle w:val="Guidance"/>
        </w:rPr>
        <w:t xml:space="preserve">requires the disclosure of workforce data as per the last payroll period for both the current and previous financial years. </w:t>
      </w:r>
      <w:r w:rsidRPr="00F7535F">
        <w:rPr>
          <w:rStyle w:val="Reference"/>
        </w:rPr>
        <w:t>[FRD 22]</w:t>
      </w:r>
    </w:p>
    <w:p w14:paraId="2A4E8D18" w14:textId="4A7F614F" w:rsidR="00A90932" w:rsidRPr="00A90932" w:rsidRDefault="00A90932" w:rsidP="00A90932">
      <w:pPr>
        <w:rPr>
          <w:rStyle w:val="Guidance"/>
        </w:rPr>
      </w:pPr>
      <w:r w:rsidRPr="00A90932">
        <w:rPr>
          <w:rStyle w:val="Guidance"/>
        </w:rPr>
        <w:t xml:space="preserve">FRD 29 and its guidance note prescribe the minimum disclosure requirements on the public service employee workforce, including information concerning workforce demographics, classification groups and types of employment for all employees who are employed under Part 3 of the </w:t>
      </w:r>
      <w:r w:rsidRPr="00F7535F">
        <w:rPr>
          <w:rStyle w:val="Guidance"/>
          <w:i/>
          <w:iCs/>
        </w:rPr>
        <w:t>Public Administration Act 2004</w:t>
      </w:r>
      <w:r w:rsidRPr="00A90932">
        <w:rPr>
          <w:rStyle w:val="Guidance"/>
        </w:rPr>
        <w:t xml:space="preserve"> (PAA). This FRD provides comprehensive definitions of ‘active’ employee, full-time equivalent, senior employees and other terms related to workforce data reporting. </w:t>
      </w:r>
      <w:r w:rsidRPr="00F7535F">
        <w:rPr>
          <w:rStyle w:val="Reference"/>
        </w:rPr>
        <w:t>[FRD 29</w:t>
      </w:r>
      <w:r w:rsidR="00453770">
        <w:rPr>
          <w:rStyle w:val="Reference"/>
        </w:rPr>
        <w:t xml:space="preserve"> Revised</w:t>
      </w:r>
      <w:r w:rsidRPr="00F7535F">
        <w:rPr>
          <w:rStyle w:val="Reference"/>
        </w:rPr>
        <w:t>]</w:t>
      </w:r>
    </w:p>
    <w:p w14:paraId="22879A8D" w14:textId="77777777" w:rsidR="00A90932" w:rsidRDefault="00A90932" w:rsidP="00A90932">
      <w:pPr>
        <w:pStyle w:val="GuidanceHeading"/>
      </w:pPr>
      <w:r>
        <w:t>Guidance</w:t>
      </w:r>
    </w:p>
    <w:p w14:paraId="4740DBFA" w14:textId="4DC1956A" w:rsidR="00A90932" w:rsidRPr="00F7535F" w:rsidRDefault="00A90932" w:rsidP="00A90932">
      <w:pPr>
        <w:rPr>
          <w:rStyle w:val="Guidance"/>
        </w:rPr>
      </w:pPr>
      <w:r w:rsidRPr="00F7535F">
        <w:rPr>
          <w:rStyle w:val="Guidance"/>
        </w:rPr>
        <w:t>Information on workforce data is to be presented by headcount and the number of full-time equivalents, separated by gender, age, VPS classification levels and senior employee categories. The Model provides a suggested table format, but entities have discretion over how to present the minimum required information and whether to include any additional information. General commentary on programs or initiatives that have a significant impact on employment levels between the current and previous reporting period should be included in the report. Notes are required to explain:</w:t>
      </w:r>
    </w:p>
    <w:p w14:paraId="1E43EDF9" w14:textId="168DE7D7" w:rsidR="00A90932" w:rsidRPr="00F7535F" w:rsidRDefault="00A90932" w:rsidP="00367D84">
      <w:pPr>
        <w:pStyle w:val="ListBullet"/>
        <w:numPr>
          <w:ilvl w:val="0"/>
          <w:numId w:val="23"/>
        </w:numPr>
        <w:rPr>
          <w:rStyle w:val="Guidance"/>
        </w:rPr>
      </w:pPr>
      <w:r w:rsidRPr="00F7535F">
        <w:rPr>
          <w:rStyle w:val="Guidance"/>
        </w:rPr>
        <w:t>inclusions and exclusions in the employee figures</w:t>
      </w:r>
    </w:p>
    <w:p w14:paraId="2F0D2F5E" w14:textId="5D03DEE6" w:rsidR="00A90932" w:rsidRPr="00F7535F" w:rsidRDefault="00A90932" w:rsidP="00367D84">
      <w:pPr>
        <w:pStyle w:val="ListBullet"/>
        <w:numPr>
          <w:ilvl w:val="0"/>
          <w:numId w:val="23"/>
        </w:numPr>
        <w:rPr>
          <w:rStyle w:val="Guidance"/>
        </w:rPr>
      </w:pPr>
      <w:r w:rsidRPr="00F7535F">
        <w:rPr>
          <w:rStyle w:val="Guidance"/>
        </w:rPr>
        <w:t>significant rise and fall in the employment numbers during the reporting period due to seasonal factors or machinery of government changes</w:t>
      </w:r>
    </w:p>
    <w:p w14:paraId="27DEEEAF" w14:textId="3092358F" w:rsidR="00A90932" w:rsidRPr="00F7535F" w:rsidRDefault="00A90932" w:rsidP="00367D84">
      <w:pPr>
        <w:pStyle w:val="ListBullet"/>
        <w:numPr>
          <w:ilvl w:val="0"/>
          <w:numId w:val="23"/>
        </w:numPr>
        <w:rPr>
          <w:rStyle w:val="Guidance"/>
        </w:rPr>
      </w:pPr>
      <w:r w:rsidRPr="00F7535F">
        <w:rPr>
          <w:rStyle w:val="Guidance"/>
        </w:rPr>
        <w:t xml:space="preserve">any classification categories that are rolled into an ‘other’ category. </w:t>
      </w:r>
    </w:p>
    <w:p w14:paraId="2E7778A1" w14:textId="6B139912" w:rsidR="00A90932" w:rsidRPr="00F7535F" w:rsidRDefault="00A90932" w:rsidP="00A90932">
      <w:pPr>
        <w:rPr>
          <w:rStyle w:val="Guidance"/>
        </w:rPr>
      </w:pPr>
      <w:r w:rsidRPr="00F7535F">
        <w:rPr>
          <w:rStyle w:val="Guidance"/>
        </w:rPr>
        <w:t>The full-time annualised salary of senior employees should also be disclosed in a separate table, by classification in $20</w:t>
      </w:r>
      <w:r w:rsidR="00F7535F">
        <w:rPr>
          <w:rStyle w:val="Guidance"/>
        </w:rPr>
        <w:t> </w:t>
      </w:r>
      <w:r w:rsidRPr="00F7535F">
        <w:rPr>
          <w:rStyle w:val="Guidance"/>
        </w:rPr>
        <w:t>000 bands. The disclosure of gender may include three categories: women, men and self-described. The privacy and confidentiality of all employees must be strictly protected at all times.</w:t>
      </w:r>
    </w:p>
    <w:p w14:paraId="385B9626" w14:textId="77777777" w:rsidR="00A90932" w:rsidRPr="00F7535F" w:rsidRDefault="00A90932" w:rsidP="00A90932">
      <w:pPr>
        <w:rPr>
          <w:rStyle w:val="Guidance"/>
        </w:rPr>
      </w:pPr>
      <w:r w:rsidRPr="00F7535F">
        <w:rPr>
          <w:rStyle w:val="Guidance"/>
        </w:rPr>
        <w:t xml:space="preserve">In line with the </w:t>
      </w:r>
      <w:r w:rsidRPr="00F7535F">
        <w:rPr>
          <w:rStyle w:val="Guidance"/>
          <w:i/>
          <w:iCs/>
        </w:rPr>
        <w:t>Policy and Standard Model for Collecting Staff Gender Information in the Victorian Public Sector</w:t>
      </w:r>
      <w:r w:rsidRPr="00F7535F">
        <w:rPr>
          <w:rStyle w:val="Guidance"/>
        </w:rPr>
        <w:t xml:space="preserve"> (the Policy and Standard Model) the self-described option should include a free text space for employees to specify their gender in their own terms. When reporting on gender information collected through this mode, all free text responses should be reported under the ‘self-described’ category. </w:t>
      </w:r>
    </w:p>
    <w:p w14:paraId="2DB8B195" w14:textId="33AF1FA0" w:rsidR="00A90932" w:rsidRPr="00F7535F" w:rsidRDefault="007E0D36" w:rsidP="00A90932">
      <w:pPr>
        <w:rPr>
          <w:rStyle w:val="Guidance"/>
        </w:rPr>
      </w:pPr>
      <w:r>
        <w:rPr>
          <w:rStyle w:val="Guidance"/>
        </w:rPr>
        <w:t>T</w:t>
      </w:r>
      <w:r w:rsidR="00A90932" w:rsidRPr="00F7535F">
        <w:rPr>
          <w:rStyle w:val="Guidance"/>
        </w:rPr>
        <w:t xml:space="preserve">he disclosure of workforce data </w:t>
      </w:r>
      <w:r>
        <w:rPr>
          <w:rStyle w:val="Guidance"/>
        </w:rPr>
        <w:t xml:space="preserve">is </w:t>
      </w:r>
      <w:r w:rsidR="00A90932" w:rsidRPr="00F7535F">
        <w:rPr>
          <w:rStyle w:val="Guidance"/>
        </w:rPr>
        <w:t xml:space="preserve">separated in the three gender categories, in line with the Policy and Standard Model, </w:t>
      </w:r>
      <w:r>
        <w:rPr>
          <w:rStyle w:val="Guidance"/>
        </w:rPr>
        <w:t>which is</w:t>
      </w:r>
      <w:r w:rsidR="00A90932" w:rsidRPr="00F7535F">
        <w:rPr>
          <w:rStyle w:val="Guidance"/>
        </w:rPr>
        <w:t xml:space="preserve"> mandatory for all VPS entities from the </w:t>
      </w:r>
      <w:r w:rsidR="00DE295C">
        <w:rPr>
          <w:rStyle w:val="Guidance"/>
        </w:rPr>
        <w:t>2017-18</w:t>
      </w:r>
      <w:r w:rsidR="00A90932" w:rsidRPr="00F7535F">
        <w:rPr>
          <w:rStyle w:val="Guidance"/>
        </w:rPr>
        <w:t xml:space="preserve"> reporting period onwards. </w:t>
      </w:r>
    </w:p>
    <w:p w14:paraId="2181792C" w14:textId="38B28FAA" w:rsidR="00A90932" w:rsidRPr="00F7535F" w:rsidRDefault="00A90932" w:rsidP="00A90932">
      <w:pPr>
        <w:rPr>
          <w:rStyle w:val="Guidance"/>
        </w:rPr>
      </w:pPr>
      <w:r w:rsidRPr="00F7535F">
        <w:rPr>
          <w:rStyle w:val="Guidance"/>
        </w:rPr>
        <w:lastRenderedPageBreak/>
        <w:t xml:space="preserve">The Policy and Standard Model is available on the DTF website to provide further assistance with gender reporting. Further enquiries can be directed to the </w:t>
      </w:r>
      <w:r w:rsidR="00EE4B83">
        <w:rPr>
          <w:rStyle w:val="Guidance"/>
        </w:rPr>
        <w:t xml:space="preserve">Victorian Public Sector Commission </w:t>
      </w:r>
      <w:r w:rsidRPr="00F7535F">
        <w:rPr>
          <w:rStyle w:val="Guidance"/>
        </w:rPr>
        <w:t xml:space="preserve">by emailing </w:t>
      </w:r>
      <w:hyperlink r:id="rId58" w:history="1">
        <w:r w:rsidR="00EE4B83" w:rsidRPr="00EE4B83">
          <w:rPr>
            <w:rStyle w:val="Hyperlink"/>
          </w:rPr>
          <w:t>workforce.data@vpsc.vic.gov.au</w:t>
        </w:r>
      </w:hyperlink>
      <w:r w:rsidRPr="00F7535F">
        <w:rPr>
          <w:rStyle w:val="Guidance"/>
        </w:rPr>
        <w:t xml:space="preserve">. </w:t>
      </w:r>
    </w:p>
    <w:p w14:paraId="7F1250DE" w14:textId="77777777" w:rsidR="00A90932" w:rsidRPr="00F7535F" w:rsidRDefault="00A90932" w:rsidP="00F7535F">
      <w:pPr>
        <w:pStyle w:val="GuidanceHeading"/>
        <w:rPr>
          <w:rStyle w:val="Guidance"/>
        </w:rPr>
      </w:pPr>
      <w:r w:rsidRPr="00F7535F">
        <w:rPr>
          <w:rStyle w:val="Guidance"/>
        </w:rPr>
        <w:t>Workforce data disclosure of Authority/Office in a department’s portfolio</w:t>
      </w:r>
    </w:p>
    <w:p w14:paraId="7CB54437" w14:textId="77777777" w:rsidR="00A90932" w:rsidRPr="00F7535F" w:rsidRDefault="00A90932" w:rsidP="00A90932">
      <w:pPr>
        <w:rPr>
          <w:rStyle w:val="Guidance"/>
        </w:rPr>
      </w:pPr>
      <w:r w:rsidRPr="00F7535F">
        <w:rPr>
          <w:rStyle w:val="Guidance"/>
        </w:rPr>
        <w:t>In a department’s portfolio there may be authorities and offices who employ public service employees independently of a Department Secretary. A department’s annual report must list entities in this category that fall within its portfolio.</w:t>
      </w:r>
    </w:p>
    <w:p w14:paraId="5106DDA7" w14:textId="77777777" w:rsidR="00A90932" w:rsidRPr="00F7535F" w:rsidRDefault="00A90932" w:rsidP="00A90932">
      <w:pPr>
        <w:rPr>
          <w:rStyle w:val="Guidance"/>
        </w:rPr>
      </w:pPr>
      <w:r w:rsidRPr="00F7535F">
        <w:rPr>
          <w:rStyle w:val="Guidance"/>
        </w:rPr>
        <w:t>In addition, for these entities that do not produce their own annual reports, their employee numbers must be included in the department’s annual report in a separate table. Where they produce their own annual reports, employee numbers must be included in those annual reports and the department is required to disclose this fact.</w:t>
      </w:r>
    </w:p>
    <w:p w14:paraId="0F722A42" w14:textId="06BC53BB" w:rsidR="00A90932" w:rsidRDefault="00A90932" w:rsidP="00F7535F">
      <w:pPr>
        <w:pStyle w:val="GuidanceEnd"/>
      </w:pPr>
    </w:p>
    <w:p w14:paraId="29CBF09B" w14:textId="498003C9" w:rsidR="00A90932" w:rsidRDefault="00A90932" w:rsidP="00D26A12">
      <w:pPr>
        <w:pStyle w:val="Heading2"/>
      </w:pPr>
      <w:bookmarkStart w:id="129" w:name="_Toc199156283"/>
      <w:r>
        <w:t>Workforce inclusion policy</w:t>
      </w:r>
      <w:r w:rsidR="00D26A12">
        <w:t xml:space="preserve"> </w:t>
      </w:r>
      <w:r w:rsidR="00D26A12" w:rsidRPr="20EC4723">
        <w:rPr>
          <w:rStyle w:val="Reference"/>
        </w:rPr>
        <w:t>[Recommendation 20, PAEC</w:t>
      </w:r>
      <w:r w:rsidR="5FFA4153" w:rsidRPr="20EC4723">
        <w:rPr>
          <w:rStyle w:val="Reference"/>
        </w:rPr>
        <w:t xml:space="preserve"> Review of the 2009-10 and 2010-11 Annual Reports</w:t>
      </w:r>
      <w:r w:rsidR="00D26A12" w:rsidRPr="20EC4723">
        <w:rPr>
          <w:rStyle w:val="Reference"/>
        </w:rPr>
        <w:t>]</w:t>
      </w:r>
      <w:bookmarkEnd w:id="129"/>
    </w:p>
    <w:p w14:paraId="0FDA40DB" w14:textId="6DCA9B04" w:rsidR="00A90932" w:rsidRDefault="00A90932" w:rsidP="00A90932">
      <w:r>
        <w:t xml:space="preserve">The Department is working towards creating </w:t>
      </w:r>
      <w:r w:rsidR="009D0ECD">
        <w:t>an inclusive</w:t>
      </w:r>
      <w:r>
        <w:t xml:space="preserve"> working environment where equal opportunity and diversity are valued</w:t>
      </w:r>
      <w:r w:rsidR="009D0ECD">
        <w:t>, and that reflects the communities we serve</w:t>
      </w:r>
      <w:r w:rsidR="00710F94">
        <w:t>.</w:t>
      </w:r>
      <w:r>
        <w:t xml:space="preserve"> </w:t>
      </w:r>
      <w:r w:rsidR="00710F94">
        <w:t>C</w:t>
      </w:r>
      <w:r w:rsidR="00C45E4A">
        <w:t xml:space="preserve">onsistent with the </w:t>
      </w:r>
      <w:r w:rsidR="00C45E4A">
        <w:rPr>
          <w:i/>
          <w:iCs/>
        </w:rPr>
        <w:t>Gender Equality Act 2020,</w:t>
      </w:r>
      <w:r>
        <w:t xml:space="preserve"> the Department has a target of </w:t>
      </w:r>
      <w:r w:rsidR="009D0ECD">
        <w:t xml:space="preserve">at least </w:t>
      </w:r>
      <w:r>
        <w:t>50 per cent women on the executives’ gender profile by</w:t>
      </w:r>
      <w:r w:rsidR="00D26A12">
        <w:t xml:space="preserve"> </w:t>
      </w:r>
      <w:fldSimple w:instr="DOCPROPERTY  YearCurrent  \* MERGEFORMAT">
        <w:r w:rsidR="00A545BA">
          <w:t>20X2</w:t>
        </w:r>
      </w:fldSimple>
      <w:r>
        <w:t>.</w:t>
      </w:r>
    </w:p>
    <w:p w14:paraId="42F6BD2B" w14:textId="464B162C" w:rsidR="00A90932" w:rsidRDefault="00A90932" w:rsidP="00A90932">
      <w:r>
        <w:t xml:space="preserve">The Department values staff with non-binary gender identities at all levels from VPS officers through the executives. The Department acknowledges that due to historic and current barriers to disclosure of non-binary gender identities, staff may not choose to disclose this information. As a result, targets or quotas are not currently a useful way to promote opportunities for gender diverse staff at all levels. </w:t>
      </w:r>
      <w:r w:rsidR="00D26A12" w:rsidRPr="00D26A12">
        <w:rPr>
          <w:rStyle w:val="Reference"/>
        </w:rPr>
        <w:t>[FRD 29</w:t>
      </w:r>
      <w:r w:rsidR="0089748F">
        <w:rPr>
          <w:rStyle w:val="Reference"/>
        </w:rPr>
        <w:t xml:space="preserve"> Revised</w:t>
      </w:r>
      <w:r w:rsidR="00D26A12" w:rsidRPr="00D26A12">
        <w:rPr>
          <w:rStyle w:val="Reference"/>
        </w:rPr>
        <w:t>]</w:t>
      </w:r>
    </w:p>
    <w:p w14:paraId="426942F5" w14:textId="592FDFDB" w:rsidR="00DC39DE" w:rsidRDefault="00A90932" w:rsidP="00A90932">
      <w:r>
        <w:t>The following table outlines the Department’s actual progress against this target i</w:t>
      </w:r>
      <w:r w:rsidRPr="00D26A12">
        <w:t xml:space="preserve">n </w:t>
      </w:r>
      <w:fldSimple w:instr="DOCPROPERTY  FinYearCurrent  \* MERGEFORMAT">
        <w:r w:rsidR="000E6299">
          <w:t>20X1</w:t>
        </w:r>
        <w:r w:rsidR="000E6299" w:rsidRPr="000E6299">
          <w:rPr>
            <w:rFonts w:ascii="Cambria Math" w:hAnsi="Cambria Math" w:cs="Cambria Math"/>
          </w:rPr>
          <w:t>‑</w:t>
        </w:r>
        <w:r w:rsidR="000E6299">
          <w:t>X2</w:t>
        </w:r>
      </w:fldSimple>
      <w:r>
        <w:t>.</w:t>
      </w:r>
    </w:p>
    <w:tbl>
      <w:tblPr>
        <w:tblStyle w:val="DTFTextTable"/>
        <w:tblW w:w="9639" w:type="dxa"/>
        <w:tblLayout w:type="fixed"/>
        <w:tblLook w:val="0620" w:firstRow="1" w:lastRow="0" w:firstColumn="0" w:lastColumn="0" w:noHBand="1" w:noVBand="1"/>
      </w:tblPr>
      <w:tblGrid>
        <w:gridCol w:w="1985"/>
        <w:gridCol w:w="2410"/>
        <w:gridCol w:w="2835"/>
        <w:gridCol w:w="2409"/>
      </w:tblGrid>
      <w:tr w:rsidR="00997BAE" w:rsidRPr="00605285" w14:paraId="4337FE7F" w14:textId="77777777" w:rsidTr="00183623">
        <w:trPr>
          <w:cnfStyle w:val="100000000000" w:firstRow="1" w:lastRow="0" w:firstColumn="0" w:lastColumn="0" w:oddVBand="0" w:evenVBand="0" w:oddHBand="0" w:evenHBand="0" w:firstRowFirstColumn="0" w:firstRowLastColumn="0" w:lastRowFirstColumn="0" w:lastRowLastColumn="0"/>
          <w:trHeight w:val="313"/>
        </w:trPr>
        <w:tc>
          <w:tcPr>
            <w:tcW w:w="1985" w:type="dxa"/>
            <w:hideMark/>
          </w:tcPr>
          <w:p w14:paraId="6A60C2D7" w14:textId="77777777" w:rsidR="00997BAE" w:rsidRPr="00605285" w:rsidRDefault="00997BAE" w:rsidP="00997BAE">
            <w:r w:rsidRPr="00605285">
              <w:t>Workforce inclusion policy initiative</w:t>
            </w:r>
          </w:p>
        </w:tc>
        <w:tc>
          <w:tcPr>
            <w:tcW w:w="2410" w:type="dxa"/>
            <w:hideMark/>
          </w:tcPr>
          <w:p w14:paraId="1D1FA63F" w14:textId="77777777" w:rsidR="00997BAE" w:rsidRPr="00605285" w:rsidRDefault="00997BAE" w:rsidP="00997BAE">
            <w:r w:rsidRPr="00605285">
              <w:t>Target</w:t>
            </w:r>
          </w:p>
        </w:tc>
        <w:tc>
          <w:tcPr>
            <w:tcW w:w="2835" w:type="dxa"/>
            <w:hideMark/>
          </w:tcPr>
          <w:p w14:paraId="62398731" w14:textId="6BB5052F" w:rsidR="00997BAE" w:rsidRPr="00605285" w:rsidRDefault="00997BAE" w:rsidP="00997BAE">
            <w:r w:rsidRPr="00605285">
              <w:t xml:space="preserve">Actual progress in </w:t>
            </w:r>
            <w:fldSimple w:instr="DOCPROPERTY  FinYearCurrent  \* MERGEFORMAT">
              <w:r w:rsidR="000E6299">
                <w:t>20X1</w:t>
              </w:r>
              <w:r w:rsidR="000E6299" w:rsidRPr="000E6299">
                <w:rPr>
                  <w:rFonts w:ascii="Cambria Math" w:hAnsi="Cambria Math" w:cs="Cambria Math"/>
                </w:rPr>
                <w:t>‑</w:t>
              </w:r>
              <w:r w:rsidR="000E6299">
                <w:t>X2</w:t>
              </w:r>
            </w:fldSimple>
          </w:p>
        </w:tc>
        <w:tc>
          <w:tcPr>
            <w:tcW w:w="2409" w:type="dxa"/>
          </w:tcPr>
          <w:p w14:paraId="54044781" w14:textId="1D9E8032" w:rsidR="00997BAE" w:rsidRPr="00605285" w:rsidRDefault="00997BAE" w:rsidP="00997BAE">
            <w:r w:rsidRPr="006A2DAA">
              <w:rPr>
                <w:color w:val="FFFFFF" w:themeColor="background1"/>
              </w:rPr>
              <w:t xml:space="preserve">Actual progress in </w:t>
            </w:r>
            <w:r w:rsidRPr="006A2DAA">
              <w:rPr>
                <w:color w:val="FFFFFF" w:themeColor="background1"/>
              </w:rPr>
              <w:fldChar w:fldCharType="begin"/>
            </w:r>
            <w:r w:rsidRPr="006A2DAA">
              <w:rPr>
                <w:color w:val="FFFFFF" w:themeColor="background1"/>
              </w:rPr>
              <w:instrText xml:space="preserve"> DOCPROPERTY  FinYearPrevious  \* MERGEFORMAT </w:instrText>
            </w:r>
            <w:r w:rsidRPr="006A2DAA">
              <w:rPr>
                <w:color w:val="FFFFFF" w:themeColor="background1"/>
              </w:rPr>
              <w:fldChar w:fldCharType="separate"/>
            </w:r>
            <w:r w:rsidR="00A545BA">
              <w:rPr>
                <w:color w:val="FFFFFF" w:themeColor="background1"/>
              </w:rPr>
              <w:t>20X0</w:t>
            </w:r>
            <w:r w:rsidR="00A545BA" w:rsidRPr="00A545BA">
              <w:rPr>
                <w:rFonts w:ascii="Cambria Math" w:hAnsi="Cambria Math" w:cs="Cambria Math"/>
                <w:color w:val="FFFFFF" w:themeColor="background1"/>
              </w:rPr>
              <w:t>‑</w:t>
            </w:r>
            <w:r w:rsidR="00A545BA">
              <w:rPr>
                <w:color w:val="FFFFFF" w:themeColor="background1"/>
              </w:rPr>
              <w:t>X1</w:t>
            </w:r>
            <w:r w:rsidRPr="006A2DAA">
              <w:rPr>
                <w:color w:val="FFFFFF" w:themeColor="background1"/>
              </w:rPr>
              <w:fldChar w:fldCharType="end"/>
            </w:r>
          </w:p>
        </w:tc>
      </w:tr>
      <w:tr w:rsidR="00997BAE" w:rsidRPr="00605285" w14:paraId="250871E5" w14:textId="77777777" w:rsidTr="00183623">
        <w:trPr>
          <w:trHeight w:val="313"/>
        </w:trPr>
        <w:tc>
          <w:tcPr>
            <w:tcW w:w="1985" w:type="dxa"/>
            <w:hideMark/>
          </w:tcPr>
          <w:p w14:paraId="562B37C9" w14:textId="77777777" w:rsidR="00997BAE" w:rsidRPr="00605285" w:rsidRDefault="00997BAE" w:rsidP="00997BAE">
            <w:r w:rsidRPr="00605285">
              <w:t>Gender profile at executive levels</w:t>
            </w:r>
            <w:r w:rsidRPr="00D26A12">
              <w:rPr>
                <w:vertAlign w:val="superscript"/>
              </w:rPr>
              <w:t>(a)</w:t>
            </w:r>
          </w:p>
        </w:tc>
        <w:tc>
          <w:tcPr>
            <w:tcW w:w="2410" w:type="dxa"/>
            <w:hideMark/>
          </w:tcPr>
          <w:p w14:paraId="5307F834" w14:textId="77777777" w:rsidR="00997BAE" w:rsidRPr="00605285" w:rsidRDefault="00997BAE" w:rsidP="00997BAE">
            <w:r w:rsidRPr="00605285">
              <w:t>Executive Officers:</w:t>
            </w:r>
          </w:p>
          <w:p w14:paraId="73C9C917" w14:textId="5E1C0BB6" w:rsidR="00997BAE" w:rsidRPr="00605285" w:rsidRDefault="00997BAE" w:rsidP="00997BAE">
            <w:r w:rsidRPr="00605285">
              <w:t>50 per cent women;</w:t>
            </w:r>
            <w:r w:rsidR="00183623">
              <w:br/>
            </w:r>
            <w:r w:rsidRPr="00605285">
              <w:t xml:space="preserve">50 per cent men by </w:t>
            </w:r>
            <w:fldSimple w:instr="DOCPROPERTY  YearPrevious  \* MERGEFORMAT">
              <w:r w:rsidR="00DE528A">
                <w:t>20X1</w:t>
              </w:r>
            </w:fldSimple>
          </w:p>
        </w:tc>
        <w:tc>
          <w:tcPr>
            <w:tcW w:w="2835" w:type="dxa"/>
            <w:hideMark/>
          </w:tcPr>
          <w:p w14:paraId="1F346E45" w14:textId="77777777" w:rsidR="00997BAE" w:rsidRPr="00605285" w:rsidRDefault="00997BAE" w:rsidP="00997BAE">
            <w:r w:rsidRPr="00605285">
              <w:t>Executive Officers:</w:t>
            </w:r>
          </w:p>
          <w:p w14:paraId="39770ABC" w14:textId="1CC1D59B" w:rsidR="00997BAE" w:rsidRPr="00605285" w:rsidRDefault="00997BAE" w:rsidP="00997BAE">
            <w:r w:rsidRPr="00605285">
              <w:t xml:space="preserve">40 per cent women; </w:t>
            </w:r>
            <w:r w:rsidR="00183623">
              <w:br/>
            </w:r>
            <w:r w:rsidRPr="00605285">
              <w:t>60 per cent men</w:t>
            </w:r>
          </w:p>
        </w:tc>
        <w:tc>
          <w:tcPr>
            <w:tcW w:w="2409" w:type="dxa"/>
          </w:tcPr>
          <w:p w14:paraId="26E39495" w14:textId="77777777" w:rsidR="00997BAE" w:rsidRPr="00605285" w:rsidRDefault="00997BAE" w:rsidP="00997BAE">
            <w:r w:rsidRPr="00605285">
              <w:t>Executive Officers:</w:t>
            </w:r>
          </w:p>
          <w:p w14:paraId="03C7DA25" w14:textId="5E706AF6" w:rsidR="00997BAE" w:rsidRPr="00605285" w:rsidDel="002E5D8B" w:rsidRDefault="00997BAE" w:rsidP="00997BAE">
            <w:r w:rsidRPr="00605285">
              <w:t>35 per cent women;</w:t>
            </w:r>
            <w:r w:rsidR="00183623">
              <w:br/>
            </w:r>
            <w:r w:rsidRPr="00605285">
              <w:t>65 per cent men</w:t>
            </w:r>
          </w:p>
        </w:tc>
      </w:tr>
    </w:tbl>
    <w:p w14:paraId="706EAC51" w14:textId="77777777" w:rsidR="00DC39DE" w:rsidRDefault="00DC39DE" w:rsidP="00D26A12">
      <w:pPr>
        <w:pStyle w:val="Note"/>
      </w:pPr>
      <w:r>
        <w:t xml:space="preserve">Note: </w:t>
      </w:r>
    </w:p>
    <w:p w14:paraId="60D5A58C" w14:textId="77777777" w:rsidR="00DC39DE" w:rsidRDefault="00DC39DE" w:rsidP="00D26A12">
      <w:pPr>
        <w:pStyle w:val="Note"/>
      </w:pPr>
      <w:r>
        <w:t>(a)</w:t>
      </w:r>
      <w:r>
        <w:tab/>
        <w:t>The self-described category is nil for this entity.</w:t>
      </w:r>
    </w:p>
    <w:p w14:paraId="7F3CCB17" w14:textId="77777777" w:rsidR="00DC39DE" w:rsidRPr="00D26A12" w:rsidRDefault="00DC39DE" w:rsidP="00D26A12">
      <w:pPr>
        <w:pStyle w:val="Note"/>
        <w:rPr>
          <w:rStyle w:val="Guidance"/>
        </w:rPr>
      </w:pPr>
      <w:r w:rsidRPr="00D26A12">
        <w:rPr>
          <w:rStyle w:val="Guidance"/>
        </w:rPr>
        <w:t>[The above workforce inclusion policy initiative is for illustration purpose only.]</w:t>
      </w:r>
    </w:p>
    <w:p w14:paraId="2D448DBB" w14:textId="7D564D39" w:rsidR="00D26A12" w:rsidRDefault="00D26A12" w:rsidP="00D26A12">
      <w:pPr>
        <w:pStyle w:val="GuidanceBlockHeading"/>
      </w:pPr>
      <w:r>
        <w:t>Guidance – Workforce inclusion policy</w:t>
      </w:r>
    </w:p>
    <w:p w14:paraId="10D63E71" w14:textId="3BD73EC1" w:rsidR="00DC39DE" w:rsidRDefault="00D26A12" w:rsidP="00D26A12">
      <w:pPr>
        <w:rPr>
          <w:rStyle w:val="Guidance"/>
        </w:rPr>
      </w:pPr>
      <w:r w:rsidRPr="00D26A12">
        <w:rPr>
          <w:rStyle w:val="Guidance"/>
        </w:rPr>
        <w:t>If an entity is working towards a workforce inclusion initiative as part of its workforce inclusion policy, the entity should report on progress towards the targets, and/or provide reasons why the initiative has not been implemented. This is to enable the evaluation of progress of the workforce inclusion policy. The comparative data are also presented to demonstrate the cumulative benefits of the initiative. Entities are encouraged to make comments about longer term progress and illustrate the trend over time.</w:t>
      </w:r>
    </w:p>
    <w:p w14:paraId="2CC1BFDA" w14:textId="77777777" w:rsidR="00D26A12" w:rsidRDefault="00D26A12" w:rsidP="00D26A12">
      <w:pPr>
        <w:pStyle w:val="GuidanceEnd"/>
      </w:pPr>
    </w:p>
    <w:p w14:paraId="19261D7F" w14:textId="77777777" w:rsidR="000928B1" w:rsidRDefault="000928B1">
      <w:pPr>
        <w:keepLines w:val="0"/>
        <w:rPr>
          <w:rFonts w:asciiTheme="majorHAnsi" w:eastAsiaTheme="majorEastAsia" w:hAnsiTheme="majorHAnsi" w:cstheme="majorBidi"/>
          <w:b/>
          <w:sz w:val="26"/>
          <w:szCs w:val="26"/>
        </w:rPr>
      </w:pPr>
      <w:r>
        <w:br w:type="page"/>
      </w:r>
    </w:p>
    <w:p w14:paraId="06262130" w14:textId="74FA1DAE" w:rsidR="00DC39DE" w:rsidRDefault="00DC39DE" w:rsidP="00D26A12">
      <w:pPr>
        <w:pStyle w:val="Heading2"/>
      </w:pPr>
      <w:bookmarkStart w:id="130" w:name="_Executive_data"/>
      <w:bookmarkStart w:id="131" w:name="_Toc199156284"/>
      <w:bookmarkEnd w:id="130"/>
      <w:r>
        <w:lastRenderedPageBreak/>
        <w:t>Executive data</w:t>
      </w:r>
      <w:bookmarkEnd w:id="131"/>
    </w:p>
    <w:p w14:paraId="3BAA2812" w14:textId="59234E34" w:rsidR="00D26A12" w:rsidRDefault="00D26A12" w:rsidP="00DC39DE">
      <w:r w:rsidRPr="00D26A12">
        <w:t>For a department, a</w:t>
      </w:r>
      <w:r w:rsidR="00552FCC">
        <w:t xml:space="preserve"> member of the </w:t>
      </w:r>
      <w:r w:rsidR="006F0349">
        <w:t>S</w:t>
      </w:r>
      <w:r w:rsidR="00552FCC">
        <w:t xml:space="preserve">enior </w:t>
      </w:r>
      <w:r w:rsidR="006F0349">
        <w:t>E</w:t>
      </w:r>
      <w:r w:rsidR="00552FCC">
        <w:t xml:space="preserve">xecutive </w:t>
      </w:r>
      <w:r w:rsidR="006F0349">
        <w:t>S</w:t>
      </w:r>
      <w:r w:rsidR="00552FCC">
        <w:t xml:space="preserve">ervice (SES) </w:t>
      </w:r>
      <w:r w:rsidRPr="00D26A12">
        <w:t xml:space="preserve">is defined as a person employed as an executive under Part 3 of the </w:t>
      </w:r>
      <w:r w:rsidRPr="00D26A12">
        <w:rPr>
          <w:i/>
          <w:iCs/>
        </w:rPr>
        <w:t>Public Administration Act 2004</w:t>
      </w:r>
      <w:r w:rsidRPr="00D26A12">
        <w:t xml:space="preserve"> (PAA). For a public body, an </w:t>
      </w:r>
      <w:r w:rsidR="0074679A">
        <w:t>executive</w:t>
      </w:r>
      <w:r w:rsidR="0074679A" w:rsidRPr="00D26A12">
        <w:t xml:space="preserve"> </w:t>
      </w:r>
      <w:r w:rsidRPr="00D26A12">
        <w:t xml:space="preserve">is defined as </w:t>
      </w:r>
      <w:r w:rsidR="0074679A">
        <w:t xml:space="preserve">a person employed as </w:t>
      </w:r>
      <w:r w:rsidRPr="00D26A12">
        <w:t xml:space="preserve">an executive under Part 3 of the PAA or a person to whom the Victorian Government’s </w:t>
      </w:r>
      <w:r w:rsidRPr="00D26A12">
        <w:rPr>
          <w:i/>
          <w:iCs/>
        </w:rPr>
        <w:t>Public Entity Executive Remuneration Policy</w:t>
      </w:r>
      <w:r w:rsidRPr="00D26A12">
        <w:t xml:space="preserve"> applies</w:t>
      </w:r>
      <w:r w:rsidR="00F55EB3" w:rsidRPr="002901BB">
        <w:t>.</w:t>
      </w:r>
      <w:r w:rsidRPr="00D26A12">
        <w:t xml:space="preserve"> All figures reflect employment levels at the last full pay period in June of the current and corresponding previous reporting year.</w:t>
      </w:r>
      <w:r>
        <w:t xml:space="preserve"> </w:t>
      </w:r>
      <w:r w:rsidRPr="00D26A12">
        <w:rPr>
          <w:rStyle w:val="Reference"/>
        </w:rPr>
        <w:t>[FRD 15</w:t>
      </w:r>
      <w:r w:rsidR="00765625">
        <w:rPr>
          <w:rStyle w:val="Reference"/>
        </w:rPr>
        <w:t xml:space="preserve"> Revised</w:t>
      </w:r>
      <w:r w:rsidRPr="00D26A12">
        <w:rPr>
          <w:rStyle w:val="Reference"/>
        </w:rPr>
        <w:t>]</w:t>
      </w:r>
    </w:p>
    <w:p w14:paraId="7FD3E163" w14:textId="4BAE689D" w:rsidR="00DC39DE" w:rsidRDefault="00DC39DE" w:rsidP="00DC39DE">
      <w:r>
        <w:t xml:space="preserve">The definition of </w:t>
      </w:r>
      <w:r w:rsidR="00856ADC">
        <w:t xml:space="preserve">SES </w:t>
      </w:r>
      <w:r>
        <w:t>does not include a statutory office holder or an Accountable Officer.</w:t>
      </w:r>
    </w:p>
    <w:p w14:paraId="7E7A8095" w14:textId="7CF032E9" w:rsidR="00DC39DE" w:rsidRDefault="00DC39DE" w:rsidP="00DC39DE">
      <w:r>
        <w:t xml:space="preserve">The following tables disclose the </w:t>
      </w:r>
      <w:r w:rsidR="00856ADC">
        <w:t xml:space="preserve">SES </w:t>
      </w:r>
      <w:r>
        <w:t>of the Department and its portfolio agencies for 30 June</w:t>
      </w:r>
      <w:r w:rsidR="00D26A12">
        <w:t xml:space="preserve"> </w:t>
      </w:r>
      <w:fldSimple w:instr="DOCPROPERTY  YearCurrent  \* MERGEFORMAT">
        <w:r w:rsidR="00A545BA">
          <w:t>20X2</w:t>
        </w:r>
      </w:fldSimple>
      <w:r>
        <w:t>:</w:t>
      </w:r>
    </w:p>
    <w:p w14:paraId="3CA3CA71" w14:textId="548D7219" w:rsidR="00DC39DE" w:rsidRDefault="00DC39DE" w:rsidP="00367D84">
      <w:pPr>
        <w:pStyle w:val="ListBullet"/>
        <w:numPr>
          <w:ilvl w:val="0"/>
          <w:numId w:val="24"/>
        </w:numPr>
      </w:pPr>
      <w:r>
        <w:t xml:space="preserve">Table 8 discloses the total numbers of </w:t>
      </w:r>
      <w:r w:rsidR="00856ADC">
        <w:t xml:space="preserve">SES </w:t>
      </w:r>
      <w:r>
        <w:t>for the Department, broken down by gender</w:t>
      </w:r>
    </w:p>
    <w:p w14:paraId="729A23B2" w14:textId="45088905" w:rsidR="00DC39DE" w:rsidRDefault="00DC39DE" w:rsidP="00367D84">
      <w:pPr>
        <w:pStyle w:val="ListBullet"/>
        <w:numPr>
          <w:ilvl w:val="0"/>
          <w:numId w:val="24"/>
        </w:numPr>
      </w:pPr>
      <w:r>
        <w:t xml:space="preserve">Table 9 provides a reconciliation of executive numbers presented between the report of operations and Note 9.9 </w:t>
      </w:r>
      <w:r w:rsidRPr="00D26A12">
        <w:rPr>
          <w:i/>
          <w:iCs/>
        </w:rPr>
        <w:t>Remuneration of executives</w:t>
      </w:r>
      <w:r>
        <w:t xml:space="preserve"> in the financial statements</w:t>
      </w:r>
    </w:p>
    <w:p w14:paraId="1E584AEB" w14:textId="737D51D7" w:rsidR="00DC39DE" w:rsidRDefault="00DC39DE" w:rsidP="00367D84">
      <w:pPr>
        <w:pStyle w:val="ListBullet"/>
        <w:numPr>
          <w:ilvl w:val="0"/>
          <w:numId w:val="24"/>
        </w:numPr>
      </w:pPr>
      <w:r>
        <w:t>Table 10 provides the total executive numbers for all of the Department’s portfolio agencies</w:t>
      </w:r>
    </w:p>
    <w:p w14:paraId="3C3ED889" w14:textId="1D54FF17" w:rsidR="00DC39DE" w:rsidRDefault="00DC39DE" w:rsidP="00367D84">
      <w:pPr>
        <w:pStyle w:val="ListBullet"/>
        <w:numPr>
          <w:ilvl w:val="0"/>
          <w:numId w:val="24"/>
        </w:numPr>
      </w:pPr>
      <w:r>
        <w:t>Tables 8 to 10 also disclose the variations, denoted by ‘var’, between the current and previous reporting periods.</w:t>
      </w:r>
    </w:p>
    <w:p w14:paraId="5205DE54" w14:textId="64EB9836" w:rsidR="00DC39DE" w:rsidRDefault="00DC39DE" w:rsidP="0079439A">
      <w:pPr>
        <w:pStyle w:val="Caption"/>
      </w:pPr>
      <w:r>
        <w:t xml:space="preserve">Table 8: </w:t>
      </w:r>
      <w:r>
        <w:tab/>
        <w:t xml:space="preserve">Total number of </w:t>
      </w:r>
      <w:r w:rsidR="00856ADC">
        <w:t xml:space="preserve">SES </w:t>
      </w:r>
      <w:r>
        <w:t>for the Department, broken down into gender</w:t>
      </w:r>
      <w:r w:rsidR="006D6F99">
        <w:t xml:space="preserve"> </w:t>
      </w:r>
      <w:r w:rsidR="006D6F99" w:rsidRPr="006D6F99">
        <w:rPr>
          <w:rStyle w:val="Reference"/>
        </w:rPr>
        <w:t>[FRD</w:t>
      </w:r>
      <w:r w:rsidR="0079561A">
        <w:rPr>
          <w:rStyle w:val="Reference"/>
        </w:rPr>
        <w:t xml:space="preserve"> </w:t>
      </w:r>
      <w:r w:rsidR="006D6F99" w:rsidRPr="006D6F99">
        <w:rPr>
          <w:rStyle w:val="Reference"/>
        </w:rPr>
        <w:t>15</w:t>
      </w:r>
      <w:r w:rsidR="00FC44B2">
        <w:rPr>
          <w:rStyle w:val="Reference"/>
        </w:rPr>
        <w:t xml:space="preserve"> Revised</w:t>
      </w:r>
      <w:r w:rsidR="006D6F99" w:rsidRPr="006D6F99">
        <w:rPr>
          <w:rStyle w:val="Reference"/>
        </w:rPr>
        <w:t>]</w:t>
      </w:r>
    </w:p>
    <w:tbl>
      <w:tblPr>
        <w:tblStyle w:val="DTFFinancialTable"/>
        <w:tblW w:w="9639" w:type="dxa"/>
        <w:tblLayout w:type="fixed"/>
        <w:tblLook w:val="06E0" w:firstRow="1" w:lastRow="1" w:firstColumn="1" w:lastColumn="0" w:noHBand="1" w:noVBand="1"/>
      </w:tblPr>
      <w:tblGrid>
        <w:gridCol w:w="2536"/>
        <w:gridCol w:w="887"/>
        <w:gridCol w:w="888"/>
        <w:gridCol w:w="888"/>
        <w:gridCol w:w="888"/>
        <w:gridCol w:w="888"/>
        <w:gridCol w:w="888"/>
        <w:gridCol w:w="888"/>
        <w:gridCol w:w="888"/>
      </w:tblGrid>
      <w:tr w:rsidR="009A6B7F" w:rsidRPr="00891482" w14:paraId="0E3B4F6E" w14:textId="77777777" w:rsidTr="00B807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46" w:type="dxa"/>
          </w:tcPr>
          <w:p w14:paraId="13260928" w14:textId="77777777" w:rsidR="009A6B7F" w:rsidRPr="00891482" w:rsidRDefault="009A6B7F" w:rsidP="00E1548D"/>
        </w:tc>
        <w:tc>
          <w:tcPr>
            <w:tcW w:w="1503" w:type="dxa"/>
            <w:gridSpan w:val="2"/>
          </w:tcPr>
          <w:p w14:paraId="3539F5CF" w14:textId="77777777" w:rsidR="009A6B7F" w:rsidRPr="009A6B7F" w:rsidRDefault="009A6B7F" w:rsidP="009A6B7F">
            <w:pPr>
              <w:jc w:val="center"/>
              <w:cnfStyle w:val="100000000000" w:firstRow="1" w:lastRow="0" w:firstColumn="0" w:lastColumn="0" w:oddVBand="0" w:evenVBand="0" w:oddHBand="0" w:evenHBand="0" w:firstRowFirstColumn="0" w:firstRowLastColumn="0" w:lastRowFirstColumn="0" w:lastRowLastColumn="0"/>
            </w:pPr>
            <w:r w:rsidRPr="009A6B7F">
              <w:t>All</w:t>
            </w:r>
          </w:p>
        </w:tc>
        <w:tc>
          <w:tcPr>
            <w:tcW w:w="1504" w:type="dxa"/>
            <w:gridSpan w:val="2"/>
          </w:tcPr>
          <w:p w14:paraId="0B97DB79" w14:textId="77777777" w:rsidR="009A6B7F" w:rsidRPr="009A6B7F" w:rsidRDefault="009A6B7F" w:rsidP="009A6B7F">
            <w:pPr>
              <w:jc w:val="center"/>
              <w:cnfStyle w:val="100000000000" w:firstRow="1" w:lastRow="0" w:firstColumn="0" w:lastColumn="0" w:oddVBand="0" w:evenVBand="0" w:oddHBand="0" w:evenHBand="0" w:firstRowFirstColumn="0" w:firstRowLastColumn="0" w:lastRowFirstColumn="0" w:lastRowLastColumn="0"/>
            </w:pPr>
            <w:r w:rsidRPr="009A6B7F">
              <w:t>Women</w:t>
            </w:r>
          </w:p>
        </w:tc>
        <w:tc>
          <w:tcPr>
            <w:tcW w:w="1504" w:type="dxa"/>
            <w:gridSpan w:val="2"/>
          </w:tcPr>
          <w:p w14:paraId="5BCB5931" w14:textId="77777777" w:rsidR="009A6B7F" w:rsidRPr="009A6B7F" w:rsidRDefault="009A6B7F" w:rsidP="009A6B7F">
            <w:pPr>
              <w:jc w:val="center"/>
              <w:cnfStyle w:val="100000000000" w:firstRow="1" w:lastRow="0" w:firstColumn="0" w:lastColumn="0" w:oddVBand="0" w:evenVBand="0" w:oddHBand="0" w:evenHBand="0" w:firstRowFirstColumn="0" w:firstRowLastColumn="0" w:lastRowFirstColumn="0" w:lastRowLastColumn="0"/>
            </w:pPr>
            <w:r w:rsidRPr="009A6B7F">
              <w:t>Men</w:t>
            </w:r>
          </w:p>
        </w:tc>
        <w:tc>
          <w:tcPr>
            <w:tcW w:w="1504" w:type="dxa"/>
            <w:gridSpan w:val="2"/>
          </w:tcPr>
          <w:p w14:paraId="23299B66" w14:textId="77777777" w:rsidR="009A6B7F" w:rsidRPr="009A6B7F" w:rsidDel="00557AD4" w:rsidRDefault="009A6B7F" w:rsidP="009A6B7F">
            <w:pPr>
              <w:jc w:val="center"/>
              <w:cnfStyle w:val="100000000000" w:firstRow="1" w:lastRow="0" w:firstColumn="0" w:lastColumn="0" w:oddVBand="0" w:evenVBand="0" w:oddHBand="0" w:evenHBand="0" w:firstRowFirstColumn="0" w:firstRowLastColumn="0" w:lastRowFirstColumn="0" w:lastRowLastColumn="0"/>
            </w:pPr>
            <w:r w:rsidRPr="009A6B7F">
              <w:t>Self-described</w:t>
            </w:r>
          </w:p>
        </w:tc>
      </w:tr>
      <w:tr w:rsidR="009A6B7F" w:rsidRPr="00891482" w14:paraId="02D571F1" w14:textId="77777777" w:rsidTr="00B807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46" w:type="dxa"/>
          </w:tcPr>
          <w:p w14:paraId="1462EB5B" w14:textId="77777777" w:rsidR="009A6B7F" w:rsidRPr="00891482" w:rsidRDefault="009A6B7F" w:rsidP="00E1548D">
            <w:r w:rsidRPr="00891482">
              <w:t>Class</w:t>
            </w:r>
          </w:p>
        </w:tc>
        <w:tc>
          <w:tcPr>
            <w:tcW w:w="751" w:type="dxa"/>
          </w:tcPr>
          <w:p w14:paraId="31EBC4F9" w14:textId="77777777" w:rsidR="009A6B7F" w:rsidRPr="00891482" w:rsidRDefault="009A6B7F" w:rsidP="00E1548D">
            <w:pPr>
              <w:cnfStyle w:val="100000000000" w:firstRow="1" w:lastRow="0" w:firstColumn="0" w:lastColumn="0" w:oddVBand="0" w:evenVBand="0" w:oddHBand="0" w:evenHBand="0" w:firstRowFirstColumn="0" w:firstRowLastColumn="0" w:lastRowFirstColumn="0" w:lastRowLastColumn="0"/>
            </w:pPr>
            <w:r w:rsidRPr="00891482">
              <w:t>No.</w:t>
            </w:r>
          </w:p>
        </w:tc>
        <w:tc>
          <w:tcPr>
            <w:tcW w:w="752" w:type="dxa"/>
          </w:tcPr>
          <w:p w14:paraId="3CF03FCD" w14:textId="77777777" w:rsidR="009A6B7F" w:rsidRPr="00891482" w:rsidRDefault="009A6B7F" w:rsidP="00E1548D">
            <w:pPr>
              <w:cnfStyle w:val="100000000000" w:firstRow="1" w:lastRow="0" w:firstColumn="0" w:lastColumn="0" w:oddVBand="0" w:evenVBand="0" w:oddHBand="0" w:evenHBand="0" w:firstRowFirstColumn="0" w:firstRowLastColumn="0" w:lastRowFirstColumn="0" w:lastRowLastColumn="0"/>
            </w:pPr>
            <w:r w:rsidRPr="00891482">
              <w:t>Var.</w:t>
            </w:r>
          </w:p>
        </w:tc>
        <w:tc>
          <w:tcPr>
            <w:tcW w:w="752" w:type="dxa"/>
          </w:tcPr>
          <w:p w14:paraId="67CC6FEA" w14:textId="77777777" w:rsidR="009A6B7F" w:rsidRPr="00891482" w:rsidRDefault="009A6B7F" w:rsidP="00E1548D">
            <w:pPr>
              <w:cnfStyle w:val="100000000000" w:firstRow="1" w:lastRow="0" w:firstColumn="0" w:lastColumn="0" w:oddVBand="0" w:evenVBand="0" w:oddHBand="0" w:evenHBand="0" w:firstRowFirstColumn="0" w:firstRowLastColumn="0" w:lastRowFirstColumn="0" w:lastRowLastColumn="0"/>
            </w:pPr>
            <w:r w:rsidRPr="00891482">
              <w:t>No.</w:t>
            </w:r>
          </w:p>
        </w:tc>
        <w:tc>
          <w:tcPr>
            <w:tcW w:w="752" w:type="dxa"/>
          </w:tcPr>
          <w:p w14:paraId="28EE590C" w14:textId="77777777" w:rsidR="009A6B7F" w:rsidRPr="00891482" w:rsidRDefault="009A6B7F" w:rsidP="00E1548D">
            <w:pPr>
              <w:cnfStyle w:val="100000000000" w:firstRow="1" w:lastRow="0" w:firstColumn="0" w:lastColumn="0" w:oddVBand="0" w:evenVBand="0" w:oddHBand="0" w:evenHBand="0" w:firstRowFirstColumn="0" w:firstRowLastColumn="0" w:lastRowFirstColumn="0" w:lastRowLastColumn="0"/>
            </w:pPr>
            <w:r w:rsidRPr="00891482">
              <w:t>Var.</w:t>
            </w:r>
          </w:p>
        </w:tc>
        <w:tc>
          <w:tcPr>
            <w:tcW w:w="752" w:type="dxa"/>
          </w:tcPr>
          <w:p w14:paraId="5ADAF08F" w14:textId="77777777" w:rsidR="009A6B7F" w:rsidRPr="00891482" w:rsidRDefault="009A6B7F" w:rsidP="00E1548D">
            <w:pPr>
              <w:cnfStyle w:val="100000000000" w:firstRow="1" w:lastRow="0" w:firstColumn="0" w:lastColumn="0" w:oddVBand="0" w:evenVBand="0" w:oddHBand="0" w:evenHBand="0" w:firstRowFirstColumn="0" w:firstRowLastColumn="0" w:lastRowFirstColumn="0" w:lastRowLastColumn="0"/>
            </w:pPr>
            <w:r w:rsidRPr="00891482">
              <w:t>No.</w:t>
            </w:r>
          </w:p>
        </w:tc>
        <w:tc>
          <w:tcPr>
            <w:tcW w:w="752" w:type="dxa"/>
          </w:tcPr>
          <w:p w14:paraId="1C4B7791" w14:textId="77777777" w:rsidR="009A6B7F" w:rsidRPr="00891482" w:rsidRDefault="009A6B7F" w:rsidP="00E1548D">
            <w:pPr>
              <w:cnfStyle w:val="100000000000" w:firstRow="1" w:lastRow="0" w:firstColumn="0" w:lastColumn="0" w:oddVBand="0" w:evenVBand="0" w:oddHBand="0" w:evenHBand="0" w:firstRowFirstColumn="0" w:firstRowLastColumn="0" w:lastRowFirstColumn="0" w:lastRowLastColumn="0"/>
            </w:pPr>
            <w:r w:rsidRPr="00891482">
              <w:t>Var.</w:t>
            </w:r>
          </w:p>
        </w:tc>
        <w:tc>
          <w:tcPr>
            <w:tcW w:w="752" w:type="dxa"/>
          </w:tcPr>
          <w:p w14:paraId="1636B272" w14:textId="77777777" w:rsidR="009A6B7F" w:rsidRPr="00891482" w:rsidRDefault="009A6B7F" w:rsidP="00E1548D">
            <w:pPr>
              <w:cnfStyle w:val="100000000000" w:firstRow="1" w:lastRow="0" w:firstColumn="0" w:lastColumn="0" w:oddVBand="0" w:evenVBand="0" w:oddHBand="0" w:evenHBand="0" w:firstRowFirstColumn="0" w:firstRowLastColumn="0" w:lastRowFirstColumn="0" w:lastRowLastColumn="0"/>
            </w:pPr>
            <w:r w:rsidRPr="00891482">
              <w:t>No.</w:t>
            </w:r>
          </w:p>
        </w:tc>
        <w:tc>
          <w:tcPr>
            <w:tcW w:w="752" w:type="dxa"/>
          </w:tcPr>
          <w:p w14:paraId="4B687ECE" w14:textId="77777777" w:rsidR="009A6B7F" w:rsidRPr="00891482" w:rsidRDefault="009A6B7F" w:rsidP="00E1548D">
            <w:pPr>
              <w:cnfStyle w:val="100000000000" w:firstRow="1" w:lastRow="0" w:firstColumn="0" w:lastColumn="0" w:oddVBand="0" w:evenVBand="0" w:oddHBand="0" w:evenHBand="0" w:firstRowFirstColumn="0" w:firstRowLastColumn="0" w:lastRowFirstColumn="0" w:lastRowLastColumn="0"/>
            </w:pPr>
            <w:r w:rsidRPr="00891482">
              <w:t>Var.</w:t>
            </w:r>
          </w:p>
        </w:tc>
      </w:tr>
      <w:tr w:rsidR="009A6B7F" w:rsidRPr="00891482" w14:paraId="010C51A1" w14:textId="77777777" w:rsidTr="009A6B7F">
        <w:tc>
          <w:tcPr>
            <w:cnfStyle w:val="001000000000" w:firstRow="0" w:lastRow="0" w:firstColumn="1" w:lastColumn="0" w:oddVBand="0" w:evenVBand="0" w:oddHBand="0" w:evenHBand="0" w:firstRowFirstColumn="0" w:firstRowLastColumn="0" w:lastRowFirstColumn="0" w:lastRowLastColumn="0"/>
            <w:tcW w:w="2146" w:type="dxa"/>
          </w:tcPr>
          <w:p w14:paraId="5180DA81" w14:textId="449ABBA6" w:rsidR="009A6B7F" w:rsidRPr="00891482" w:rsidRDefault="00041792" w:rsidP="00E1548D">
            <w:r>
              <w:t>SES</w:t>
            </w:r>
            <w:r w:rsidR="009A6B7F" w:rsidRPr="00891482">
              <w:noBreakHyphen/>
            </w:r>
            <w:r w:rsidR="00CD7F93">
              <w:t>3</w:t>
            </w:r>
          </w:p>
        </w:tc>
        <w:tc>
          <w:tcPr>
            <w:tcW w:w="751" w:type="dxa"/>
          </w:tcPr>
          <w:p w14:paraId="574B6A4B"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2</w:t>
            </w:r>
          </w:p>
        </w:tc>
        <w:tc>
          <w:tcPr>
            <w:tcW w:w="752" w:type="dxa"/>
          </w:tcPr>
          <w:p w14:paraId="0339B184"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0</w:t>
            </w:r>
          </w:p>
        </w:tc>
        <w:tc>
          <w:tcPr>
            <w:tcW w:w="752" w:type="dxa"/>
          </w:tcPr>
          <w:p w14:paraId="575BC881"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1</w:t>
            </w:r>
          </w:p>
        </w:tc>
        <w:tc>
          <w:tcPr>
            <w:tcW w:w="752" w:type="dxa"/>
          </w:tcPr>
          <w:p w14:paraId="7727D581"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0</w:t>
            </w:r>
          </w:p>
        </w:tc>
        <w:tc>
          <w:tcPr>
            <w:tcW w:w="752" w:type="dxa"/>
          </w:tcPr>
          <w:p w14:paraId="4E36A222"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1</w:t>
            </w:r>
          </w:p>
        </w:tc>
        <w:tc>
          <w:tcPr>
            <w:tcW w:w="752" w:type="dxa"/>
          </w:tcPr>
          <w:p w14:paraId="20F6DE53"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0</w:t>
            </w:r>
          </w:p>
        </w:tc>
        <w:tc>
          <w:tcPr>
            <w:tcW w:w="752" w:type="dxa"/>
          </w:tcPr>
          <w:p w14:paraId="39BBE62D"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n</w:t>
            </w:r>
          </w:p>
        </w:tc>
        <w:tc>
          <w:tcPr>
            <w:tcW w:w="752" w:type="dxa"/>
          </w:tcPr>
          <w:p w14:paraId="787A25E2"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n</w:t>
            </w:r>
          </w:p>
        </w:tc>
      </w:tr>
      <w:tr w:rsidR="009A6B7F" w:rsidRPr="00891482" w14:paraId="35949535" w14:textId="77777777" w:rsidTr="009A6B7F">
        <w:tc>
          <w:tcPr>
            <w:cnfStyle w:val="001000000000" w:firstRow="0" w:lastRow="0" w:firstColumn="1" w:lastColumn="0" w:oddVBand="0" w:evenVBand="0" w:oddHBand="0" w:evenHBand="0" w:firstRowFirstColumn="0" w:firstRowLastColumn="0" w:lastRowFirstColumn="0" w:lastRowLastColumn="0"/>
            <w:tcW w:w="2146" w:type="dxa"/>
          </w:tcPr>
          <w:p w14:paraId="50A45126" w14:textId="7F1D95BC" w:rsidR="009A6B7F" w:rsidRPr="00891482" w:rsidRDefault="00041792" w:rsidP="00E1548D">
            <w:r>
              <w:t>SES</w:t>
            </w:r>
            <w:r w:rsidR="009A6B7F" w:rsidRPr="00891482">
              <w:noBreakHyphen/>
              <w:t>2</w:t>
            </w:r>
          </w:p>
        </w:tc>
        <w:tc>
          <w:tcPr>
            <w:tcW w:w="751" w:type="dxa"/>
          </w:tcPr>
          <w:p w14:paraId="4AC9F978"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22</w:t>
            </w:r>
          </w:p>
        </w:tc>
        <w:tc>
          <w:tcPr>
            <w:tcW w:w="752" w:type="dxa"/>
          </w:tcPr>
          <w:p w14:paraId="41744DA8"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(1)</w:t>
            </w:r>
          </w:p>
        </w:tc>
        <w:tc>
          <w:tcPr>
            <w:tcW w:w="752" w:type="dxa"/>
          </w:tcPr>
          <w:p w14:paraId="25D3F070"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8</w:t>
            </w:r>
          </w:p>
        </w:tc>
        <w:tc>
          <w:tcPr>
            <w:tcW w:w="752" w:type="dxa"/>
          </w:tcPr>
          <w:p w14:paraId="4EBBBA53"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0</w:t>
            </w:r>
          </w:p>
        </w:tc>
        <w:tc>
          <w:tcPr>
            <w:tcW w:w="752" w:type="dxa"/>
          </w:tcPr>
          <w:p w14:paraId="12E7E07D"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14</w:t>
            </w:r>
          </w:p>
        </w:tc>
        <w:tc>
          <w:tcPr>
            <w:tcW w:w="752" w:type="dxa"/>
          </w:tcPr>
          <w:p w14:paraId="649BE92F"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(1)</w:t>
            </w:r>
          </w:p>
        </w:tc>
        <w:tc>
          <w:tcPr>
            <w:tcW w:w="752" w:type="dxa"/>
          </w:tcPr>
          <w:p w14:paraId="4C4D9EBE"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n</w:t>
            </w:r>
          </w:p>
        </w:tc>
        <w:tc>
          <w:tcPr>
            <w:tcW w:w="752" w:type="dxa"/>
          </w:tcPr>
          <w:p w14:paraId="58CFC3BA"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n</w:t>
            </w:r>
          </w:p>
        </w:tc>
      </w:tr>
      <w:tr w:rsidR="009A6B7F" w:rsidRPr="00891482" w14:paraId="7920C192" w14:textId="77777777" w:rsidTr="009A6B7F">
        <w:tc>
          <w:tcPr>
            <w:cnfStyle w:val="001000000000" w:firstRow="0" w:lastRow="0" w:firstColumn="1" w:lastColumn="0" w:oddVBand="0" w:evenVBand="0" w:oddHBand="0" w:evenHBand="0" w:firstRowFirstColumn="0" w:firstRowLastColumn="0" w:lastRowFirstColumn="0" w:lastRowLastColumn="0"/>
            <w:tcW w:w="2146" w:type="dxa"/>
          </w:tcPr>
          <w:p w14:paraId="202CD58B" w14:textId="645C8A51" w:rsidR="009A6B7F" w:rsidRPr="00891482" w:rsidRDefault="00041792" w:rsidP="00E1548D">
            <w:r>
              <w:t>SES</w:t>
            </w:r>
            <w:r w:rsidR="009A6B7F" w:rsidRPr="00891482">
              <w:noBreakHyphen/>
            </w:r>
            <w:r w:rsidR="00CD7F93">
              <w:t>1</w:t>
            </w:r>
          </w:p>
        </w:tc>
        <w:tc>
          <w:tcPr>
            <w:tcW w:w="751" w:type="dxa"/>
          </w:tcPr>
          <w:p w14:paraId="7308ED51"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54</w:t>
            </w:r>
          </w:p>
        </w:tc>
        <w:tc>
          <w:tcPr>
            <w:tcW w:w="752" w:type="dxa"/>
          </w:tcPr>
          <w:p w14:paraId="388522A1"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(3)</w:t>
            </w:r>
          </w:p>
        </w:tc>
        <w:tc>
          <w:tcPr>
            <w:tcW w:w="752" w:type="dxa"/>
          </w:tcPr>
          <w:p w14:paraId="668E4B09"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25</w:t>
            </w:r>
          </w:p>
        </w:tc>
        <w:tc>
          <w:tcPr>
            <w:tcW w:w="752" w:type="dxa"/>
          </w:tcPr>
          <w:p w14:paraId="7BE17C38"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(2)</w:t>
            </w:r>
          </w:p>
        </w:tc>
        <w:tc>
          <w:tcPr>
            <w:tcW w:w="752" w:type="dxa"/>
          </w:tcPr>
          <w:p w14:paraId="14677C63"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29</w:t>
            </w:r>
          </w:p>
        </w:tc>
        <w:tc>
          <w:tcPr>
            <w:tcW w:w="752" w:type="dxa"/>
          </w:tcPr>
          <w:p w14:paraId="611BA82C"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(1)</w:t>
            </w:r>
          </w:p>
        </w:tc>
        <w:tc>
          <w:tcPr>
            <w:tcW w:w="752" w:type="dxa"/>
          </w:tcPr>
          <w:p w14:paraId="7D0F8163"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n</w:t>
            </w:r>
          </w:p>
        </w:tc>
        <w:tc>
          <w:tcPr>
            <w:tcW w:w="752" w:type="dxa"/>
          </w:tcPr>
          <w:p w14:paraId="56E3B843" w14:textId="77777777" w:rsidR="009A6B7F" w:rsidRPr="00891482" w:rsidRDefault="009A6B7F" w:rsidP="00E1548D">
            <w:pPr>
              <w:cnfStyle w:val="000000000000" w:firstRow="0" w:lastRow="0" w:firstColumn="0" w:lastColumn="0" w:oddVBand="0" w:evenVBand="0" w:oddHBand="0" w:evenHBand="0" w:firstRowFirstColumn="0" w:firstRowLastColumn="0" w:lastRowFirstColumn="0" w:lastRowLastColumn="0"/>
            </w:pPr>
            <w:r w:rsidRPr="00891482">
              <w:t>n</w:t>
            </w:r>
          </w:p>
        </w:tc>
      </w:tr>
      <w:tr w:rsidR="009A6B7F" w:rsidRPr="00891482" w14:paraId="075407E0" w14:textId="77777777" w:rsidTr="009A6B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78AEF911" w14:textId="77777777" w:rsidR="009A6B7F" w:rsidRPr="00891482" w:rsidRDefault="009A6B7F" w:rsidP="00E1548D">
            <w:r w:rsidRPr="00891482">
              <w:t>Total</w:t>
            </w:r>
          </w:p>
        </w:tc>
        <w:tc>
          <w:tcPr>
            <w:tcW w:w="751" w:type="dxa"/>
          </w:tcPr>
          <w:p w14:paraId="6B960B44" w14:textId="77777777" w:rsidR="009A6B7F" w:rsidRPr="00891482" w:rsidRDefault="009A6B7F" w:rsidP="00E1548D">
            <w:pPr>
              <w:cnfStyle w:val="010000000000" w:firstRow="0" w:lastRow="1" w:firstColumn="0" w:lastColumn="0" w:oddVBand="0" w:evenVBand="0" w:oddHBand="0" w:evenHBand="0" w:firstRowFirstColumn="0" w:firstRowLastColumn="0" w:lastRowFirstColumn="0" w:lastRowLastColumn="0"/>
            </w:pPr>
            <w:r w:rsidRPr="00891482">
              <w:t>78</w:t>
            </w:r>
          </w:p>
        </w:tc>
        <w:tc>
          <w:tcPr>
            <w:tcW w:w="752" w:type="dxa"/>
          </w:tcPr>
          <w:p w14:paraId="763B26E9" w14:textId="77777777" w:rsidR="009A6B7F" w:rsidRPr="00891482" w:rsidRDefault="009A6B7F" w:rsidP="00E1548D">
            <w:pPr>
              <w:cnfStyle w:val="010000000000" w:firstRow="0" w:lastRow="1" w:firstColumn="0" w:lastColumn="0" w:oddVBand="0" w:evenVBand="0" w:oddHBand="0" w:evenHBand="0" w:firstRowFirstColumn="0" w:firstRowLastColumn="0" w:lastRowFirstColumn="0" w:lastRowLastColumn="0"/>
            </w:pPr>
            <w:r w:rsidRPr="00891482">
              <w:t>(4)</w:t>
            </w:r>
          </w:p>
        </w:tc>
        <w:tc>
          <w:tcPr>
            <w:tcW w:w="752" w:type="dxa"/>
          </w:tcPr>
          <w:p w14:paraId="5650B88C" w14:textId="77777777" w:rsidR="009A6B7F" w:rsidRPr="00891482" w:rsidRDefault="009A6B7F" w:rsidP="00E1548D">
            <w:pPr>
              <w:cnfStyle w:val="010000000000" w:firstRow="0" w:lastRow="1" w:firstColumn="0" w:lastColumn="0" w:oddVBand="0" w:evenVBand="0" w:oddHBand="0" w:evenHBand="0" w:firstRowFirstColumn="0" w:firstRowLastColumn="0" w:lastRowFirstColumn="0" w:lastRowLastColumn="0"/>
            </w:pPr>
            <w:r w:rsidRPr="00891482">
              <w:t>34</w:t>
            </w:r>
          </w:p>
        </w:tc>
        <w:tc>
          <w:tcPr>
            <w:tcW w:w="752" w:type="dxa"/>
          </w:tcPr>
          <w:p w14:paraId="71C4AF18" w14:textId="77777777" w:rsidR="009A6B7F" w:rsidRPr="00891482" w:rsidRDefault="009A6B7F" w:rsidP="00E1548D">
            <w:pPr>
              <w:cnfStyle w:val="010000000000" w:firstRow="0" w:lastRow="1" w:firstColumn="0" w:lastColumn="0" w:oddVBand="0" w:evenVBand="0" w:oddHBand="0" w:evenHBand="0" w:firstRowFirstColumn="0" w:firstRowLastColumn="0" w:lastRowFirstColumn="0" w:lastRowLastColumn="0"/>
            </w:pPr>
            <w:r w:rsidRPr="00891482">
              <w:t>(2)</w:t>
            </w:r>
          </w:p>
        </w:tc>
        <w:tc>
          <w:tcPr>
            <w:tcW w:w="752" w:type="dxa"/>
          </w:tcPr>
          <w:p w14:paraId="217E1C90" w14:textId="77777777" w:rsidR="009A6B7F" w:rsidRPr="00891482" w:rsidRDefault="009A6B7F" w:rsidP="00E1548D">
            <w:pPr>
              <w:cnfStyle w:val="010000000000" w:firstRow="0" w:lastRow="1" w:firstColumn="0" w:lastColumn="0" w:oddVBand="0" w:evenVBand="0" w:oddHBand="0" w:evenHBand="0" w:firstRowFirstColumn="0" w:firstRowLastColumn="0" w:lastRowFirstColumn="0" w:lastRowLastColumn="0"/>
            </w:pPr>
            <w:r w:rsidRPr="00891482">
              <w:t>44</w:t>
            </w:r>
          </w:p>
        </w:tc>
        <w:tc>
          <w:tcPr>
            <w:tcW w:w="752" w:type="dxa"/>
          </w:tcPr>
          <w:p w14:paraId="7E1A8910" w14:textId="77777777" w:rsidR="009A6B7F" w:rsidRPr="00891482" w:rsidRDefault="009A6B7F" w:rsidP="00E1548D">
            <w:pPr>
              <w:cnfStyle w:val="010000000000" w:firstRow="0" w:lastRow="1" w:firstColumn="0" w:lastColumn="0" w:oddVBand="0" w:evenVBand="0" w:oddHBand="0" w:evenHBand="0" w:firstRowFirstColumn="0" w:firstRowLastColumn="0" w:lastRowFirstColumn="0" w:lastRowLastColumn="0"/>
            </w:pPr>
            <w:r w:rsidRPr="00891482">
              <w:t>(2)</w:t>
            </w:r>
          </w:p>
        </w:tc>
        <w:tc>
          <w:tcPr>
            <w:tcW w:w="752" w:type="dxa"/>
          </w:tcPr>
          <w:p w14:paraId="5B093953" w14:textId="77777777" w:rsidR="009A6B7F" w:rsidRPr="00891482" w:rsidRDefault="009A6B7F" w:rsidP="00E1548D">
            <w:pPr>
              <w:cnfStyle w:val="010000000000" w:firstRow="0" w:lastRow="1" w:firstColumn="0" w:lastColumn="0" w:oddVBand="0" w:evenVBand="0" w:oddHBand="0" w:evenHBand="0" w:firstRowFirstColumn="0" w:firstRowLastColumn="0" w:lastRowFirstColumn="0" w:lastRowLastColumn="0"/>
            </w:pPr>
            <w:r w:rsidRPr="00891482">
              <w:t>n</w:t>
            </w:r>
          </w:p>
        </w:tc>
        <w:tc>
          <w:tcPr>
            <w:tcW w:w="752" w:type="dxa"/>
          </w:tcPr>
          <w:p w14:paraId="0BE91194" w14:textId="77777777" w:rsidR="009A6B7F" w:rsidRPr="00891482" w:rsidRDefault="009A6B7F" w:rsidP="00E1548D">
            <w:pPr>
              <w:cnfStyle w:val="010000000000" w:firstRow="0" w:lastRow="1" w:firstColumn="0" w:lastColumn="0" w:oddVBand="0" w:evenVBand="0" w:oddHBand="0" w:evenHBand="0" w:firstRowFirstColumn="0" w:firstRowLastColumn="0" w:lastRowFirstColumn="0" w:lastRowLastColumn="0"/>
            </w:pPr>
            <w:r w:rsidRPr="00891482">
              <w:t>n</w:t>
            </w:r>
          </w:p>
        </w:tc>
      </w:tr>
    </w:tbl>
    <w:p w14:paraId="462F1F32" w14:textId="3F45CE3A" w:rsidR="00DC39DE" w:rsidRDefault="00DC39DE" w:rsidP="00DC39DE">
      <w:r>
        <w:t xml:space="preserve">The number of executives in the report of operations is based on the number of executive positions that are occupied at the end of the financial year. Note 9.8 in the financial statements lists the actual number of </w:t>
      </w:r>
      <w:r w:rsidR="00856ADC">
        <w:t xml:space="preserve">SES </w:t>
      </w:r>
      <w:r>
        <w:t xml:space="preserve">and the total remuneration paid to </w:t>
      </w:r>
      <w:r w:rsidR="00856ADC">
        <w:t xml:space="preserve">SES </w:t>
      </w:r>
      <w:r>
        <w:t>over the course of the reporting period. The financial statements note does not include the Accountable Officer, nor does it distinguish between executive levels or disclose separations. Separations are executives who have left the Department during the relevant reporting period. To assist readers, these two disclosures are reconciled below.</w:t>
      </w:r>
    </w:p>
    <w:p w14:paraId="18CCA379" w14:textId="77777777" w:rsidR="00DC39DE" w:rsidRDefault="00DC39DE" w:rsidP="009A6B7F">
      <w:pPr>
        <w:pStyle w:val="Caption"/>
      </w:pPr>
      <w:bookmarkStart w:id="132" w:name="Table9_ExecutiveNumbers"/>
      <w:bookmarkEnd w:id="132"/>
      <w:r>
        <w:t xml:space="preserve">Table 9: </w:t>
      </w:r>
      <w:r>
        <w:tab/>
        <w:t>Reconciliation of executive numbers</w:t>
      </w:r>
    </w:p>
    <w:tbl>
      <w:tblPr>
        <w:tblStyle w:val="DTFFinancialTable"/>
        <w:tblW w:w="9639" w:type="dxa"/>
        <w:tblLayout w:type="fixed"/>
        <w:tblLook w:val="06E0" w:firstRow="1" w:lastRow="1" w:firstColumn="1" w:lastColumn="0" w:noHBand="1" w:noVBand="1"/>
      </w:tblPr>
      <w:tblGrid>
        <w:gridCol w:w="1113"/>
        <w:gridCol w:w="6591"/>
        <w:gridCol w:w="957"/>
        <w:gridCol w:w="978"/>
      </w:tblGrid>
      <w:tr w:rsidR="009A6B7F" w:rsidRPr="007657D6" w14:paraId="4D056A6F" w14:textId="77777777" w:rsidTr="009A6B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3" w:type="dxa"/>
          </w:tcPr>
          <w:p w14:paraId="27627395" w14:textId="77777777" w:rsidR="009A6B7F" w:rsidRPr="007657D6" w:rsidRDefault="009A6B7F" w:rsidP="00E1548D"/>
        </w:tc>
        <w:tc>
          <w:tcPr>
            <w:tcW w:w="5580" w:type="dxa"/>
          </w:tcPr>
          <w:p w14:paraId="06F8D99F" w14:textId="77777777" w:rsidR="009A6B7F" w:rsidRPr="007657D6" w:rsidRDefault="009A6B7F" w:rsidP="00E1548D">
            <w:pPr>
              <w:cnfStyle w:val="100000000000" w:firstRow="1" w:lastRow="0" w:firstColumn="0" w:lastColumn="0" w:oddVBand="0" w:evenVBand="0" w:oddHBand="0" w:evenHBand="0" w:firstRowFirstColumn="0" w:firstRowLastColumn="0" w:lastRowFirstColumn="0" w:lastRowLastColumn="0"/>
            </w:pPr>
          </w:p>
        </w:tc>
        <w:tc>
          <w:tcPr>
            <w:tcW w:w="810" w:type="dxa"/>
          </w:tcPr>
          <w:p w14:paraId="13C16EF9" w14:textId="49CCCBCE" w:rsidR="009A6B7F" w:rsidRPr="007657D6" w:rsidRDefault="00A545BA" w:rsidP="00E1548D">
            <w:pPr>
              <w:cnfStyle w:val="100000000000" w:firstRow="1" w:lastRow="0" w:firstColumn="0" w:lastColumn="0" w:oddVBand="0" w:evenVBand="0" w:oddHBand="0" w:evenHBand="0" w:firstRowFirstColumn="0" w:firstRowLastColumn="0" w:lastRowFirstColumn="0" w:lastRowLastColumn="0"/>
            </w:pPr>
            <w:fldSimple w:instr="DOCPROPERTY  YearCurrent  \* MERGEFORMAT">
              <w:r>
                <w:t>20X2</w:t>
              </w:r>
            </w:fldSimple>
          </w:p>
        </w:tc>
        <w:tc>
          <w:tcPr>
            <w:tcW w:w="828" w:type="dxa"/>
          </w:tcPr>
          <w:p w14:paraId="7ECB017F" w14:textId="0ED2473B" w:rsidR="009A6B7F" w:rsidRPr="007657D6" w:rsidRDefault="00A545BA" w:rsidP="00E1548D">
            <w:pPr>
              <w:cnfStyle w:val="100000000000" w:firstRow="1" w:lastRow="0" w:firstColumn="0" w:lastColumn="0" w:oddVBand="0" w:evenVBand="0" w:oddHBand="0" w:evenHBand="0" w:firstRowFirstColumn="0" w:firstRowLastColumn="0" w:lastRowFirstColumn="0" w:lastRowLastColumn="0"/>
            </w:pPr>
            <w:fldSimple w:instr="DOCPROPERTY  YearPrevious  \* MERGEFORMAT">
              <w:r>
                <w:t>20X1</w:t>
              </w:r>
            </w:fldSimple>
          </w:p>
        </w:tc>
      </w:tr>
      <w:tr w:rsidR="009A6B7F" w:rsidRPr="007657D6" w14:paraId="5BB3478E" w14:textId="77777777" w:rsidTr="009A6B7F">
        <w:tc>
          <w:tcPr>
            <w:cnfStyle w:val="001000000000" w:firstRow="0" w:lastRow="0" w:firstColumn="1" w:lastColumn="0" w:oddVBand="0" w:evenVBand="0" w:oddHBand="0" w:evenHBand="0" w:firstRowFirstColumn="0" w:firstRowLastColumn="0" w:lastRowFirstColumn="0" w:lastRowLastColumn="0"/>
            <w:tcW w:w="943" w:type="dxa"/>
          </w:tcPr>
          <w:p w14:paraId="63D1038E" w14:textId="77777777" w:rsidR="009A6B7F" w:rsidRPr="007657D6" w:rsidRDefault="009A6B7F" w:rsidP="00E1548D"/>
        </w:tc>
        <w:tc>
          <w:tcPr>
            <w:tcW w:w="5580" w:type="dxa"/>
          </w:tcPr>
          <w:p w14:paraId="6482599E" w14:textId="740557B1" w:rsidR="009A6B7F" w:rsidRPr="007657D6" w:rsidRDefault="009A6B7F" w:rsidP="009A6B7F">
            <w:pPr>
              <w:jc w:val="left"/>
              <w:cnfStyle w:val="000000000000" w:firstRow="0" w:lastRow="0" w:firstColumn="0" w:lastColumn="0" w:oddVBand="0" w:evenVBand="0" w:oddHBand="0" w:evenHBand="0" w:firstRowFirstColumn="0" w:firstRowLastColumn="0" w:lastRowFirstColumn="0" w:lastRowLastColumn="0"/>
            </w:pPr>
            <w:r w:rsidRPr="007657D6">
              <w:t>Executives (financial statement Note 9.</w:t>
            </w:r>
            <w:r w:rsidR="00143018">
              <w:t>8</w:t>
            </w:r>
            <w:r w:rsidRPr="007657D6">
              <w:t>)</w:t>
            </w:r>
          </w:p>
        </w:tc>
        <w:tc>
          <w:tcPr>
            <w:tcW w:w="810" w:type="dxa"/>
          </w:tcPr>
          <w:p w14:paraId="77B4E5FA"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79</w:t>
            </w:r>
          </w:p>
        </w:tc>
        <w:tc>
          <w:tcPr>
            <w:tcW w:w="828" w:type="dxa"/>
          </w:tcPr>
          <w:p w14:paraId="71E79104"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77</w:t>
            </w:r>
          </w:p>
        </w:tc>
      </w:tr>
      <w:tr w:rsidR="009A6B7F" w:rsidRPr="007657D6" w14:paraId="03D3B8C9" w14:textId="77777777" w:rsidTr="009A6B7F">
        <w:tc>
          <w:tcPr>
            <w:cnfStyle w:val="001000000000" w:firstRow="0" w:lastRow="0" w:firstColumn="1" w:lastColumn="0" w:oddVBand="0" w:evenVBand="0" w:oddHBand="0" w:evenHBand="0" w:firstRowFirstColumn="0" w:firstRowLastColumn="0" w:lastRowFirstColumn="0" w:lastRowLastColumn="0"/>
            <w:tcW w:w="943" w:type="dxa"/>
          </w:tcPr>
          <w:p w14:paraId="07CCEB3B" w14:textId="77777777" w:rsidR="009A6B7F" w:rsidRPr="007657D6" w:rsidRDefault="009A6B7F" w:rsidP="00E1548D"/>
        </w:tc>
        <w:tc>
          <w:tcPr>
            <w:tcW w:w="5580" w:type="dxa"/>
          </w:tcPr>
          <w:p w14:paraId="5B68E556" w14:textId="77777777" w:rsidR="009A6B7F" w:rsidRPr="007657D6" w:rsidRDefault="009A6B7F" w:rsidP="009A6B7F">
            <w:pPr>
              <w:jc w:val="left"/>
              <w:cnfStyle w:val="000000000000" w:firstRow="0" w:lastRow="0" w:firstColumn="0" w:lastColumn="0" w:oddVBand="0" w:evenVBand="0" w:oddHBand="0" w:evenHBand="0" w:firstRowFirstColumn="0" w:firstRowLastColumn="0" w:lastRowFirstColumn="0" w:lastRowLastColumn="0"/>
            </w:pPr>
            <w:r w:rsidRPr="007657D6">
              <w:t>Accountable Officer (Secretary)</w:t>
            </w:r>
          </w:p>
        </w:tc>
        <w:tc>
          <w:tcPr>
            <w:tcW w:w="810" w:type="dxa"/>
          </w:tcPr>
          <w:p w14:paraId="62330934"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w:t>
            </w:r>
          </w:p>
        </w:tc>
        <w:tc>
          <w:tcPr>
            <w:tcW w:w="828" w:type="dxa"/>
          </w:tcPr>
          <w:p w14:paraId="5AF4FE7C"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w:t>
            </w:r>
          </w:p>
        </w:tc>
      </w:tr>
      <w:tr w:rsidR="009A6B7F" w:rsidRPr="007657D6" w14:paraId="198A000E" w14:textId="77777777" w:rsidTr="009A6B7F">
        <w:trPr>
          <w:trHeight w:val="80"/>
        </w:trPr>
        <w:tc>
          <w:tcPr>
            <w:cnfStyle w:val="001000000000" w:firstRow="0" w:lastRow="0" w:firstColumn="1" w:lastColumn="0" w:oddVBand="0" w:evenVBand="0" w:oddHBand="0" w:evenHBand="0" w:firstRowFirstColumn="0" w:firstRowLastColumn="0" w:lastRowFirstColumn="0" w:lastRowLastColumn="0"/>
            <w:tcW w:w="943" w:type="dxa"/>
          </w:tcPr>
          <w:p w14:paraId="6C64B369" w14:textId="77777777" w:rsidR="009A6B7F" w:rsidRPr="009A6B7F" w:rsidRDefault="009A6B7F" w:rsidP="00E1548D">
            <w:pPr>
              <w:rPr>
                <w:i/>
                <w:iCs/>
              </w:rPr>
            </w:pPr>
            <w:r w:rsidRPr="009A6B7F">
              <w:rPr>
                <w:i/>
                <w:iCs/>
              </w:rPr>
              <w:t>Less</w:t>
            </w:r>
          </w:p>
        </w:tc>
        <w:tc>
          <w:tcPr>
            <w:tcW w:w="5580" w:type="dxa"/>
          </w:tcPr>
          <w:p w14:paraId="6E43AC6B" w14:textId="77777777" w:rsidR="009A6B7F" w:rsidRPr="007657D6" w:rsidRDefault="009A6B7F" w:rsidP="009A6B7F">
            <w:pPr>
              <w:jc w:val="left"/>
              <w:cnfStyle w:val="000000000000" w:firstRow="0" w:lastRow="0" w:firstColumn="0" w:lastColumn="0" w:oddVBand="0" w:evenVBand="0" w:oddHBand="0" w:evenHBand="0" w:firstRowFirstColumn="0" w:firstRowLastColumn="0" w:lastRowFirstColumn="0" w:lastRowLastColumn="0"/>
            </w:pPr>
            <w:r w:rsidRPr="007657D6">
              <w:t>Separations</w:t>
            </w:r>
          </w:p>
        </w:tc>
        <w:tc>
          <w:tcPr>
            <w:tcW w:w="810" w:type="dxa"/>
          </w:tcPr>
          <w:p w14:paraId="353A66A7" w14:textId="0C020C3A"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w:t>
            </w:r>
            <w:r w:rsidR="00D06E2F">
              <w:t>1</w:t>
            </w:r>
            <w:r w:rsidRPr="007657D6">
              <w:t>)</w:t>
            </w:r>
          </w:p>
        </w:tc>
        <w:tc>
          <w:tcPr>
            <w:tcW w:w="828" w:type="dxa"/>
          </w:tcPr>
          <w:p w14:paraId="1C80F028"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(4)</w:t>
            </w:r>
          </w:p>
        </w:tc>
      </w:tr>
      <w:tr w:rsidR="009A6B7F" w:rsidRPr="007657D6" w14:paraId="4B867657" w14:textId="77777777" w:rsidTr="009A6B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 w:type="dxa"/>
          </w:tcPr>
          <w:p w14:paraId="5E30E48A" w14:textId="77777777" w:rsidR="009A6B7F" w:rsidRPr="007657D6" w:rsidRDefault="009A6B7F" w:rsidP="00E1548D"/>
        </w:tc>
        <w:tc>
          <w:tcPr>
            <w:tcW w:w="5580" w:type="dxa"/>
          </w:tcPr>
          <w:p w14:paraId="14BC589A" w14:textId="77777777" w:rsidR="009A6B7F" w:rsidRPr="007657D6" w:rsidRDefault="009A6B7F" w:rsidP="009A6B7F">
            <w:pPr>
              <w:jc w:val="left"/>
              <w:cnfStyle w:val="010000000000" w:firstRow="0" w:lastRow="1" w:firstColumn="0" w:lastColumn="0" w:oddVBand="0" w:evenVBand="0" w:oddHBand="0" w:evenHBand="0" w:firstRowFirstColumn="0" w:firstRowLastColumn="0" w:lastRowFirstColumn="0" w:lastRowLastColumn="0"/>
            </w:pPr>
            <w:r w:rsidRPr="007657D6">
              <w:t>Total executive numbers at 30 June</w:t>
            </w:r>
          </w:p>
        </w:tc>
        <w:tc>
          <w:tcPr>
            <w:tcW w:w="810" w:type="dxa"/>
          </w:tcPr>
          <w:p w14:paraId="189FD6F4" w14:textId="459BC85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7</w:t>
            </w:r>
            <w:r w:rsidR="00D06E2F">
              <w:t>9</w:t>
            </w:r>
          </w:p>
        </w:tc>
        <w:tc>
          <w:tcPr>
            <w:tcW w:w="828" w:type="dxa"/>
          </w:tcPr>
          <w:p w14:paraId="4705FB4C"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74</w:t>
            </w:r>
          </w:p>
        </w:tc>
      </w:tr>
    </w:tbl>
    <w:p w14:paraId="7DA8186B" w14:textId="77777777" w:rsidR="00DC39DE" w:rsidRDefault="00DC39DE" w:rsidP="00DC39DE"/>
    <w:p w14:paraId="34BDBB4E" w14:textId="04617F16" w:rsidR="00DC39DE" w:rsidRDefault="00DC39DE" w:rsidP="009A6B7F">
      <w:pPr>
        <w:pStyle w:val="Caption"/>
      </w:pPr>
      <w:r>
        <w:t xml:space="preserve">Table 10: </w:t>
      </w:r>
      <w:r>
        <w:tab/>
        <w:t xml:space="preserve">Number of </w:t>
      </w:r>
      <w:r w:rsidR="00856ADC">
        <w:t xml:space="preserve">SES </w:t>
      </w:r>
      <w:r>
        <w:t>for the Department’s portfolio agencies</w:t>
      </w:r>
    </w:p>
    <w:tbl>
      <w:tblPr>
        <w:tblStyle w:val="DTFFinancialTable"/>
        <w:tblW w:w="9639" w:type="dxa"/>
        <w:tblLayout w:type="fixed"/>
        <w:tblLook w:val="06E0" w:firstRow="1" w:lastRow="1" w:firstColumn="1" w:lastColumn="0" w:noHBand="1" w:noVBand="1"/>
      </w:tblPr>
      <w:tblGrid>
        <w:gridCol w:w="3382"/>
        <w:gridCol w:w="782"/>
        <w:gridCol w:w="782"/>
        <w:gridCol w:w="782"/>
        <w:gridCol w:w="782"/>
        <w:gridCol w:w="782"/>
        <w:gridCol w:w="782"/>
        <w:gridCol w:w="782"/>
        <w:gridCol w:w="783"/>
      </w:tblGrid>
      <w:tr w:rsidR="009A6B7F" w:rsidRPr="007657D6" w14:paraId="29143004" w14:textId="77777777" w:rsidTr="009A6B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64" w:type="dxa"/>
          </w:tcPr>
          <w:p w14:paraId="29F98D77" w14:textId="77777777" w:rsidR="009A6B7F" w:rsidRPr="007657D6" w:rsidRDefault="009A6B7F" w:rsidP="00E1548D"/>
        </w:tc>
        <w:tc>
          <w:tcPr>
            <w:tcW w:w="1324" w:type="dxa"/>
            <w:gridSpan w:val="2"/>
          </w:tcPr>
          <w:p w14:paraId="65B4E692" w14:textId="77777777" w:rsidR="009A6B7F" w:rsidRPr="007657D6" w:rsidRDefault="009A6B7F" w:rsidP="009A6B7F">
            <w:pPr>
              <w:jc w:val="center"/>
              <w:cnfStyle w:val="100000000000" w:firstRow="1" w:lastRow="0" w:firstColumn="0" w:lastColumn="0" w:oddVBand="0" w:evenVBand="0" w:oddHBand="0" w:evenHBand="0" w:firstRowFirstColumn="0" w:firstRowLastColumn="0" w:lastRowFirstColumn="0" w:lastRowLastColumn="0"/>
            </w:pPr>
            <w:r w:rsidRPr="007657D6">
              <w:t>Total</w:t>
            </w:r>
          </w:p>
        </w:tc>
        <w:tc>
          <w:tcPr>
            <w:tcW w:w="1324" w:type="dxa"/>
            <w:gridSpan w:val="2"/>
          </w:tcPr>
          <w:p w14:paraId="67FE4ECC" w14:textId="77777777" w:rsidR="009A6B7F" w:rsidRPr="007657D6" w:rsidRDefault="009A6B7F" w:rsidP="009A6B7F">
            <w:pPr>
              <w:jc w:val="center"/>
              <w:cnfStyle w:val="100000000000" w:firstRow="1" w:lastRow="0" w:firstColumn="0" w:lastColumn="0" w:oddVBand="0" w:evenVBand="0" w:oddHBand="0" w:evenHBand="0" w:firstRowFirstColumn="0" w:firstRowLastColumn="0" w:lastRowFirstColumn="0" w:lastRowLastColumn="0"/>
            </w:pPr>
            <w:r w:rsidRPr="007657D6">
              <w:t>Women</w:t>
            </w:r>
          </w:p>
        </w:tc>
        <w:tc>
          <w:tcPr>
            <w:tcW w:w="1324" w:type="dxa"/>
            <w:gridSpan w:val="2"/>
          </w:tcPr>
          <w:p w14:paraId="2221C732" w14:textId="77777777" w:rsidR="009A6B7F" w:rsidRPr="007657D6" w:rsidRDefault="009A6B7F" w:rsidP="009A6B7F">
            <w:pPr>
              <w:jc w:val="center"/>
              <w:cnfStyle w:val="100000000000" w:firstRow="1" w:lastRow="0" w:firstColumn="0" w:lastColumn="0" w:oddVBand="0" w:evenVBand="0" w:oddHBand="0" w:evenHBand="0" w:firstRowFirstColumn="0" w:firstRowLastColumn="0" w:lastRowFirstColumn="0" w:lastRowLastColumn="0"/>
            </w:pPr>
            <w:r w:rsidRPr="007657D6">
              <w:t>Men</w:t>
            </w:r>
          </w:p>
        </w:tc>
        <w:tc>
          <w:tcPr>
            <w:tcW w:w="1325" w:type="dxa"/>
            <w:gridSpan w:val="2"/>
          </w:tcPr>
          <w:p w14:paraId="04E38FE6" w14:textId="77777777" w:rsidR="009A6B7F" w:rsidRPr="007657D6" w:rsidDel="00692242" w:rsidRDefault="009A6B7F" w:rsidP="009A6B7F">
            <w:pPr>
              <w:jc w:val="center"/>
              <w:cnfStyle w:val="100000000000" w:firstRow="1" w:lastRow="0" w:firstColumn="0" w:lastColumn="0" w:oddVBand="0" w:evenVBand="0" w:oddHBand="0" w:evenHBand="0" w:firstRowFirstColumn="0" w:firstRowLastColumn="0" w:lastRowFirstColumn="0" w:lastRowLastColumn="0"/>
            </w:pPr>
            <w:r w:rsidRPr="007657D6">
              <w:t>Self-described</w:t>
            </w:r>
          </w:p>
        </w:tc>
      </w:tr>
      <w:tr w:rsidR="009A6B7F" w:rsidRPr="007657D6" w14:paraId="2BD6A489" w14:textId="77777777" w:rsidTr="009A6B7F">
        <w:tc>
          <w:tcPr>
            <w:cnfStyle w:val="001000000000" w:firstRow="0" w:lastRow="0" w:firstColumn="1" w:lastColumn="0" w:oddVBand="0" w:evenVBand="0" w:oddHBand="0" w:evenHBand="0" w:firstRowFirstColumn="0" w:firstRowLastColumn="0" w:lastRowFirstColumn="0" w:lastRowLastColumn="0"/>
            <w:tcW w:w="2864" w:type="dxa"/>
          </w:tcPr>
          <w:p w14:paraId="0682CB8B" w14:textId="77777777" w:rsidR="009A6B7F" w:rsidRPr="007657D6" w:rsidRDefault="009A6B7F" w:rsidP="00E1548D">
            <w:r w:rsidRPr="007657D6">
              <w:t>Portfolio agencies</w:t>
            </w:r>
          </w:p>
        </w:tc>
        <w:tc>
          <w:tcPr>
            <w:tcW w:w="662" w:type="dxa"/>
          </w:tcPr>
          <w:p w14:paraId="62C74EEA"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No.</w:t>
            </w:r>
          </w:p>
        </w:tc>
        <w:tc>
          <w:tcPr>
            <w:tcW w:w="662" w:type="dxa"/>
          </w:tcPr>
          <w:p w14:paraId="132B426C"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Var.</w:t>
            </w:r>
          </w:p>
        </w:tc>
        <w:tc>
          <w:tcPr>
            <w:tcW w:w="662" w:type="dxa"/>
          </w:tcPr>
          <w:p w14:paraId="7D9FF3C9"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No.</w:t>
            </w:r>
          </w:p>
        </w:tc>
        <w:tc>
          <w:tcPr>
            <w:tcW w:w="662" w:type="dxa"/>
          </w:tcPr>
          <w:p w14:paraId="7C585BF4"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Var.</w:t>
            </w:r>
          </w:p>
        </w:tc>
        <w:tc>
          <w:tcPr>
            <w:tcW w:w="662" w:type="dxa"/>
          </w:tcPr>
          <w:p w14:paraId="64CC9C3F"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No.</w:t>
            </w:r>
          </w:p>
        </w:tc>
        <w:tc>
          <w:tcPr>
            <w:tcW w:w="662" w:type="dxa"/>
          </w:tcPr>
          <w:p w14:paraId="1892F96D"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Var.</w:t>
            </w:r>
          </w:p>
        </w:tc>
        <w:tc>
          <w:tcPr>
            <w:tcW w:w="662" w:type="dxa"/>
          </w:tcPr>
          <w:p w14:paraId="59778A96"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No.</w:t>
            </w:r>
          </w:p>
        </w:tc>
        <w:tc>
          <w:tcPr>
            <w:tcW w:w="663" w:type="dxa"/>
          </w:tcPr>
          <w:p w14:paraId="5A0C7AFA"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No.</w:t>
            </w:r>
          </w:p>
        </w:tc>
      </w:tr>
      <w:tr w:rsidR="009A6B7F" w:rsidRPr="007657D6" w14:paraId="520EF5AD" w14:textId="77777777" w:rsidTr="009A6B7F">
        <w:tc>
          <w:tcPr>
            <w:cnfStyle w:val="001000000000" w:firstRow="0" w:lastRow="0" w:firstColumn="1" w:lastColumn="0" w:oddVBand="0" w:evenVBand="0" w:oddHBand="0" w:evenHBand="0" w:firstRowFirstColumn="0" w:firstRowLastColumn="0" w:lastRowFirstColumn="0" w:lastRowLastColumn="0"/>
            <w:tcW w:w="2864" w:type="dxa"/>
          </w:tcPr>
          <w:p w14:paraId="6472DBD5" w14:textId="77777777" w:rsidR="009A6B7F" w:rsidRPr="007657D6" w:rsidRDefault="009A6B7F" w:rsidP="00E1548D">
            <w:r w:rsidRPr="007657D6">
              <w:t>Commissioner of New Technology</w:t>
            </w:r>
          </w:p>
        </w:tc>
        <w:tc>
          <w:tcPr>
            <w:tcW w:w="662" w:type="dxa"/>
          </w:tcPr>
          <w:p w14:paraId="25685FD5"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9</w:t>
            </w:r>
          </w:p>
        </w:tc>
        <w:tc>
          <w:tcPr>
            <w:tcW w:w="662" w:type="dxa"/>
          </w:tcPr>
          <w:p w14:paraId="303145F9"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(4)</w:t>
            </w:r>
          </w:p>
        </w:tc>
        <w:tc>
          <w:tcPr>
            <w:tcW w:w="662" w:type="dxa"/>
          </w:tcPr>
          <w:p w14:paraId="6D5621E5"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0</w:t>
            </w:r>
          </w:p>
        </w:tc>
        <w:tc>
          <w:tcPr>
            <w:tcW w:w="662" w:type="dxa"/>
          </w:tcPr>
          <w:p w14:paraId="1C5F3020"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(3)</w:t>
            </w:r>
          </w:p>
        </w:tc>
        <w:tc>
          <w:tcPr>
            <w:tcW w:w="662" w:type="dxa"/>
          </w:tcPr>
          <w:p w14:paraId="0AC5FEB0"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9</w:t>
            </w:r>
          </w:p>
        </w:tc>
        <w:tc>
          <w:tcPr>
            <w:tcW w:w="662" w:type="dxa"/>
          </w:tcPr>
          <w:p w14:paraId="68C86F37"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w:t>
            </w:r>
          </w:p>
        </w:tc>
        <w:tc>
          <w:tcPr>
            <w:tcW w:w="662" w:type="dxa"/>
          </w:tcPr>
          <w:p w14:paraId="6C5F838B"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w:t>
            </w:r>
          </w:p>
        </w:tc>
        <w:tc>
          <w:tcPr>
            <w:tcW w:w="663" w:type="dxa"/>
          </w:tcPr>
          <w:p w14:paraId="27466149"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w:t>
            </w:r>
          </w:p>
        </w:tc>
      </w:tr>
      <w:tr w:rsidR="009A6B7F" w:rsidRPr="007657D6" w14:paraId="4B5FE666" w14:textId="77777777" w:rsidTr="009A6B7F">
        <w:tc>
          <w:tcPr>
            <w:cnfStyle w:val="001000000000" w:firstRow="0" w:lastRow="0" w:firstColumn="1" w:lastColumn="0" w:oddVBand="0" w:evenVBand="0" w:oddHBand="0" w:evenHBand="0" w:firstRowFirstColumn="0" w:firstRowLastColumn="0" w:lastRowFirstColumn="0" w:lastRowLastColumn="0"/>
            <w:tcW w:w="2864" w:type="dxa"/>
          </w:tcPr>
          <w:p w14:paraId="22F3C49E" w14:textId="77777777" w:rsidR="009A6B7F" w:rsidRPr="007657D6" w:rsidRDefault="009A6B7F" w:rsidP="00E1548D">
            <w:r w:rsidRPr="007657D6">
              <w:t>Innovation Victoria</w:t>
            </w:r>
          </w:p>
        </w:tc>
        <w:tc>
          <w:tcPr>
            <w:tcW w:w="662" w:type="dxa"/>
          </w:tcPr>
          <w:p w14:paraId="7CCAA1E9"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2</w:t>
            </w:r>
          </w:p>
        </w:tc>
        <w:tc>
          <w:tcPr>
            <w:tcW w:w="662" w:type="dxa"/>
          </w:tcPr>
          <w:p w14:paraId="04B2508C"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2</w:t>
            </w:r>
          </w:p>
        </w:tc>
        <w:tc>
          <w:tcPr>
            <w:tcW w:w="662" w:type="dxa"/>
          </w:tcPr>
          <w:p w14:paraId="47C8C9B9"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2</w:t>
            </w:r>
          </w:p>
        </w:tc>
        <w:tc>
          <w:tcPr>
            <w:tcW w:w="662" w:type="dxa"/>
          </w:tcPr>
          <w:p w14:paraId="7CEFA741"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2</w:t>
            </w:r>
          </w:p>
        </w:tc>
        <w:tc>
          <w:tcPr>
            <w:tcW w:w="662" w:type="dxa"/>
          </w:tcPr>
          <w:p w14:paraId="10F05BC8"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0</w:t>
            </w:r>
          </w:p>
        </w:tc>
        <w:tc>
          <w:tcPr>
            <w:tcW w:w="662" w:type="dxa"/>
          </w:tcPr>
          <w:p w14:paraId="6FFDC22C"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0</w:t>
            </w:r>
          </w:p>
        </w:tc>
        <w:tc>
          <w:tcPr>
            <w:tcW w:w="662" w:type="dxa"/>
          </w:tcPr>
          <w:p w14:paraId="750F0CDD"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w:t>
            </w:r>
          </w:p>
        </w:tc>
        <w:tc>
          <w:tcPr>
            <w:tcW w:w="663" w:type="dxa"/>
          </w:tcPr>
          <w:p w14:paraId="5D6D764A"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w:t>
            </w:r>
          </w:p>
        </w:tc>
      </w:tr>
      <w:tr w:rsidR="009A6B7F" w:rsidRPr="007657D6" w14:paraId="25A43C65" w14:textId="77777777" w:rsidTr="009A6B7F">
        <w:tc>
          <w:tcPr>
            <w:cnfStyle w:val="001000000000" w:firstRow="0" w:lastRow="0" w:firstColumn="1" w:lastColumn="0" w:oddVBand="0" w:evenVBand="0" w:oddHBand="0" w:evenHBand="0" w:firstRowFirstColumn="0" w:firstRowLastColumn="0" w:lastRowFirstColumn="0" w:lastRowLastColumn="0"/>
            <w:tcW w:w="2864" w:type="dxa"/>
          </w:tcPr>
          <w:p w14:paraId="3916B803" w14:textId="77777777" w:rsidR="009A6B7F" w:rsidRPr="007657D6" w:rsidRDefault="009A6B7F" w:rsidP="00E1548D">
            <w:r w:rsidRPr="007657D6">
              <w:t>Regional Computer Teaching</w:t>
            </w:r>
          </w:p>
        </w:tc>
        <w:tc>
          <w:tcPr>
            <w:tcW w:w="662" w:type="dxa"/>
          </w:tcPr>
          <w:p w14:paraId="379E2694"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49</w:t>
            </w:r>
          </w:p>
        </w:tc>
        <w:tc>
          <w:tcPr>
            <w:tcW w:w="662" w:type="dxa"/>
          </w:tcPr>
          <w:p w14:paraId="493ACD4A"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w:t>
            </w:r>
          </w:p>
        </w:tc>
        <w:tc>
          <w:tcPr>
            <w:tcW w:w="662" w:type="dxa"/>
          </w:tcPr>
          <w:p w14:paraId="6FE25B55"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13</w:t>
            </w:r>
          </w:p>
        </w:tc>
        <w:tc>
          <w:tcPr>
            <w:tcW w:w="662" w:type="dxa"/>
          </w:tcPr>
          <w:p w14:paraId="59D6C8B5"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w:t>
            </w:r>
          </w:p>
        </w:tc>
        <w:tc>
          <w:tcPr>
            <w:tcW w:w="662" w:type="dxa"/>
          </w:tcPr>
          <w:p w14:paraId="1FDEB946"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36</w:t>
            </w:r>
          </w:p>
        </w:tc>
        <w:tc>
          <w:tcPr>
            <w:tcW w:w="662" w:type="dxa"/>
          </w:tcPr>
          <w:p w14:paraId="3E766D06"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0</w:t>
            </w:r>
          </w:p>
        </w:tc>
        <w:tc>
          <w:tcPr>
            <w:tcW w:w="662" w:type="dxa"/>
          </w:tcPr>
          <w:p w14:paraId="60415AAA"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w:t>
            </w:r>
          </w:p>
        </w:tc>
        <w:tc>
          <w:tcPr>
            <w:tcW w:w="663" w:type="dxa"/>
          </w:tcPr>
          <w:p w14:paraId="464023A5"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w:t>
            </w:r>
          </w:p>
        </w:tc>
      </w:tr>
      <w:tr w:rsidR="009A6B7F" w:rsidRPr="007657D6" w14:paraId="074627F8" w14:textId="77777777" w:rsidTr="009A6B7F">
        <w:tc>
          <w:tcPr>
            <w:cnfStyle w:val="001000000000" w:firstRow="0" w:lastRow="0" w:firstColumn="1" w:lastColumn="0" w:oddVBand="0" w:evenVBand="0" w:oddHBand="0" w:evenHBand="0" w:firstRowFirstColumn="0" w:firstRowLastColumn="0" w:lastRowFirstColumn="0" w:lastRowLastColumn="0"/>
            <w:tcW w:w="2864" w:type="dxa"/>
          </w:tcPr>
          <w:p w14:paraId="28ADC529" w14:textId="77777777" w:rsidR="009A6B7F" w:rsidRPr="007657D6" w:rsidRDefault="009A6B7F" w:rsidP="00E1548D">
            <w:r w:rsidRPr="007657D6">
              <w:t>Victorian Technology Commission</w:t>
            </w:r>
          </w:p>
        </w:tc>
        <w:tc>
          <w:tcPr>
            <w:tcW w:w="662" w:type="dxa"/>
          </w:tcPr>
          <w:p w14:paraId="2D7180E6"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129</w:t>
            </w:r>
          </w:p>
        </w:tc>
        <w:tc>
          <w:tcPr>
            <w:tcW w:w="662" w:type="dxa"/>
          </w:tcPr>
          <w:p w14:paraId="766ACA92"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(19)</w:t>
            </w:r>
          </w:p>
        </w:tc>
        <w:tc>
          <w:tcPr>
            <w:tcW w:w="662" w:type="dxa"/>
          </w:tcPr>
          <w:p w14:paraId="79EA4D21"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41</w:t>
            </w:r>
          </w:p>
        </w:tc>
        <w:tc>
          <w:tcPr>
            <w:tcW w:w="662" w:type="dxa"/>
          </w:tcPr>
          <w:p w14:paraId="2C9DE233"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(9)</w:t>
            </w:r>
          </w:p>
        </w:tc>
        <w:tc>
          <w:tcPr>
            <w:tcW w:w="662" w:type="dxa"/>
          </w:tcPr>
          <w:p w14:paraId="3FFB9811"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88</w:t>
            </w:r>
          </w:p>
        </w:tc>
        <w:tc>
          <w:tcPr>
            <w:tcW w:w="662" w:type="dxa"/>
          </w:tcPr>
          <w:p w14:paraId="3205A057"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(10)</w:t>
            </w:r>
          </w:p>
        </w:tc>
        <w:tc>
          <w:tcPr>
            <w:tcW w:w="662" w:type="dxa"/>
          </w:tcPr>
          <w:p w14:paraId="1CE4ED1E"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w:t>
            </w:r>
          </w:p>
        </w:tc>
        <w:tc>
          <w:tcPr>
            <w:tcW w:w="663" w:type="dxa"/>
          </w:tcPr>
          <w:p w14:paraId="156964A1" w14:textId="77777777" w:rsidR="009A6B7F" w:rsidRPr="007657D6" w:rsidRDefault="009A6B7F" w:rsidP="00E1548D">
            <w:pPr>
              <w:cnfStyle w:val="000000000000" w:firstRow="0" w:lastRow="0" w:firstColumn="0" w:lastColumn="0" w:oddVBand="0" w:evenVBand="0" w:oddHBand="0" w:evenHBand="0" w:firstRowFirstColumn="0" w:firstRowLastColumn="0" w:lastRowFirstColumn="0" w:lastRowLastColumn="0"/>
            </w:pPr>
            <w:r w:rsidRPr="007657D6">
              <w:t>n</w:t>
            </w:r>
          </w:p>
        </w:tc>
      </w:tr>
      <w:tr w:rsidR="009A6B7F" w:rsidRPr="007657D6" w14:paraId="3AD58CFA" w14:textId="77777777" w:rsidTr="009A6B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29780067" w14:textId="77777777" w:rsidR="009A6B7F" w:rsidRPr="007657D6" w:rsidRDefault="009A6B7F" w:rsidP="00E1548D">
            <w:r w:rsidRPr="007657D6">
              <w:t>Total</w:t>
            </w:r>
          </w:p>
        </w:tc>
        <w:tc>
          <w:tcPr>
            <w:tcW w:w="662" w:type="dxa"/>
          </w:tcPr>
          <w:p w14:paraId="7BB448CE"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189</w:t>
            </w:r>
          </w:p>
        </w:tc>
        <w:tc>
          <w:tcPr>
            <w:tcW w:w="662" w:type="dxa"/>
          </w:tcPr>
          <w:p w14:paraId="4E59FB6C"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(20)</w:t>
            </w:r>
          </w:p>
        </w:tc>
        <w:tc>
          <w:tcPr>
            <w:tcW w:w="662" w:type="dxa"/>
          </w:tcPr>
          <w:p w14:paraId="6D0F5059"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133</w:t>
            </w:r>
          </w:p>
        </w:tc>
        <w:tc>
          <w:tcPr>
            <w:tcW w:w="662" w:type="dxa"/>
          </w:tcPr>
          <w:p w14:paraId="7F8A58AB"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(11)</w:t>
            </w:r>
          </w:p>
        </w:tc>
        <w:tc>
          <w:tcPr>
            <w:tcW w:w="662" w:type="dxa"/>
          </w:tcPr>
          <w:p w14:paraId="79789F83"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56</w:t>
            </w:r>
          </w:p>
        </w:tc>
        <w:tc>
          <w:tcPr>
            <w:tcW w:w="662" w:type="dxa"/>
          </w:tcPr>
          <w:p w14:paraId="238C6D7C"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(9)</w:t>
            </w:r>
          </w:p>
        </w:tc>
        <w:tc>
          <w:tcPr>
            <w:tcW w:w="662" w:type="dxa"/>
          </w:tcPr>
          <w:p w14:paraId="5D51027D"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n</w:t>
            </w:r>
          </w:p>
        </w:tc>
        <w:tc>
          <w:tcPr>
            <w:tcW w:w="663" w:type="dxa"/>
          </w:tcPr>
          <w:p w14:paraId="07D96A74" w14:textId="77777777" w:rsidR="009A6B7F" w:rsidRPr="007657D6" w:rsidRDefault="009A6B7F" w:rsidP="00E1548D">
            <w:pPr>
              <w:cnfStyle w:val="010000000000" w:firstRow="0" w:lastRow="1" w:firstColumn="0" w:lastColumn="0" w:oddVBand="0" w:evenVBand="0" w:oddHBand="0" w:evenHBand="0" w:firstRowFirstColumn="0" w:firstRowLastColumn="0" w:lastRowFirstColumn="0" w:lastRowLastColumn="0"/>
            </w:pPr>
            <w:r w:rsidRPr="007657D6">
              <w:t>n</w:t>
            </w:r>
          </w:p>
        </w:tc>
      </w:tr>
    </w:tbl>
    <w:p w14:paraId="6DC771AE" w14:textId="77777777" w:rsidR="00DC39DE" w:rsidRDefault="00DC39DE" w:rsidP="00DC39DE"/>
    <w:p w14:paraId="265FFC3D" w14:textId="77777777" w:rsidR="002E3231" w:rsidRDefault="002E3231">
      <w:pPr>
        <w:keepLines w:val="0"/>
        <w:rPr>
          <w:rFonts w:asciiTheme="majorHAnsi" w:eastAsiaTheme="majorEastAsia" w:hAnsiTheme="majorHAnsi" w:cstheme="majorBidi"/>
          <w:b/>
          <w:bCs/>
          <w:iCs/>
          <w:color w:val="FFFFFF" w:themeColor="background1"/>
          <w:sz w:val="20"/>
          <w:szCs w:val="24"/>
        </w:rPr>
      </w:pPr>
      <w:r>
        <w:br w:type="page"/>
      </w:r>
    </w:p>
    <w:p w14:paraId="1C864A06" w14:textId="7071895F" w:rsidR="009A6B7F" w:rsidRDefault="009A6B7F" w:rsidP="009A6B7F">
      <w:pPr>
        <w:pStyle w:val="GuidanceBlockHeading"/>
      </w:pPr>
      <w:r>
        <w:lastRenderedPageBreak/>
        <w:t xml:space="preserve">Guidance – </w:t>
      </w:r>
      <w:r w:rsidR="00856ADC">
        <w:t xml:space="preserve">Executive </w:t>
      </w:r>
      <w:r>
        <w:t>data</w:t>
      </w:r>
      <w:r w:rsidR="00586D4A">
        <w:t xml:space="preserve"> </w:t>
      </w:r>
      <w:r w:rsidR="00586D4A" w:rsidRPr="006D2835">
        <w:rPr>
          <w:color w:val="FFF8FF"/>
        </w:rPr>
        <w:t>[</w:t>
      </w:r>
      <w:r w:rsidR="00586D4A" w:rsidRPr="006D2835">
        <w:rPr>
          <w:rStyle w:val="Reference-Revised"/>
          <w:color w:val="FFF8FF"/>
          <w:sz w:val="20"/>
          <w:szCs w:val="32"/>
        </w:rPr>
        <w:t>REVISED]</w:t>
      </w:r>
    </w:p>
    <w:p w14:paraId="66D2840C" w14:textId="77F068CB" w:rsidR="009A6B7F" w:rsidRPr="009A6B7F" w:rsidRDefault="009A6B7F" w:rsidP="009A6B7F">
      <w:pPr>
        <w:rPr>
          <w:rStyle w:val="Guidance"/>
        </w:rPr>
      </w:pPr>
      <w:r w:rsidRPr="009A6B7F">
        <w:rPr>
          <w:rStyle w:val="Guidance"/>
        </w:rPr>
        <w:t xml:space="preserve">FRD 15 </w:t>
      </w:r>
      <w:r w:rsidR="00970F95" w:rsidRPr="009A7D3B">
        <w:rPr>
          <w:rStyle w:val="Guidance"/>
          <w:i/>
          <w:iCs/>
        </w:rPr>
        <w:t>Executive officer disclosures in the Report of Operations</w:t>
      </w:r>
      <w:r w:rsidR="00970F95" w:rsidRPr="00970F95">
        <w:rPr>
          <w:rStyle w:val="Guidance"/>
        </w:rPr>
        <w:t xml:space="preserve"> </w:t>
      </w:r>
      <w:r w:rsidRPr="009A6B7F">
        <w:rPr>
          <w:rStyle w:val="Guidance"/>
        </w:rPr>
        <w:t xml:space="preserve">explains the requirements for disclosing </w:t>
      </w:r>
      <w:r w:rsidR="00BC50F1">
        <w:rPr>
          <w:rStyle w:val="Guidance"/>
        </w:rPr>
        <w:t>Senior Executive Service</w:t>
      </w:r>
      <w:r w:rsidRPr="009A6B7F">
        <w:rPr>
          <w:rStyle w:val="Guidance"/>
        </w:rPr>
        <w:t xml:space="preserve"> (</w:t>
      </w:r>
      <w:r w:rsidR="00BC50F1">
        <w:rPr>
          <w:rStyle w:val="Guidance"/>
        </w:rPr>
        <w:t>SES</w:t>
      </w:r>
      <w:r w:rsidRPr="009A6B7F">
        <w:rPr>
          <w:rStyle w:val="Guidance"/>
        </w:rPr>
        <w:t xml:space="preserve">) numbers in annual reports. It states that a </w:t>
      </w:r>
      <w:r w:rsidR="00C43D5A">
        <w:rPr>
          <w:rStyle w:val="Guidance"/>
        </w:rPr>
        <w:t>d</w:t>
      </w:r>
      <w:r w:rsidR="00C43D5A" w:rsidRPr="009A6B7F">
        <w:rPr>
          <w:rStyle w:val="Guidance"/>
        </w:rPr>
        <w:t xml:space="preserve">epartment’s </w:t>
      </w:r>
      <w:r w:rsidRPr="009A6B7F">
        <w:rPr>
          <w:rStyle w:val="Guidance"/>
        </w:rPr>
        <w:t xml:space="preserve">report of operations must disclose the following disaggregated information on </w:t>
      </w:r>
      <w:r w:rsidR="00BC50F1">
        <w:rPr>
          <w:rStyle w:val="Guidance"/>
        </w:rPr>
        <w:t xml:space="preserve">SES </w:t>
      </w:r>
      <w:r w:rsidRPr="009A6B7F">
        <w:rPr>
          <w:rStyle w:val="Guidance"/>
        </w:rPr>
        <w:t xml:space="preserve">numbers as per the last pay period for the financial year: </w:t>
      </w:r>
      <w:r w:rsidRPr="0064131A">
        <w:rPr>
          <w:rStyle w:val="Reference"/>
        </w:rPr>
        <w:t>[FRD 15</w:t>
      </w:r>
      <w:r w:rsidR="00453770">
        <w:rPr>
          <w:rStyle w:val="Reference"/>
        </w:rPr>
        <w:t xml:space="preserve"> Revised</w:t>
      </w:r>
      <w:r w:rsidRPr="0064131A">
        <w:rPr>
          <w:rStyle w:val="Reference"/>
        </w:rPr>
        <w:t>]</w:t>
      </w:r>
    </w:p>
    <w:p w14:paraId="35209F38" w14:textId="6852A273" w:rsidR="009A6B7F" w:rsidRPr="007920C1" w:rsidRDefault="009A6B7F" w:rsidP="00310F12">
      <w:pPr>
        <w:pStyle w:val="ListBullet"/>
        <w:rPr>
          <w:rStyle w:val="Guidance"/>
        </w:rPr>
      </w:pPr>
      <w:r w:rsidRPr="007920C1">
        <w:rPr>
          <w:rStyle w:val="Guidance"/>
        </w:rPr>
        <w:t xml:space="preserve">disaggregated information on </w:t>
      </w:r>
      <w:r w:rsidR="00BC50F1" w:rsidRPr="007920C1">
        <w:rPr>
          <w:rStyle w:val="Guidance"/>
        </w:rPr>
        <w:t xml:space="preserve">SES </w:t>
      </w:r>
      <w:r w:rsidRPr="007920C1">
        <w:rPr>
          <w:rStyle w:val="Guidance"/>
        </w:rPr>
        <w:t>numbers including:</w:t>
      </w:r>
    </w:p>
    <w:p w14:paraId="3F88FF89" w14:textId="186E61DA" w:rsidR="009A6B7F" w:rsidRPr="00A83C45" w:rsidRDefault="009A6B7F" w:rsidP="00052D9B">
      <w:pPr>
        <w:pStyle w:val="ListBullet2"/>
        <w:rPr>
          <w:rStyle w:val="Guidance"/>
        </w:rPr>
      </w:pPr>
      <w:r w:rsidRPr="00A83C45">
        <w:rPr>
          <w:rStyle w:val="Guidance"/>
        </w:rPr>
        <w:t>executive classification</w:t>
      </w:r>
    </w:p>
    <w:p w14:paraId="05BFFC98" w14:textId="3C9E7016" w:rsidR="009A6B7F" w:rsidRPr="00A83C45" w:rsidRDefault="009A6B7F" w:rsidP="00052D9B">
      <w:pPr>
        <w:pStyle w:val="ListBullet2"/>
        <w:rPr>
          <w:rStyle w:val="Guidance"/>
        </w:rPr>
      </w:pPr>
      <w:r w:rsidRPr="00A83C45">
        <w:rPr>
          <w:rStyle w:val="Guidance"/>
        </w:rPr>
        <w:t>gender split across classifications</w:t>
      </w:r>
    </w:p>
    <w:p w14:paraId="314A142F" w14:textId="6B4E1962" w:rsidR="009A6B7F" w:rsidRPr="00A83C45" w:rsidRDefault="009A6B7F" w:rsidP="00052D9B">
      <w:pPr>
        <w:pStyle w:val="ListBullet2"/>
        <w:rPr>
          <w:rStyle w:val="Guidance"/>
        </w:rPr>
      </w:pPr>
      <w:r w:rsidRPr="00A83C45">
        <w:rPr>
          <w:rStyle w:val="Guidance"/>
        </w:rPr>
        <w:t>comparison to the previous reporting period</w:t>
      </w:r>
      <w:r w:rsidR="004B3004">
        <w:rPr>
          <w:rStyle w:val="Guidance"/>
        </w:rPr>
        <w:t>.</w:t>
      </w:r>
    </w:p>
    <w:p w14:paraId="01F51510" w14:textId="40B1F49B" w:rsidR="009A6B7F" w:rsidRPr="009A6B7F" w:rsidRDefault="009A6B7F" w:rsidP="00367D84">
      <w:pPr>
        <w:pStyle w:val="ListBullet"/>
        <w:numPr>
          <w:ilvl w:val="0"/>
          <w:numId w:val="25"/>
        </w:numPr>
        <w:ind w:left="360"/>
        <w:rPr>
          <w:rStyle w:val="Guidance"/>
        </w:rPr>
      </w:pPr>
      <w:r w:rsidRPr="009A6B7F">
        <w:rPr>
          <w:rStyle w:val="Guidance"/>
        </w:rPr>
        <w:t xml:space="preserve">a reconciliation of the </w:t>
      </w:r>
      <w:r w:rsidR="00BC50F1">
        <w:rPr>
          <w:rStyle w:val="Guidance"/>
        </w:rPr>
        <w:t>SES</w:t>
      </w:r>
      <w:r w:rsidR="00BC50F1" w:rsidRPr="009A6B7F">
        <w:rPr>
          <w:rStyle w:val="Guidance"/>
        </w:rPr>
        <w:t xml:space="preserve"> </w:t>
      </w:r>
      <w:r w:rsidRPr="009A6B7F">
        <w:rPr>
          <w:rStyle w:val="Guidance"/>
        </w:rPr>
        <w:t>numbers that appear in the report of operations to those disclosed in the notes in the financial statements for the current and previous reporting periods; and</w:t>
      </w:r>
    </w:p>
    <w:p w14:paraId="3235ACF4" w14:textId="0601BE4C" w:rsidR="009A6B7F" w:rsidRPr="009A6B7F" w:rsidRDefault="00BC50F1" w:rsidP="00367D84">
      <w:pPr>
        <w:pStyle w:val="ListBullet"/>
        <w:numPr>
          <w:ilvl w:val="0"/>
          <w:numId w:val="25"/>
        </w:numPr>
        <w:ind w:left="360"/>
        <w:rPr>
          <w:rStyle w:val="Guidance"/>
        </w:rPr>
      </w:pPr>
      <w:r>
        <w:rPr>
          <w:rStyle w:val="Guidance"/>
        </w:rPr>
        <w:t>SES</w:t>
      </w:r>
      <w:r w:rsidRPr="009A6B7F">
        <w:rPr>
          <w:rStyle w:val="Guidance"/>
        </w:rPr>
        <w:t xml:space="preserve"> </w:t>
      </w:r>
      <w:r w:rsidR="009A6B7F" w:rsidRPr="009A6B7F">
        <w:rPr>
          <w:rStyle w:val="Guidance"/>
        </w:rPr>
        <w:t>numbers for all its portfolio entities.</w:t>
      </w:r>
    </w:p>
    <w:p w14:paraId="5038D194" w14:textId="0BEE10E0" w:rsidR="009A6B7F" w:rsidRPr="009A6B7F" w:rsidRDefault="009A6B7F" w:rsidP="009A6B7F">
      <w:pPr>
        <w:rPr>
          <w:rStyle w:val="Guidance"/>
        </w:rPr>
      </w:pPr>
      <w:r w:rsidRPr="009A6B7F">
        <w:rPr>
          <w:rStyle w:val="Guidance"/>
        </w:rPr>
        <w:t xml:space="preserve">This FRD provides definitions for Accountable Officers, </w:t>
      </w:r>
      <w:r w:rsidR="00043520">
        <w:rPr>
          <w:rStyle w:val="Guidance"/>
        </w:rPr>
        <w:t>SES</w:t>
      </w:r>
      <w:r w:rsidRPr="009A6B7F">
        <w:rPr>
          <w:rStyle w:val="Guidance"/>
        </w:rPr>
        <w:t>, and portfolio entities.</w:t>
      </w:r>
    </w:p>
    <w:p w14:paraId="2ECCE971" w14:textId="77777777" w:rsidR="009A6B7F" w:rsidRPr="009A6B7F" w:rsidRDefault="009A6B7F" w:rsidP="009A6B7F">
      <w:pPr>
        <w:rPr>
          <w:rStyle w:val="Guidance"/>
        </w:rPr>
      </w:pPr>
      <w:r w:rsidRPr="009A6B7F">
        <w:rPr>
          <w:rStyle w:val="Guidance"/>
        </w:rPr>
        <w:t xml:space="preserve">The disclosure of gender may include three categories: women, men and self-described. The privacy and confidentiality of all employees must be strictly protected at all times. </w:t>
      </w:r>
    </w:p>
    <w:p w14:paraId="06246341" w14:textId="66950C86" w:rsidR="009A6B7F" w:rsidRPr="009A6B7F" w:rsidRDefault="009A6B7F" w:rsidP="009A6B7F">
      <w:pPr>
        <w:rPr>
          <w:rStyle w:val="Guidance"/>
        </w:rPr>
      </w:pPr>
      <w:r w:rsidRPr="009A6B7F">
        <w:rPr>
          <w:rStyle w:val="Guidance"/>
        </w:rPr>
        <w:t xml:space="preserve">In line with the </w:t>
      </w:r>
      <w:r w:rsidRPr="009A6B7F">
        <w:rPr>
          <w:rStyle w:val="Guidance"/>
          <w:i/>
          <w:iCs/>
        </w:rPr>
        <w:t>Policy and Standard Model for Collecting Staff Gender Information in the Victorian Public Sector</w:t>
      </w:r>
      <w:r w:rsidRPr="009A6B7F">
        <w:rPr>
          <w:rStyle w:val="Guidance"/>
        </w:rPr>
        <w:t xml:space="preserve"> (the Policy and Standard Model), the self-described option should include a free text space for employees to specify their gender in their own terms. When reporting on gender information collected through this mode, all free text responses should be reported under the ‘self</w:t>
      </w:r>
      <w:r w:rsidR="006D558B">
        <w:rPr>
          <w:rStyle w:val="Guidance"/>
        </w:rPr>
        <w:t>-</w:t>
      </w:r>
      <w:r w:rsidRPr="009A6B7F">
        <w:rPr>
          <w:rStyle w:val="Guidance"/>
        </w:rPr>
        <w:t xml:space="preserve">described’ category. </w:t>
      </w:r>
    </w:p>
    <w:p w14:paraId="3D0067DD" w14:textId="13ED73DC" w:rsidR="009A6B7F" w:rsidRPr="009A6B7F" w:rsidRDefault="00043520" w:rsidP="009A6B7F">
      <w:pPr>
        <w:rPr>
          <w:rStyle w:val="Guidance"/>
        </w:rPr>
      </w:pPr>
      <w:r>
        <w:rPr>
          <w:rStyle w:val="Guidance"/>
        </w:rPr>
        <w:t>D</w:t>
      </w:r>
      <w:r w:rsidR="009A6B7F" w:rsidRPr="009A6B7F">
        <w:rPr>
          <w:rStyle w:val="Guidance"/>
        </w:rPr>
        <w:t xml:space="preserve">isclosure of </w:t>
      </w:r>
      <w:r>
        <w:rPr>
          <w:rStyle w:val="Guidance"/>
        </w:rPr>
        <w:t>SES</w:t>
      </w:r>
      <w:r w:rsidRPr="009A6B7F">
        <w:rPr>
          <w:rStyle w:val="Guidance"/>
        </w:rPr>
        <w:t xml:space="preserve"> </w:t>
      </w:r>
      <w:r w:rsidR="009A6B7F" w:rsidRPr="009A6B7F">
        <w:rPr>
          <w:rStyle w:val="Guidance"/>
        </w:rPr>
        <w:t xml:space="preserve">data </w:t>
      </w:r>
      <w:r>
        <w:rPr>
          <w:rStyle w:val="Guidance"/>
        </w:rPr>
        <w:t xml:space="preserve">is to be </w:t>
      </w:r>
      <w:r w:rsidR="009A6B7F" w:rsidRPr="009A6B7F">
        <w:rPr>
          <w:rStyle w:val="Guidance"/>
        </w:rPr>
        <w:t>separated into the three gender categories, in line with the Policy and Standard Model.</w:t>
      </w:r>
    </w:p>
    <w:p w14:paraId="539D6C6A" w14:textId="4D34D25C" w:rsidR="009A6B7F" w:rsidRPr="009A6B7F" w:rsidRDefault="009A6B7F" w:rsidP="009A6B7F">
      <w:pPr>
        <w:rPr>
          <w:rStyle w:val="Guidance"/>
        </w:rPr>
      </w:pPr>
      <w:r w:rsidRPr="00C52688">
        <w:rPr>
          <w:rStyle w:val="Guidance"/>
        </w:rPr>
        <w:t xml:space="preserve">The Policy and Standard Model is available on the DTF website to provide further assistance with gender reporting. Further enquiries can be directed to the </w:t>
      </w:r>
      <w:r w:rsidR="00F85AA7" w:rsidRPr="00C52688">
        <w:rPr>
          <w:rStyle w:val="Guidance"/>
        </w:rPr>
        <w:t xml:space="preserve">Victorian Public Sector Commission </w:t>
      </w:r>
      <w:r w:rsidRPr="00C52688">
        <w:rPr>
          <w:rStyle w:val="Guidance"/>
        </w:rPr>
        <w:t>by emailing</w:t>
      </w:r>
      <w:r w:rsidR="00420BDB">
        <w:rPr>
          <w:rStyle w:val="Guidance"/>
        </w:rPr>
        <w:t xml:space="preserve"> </w:t>
      </w:r>
      <w:hyperlink r:id="rId59" w:history="1">
        <w:r w:rsidR="00420BDB" w:rsidRPr="00EE4B83">
          <w:rPr>
            <w:rStyle w:val="Hyperlink"/>
          </w:rPr>
          <w:t>workforce.data@vpsc.vic.gov.au</w:t>
        </w:r>
      </w:hyperlink>
      <w:r w:rsidRPr="00C52688">
        <w:rPr>
          <w:rStyle w:val="Guidance"/>
        </w:rPr>
        <w:t>.</w:t>
      </w:r>
      <w:r w:rsidRPr="009A6B7F">
        <w:rPr>
          <w:rStyle w:val="Guidance"/>
        </w:rPr>
        <w:t xml:space="preserve"> </w:t>
      </w:r>
    </w:p>
    <w:p w14:paraId="59550442" w14:textId="77777777" w:rsidR="009A6B7F" w:rsidRPr="009A6B7F" w:rsidRDefault="009A6B7F" w:rsidP="009A6B7F">
      <w:pPr>
        <w:pStyle w:val="GuidanceHeading"/>
        <w:rPr>
          <w:rStyle w:val="Guidance"/>
        </w:rPr>
      </w:pPr>
      <w:r w:rsidRPr="009A6B7F">
        <w:rPr>
          <w:rStyle w:val="Guidance"/>
        </w:rPr>
        <w:t>Guidance</w:t>
      </w:r>
    </w:p>
    <w:p w14:paraId="2D914B71" w14:textId="1FDB0660" w:rsidR="009A6B7F" w:rsidRPr="0064131A" w:rsidRDefault="009A6B7F" w:rsidP="009A6B7F">
      <w:pPr>
        <w:rPr>
          <w:rStyle w:val="Guidance"/>
        </w:rPr>
      </w:pPr>
      <w:r w:rsidRPr="009A6B7F">
        <w:rPr>
          <w:rStyle w:val="Guidance"/>
        </w:rPr>
        <w:t xml:space="preserve">Departments should follow the table format provided in the Model to show their executive numbers. </w:t>
      </w:r>
      <w:r w:rsidR="00043520">
        <w:rPr>
          <w:rStyle w:val="Guidance"/>
        </w:rPr>
        <w:t>SES</w:t>
      </w:r>
      <w:r w:rsidRPr="009A6B7F">
        <w:rPr>
          <w:rStyle w:val="Guidance"/>
        </w:rPr>
        <w:t xml:space="preserve"> numbers should </w:t>
      </w:r>
      <w:r w:rsidRPr="00F462FD">
        <w:rPr>
          <w:rStyle w:val="Guidance"/>
        </w:rPr>
        <w:t xml:space="preserve">be based on </w:t>
      </w:r>
      <w:r w:rsidR="00C605FF" w:rsidRPr="00CD06B1">
        <w:rPr>
          <w:rStyle w:val="Guidance"/>
        </w:rPr>
        <w:t xml:space="preserve">active public service employees of the </w:t>
      </w:r>
      <w:r w:rsidR="00D80A22">
        <w:rPr>
          <w:rStyle w:val="Guidance"/>
        </w:rPr>
        <w:t>d</w:t>
      </w:r>
      <w:r w:rsidR="00C605FF" w:rsidRPr="00CD06B1">
        <w:rPr>
          <w:rStyle w:val="Guidance"/>
        </w:rPr>
        <w:t xml:space="preserve">epartment employed in the last full pay period in June of the current reporting period and in the last full pay period in June of the previous reporting period. </w:t>
      </w:r>
    </w:p>
    <w:p w14:paraId="3A08045E" w14:textId="30904879" w:rsidR="009A6B7F" w:rsidRPr="009A6B7F" w:rsidRDefault="009A6B7F" w:rsidP="009A6B7F">
      <w:pPr>
        <w:rPr>
          <w:rStyle w:val="Guidance"/>
        </w:rPr>
      </w:pPr>
      <w:r w:rsidRPr="009A6B7F">
        <w:rPr>
          <w:rStyle w:val="Guidance"/>
        </w:rPr>
        <w:t xml:space="preserve">Departments are also required to provide a table reconciling </w:t>
      </w:r>
      <w:r w:rsidR="00043520">
        <w:rPr>
          <w:rStyle w:val="Guidance"/>
        </w:rPr>
        <w:t>SES</w:t>
      </w:r>
      <w:r w:rsidRPr="009A6B7F">
        <w:rPr>
          <w:rStyle w:val="Guidance"/>
        </w:rPr>
        <w:t xml:space="preserve"> numbers disclosed in the financial statements with those in the report of operations, showing Accountable Officers and separations. </w:t>
      </w:r>
    </w:p>
    <w:p w14:paraId="7E87165D" w14:textId="2D223A84" w:rsidR="00B47C43" w:rsidRPr="009A6B7F" w:rsidRDefault="009A6B7F" w:rsidP="009A6B7F">
      <w:pPr>
        <w:rPr>
          <w:rStyle w:val="Guidance"/>
        </w:rPr>
      </w:pPr>
      <w:r w:rsidRPr="009A6B7F">
        <w:rPr>
          <w:rStyle w:val="Guidance"/>
        </w:rPr>
        <w:t>The information required in the table showing executive numbers in portfolio agencies of the Department can be sourced from the Government Sector Executive Remuneration Database, maintained by the Victorian Public Sector Commission. The database lists all public authorities and provides relevant information required for the disclosure</w:t>
      </w:r>
      <w:r w:rsidRPr="00ED534D">
        <w:rPr>
          <w:rStyle w:val="Guidance"/>
        </w:rPr>
        <w:t>.</w:t>
      </w:r>
      <w:r w:rsidR="00863B41" w:rsidRPr="00ED534D">
        <w:rPr>
          <w:rStyle w:val="Guidance"/>
        </w:rPr>
        <w:t xml:space="preserve"> </w:t>
      </w:r>
      <w:r w:rsidR="00035ACE" w:rsidRPr="00ED534D">
        <w:rPr>
          <w:rStyle w:val="Guidance"/>
        </w:rPr>
        <w:t xml:space="preserve">Note that FRD 15 has been updated to include </w:t>
      </w:r>
      <w:r w:rsidR="00BD72F0" w:rsidRPr="00ED534D">
        <w:rPr>
          <w:rStyle w:val="Guidance"/>
        </w:rPr>
        <w:t>for a public health service, a person to whom the</w:t>
      </w:r>
      <w:r w:rsidR="00CB7E14" w:rsidRPr="00ED534D">
        <w:rPr>
          <w:rStyle w:val="Guidance"/>
        </w:rPr>
        <w:t xml:space="preserve"> </w:t>
      </w:r>
      <w:r w:rsidR="00576B5E" w:rsidRPr="00ED534D">
        <w:rPr>
          <w:rStyle w:val="Guidance"/>
        </w:rPr>
        <w:t>Victorian Government’s Health Entity</w:t>
      </w:r>
      <w:r w:rsidR="00BD72F0" w:rsidRPr="00ED534D">
        <w:rPr>
          <w:rStyle w:val="Guidance"/>
        </w:rPr>
        <w:t xml:space="preserve"> Executive Remuneration Policy applies. </w:t>
      </w:r>
      <w:r w:rsidR="00BD72F0" w:rsidRPr="00ED534D">
        <w:rPr>
          <w:rStyle w:val="Reference"/>
        </w:rPr>
        <w:t>[FRD</w:t>
      </w:r>
      <w:r w:rsidR="00BD72F0" w:rsidRPr="0064131A">
        <w:rPr>
          <w:rStyle w:val="Reference"/>
        </w:rPr>
        <w:t xml:space="preserve"> 15</w:t>
      </w:r>
      <w:r w:rsidR="00BD72F0">
        <w:rPr>
          <w:rStyle w:val="Reference"/>
        </w:rPr>
        <w:t xml:space="preserve"> </w:t>
      </w:r>
      <w:r w:rsidR="00A8460C">
        <w:rPr>
          <w:rStyle w:val="Reference"/>
        </w:rPr>
        <w:t>P</w:t>
      </w:r>
      <w:r w:rsidR="00BD72F0">
        <w:rPr>
          <w:rStyle w:val="Reference"/>
        </w:rPr>
        <w:t>ara</w:t>
      </w:r>
      <w:r w:rsidR="00A8460C">
        <w:rPr>
          <w:rStyle w:val="Reference"/>
        </w:rPr>
        <w:t>graph</w:t>
      </w:r>
      <w:r w:rsidR="00BD72F0">
        <w:rPr>
          <w:rStyle w:val="Reference"/>
        </w:rPr>
        <w:t xml:space="preserve"> 5.3</w:t>
      </w:r>
      <w:r w:rsidR="00BD72F0" w:rsidRPr="0064131A">
        <w:rPr>
          <w:rStyle w:val="Reference"/>
        </w:rPr>
        <w:t>]</w:t>
      </w:r>
    </w:p>
    <w:p w14:paraId="040B2CF3" w14:textId="77777777" w:rsidR="00DC39DE" w:rsidRDefault="00DC39DE" w:rsidP="009A6B7F">
      <w:pPr>
        <w:pStyle w:val="GuidanceEnd"/>
      </w:pPr>
    </w:p>
    <w:p w14:paraId="46F3200A" w14:textId="77777777" w:rsidR="00E1548D" w:rsidRPr="00E1548D" w:rsidRDefault="00E1548D" w:rsidP="00E1548D">
      <w:r w:rsidRPr="00E1548D">
        <w:br w:type="page"/>
      </w:r>
    </w:p>
    <w:p w14:paraId="3BC80A52" w14:textId="4DCC2374" w:rsidR="00DC39DE" w:rsidRPr="00CF1264" w:rsidRDefault="00CF1264" w:rsidP="00CF1264">
      <w:pPr>
        <w:pStyle w:val="Heading1"/>
      </w:pPr>
      <w:bookmarkStart w:id="133" w:name="_Toc65769757"/>
      <w:bookmarkStart w:id="134" w:name="_Toc199156285"/>
      <w:bookmarkStart w:id="135" w:name="_Toc199156553"/>
      <w:r w:rsidRPr="00CF1264">
        <w:lastRenderedPageBreak/>
        <w:t>Section 4: Other disclosures</w:t>
      </w:r>
      <w:bookmarkEnd w:id="133"/>
      <w:bookmarkEnd w:id="134"/>
      <w:bookmarkEnd w:id="135"/>
    </w:p>
    <w:p w14:paraId="0440C46D" w14:textId="32188BA6" w:rsidR="00DC39DE" w:rsidRDefault="00E1548D" w:rsidP="00E1548D">
      <w:pPr>
        <w:pStyle w:val="Heading2"/>
      </w:pPr>
      <w:bookmarkStart w:id="136" w:name="INDEX_VIPP"/>
      <w:bookmarkStart w:id="137" w:name="_Toc199156286"/>
      <w:bookmarkEnd w:id="136"/>
      <w:r>
        <w:t>L</w:t>
      </w:r>
      <w:r w:rsidRPr="00E1548D">
        <w:t>ocal Jobs First</w:t>
      </w:r>
      <w:r>
        <w:t xml:space="preserve"> </w:t>
      </w:r>
      <w:r w:rsidR="00691283" w:rsidRPr="00BF2540">
        <w:rPr>
          <w:color w:val="7030A0"/>
          <w:sz w:val="20"/>
          <w:szCs w:val="20"/>
        </w:rPr>
        <w:t>[</w:t>
      </w:r>
      <w:r w:rsidR="00691283" w:rsidRPr="0048138F">
        <w:rPr>
          <w:rStyle w:val="Reference-Revised"/>
          <w:sz w:val="20"/>
          <w:szCs w:val="20"/>
        </w:rPr>
        <w:t>REVISED</w:t>
      </w:r>
      <w:r w:rsidR="00691283" w:rsidRPr="004E3458">
        <w:rPr>
          <w:rStyle w:val="Reference-Revised"/>
          <w:sz w:val="20"/>
          <w:szCs w:val="32"/>
        </w:rPr>
        <w:t>]</w:t>
      </w:r>
      <w:r w:rsidR="00691283" w:rsidRPr="00E1548D">
        <w:rPr>
          <w:rStyle w:val="Reference"/>
        </w:rPr>
        <w:t xml:space="preserve"> </w:t>
      </w:r>
      <w:r w:rsidRPr="00E1548D">
        <w:rPr>
          <w:rStyle w:val="Reference"/>
        </w:rPr>
        <w:t>[FRD 25</w:t>
      </w:r>
      <w:r w:rsidR="00FA251E">
        <w:rPr>
          <w:rStyle w:val="Reference"/>
        </w:rPr>
        <w:t xml:space="preserve"> Revised</w:t>
      </w:r>
      <w:r w:rsidRPr="00E1548D">
        <w:rPr>
          <w:rStyle w:val="Reference"/>
        </w:rPr>
        <w:t>]</w:t>
      </w:r>
      <w:bookmarkEnd w:id="137"/>
      <w:r w:rsidR="00691283">
        <w:rPr>
          <w:rStyle w:val="Reference"/>
        </w:rPr>
        <w:t xml:space="preserve"> </w:t>
      </w:r>
    </w:p>
    <w:p w14:paraId="43BC2938" w14:textId="77777777" w:rsidR="00DC39DE" w:rsidRDefault="00DC39DE" w:rsidP="00DC39DE">
      <w:r>
        <w:t xml:space="preserve">The </w:t>
      </w:r>
      <w:r w:rsidRPr="00E1548D">
        <w:rPr>
          <w:i/>
          <w:iCs/>
        </w:rPr>
        <w:t>Local Jobs First Act 2003</w:t>
      </w:r>
      <w:r>
        <w:t xml:space="preserve"> introduced in August 2018 brings together the Victorian Industry Participation Policy (VIPP) and Major Project Skills Guarantee (MPSG) policy which were previously administered separately. </w:t>
      </w:r>
    </w:p>
    <w:p w14:paraId="248615D9" w14:textId="4C25AB82" w:rsidR="00DC39DE" w:rsidRDefault="00DC39DE" w:rsidP="00DC39DE">
      <w:r>
        <w:t>Departments and public sector bodies are required to apply the Local Jobs First policy in all projects valued at $3 million or more in Metropolitan Melbourne or for statewide projects, or $1 million or more for projects in regional Victoria.</w:t>
      </w:r>
    </w:p>
    <w:p w14:paraId="4700EAC4" w14:textId="77777777" w:rsidR="00DC39DE" w:rsidRDefault="00DC39DE" w:rsidP="00DC39DE">
      <w:r>
        <w:t>MPSG applies to all construction projects valued at $20 million or more.</w:t>
      </w:r>
    </w:p>
    <w:p w14:paraId="093B3F3E" w14:textId="19D3F875" w:rsidR="00DC39DE" w:rsidRDefault="00DC39DE" w:rsidP="00DC39DE">
      <w:r>
        <w:t>The MPSG guidelines and VIPP guidelines will continue to apply to MPSG-applicable and VIPP</w:t>
      </w:r>
      <w:r w:rsidR="00016A76">
        <w:t>-</w:t>
      </w:r>
      <w:r>
        <w:t>applicable projects respectively where contracts have been entered prior to 15 August 2018.</w:t>
      </w:r>
    </w:p>
    <w:p w14:paraId="40F5DF6D" w14:textId="50553AF5" w:rsidR="00DC39DE" w:rsidRDefault="00DC39DE" w:rsidP="00E1548D">
      <w:pPr>
        <w:pStyle w:val="Heading3"/>
      </w:pPr>
      <w:r>
        <w:t xml:space="preserve">Projects </w:t>
      </w:r>
      <w:r w:rsidR="00F36475">
        <w:t>c</w:t>
      </w:r>
      <w:r>
        <w:t>ommenced – Local Jobs First Standard</w:t>
      </w:r>
    </w:p>
    <w:p w14:paraId="33893164" w14:textId="0F0668DE" w:rsidR="00DC39DE" w:rsidRDefault="00DC39DE" w:rsidP="00DC39DE">
      <w:r>
        <w:t xml:space="preserve">During </w:t>
      </w:r>
      <w:fldSimple w:instr="DOCPROPERTY  FinYearCurrent  \* MERGEFORMAT">
        <w:r w:rsidR="000E6299">
          <w:t>20X1</w:t>
        </w:r>
        <w:r w:rsidR="000E6299" w:rsidRPr="000E6299">
          <w:rPr>
            <w:rFonts w:ascii="Cambria Math" w:hAnsi="Cambria Math" w:cs="Cambria Math"/>
          </w:rPr>
          <w:t>‑</w:t>
        </w:r>
        <w:r w:rsidR="000E6299">
          <w:t>X2</w:t>
        </w:r>
      </w:fldSimple>
      <w:r>
        <w:t xml:space="preserve">, the Department commenced three Local Jobs First Standard projects totalling $44.16 million. Of those projects, one was located in regional Victoria, with a commitment of 70 per cent of local content, and two in metropolitan Melbourne, with an average commitment of 80 per cent local content. No projects were commenced that occurred statewide. The </w:t>
      </w:r>
      <w:r w:rsidR="0088720C">
        <w:t xml:space="preserve">MPSG </w:t>
      </w:r>
      <w:r>
        <w:t>applied to two of these projects.</w:t>
      </w:r>
    </w:p>
    <w:p w14:paraId="3138862C" w14:textId="5F7F05D3" w:rsidR="00DC39DE" w:rsidRDefault="00DC39DE" w:rsidP="00DC39DE">
      <w:r>
        <w:t xml:space="preserve">The </w:t>
      </w:r>
      <w:r w:rsidR="004A1F08">
        <w:t>commi</w:t>
      </w:r>
      <w:r w:rsidR="00B863B7">
        <w:t xml:space="preserve">tments made as part of </w:t>
      </w:r>
      <w:r>
        <w:t xml:space="preserve">the Local Jobs First policy </w:t>
      </w:r>
      <w:r w:rsidR="00B863B7">
        <w:t xml:space="preserve">for </w:t>
      </w:r>
      <w:r>
        <w:t>these projects are as follows:</w:t>
      </w:r>
    </w:p>
    <w:p w14:paraId="60800C57" w14:textId="41F81C83" w:rsidR="00DC39DE" w:rsidRDefault="00DC39DE" w:rsidP="00367D84">
      <w:pPr>
        <w:pStyle w:val="ListBullet"/>
        <w:numPr>
          <w:ilvl w:val="0"/>
          <w:numId w:val="26"/>
        </w:numPr>
      </w:pPr>
      <w:r>
        <w:t xml:space="preserve">an average of </w:t>
      </w:r>
      <w:r w:rsidR="00CF0311">
        <w:t xml:space="preserve">76.6 </w:t>
      </w:r>
      <w:r>
        <w:t>per cent of local content commitment was made</w:t>
      </w:r>
    </w:p>
    <w:p w14:paraId="2B6654F3" w14:textId="666A978B" w:rsidR="00DC39DE" w:rsidRDefault="00DC39DE" w:rsidP="00367D84">
      <w:pPr>
        <w:pStyle w:val="ListBullet"/>
        <w:numPr>
          <w:ilvl w:val="0"/>
          <w:numId w:val="26"/>
        </w:numPr>
      </w:pPr>
      <w:r>
        <w:t>a total of 349 jobs (AEE) were committed, including the creation of nine new jobs and the retention of 340 existing jobs (AEE)</w:t>
      </w:r>
    </w:p>
    <w:p w14:paraId="7B8D47D2" w14:textId="693E56F9" w:rsidR="00E76042" w:rsidRDefault="00DC39DE" w:rsidP="00367D84">
      <w:pPr>
        <w:pStyle w:val="ListBullet"/>
        <w:numPr>
          <w:ilvl w:val="0"/>
          <w:numId w:val="26"/>
        </w:numPr>
      </w:pPr>
      <w:r>
        <w:t xml:space="preserve">MPSG applicable projects </w:t>
      </w:r>
      <w:r w:rsidR="002E5927">
        <w:t xml:space="preserve">committed to </w:t>
      </w:r>
      <w:r>
        <w:t xml:space="preserve">a total of 13 000 hours to </w:t>
      </w:r>
      <w:r w:rsidR="00AD0A8F">
        <w:t xml:space="preserve">be completed by </w:t>
      </w:r>
      <w:r>
        <w:t xml:space="preserve">apprentices, trainees and cadets and </w:t>
      </w:r>
      <w:r w:rsidR="00AD0A8F">
        <w:t xml:space="preserve">the </w:t>
      </w:r>
      <w:r>
        <w:t>engage</w:t>
      </w:r>
      <w:r w:rsidR="00AD0A8F">
        <w:t>ment of</w:t>
      </w:r>
      <w:r>
        <w:t xml:space="preserve"> 22</w:t>
      </w:r>
      <w:r w:rsidR="00E1548D">
        <w:t> </w:t>
      </w:r>
      <w:r>
        <w:t>apprentices, trainees and cadets</w:t>
      </w:r>
    </w:p>
    <w:p w14:paraId="66417305" w14:textId="7248877F" w:rsidR="00DC39DE" w:rsidRDefault="00851D60" w:rsidP="00367D84">
      <w:pPr>
        <w:pStyle w:val="ListBullet"/>
        <w:numPr>
          <w:ilvl w:val="0"/>
          <w:numId w:val="26"/>
        </w:numPr>
      </w:pPr>
      <w:r>
        <w:t>F</w:t>
      </w:r>
      <w:r w:rsidR="00E76042" w:rsidRPr="00E76042">
        <w:t>our small to medium enterprises prepared a Local Industry Development Plan (LIDP) for contracts, successfully appointed princip</w:t>
      </w:r>
      <w:r w:rsidR="0092032A">
        <w:t>al</w:t>
      </w:r>
      <w:r w:rsidR="00E76042" w:rsidRPr="00E76042">
        <w:t xml:space="preserve"> contractor. </w:t>
      </w:r>
      <w:r w:rsidR="00D27D83">
        <w:t>Sixty</w:t>
      </w:r>
      <w:r w:rsidR="00E76042" w:rsidRPr="00E76042">
        <w:t xml:space="preserve"> small to medium-sized businesses were engaged through the supply chain on commenced Standard Projects</w:t>
      </w:r>
      <w:r w:rsidR="00DC39DE">
        <w:t>.</w:t>
      </w:r>
    </w:p>
    <w:p w14:paraId="77E66BAB" w14:textId="77777777" w:rsidR="00DC39DE" w:rsidRDefault="00DC39DE" w:rsidP="00E1548D">
      <w:pPr>
        <w:pStyle w:val="Heading3"/>
      </w:pPr>
      <w:r>
        <w:t>Projects completed – Local Jobs First Standard</w:t>
      </w:r>
    </w:p>
    <w:p w14:paraId="5DBD6BB1" w14:textId="0686EAA1" w:rsidR="00DC39DE" w:rsidRDefault="00DC39DE" w:rsidP="00DC39DE">
      <w:r w:rsidRPr="00E1548D">
        <w:t xml:space="preserve">During </w:t>
      </w:r>
      <w:fldSimple w:instr="DOCPROPERTY  FinYearCurrent  \* MERGEFORMAT">
        <w:r w:rsidR="000E6299">
          <w:t>20X1</w:t>
        </w:r>
        <w:r w:rsidR="000E6299" w:rsidRPr="000E6299">
          <w:rPr>
            <w:rFonts w:ascii="Cambria Math" w:hAnsi="Cambria Math" w:cs="Cambria Math"/>
          </w:rPr>
          <w:t>‑</w:t>
        </w:r>
        <w:r w:rsidR="000E6299">
          <w:t>X2</w:t>
        </w:r>
      </w:fldSimple>
      <w:r w:rsidRPr="00E1548D">
        <w:t>, the</w:t>
      </w:r>
      <w:r>
        <w:t xml:space="preserve"> Department completed four Local Jobs First Standard projects, totalling $52.62 million. Of those projects, one was located in regional Victoria, with a commitment of </w:t>
      </w:r>
      <w:r w:rsidR="002E5927">
        <w:t>80</w:t>
      </w:r>
      <w:r>
        <w:t xml:space="preserve"> per cent local content, and two in metropolitan Melbourne, with an average commitment of </w:t>
      </w:r>
      <w:r w:rsidR="0094737B">
        <w:t>90</w:t>
      </w:r>
      <w:r>
        <w:t xml:space="preserve"> per cent local content. One </w:t>
      </w:r>
      <w:r w:rsidR="004B2DAB">
        <w:t xml:space="preserve">statewide </w:t>
      </w:r>
      <w:r>
        <w:t xml:space="preserve">project commenced, with a local content requirement of </w:t>
      </w:r>
      <w:r w:rsidR="0094737B">
        <w:t xml:space="preserve">80 </w:t>
      </w:r>
      <w:r>
        <w:t>per cent. The MSPG applied to three of these projects.</w:t>
      </w:r>
    </w:p>
    <w:p w14:paraId="46D946C8" w14:textId="65544AE0" w:rsidR="00DC39DE" w:rsidRDefault="00DC39DE" w:rsidP="00DC39DE">
      <w:r>
        <w:t xml:space="preserve">The </w:t>
      </w:r>
      <w:r w:rsidR="004B2DAB">
        <w:t xml:space="preserve">commitments made and </w:t>
      </w:r>
      <w:r>
        <w:t xml:space="preserve">outcomes </w:t>
      </w:r>
      <w:r w:rsidR="004B2DAB">
        <w:t xml:space="preserve">achieved </w:t>
      </w:r>
      <w:r w:rsidR="006149C6">
        <w:t xml:space="preserve">for Standard Projects </w:t>
      </w:r>
      <w:r w:rsidR="008C050D">
        <w:t>that completed in 20X1-X2 were as</w:t>
      </w:r>
      <w:r>
        <w:t xml:space="preserve"> follows: </w:t>
      </w:r>
    </w:p>
    <w:p w14:paraId="187D4C90" w14:textId="6305FABB" w:rsidR="00DC39DE" w:rsidRDefault="005C2A1D" w:rsidP="00367D84">
      <w:pPr>
        <w:pStyle w:val="ListBullet"/>
        <w:numPr>
          <w:ilvl w:val="0"/>
          <w:numId w:val="27"/>
        </w:numPr>
      </w:pPr>
      <w:r>
        <w:t>A</w:t>
      </w:r>
      <w:r w:rsidR="00DC39DE">
        <w:t xml:space="preserve">n average of </w:t>
      </w:r>
      <w:r w:rsidR="00BC373A">
        <w:t xml:space="preserve">85 </w:t>
      </w:r>
      <w:r w:rsidR="00DC39DE">
        <w:t>per cent of local content commitment was made</w:t>
      </w:r>
      <w:r w:rsidR="001B1A41">
        <w:t xml:space="preserve">, with an average of </w:t>
      </w:r>
      <w:r w:rsidR="00853062">
        <w:t>75</w:t>
      </w:r>
      <w:r w:rsidR="001B1A41">
        <w:t xml:space="preserve"> per cent achieved</w:t>
      </w:r>
      <w:r w:rsidR="00BF72CB">
        <w:t>.</w:t>
      </w:r>
    </w:p>
    <w:p w14:paraId="19EEE4FD" w14:textId="52F6D4B7" w:rsidR="00DC39DE" w:rsidRDefault="005C2A1D" w:rsidP="00367D84">
      <w:pPr>
        <w:pStyle w:val="ListBullet"/>
        <w:numPr>
          <w:ilvl w:val="0"/>
          <w:numId w:val="27"/>
        </w:numPr>
      </w:pPr>
      <w:r>
        <w:t>A</w:t>
      </w:r>
      <w:r w:rsidR="00DC39DE">
        <w:t xml:space="preserve"> </w:t>
      </w:r>
      <w:r w:rsidR="001B1A41">
        <w:t xml:space="preserve">commitment to support a </w:t>
      </w:r>
      <w:r w:rsidR="00DC39DE">
        <w:t xml:space="preserve">total of 400 jobs (annualised employee equivalent (AEE)) </w:t>
      </w:r>
      <w:r w:rsidR="001B1A41">
        <w:t>was made</w:t>
      </w:r>
      <w:r w:rsidR="00DC39DE">
        <w:t>, including the creation of nine new jobs and the retention of 340 existing jobs (AEE)</w:t>
      </w:r>
      <w:r w:rsidR="0047607E">
        <w:t xml:space="preserve">. A total of </w:t>
      </w:r>
      <w:r w:rsidR="0093776C">
        <w:t>250</w:t>
      </w:r>
      <w:r w:rsidR="0047607E">
        <w:t xml:space="preserve"> jobs were supported, including the creation of </w:t>
      </w:r>
      <w:r w:rsidR="0093776C">
        <w:t>180</w:t>
      </w:r>
      <w:r w:rsidR="0047607E">
        <w:t xml:space="preserve"> new jobs and the retention of </w:t>
      </w:r>
      <w:r w:rsidR="0093776C">
        <w:t>70</w:t>
      </w:r>
      <w:r w:rsidR="0047607E">
        <w:t xml:space="preserve"> existing jobs.</w:t>
      </w:r>
    </w:p>
    <w:p w14:paraId="624E432F" w14:textId="66BBD2D6" w:rsidR="00E76042" w:rsidRDefault="00DC39DE" w:rsidP="00367D84">
      <w:pPr>
        <w:pStyle w:val="ListBullet"/>
        <w:numPr>
          <w:ilvl w:val="0"/>
          <w:numId w:val="27"/>
        </w:numPr>
      </w:pPr>
      <w:r>
        <w:t xml:space="preserve">MPSG applicable projects </w:t>
      </w:r>
      <w:r w:rsidR="0047607E">
        <w:t xml:space="preserve">committed to </w:t>
      </w:r>
      <w:r>
        <w:t>provide a total of 20 000 hours to apprentices, trainees</w:t>
      </w:r>
      <w:r w:rsidR="00837951">
        <w:t xml:space="preserve"> and</w:t>
      </w:r>
      <w:r>
        <w:t xml:space="preserve"> cadets and engaged 32</w:t>
      </w:r>
      <w:r w:rsidR="000A329A">
        <w:t> </w:t>
      </w:r>
      <w:r>
        <w:t>apprentices, trainees and cadet</w:t>
      </w:r>
      <w:r w:rsidR="00851D60">
        <w:t>s</w:t>
      </w:r>
      <w:r w:rsidR="00F73721">
        <w:t xml:space="preserve">. MPSG applicable projects provided </w:t>
      </w:r>
      <w:r w:rsidR="0093776C">
        <w:t>12</w:t>
      </w:r>
      <w:r w:rsidR="00F73721">
        <w:t xml:space="preserve"> </w:t>
      </w:r>
      <w:r w:rsidR="0093776C">
        <w:t>000</w:t>
      </w:r>
      <w:r w:rsidR="00F73721">
        <w:t xml:space="preserve"> hours to apprentices, trainees and cadets, and engaged </w:t>
      </w:r>
      <w:r w:rsidR="0093776C">
        <w:t>300</w:t>
      </w:r>
      <w:r w:rsidR="00F73721">
        <w:t xml:space="preserve"> apprentices, trainees and cadets.</w:t>
      </w:r>
    </w:p>
    <w:p w14:paraId="275BD330" w14:textId="7BE6C092" w:rsidR="000E11EB" w:rsidRDefault="00851D60" w:rsidP="000E11EB">
      <w:pPr>
        <w:pStyle w:val="ListBullet"/>
      </w:pPr>
      <w:r>
        <w:t>Three</w:t>
      </w:r>
      <w:r w:rsidR="00E76042" w:rsidRPr="00E76042">
        <w:t xml:space="preserve"> small to medium enterprises prepared a Local Industry Development Plan (LIDP) for contracts, successfully appointed princip</w:t>
      </w:r>
      <w:r w:rsidR="0092032A">
        <w:t>al</w:t>
      </w:r>
      <w:r w:rsidR="00E76042" w:rsidRPr="00E76042">
        <w:t xml:space="preserve"> contractor. </w:t>
      </w:r>
      <w:r w:rsidR="0092032A">
        <w:t>Fifty-five</w:t>
      </w:r>
      <w:r w:rsidR="00E76042" w:rsidRPr="00E76042">
        <w:t xml:space="preserve"> small to medium-sized businesses were engaged through the supply chain on completed Standard Projects</w:t>
      </w:r>
      <w:r w:rsidR="00DC39DE">
        <w:t>.</w:t>
      </w:r>
    </w:p>
    <w:p w14:paraId="2CD478FA" w14:textId="545B91CE" w:rsidR="000E11EB" w:rsidRDefault="000E11EB" w:rsidP="000E11EB">
      <w:pPr>
        <w:pStyle w:val="ListBullet"/>
      </w:pPr>
      <w:r>
        <w:t xml:space="preserve">Standard </w:t>
      </w:r>
      <w:r w:rsidR="00336351" w:rsidRPr="00D52CE6">
        <w:t xml:space="preserve">Projects that completed in this financial year were due to </w:t>
      </w:r>
      <w:r w:rsidR="00336351">
        <w:t>submit</w:t>
      </w:r>
      <w:r w:rsidR="00336351" w:rsidRPr="00D52CE6">
        <w:t xml:space="preserve"> </w:t>
      </w:r>
      <w:r w:rsidR="00336351">
        <w:t>30</w:t>
      </w:r>
      <w:r w:rsidR="00336351" w:rsidRPr="00D52CE6">
        <w:t xml:space="preserve"> post contract reviews, with </w:t>
      </w:r>
      <w:r w:rsidR="00336351">
        <w:t>25</w:t>
      </w:r>
      <w:r w:rsidR="00336351" w:rsidRPr="00D52CE6">
        <w:t xml:space="preserve"> </w:t>
      </w:r>
      <w:r w:rsidR="00336351">
        <w:t>submitted.</w:t>
      </w:r>
    </w:p>
    <w:p w14:paraId="60C3C768" w14:textId="46DFA5AB" w:rsidR="00DC39DE" w:rsidRPr="000E11EB" w:rsidRDefault="00E1548D" w:rsidP="000E11EB">
      <w:pPr>
        <w:pStyle w:val="Heading3"/>
      </w:pPr>
      <w:r w:rsidRPr="000E11EB">
        <w:rPr>
          <w:rFonts w:cstheme="minorHAnsi"/>
          <w:bCs/>
        </w:rPr>
        <w:br w:type="page"/>
      </w:r>
      <w:r w:rsidR="00DC39DE" w:rsidRPr="000E11EB">
        <w:lastRenderedPageBreak/>
        <w:t>Projects commenced – Local Jobs First Strategic</w:t>
      </w:r>
    </w:p>
    <w:p w14:paraId="51C5B9A5" w14:textId="111B19B4" w:rsidR="00DC39DE" w:rsidRDefault="00DC39DE" w:rsidP="00DC39DE">
      <w:r w:rsidRPr="00E1548D">
        <w:t xml:space="preserve">During </w:t>
      </w:r>
      <w:fldSimple w:instr="DOCPROPERTY  FinYearCurrent  \* MERGEFORMAT">
        <w:r w:rsidR="000E6299">
          <w:t>20X1</w:t>
        </w:r>
        <w:r w:rsidR="000E6299" w:rsidRPr="000E6299">
          <w:rPr>
            <w:rFonts w:ascii="Cambria Math" w:hAnsi="Cambria Math" w:cs="Cambria Math"/>
          </w:rPr>
          <w:t>‑</w:t>
        </w:r>
        <w:r w:rsidR="000E6299">
          <w:t>X2</w:t>
        </w:r>
      </w:fldSimple>
      <w:r w:rsidRPr="00E1548D">
        <w:t>, the Department commenced one Local Jobs First Strategic Project, valued at $250 million. The project</w:t>
      </w:r>
      <w:r>
        <w:t xml:space="preserve"> was based in metropolitan Melbourne representing 90 per cent of estimated local content. The MPSG applied to this project.</w:t>
      </w:r>
    </w:p>
    <w:p w14:paraId="296FD91E" w14:textId="10C70C04" w:rsidR="00DC39DE" w:rsidRDefault="00DC39DE" w:rsidP="00C02C51">
      <w:r>
        <w:t xml:space="preserve">The </w:t>
      </w:r>
      <w:r w:rsidR="00CE19E3">
        <w:t>comm</w:t>
      </w:r>
      <w:r w:rsidR="00105335">
        <w:t>itments made</w:t>
      </w:r>
      <w:r w:rsidR="00CE19E3" w:rsidRPr="00B44930">
        <w:t xml:space="preserve"> </w:t>
      </w:r>
      <w:r w:rsidR="00B558C5">
        <w:t xml:space="preserve">as part of the </w:t>
      </w:r>
      <w:r w:rsidR="007975C8">
        <w:t>Local Jobs First policy</w:t>
      </w:r>
      <w:r w:rsidR="00F20CDE" w:rsidRPr="00F20CDE">
        <w:t xml:space="preserve"> </w:t>
      </w:r>
      <w:r w:rsidR="00F20CDE">
        <w:t xml:space="preserve">for these projects </w:t>
      </w:r>
      <w:r w:rsidR="007975C8">
        <w:t>are</w:t>
      </w:r>
      <w:r>
        <w:t xml:space="preserve"> as follows:</w:t>
      </w:r>
    </w:p>
    <w:p w14:paraId="42E91623" w14:textId="35B6E0DD" w:rsidR="00DC39DE" w:rsidRDefault="00570899" w:rsidP="00367D84">
      <w:pPr>
        <w:pStyle w:val="ListBullet"/>
        <w:numPr>
          <w:ilvl w:val="0"/>
          <w:numId w:val="28"/>
        </w:numPr>
      </w:pPr>
      <w:r>
        <w:t>A</w:t>
      </w:r>
      <w:r w:rsidR="00DC39DE">
        <w:t xml:space="preserve">n average of 90 per cent of local content </w:t>
      </w:r>
      <w:r w:rsidR="002E5E63">
        <w:t xml:space="preserve">commitment </w:t>
      </w:r>
      <w:r w:rsidR="00DC39DE">
        <w:t>was recorded</w:t>
      </w:r>
    </w:p>
    <w:p w14:paraId="03030613" w14:textId="2F5C8712" w:rsidR="00DC39DE" w:rsidRDefault="00570899" w:rsidP="00367D84">
      <w:pPr>
        <w:pStyle w:val="ListBullet"/>
        <w:numPr>
          <w:ilvl w:val="0"/>
          <w:numId w:val="28"/>
        </w:numPr>
      </w:pPr>
      <w:r>
        <w:t>A</w:t>
      </w:r>
      <w:r w:rsidR="00DC39DE">
        <w:t xml:space="preserve"> total of 77 (AEE) positions were</w:t>
      </w:r>
      <w:r w:rsidR="0088720C">
        <w:t xml:space="preserve"> </w:t>
      </w:r>
      <w:r w:rsidR="0088720C" w:rsidRPr="0088720C">
        <w:t xml:space="preserve">committed, including the creation of </w:t>
      </w:r>
      <w:r w:rsidR="005E1A71">
        <w:t>2</w:t>
      </w:r>
      <w:r w:rsidR="0088720C" w:rsidRPr="0088720C">
        <w:t>0 new jobs and the retention of 57 existing jobs (AEE)</w:t>
      </w:r>
    </w:p>
    <w:p w14:paraId="5BE21D63" w14:textId="2E171AAF" w:rsidR="005E1A71" w:rsidRDefault="00DC39DE" w:rsidP="00367D84">
      <w:pPr>
        <w:pStyle w:val="ListBullet"/>
        <w:numPr>
          <w:ilvl w:val="0"/>
          <w:numId w:val="28"/>
        </w:numPr>
      </w:pPr>
      <w:r>
        <w:t xml:space="preserve">MPSG </w:t>
      </w:r>
      <w:r w:rsidR="00F45310">
        <w:t xml:space="preserve">applicable </w:t>
      </w:r>
      <w:r>
        <w:t xml:space="preserve">projects </w:t>
      </w:r>
      <w:r w:rsidR="00F952D8">
        <w:t xml:space="preserve">committed to </w:t>
      </w:r>
      <w:r>
        <w:t xml:space="preserve">a total of 6 000 hours to apprentices, trainees and cadets and engaged </w:t>
      </w:r>
      <w:r w:rsidR="00F952D8">
        <w:t>10</w:t>
      </w:r>
      <w:r w:rsidR="00DF5BA5">
        <w:t> </w:t>
      </w:r>
      <w:r>
        <w:t>apprentices, trainees and cadet</w:t>
      </w:r>
      <w:r w:rsidR="00281762">
        <w:t>s</w:t>
      </w:r>
    </w:p>
    <w:p w14:paraId="3850C6C5" w14:textId="2DD3CE6B" w:rsidR="00DC39DE" w:rsidRDefault="00281762" w:rsidP="00367D84">
      <w:pPr>
        <w:pStyle w:val="ListBullet"/>
        <w:numPr>
          <w:ilvl w:val="0"/>
          <w:numId w:val="28"/>
        </w:numPr>
      </w:pPr>
      <w:r>
        <w:t>One</w:t>
      </w:r>
      <w:r w:rsidR="005E1A71" w:rsidRPr="005E1A71">
        <w:t xml:space="preserve"> small to medium enterprise prepared a Local Industry Development Plan (LIDP) for a contract, successfully appointed princip</w:t>
      </w:r>
      <w:r>
        <w:t>al</w:t>
      </w:r>
      <w:r w:rsidR="005E1A71" w:rsidRPr="005E1A71">
        <w:t xml:space="preserve"> contractor. </w:t>
      </w:r>
      <w:r>
        <w:t>Forty</w:t>
      </w:r>
      <w:r w:rsidR="005E1A71" w:rsidRPr="005E1A71">
        <w:t xml:space="preserve"> small to medium-sized businesses were engaged through the supply chain on commenced Strategic Projects</w:t>
      </w:r>
      <w:r w:rsidR="00DC39DE">
        <w:t xml:space="preserve">. </w:t>
      </w:r>
    </w:p>
    <w:p w14:paraId="0DE63DC0" w14:textId="77777777" w:rsidR="00DC39DE" w:rsidRDefault="00DC39DE" w:rsidP="000A329A">
      <w:pPr>
        <w:pStyle w:val="Heading3"/>
      </w:pPr>
      <w:r>
        <w:t>Projects completed – Local Jobs First Strategic</w:t>
      </w:r>
    </w:p>
    <w:p w14:paraId="54DB9B7B" w14:textId="14FAF6E8" w:rsidR="00DC39DE" w:rsidRDefault="00DC39DE" w:rsidP="00DC39DE">
      <w:r w:rsidRPr="000A329A">
        <w:t xml:space="preserve">During </w:t>
      </w:r>
      <w:fldSimple w:instr="DOCPROPERTY  FinYearCurrent  \* MERGEFORMAT">
        <w:r w:rsidR="002831D1">
          <w:t>20X1</w:t>
        </w:r>
        <w:r w:rsidR="002831D1" w:rsidRPr="002831D1">
          <w:rPr>
            <w:rFonts w:ascii="Cambria Math" w:hAnsi="Cambria Math" w:cs="Cambria Math"/>
          </w:rPr>
          <w:t>‑</w:t>
        </w:r>
        <w:r w:rsidR="002831D1">
          <w:t>X2</w:t>
        </w:r>
      </w:fldSimple>
      <w:r w:rsidRPr="000A329A">
        <w:t>, the Department completed three Local Jobs First Strategic Projects, valued at $300 million. One project</w:t>
      </w:r>
      <w:r>
        <w:t xml:space="preserve"> was based in metropolitan Melbourne representing 90 per cent of estimated local content. Two were based in regional Victoria with an average estimated local content of 88 per cent. The MSPG applied to these three projects.</w:t>
      </w:r>
    </w:p>
    <w:p w14:paraId="07E8A863" w14:textId="047F4E61" w:rsidR="00DC39DE" w:rsidRDefault="00DC39DE" w:rsidP="00796B53">
      <w:r>
        <w:t xml:space="preserve">The </w:t>
      </w:r>
      <w:r w:rsidR="00F34256">
        <w:t xml:space="preserve">commitments made and outcomes </w:t>
      </w:r>
      <w:r>
        <w:t xml:space="preserve">reported </w:t>
      </w:r>
      <w:r w:rsidR="004B2216">
        <w:t>f</w:t>
      </w:r>
      <w:r w:rsidR="007975C8">
        <w:t>or Strategic Projects</w:t>
      </w:r>
      <w:r w:rsidR="004B2216">
        <w:t xml:space="preserve"> </w:t>
      </w:r>
      <w:r w:rsidR="00FD762F">
        <w:t>that</w:t>
      </w:r>
      <w:r w:rsidR="00816CA6">
        <w:t xml:space="preserve"> completed in 20X1-X2</w:t>
      </w:r>
      <w:r w:rsidR="00A4191C">
        <w:t xml:space="preserve"> were</w:t>
      </w:r>
      <w:r>
        <w:t xml:space="preserve"> as follows:</w:t>
      </w:r>
    </w:p>
    <w:p w14:paraId="03908442" w14:textId="267B5D67" w:rsidR="00DC39DE" w:rsidRDefault="00570899" w:rsidP="00367D84">
      <w:pPr>
        <w:pStyle w:val="ListBullet"/>
        <w:numPr>
          <w:ilvl w:val="0"/>
          <w:numId w:val="29"/>
        </w:numPr>
      </w:pPr>
      <w:r>
        <w:t>A</w:t>
      </w:r>
      <w:r w:rsidR="00DC39DE">
        <w:t xml:space="preserve">n average of </w:t>
      </w:r>
      <w:r w:rsidR="00F45310">
        <w:t xml:space="preserve">88.6 </w:t>
      </w:r>
      <w:r w:rsidR="00DC39DE">
        <w:t xml:space="preserve">per cent of local content </w:t>
      </w:r>
      <w:r w:rsidR="00F34256">
        <w:t xml:space="preserve">commitment was made, with an average local content of </w:t>
      </w:r>
      <w:r w:rsidR="00BB1B2F">
        <w:t>76</w:t>
      </w:r>
      <w:r w:rsidR="00F34256">
        <w:t xml:space="preserve"> per cent achieved</w:t>
      </w:r>
      <w:r w:rsidR="00BF72CB">
        <w:t>.</w:t>
      </w:r>
    </w:p>
    <w:p w14:paraId="5A2E847C" w14:textId="584E1EEB" w:rsidR="00DC39DE" w:rsidRDefault="00570899" w:rsidP="00367D84">
      <w:pPr>
        <w:pStyle w:val="ListBullet"/>
        <w:numPr>
          <w:ilvl w:val="0"/>
          <w:numId w:val="29"/>
        </w:numPr>
      </w:pPr>
      <w:r>
        <w:t>A</w:t>
      </w:r>
      <w:r w:rsidR="00DC39DE">
        <w:t xml:space="preserve"> </w:t>
      </w:r>
      <w:r w:rsidR="0040626B">
        <w:t xml:space="preserve">commitment to support a </w:t>
      </w:r>
      <w:r w:rsidR="00DC39DE">
        <w:t xml:space="preserve">total of 123 (AEE) positions </w:t>
      </w:r>
      <w:r w:rsidR="0040626B">
        <w:t>was made,</w:t>
      </w:r>
      <w:r w:rsidR="0088720C" w:rsidRPr="0088720C">
        <w:t xml:space="preserve"> including the creation of 60 new jobs and the retention of 63 existing jobs (AEE)</w:t>
      </w:r>
      <w:r w:rsidR="0040626B">
        <w:t xml:space="preserve">. A total of </w:t>
      </w:r>
      <w:r w:rsidR="00BB1B2F">
        <w:t>1 000</w:t>
      </w:r>
      <w:r w:rsidR="0040626B">
        <w:t xml:space="preserve"> jobs were supported, including the creation of </w:t>
      </w:r>
      <w:r w:rsidR="00BB1B2F">
        <w:t>500</w:t>
      </w:r>
      <w:r w:rsidR="0040626B">
        <w:t xml:space="preserve"> new jobs and the retention of </w:t>
      </w:r>
      <w:r w:rsidR="00BB1B2F">
        <w:t>500</w:t>
      </w:r>
      <w:r w:rsidR="0040626B">
        <w:t xml:space="preserve"> existing jobs.</w:t>
      </w:r>
    </w:p>
    <w:p w14:paraId="311BF883" w14:textId="4F5996E7" w:rsidR="005E1A71" w:rsidRDefault="00DC39DE" w:rsidP="00367D84">
      <w:pPr>
        <w:pStyle w:val="ListBullet"/>
        <w:numPr>
          <w:ilvl w:val="0"/>
          <w:numId w:val="29"/>
        </w:numPr>
      </w:pPr>
      <w:r>
        <w:t xml:space="preserve">MPSG </w:t>
      </w:r>
      <w:r w:rsidR="00E76C4B">
        <w:t xml:space="preserve">applicable </w:t>
      </w:r>
      <w:r>
        <w:t xml:space="preserve">projects </w:t>
      </w:r>
      <w:r w:rsidR="0040626B">
        <w:t xml:space="preserve">committed to </w:t>
      </w:r>
      <w:r>
        <w:t>provide a total of 40 000 hours to apprentices, trainee</w:t>
      </w:r>
      <w:r w:rsidR="00BF72CB">
        <w:t>s</w:t>
      </w:r>
      <w:r w:rsidR="00837951">
        <w:t xml:space="preserve"> and</w:t>
      </w:r>
      <w:r w:rsidR="00BF72CB">
        <w:t xml:space="preserve"> </w:t>
      </w:r>
      <w:r>
        <w:t>cadets and engaged 46</w:t>
      </w:r>
      <w:r w:rsidR="00DF5BA5">
        <w:t> </w:t>
      </w:r>
      <w:r>
        <w:t>apprentices, trainees and cadets</w:t>
      </w:r>
      <w:r w:rsidR="00F43420">
        <w:t xml:space="preserve">. MPSG applicable projects provided </w:t>
      </w:r>
      <w:r w:rsidR="00BB1B2F">
        <w:t>20</w:t>
      </w:r>
      <w:r w:rsidR="00F43420">
        <w:t xml:space="preserve"> </w:t>
      </w:r>
      <w:r w:rsidR="00BB1B2F">
        <w:t>000</w:t>
      </w:r>
      <w:r w:rsidR="00F43420">
        <w:t xml:space="preserve"> hours to apprentices, trainees and cadets, and engaged </w:t>
      </w:r>
      <w:r w:rsidR="00BB1B2F">
        <w:t>150</w:t>
      </w:r>
      <w:r w:rsidR="00FC1C57">
        <w:t xml:space="preserve"> apprentices, trainees and cadets.</w:t>
      </w:r>
    </w:p>
    <w:p w14:paraId="414C371F" w14:textId="10EBC645" w:rsidR="00DC39DE" w:rsidRDefault="00277F54" w:rsidP="00367D84">
      <w:pPr>
        <w:pStyle w:val="ListBullet"/>
        <w:numPr>
          <w:ilvl w:val="0"/>
          <w:numId w:val="29"/>
        </w:numPr>
      </w:pPr>
      <w:r>
        <w:t>Two</w:t>
      </w:r>
      <w:r w:rsidR="005E1A71" w:rsidRPr="005E1A71">
        <w:t xml:space="preserve"> small to medium enterprises prepared a Local Industry Development Plan (LIDP) for contracts, successfully appointed princip</w:t>
      </w:r>
      <w:r>
        <w:t>al</w:t>
      </w:r>
      <w:r w:rsidR="005E1A71" w:rsidRPr="005E1A71">
        <w:t xml:space="preserve"> contractor. </w:t>
      </w:r>
      <w:r>
        <w:t>Forty-five</w:t>
      </w:r>
      <w:r w:rsidR="005E1A71" w:rsidRPr="005E1A71">
        <w:t xml:space="preserve"> small to medium-sized businesses were engaged through the supply chain on completed Strategic Projects</w:t>
      </w:r>
      <w:r w:rsidR="00DC39DE">
        <w:t>.</w:t>
      </w:r>
    </w:p>
    <w:p w14:paraId="0C94D945" w14:textId="7BB21D44" w:rsidR="00CF4157" w:rsidRDefault="00CF4157" w:rsidP="00367D84">
      <w:pPr>
        <w:pStyle w:val="ListBullet"/>
        <w:numPr>
          <w:ilvl w:val="0"/>
          <w:numId w:val="29"/>
        </w:numPr>
      </w:pPr>
      <w:r>
        <w:t xml:space="preserve">Strategic Projects that completed in this financial year were due to submit </w:t>
      </w:r>
      <w:r w:rsidR="00E63DD3">
        <w:t>50</w:t>
      </w:r>
      <w:r>
        <w:t xml:space="preserve"> post contract reviews, with </w:t>
      </w:r>
      <w:r w:rsidR="00E63DD3">
        <w:t>30</w:t>
      </w:r>
      <w:r>
        <w:t xml:space="preserve"> being submitted.</w:t>
      </w:r>
    </w:p>
    <w:p w14:paraId="26189813" w14:textId="77777777" w:rsidR="00DC39DE" w:rsidRDefault="00DC39DE" w:rsidP="000A329A">
      <w:pPr>
        <w:pStyle w:val="Heading3"/>
      </w:pPr>
      <w:r>
        <w:t>Reporting requirements – grants</w:t>
      </w:r>
    </w:p>
    <w:p w14:paraId="188EDD42" w14:textId="0F25D80B" w:rsidR="00DC39DE" w:rsidRDefault="00DC39DE" w:rsidP="00DC39DE">
      <w:r>
        <w:t xml:space="preserve">For grants provided during </w:t>
      </w:r>
      <w:fldSimple w:instr="DOCPROPERTY  FinYearCurrent  \* MERGEFORMAT">
        <w:r w:rsidR="000E6299">
          <w:t>20X1</w:t>
        </w:r>
        <w:r w:rsidR="000E6299" w:rsidRPr="000E6299">
          <w:rPr>
            <w:rFonts w:ascii="Cambria Math" w:hAnsi="Cambria Math" w:cs="Cambria Math"/>
          </w:rPr>
          <w:t>‑</w:t>
        </w:r>
        <w:r w:rsidR="000E6299">
          <w:t>X2</w:t>
        </w:r>
      </w:fldSimple>
      <w:r>
        <w:t>, a total of three interaction reference numbers were required, which entailed a conversation with the Industry Capability Network (Victoria) Ltd.</w:t>
      </w:r>
    </w:p>
    <w:p w14:paraId="25BF15F8" w14:textId="77777777" w:rsidR="00283887" w:rsidRDefault="00283887">
      <w:pPr>
        <w:keepLines w:val="0"/>
        <w:rPr>
          <w:rFonts w:asciiTheme="majorHAnsi" w:eastAsiaTheme="majorEastAsia" w:hAnsiTheme="majorHAnsi" w:cstheme="majorBidi"/>
          <w:b/>
          <w:bCs/>
          <w:iCs/>
          <w:color w:val="FFFFFF" w:themeColor="background1"/>
          <w:sz w:val="20"/>
          <w:szCs w:val="24"/>
        </w:rPr>
      </w:pPr>
      <w:r>
        <w:br w:type="page"/>
      </w:r>
    </w:p>
    <w:p w14:paraId="111E91BE" w14:textId="61082E98" w:rsidR="00283887" w:rsidRDefault="00283887" w:rsidP="00283887">
      <w:pPr>
        <w:pStyle w:val="GuidanceBlockHeading"/>
      </w:pPr>
      <w:r>
        <w:lastRenderedPageBreak/>
        <w:t xml:space="preserve">Guidance – Implementation of the Local Jobs First </w:t>
      </w:r>
      <w:r w:rsidR="00FA251E" w:rsidRPr="006D2835">
        <w:rPr>
          <w:color w:val="FFF8FF"/>
          <w:szCs w:val="20"/>
        </w:rPr>
        <w:t>[</w:t>
      </w:r>
      <w:r w:rsidR="00FA251E" w:rsidRPr="006D2835">
        <w:rPr>
          <w:rStyle w:val="Reference-Revised"/>
          <w:color w:val="FFF8FF"/>
          <w:sz w:val="20"/>
          <w:szCs w:val="20"/>
        </w:rPr>
        <w:t>REVISED</w:t>
      </w:r>
      <w:r w:rsidR="00FA251E" w:rsidRPr="006D2835">
        <w:rPr>
          <w:rStyle w:val="Reference-Revised"/>
          <w:color w:val="FFF8FF"/>
          <w:sz w:val="20"/>
          <w:szCs w:val="32"/>
        </w:rPr>
        <w:t>]</w:t>
      </w:r>
    </w:p>
    <w:p w14:paraId="5CC9E6B9" w14:textId="5B9FDF64" w:rsidR="00283887" w:rsidRDefault="00283887" w:rsidP="00283887">
      <w:pPr>
        <w:pStyle w:val="GuidanceHeading"/>
      </w:pPr>
      <w:r>
        <w:t xml:space="preserve">Reporting on all </w:t>
      </w:r>
      <w:r w:rsidR="0008758F">
        <w:t xml:space="preserve">projects </w:t>
      </w:r>
      <w:r>
        <w:t xml:space="preserve">except those related to grants provided </w:t>
      </w:r>
      <w:r w:rsidRPr="00283887">
        <w:rPr>
          <w:rStyle w:val="Reference"/>
        </w:rPr>
        <w:t>[FRD 25</w:t>
      </w:r>
      <w:r w:rsidR="00FA251E">
        <w:rPr>
          <w:rStyle w:val="Reference"/>
        </w:rPr>
        <w:t xml:space="preserve"> Revised</w:t>
      </w:r>
      <w:r w:rsidRPr="00283887">
        <w:rPr>
          <w:rStyle w:val="Reference"/>
        </w:rPr>
        <w:t>]</w:t>
      </w:r>
    </w:p>
    <w:p w14:paraId="48A52E58" w14:textId="243109BC" w:rsidR="00283887" w:rsidRPr="00283887" w:rsidRDefault="00283887" w:rsidP="00283887">
      <w:pPr>
        <w:rPr>
          <w:rStyle w:val="Guidance"/>
        </w:rPr>
      </w:pPr>
      <w:r w:rsidRPr="00283887">
        <w:rPr>
          <w:rStyle w:val="Guidance"/>
        </w:rPr>
        <w:t xml:space="preserve">The report of operations should contain the following information if applicable for </w:t>
      </w:r>
      <w:r w:rsidR="0008758F">
        <w:rPr>
          <w:rStyle w:val="Guidance"/>
        </w:rPr>
        <w:t>projects</w:t>
      </w:r>
      <w:r w:rsidR="0008758F" w:rsidRPr="00283887">
        <w:rPr>
          <w:rStyle w:val="Guidance"/>
        </w:rPr>
        <w:t xml:space="preserve"> </w:t>
      </w:r>
      <w:r w:rsidRPr="00283887">
        <w:rPr>
          <w:rStyle w:val="Guidance"/>
          <w:b/>
          <w:bCs/>
        </w:rPr>
        <w:t>commenced and/or completed</w:t>
      </w:r>
      <w:r w:rsidRPr="00283887">
        <w:rPr>
          <w:rStyle w:val="Guidance"/>
        </w:rPr>
        <w:t xml:space="preserve"> to which the Local Jobs First applied in the reporting period:</w:t>
      </w:r>
    </w:p>
    <w:p w14:paraId="03EFD41E" w14:textId="00983CE7" w:rsidR="00283887" w:rsidRPr="00283887" w:rsidRDefault="00283887" w:rsidP="00367D84">
      <w:pPr>
        <w:pStyle w:val="ListBullet"/>
        <w:numPr>
          <w:ilvl w:val="0"/>
          <w:numId w:val="30"/>
        </w:numPr>
        <w:rPr>
          <w:rStyle w:val="Guidance"/>
        </w:rPr>
      </w:pPr>
      <w:r w:rsidRPr="00283887">
        <w:rPr>
          <w:rStyle w:val="Guidance"/>
        </w:rPr>
        <w:t>the number and total value of both Local Jobs First Strategic and Local Jobs First Standard Projects commenced and/or completed in the reporting period to which a VIPP Plan (only from 1 July 201</w:t>
      </w:r>
      <w:r w:rsidR="00D81574">
        <w:rPr>
          <w:rStyle w:val="Guidance"/>
        </w:rPr>
        <w:t>8</w:t>
      </w:r>
      <w:r w:rsidRPr="00283887">
        <w:rPr>
          <w:rStyle w:val="Guidance"/>
        </w:rPr>
        <w:t xml:space="preserve"> to 15 August 201</w:t>
      </w:r>
      <w:r w:rsidR="00D81574">
        <w:rPr>
          <w:rStyle w:val="Guidance"/>
        </w:rPr>
        <w:t>8</w:t>
      </w:r>
      <w:r w:rsidRPr="00283887">
        <w:rPr>
          <w:rStyle w:val="Guidance"/>
        </w:rPr>
        <w:t>) or Local Industry Development Plan (LIDP) was required</w:t>
      </w:r>
    </w:p>
    <w:p w14:paraId="22A936D3" w14:textId="6B65258F" w:rsidR="00283887" w:rsidRPr="00283887" w:rsidRDefault="00283887" w:rsidP="00367D84">
      <w:pPr>
        <w:pStyle w:val="ListBullet"/>
        <w:numPr>
          <w:ilvl w:val="0"/>
          <w:numId w:val="30"/>
        </w:numPr>
        <w:rPr>
          <w:rStyle w:val="Guidance"/>
        </w:rPr>
      </w:pPr>
      <w:r w:rsidRPr="00283887">
        <w:rPr>
          <w:rStyle w:val="Guidance"/>
        </w:rPr>
        <w:t>the number of projects that the MSPG has been applied on (from 15 August 2018). MPSG guidelines (2016) will continue to apply to MPSG-applicable projects where contracts have been entered by 15 August 2018</w:t>
      </w:r>
    </w:p>
    <w:p w14:paraId="50A911C5" w14:textId="225ECF45" w:rsidR="00283887" w:rsidRPr="00283887" w:rsidRDefault="00283887" w:rsidP="00367D84">
      <w:pPr>
        <w:pStyle w:val="ListBullet"/>
        <w:numPr>
          <w:ilvl w:val="0"/>
          <w:numId w:val="30"/>
        </w:numPr>
        <w:rPr>
          <w:rStyle w:val="Guidance"/>
        </w:rPr>
      </w:pPr>
      <w:r w:rsidRPr="00283887">
        <w:rPr>
          <w:rStyle w:val="Guidance"/>
        </w:rPr>
        <w:t>the number and percentage of ‘local content’ committed under projects that commenced and/or completed in the reporting period to which LIDP was required, split by</w:t>
      </w:r>
      <w:r w:rsidR="00250266">
        <w:rPr>
          <w:rStyle w:val="Guidance"/>
        </w:rPr>
        <w:t xml:space="preserve"> metropolitan, regional and statewide</w:t>
      </w:r>
    </w:p>
    <w:p w14:paraId="3F9768D2" w14:textId="70F192A9" w:rsidR="00283887" w:rsidRPr="00283887" w:rsidRDefault="00283887" w:rsidP="00367D84">
      <w:pPr>
        <w:pStyle w:val="ListBullet"/>
        <w:numPr>
          <w:ilvl w:val="0"/>
          <w:numId w:val="30"/>
        </w:numPr>
        <w:rPr>
          <w:rStyle w:val="Guidance"/>
        </w:rPr>
      </w:pPr>
      <w:r w:rsidRPr="00283887">
        <w:rPr>
          <w:rStyle w:val="Guidance"/>
        </w:rPr>
        <w:t xml:space="preserve">for projects commenced, a statement of total LIDP commitments (local content, employment </w:t>
      </w:r>
      <w:r w:rsidR="00B233F6">
        <w:rPr>
          <w:rStyle w:val="Guidance"/>
        </w:rPr>
        <w:t>(AEE)</w:t>
      </w:r>
      <w:r w:rsidR="000627A7">
        <w:rPr>
          <w:rStyle w:val="Guidance"/>
        </w:rPr>
        <w:t>)</w:t>
      </w:r>
      <w:r w:rsidR="00DA6DC5">
        <w:rPr>
          <w:rStyle w:val="Guidance"/>
        </w:rPr>
        <w:t xml:space="preserve"> </w:t>
      </w:r>
      <w:r w:rsidRPr="00283887">
        <w:rPr>
          <w:rStyle w:val="Guidance"/>
        </w:rPr>
        <w:t>committed as a result of these projects</w:t>
      </w:r>
    </w:p>
    <w:p w14:paraId="2E9D14B2" w14:textId="3D2DF315" w:rsidR="00283887" w:rsidRPr="00283887" w:rsidRDefault="00283887" w:rsidP="00367D84">
      <w:pPr>
        <w:pStyle w:val="ListBullet"/>
        <w:numPr>
          <w:ilvl w:val="0"/>
          <w:numId w:val="30"/>
        </w:numPr>
        <w:rPr>
          <w:rStyle w:val="Guidance"/>
        </w:rPr>
      </w:pPr>
      <w:r w:rsidRPr="00283887">
        <w:rPr>
          <w:rStyle w:val="Guidance"/>
        </w:rPr>
        <w:t xml:space="preserve">for projects completed, a statement of total VIPP Plan or LIDP outcome (local content, employment </w:t>
      </w:r>
      <w:r w:rsidR="00DA6DC5">
        <w:rPr>
          <w:rStyle w:val="Guidance"/>
        </w:rPr>
        <w:t>(AEE)</w:t>
      </w:r>
      <w:r w:rsidR="000627A7">
        <w:rPr>
          <w:rStyle w:val="Guidance"/>
        </w:rPr>
        <w:t>)</w:t>
      </w:r>
      <w:r w:rsidR="007F5E8D">
        <w:rPr>
          <w:rStyle w:val="Guidance"/>
        </w:rPr>
        <w:t xml:space="preserve"> </w:t>
      </w:r>
      <w:r w:rsidRPr="00283887">
        <w:rPr>
          <w:rStyle w:val="Guidance"/>
        </w:rPr>
        <w:t>achieved as result of these projects</w:t>
      </w:r>
    </w:p>
    <w:p w14:paraId="5B2FCF13" w14:textId="54891D43" w:rsidR="00283887" w:rsidRDefault="00283887" w:rsidP="00367D84">
      <w:pPr>
        <w:pStyle w:val="ListBullet"/>
        <w:numPr>
          <w:ilvl w:val="0"/>
          <w:numId w:val="30"/>
        </w:numPr>
        <w:rPr>
          <w:rStyle w:val="Guidance"/>
        </w:rPr>
      </w:pPr>
      <w:r w:rsidRPr="00283887">
        <w:rPr>
          <w:rStyle w:val="Guidance"/>
        </w:rPr>
        <w:t xml:space="preserve">the number of small to medium-sized businesses engaged as either the </w:t>
      </w:r>
      <w:r w:rsidR="00250266">
        <w:rPr>
          <w:rStyle w:val="Guidance"/>
        </w:rPr>
        <w:t>p</w:t>
      </w:r>
      <w:r w:rsidRPr="00283887">
        <w:rPr>
          <w:rStyle w:val="Guidance"/>
        </w:rPr>
        <w:t xml:space="preserve">rincipal </w:t>
      </w:r>
      <w:r w:rsidR="00250266">
        <w:rPr>
          <w:rStyle w:val="Guidance"/>
        </w:rPr>
        <w:t>c</w:t>
      </w:r>
      <w:r w:rsidRPr="00283887">
        <w:rPr>
          <w:rStyle w:val="Guidance"/>
        </w:rPr>
        <w:t>ontractor or as part of the supply chain</w:t>
      </w:r>
    </w:p>
    <w:p w14:paraId="34353958" w14:textId="2D0A8DF9" w:rsidR="00A07F67" w:rsidRPr="00283887" w:rsidRDefault="00A07F67" w:rsidP="00367D84">
      <w:pPr>
        <w:pStyle w:val="ListBullet"/>
        <w:numPr>
          <w:ilvl w:val="0"/>
          <w:numId w:val="30"/>
        </w:numPr>
        <w:rPr>
          <w:rStyle w:val="Guidance"/>
        </w:rPr>
      </w:pPr>
      <w:r>
        <w:rPr>
          <w:rStyle w:val="Guidance"/>
        </w:rPr>
        <w:t>for completed projects, the number of post contract reviews due to be submitted, the number of post contract reviews that were submitted.</w:t>
      </w:r>
    </w:p>
    <w:p w14:paraId="5427E0A5" w14:textId="77777777" w:rsidR="00283887" w:rsidRDefault="00283887" w:rsidP="00283887">
      <w:pPr>
        <w:pStyle w:val="GuidanceHeading"/>
      </w:pPr>
      <w:r>
        <w:t xml:space="preserve">Reporting on grants provided </w:t>
      </w:r>
    </w:p>
    <w:p w14:paraId="094DDCD1" w14:textId="32A04C8B" w:rsidR="00DC39DE" w:rsidRPr="00283887" w:rsidRDefault="00250266" w:rsidP="00261EFD">
      <w:pPr>
        <w:rPr>
          <w:rStyle w:val="Guidance"/>
        </w:rPr>
      </w:pPr>
      <w:r>
        <w:rPr>
          <w:rStyle w:val="Guidance"/>
        </w:rPr>
        <w:t>In relation to grants, t</w:t>
      </w:r>
      <w:r w:rsidR="00283887" w:rsidRPr="00283887">
        <w:rPr>
          <w:rStyle w:val="Guidance"/>
        </w:rPr>
        <w:t xml:space="preserve">he report of operations should </w:t>
      </w:r>
      <w:r>
        <w:rPr>
          <w:rStyle w:val="Guidance"/>
        </w:rPr>
        <w:t xml:space="preserve">show </w:t>
      </w:r>
      <w:r w:rsidR="00283887" w:rsidRPr="00283887">
        <w:rPr>
          <w:rStyle w:val="Guidance"/>
        </w:rPr>
        <w:t>the total number of conversations with the Industry Capability Network that correspond with the registration and issue of an Interaction Reference Number.</w:t>
      </w:r>
    </w:p>
    <w:p w14:paraId="754901E2" w14:textId="77777777" w:rsidR="00475811" w:rsidRDefault="00475811" w:rsidP="00283887">
      <w:pPr>
        <w:pStyle w:val="GuidanceEnd"/>
        <w:sectPr w:rsidR="00475811" w:rsidSect="00CF1264">
          <w:headerReference w:type="even" r:id="rId60"/>
          <w:headerReference w:type="default" r:id="rId61"/>
          <w:footerReference w:type="even" r:id="rId62"/>
          <w:footerReference w:type="default" r:id="rId63"/>
          <w:headerReference w:type="first" r:id="rId64"/>
          <w:footerReference w:type="first" r:id="rId65"/>
          <w:pgSz w:w="11906" w:h="16838" w:code="9"/>
          <w:pgMar w:top="1134" w:right="1134" w:bottom="1134" w:left="1134" w:header="624" w:footer="567" w:gutter="0"/>
          <w:cols w:space="708"/>
          <w:docGrid w:linePitch="360"/>
        </w:sectPr>
      </w:pPr>
    </w:p>
    <w:p w14:paraId="48447C2A" w14:textId="1B517D5F" w:rsidR="003C77FB" w:rsidRDefault="003C77FB" w:rsidP="00B05A1D">
      <w:pPr>
        <w:pStyle w:val="Heading2"/>
      </w:pPr>
      <w:bookmarkStart w:id="138" w:name="INDEX_AdvertisingExp"/>
      <w:bookmarkStart w:id="139" w:name="_Toc199156287"/>
      <w:bookmarkEnd w:id="138"/>
      <w:r>
        <w:lastRenderedPageBreak/>
        <w:t>Government advertising expenditure</w:t>
      </w:r>
      <w:bookmarkEnd w:id="139"/>
      <w:r w:rsidR="00E6728C">
        <w:t xml:space="preserve"> </w:t>
      </w:r>
    </w:p>
    <w:p w14:paraId="065C2D81" w14:textId="4D4BEF08" w:rsidR="003C77FB" w:rsidRDefault="003C77FB" w:rsidP="003C77FB">
      <w:r>
        <w:t xml:space="preserve">In </w:t>
      </w:r>
      <w:fldSimple w:instr="DOCPROPERTY  FinYearCurrent  \* MERGEFORMAT">
        <w:r>
          <w:t>20X1</w:t>
        </w:r>
        <w:r w:rsidRPr="20EC4723">
          <w:rPr>
            <w:rFonts w:ascii="Cambria Math" w:hAnsi="Cambria Math" w:cs="Cambria Math"/>
          </w:rPr>
          <w:t>‑</w:t>
        </w:r>
        <w:r>
          <w:t>X2</w:t>
        </w:r>
      </w:fldSimple>
      <w:r>
        <w:t xml:space="preserve">, there were three government advertising campaigns with total media spend of $100 000 or greater (exclusive of GST). The details of each campaign are outlined below. </w:t>
      </w:r>
      <w:r w:rsidRPr="20EC4723">
        <w:rPr>
          <w:rStyle w:val="Reference"/>
        </w:rPr>
        <w:t>[FRD 22</w:t>
      </w:r>
      <w:r w:rsidR="001108F3" w:rsidRPr="20EC4723">
        <w:rPr>
          <w:rStyle w:val="Reference"/>
        </w:rPr>
        <w:t xml:space="preserve"> </w:t>
      </w:r>
      <w:r w:rsidR="00EC0B6B" w:rsidRPr="20EC4723">
        <w:rPr>
          <w:rStyle w:val="Reference"/>
        </w:rPr>
        <w:t>Paragraph 5.15</w:t>
      </w:r>
      <w:r w:rsidR="00D12538">
        <w:rPr>
          <w:rStyle w:val="Reference"/>
        </w:rPr>
        <w:t>/</w:t>
      </w:r>
      <w:r w:rsidR="00E6728C" w:rsidRPr="20EC4723">
        <w:rPr>
          <w:rStyle w:val="Reference"/>
        </w:rPr>
        <w:t xml:space="preserve">Recommendation </w:t>
      </w:r>
      <w:r w:rsidR="0020663E" w:rsidRPr="20EC4723">
        <w:rPr>
          <w:rStyle w:val="Reference"/>
        </w:rPr>
        <w:t>50</w:t>
      </w:r>
      <w:r w:rsidR="00E6728C" w:rsidRPr="20EC4723">
        <w:rPr>
          <w:rStyle w:val="Reference"/>
        </w:rPr>
        <w:t>, PAEC</w:t>
      </w:r>
      <w:r w:rsidR="15590D33" w:rsidRPr="20EC4723">
        <w:rPr>
          <w:rStyle w:val="Reference"/>
        </w:rPr>
        <w:t xml:space="preserve"> Review of the Performance Measurement and Reporting System</w:t>
      </w:r>
      <w:r w:rsidR="00D12538">
        <w:rPr>
          <w:rStyle w:val="Reference"/>
        </w:rPr>
        <w:t>/</w:t>
      </w:r>
      <w:r w:rsidR="00C24078" w:rsidRPr="20EC4723">
        <w:rPr>
          <w:rStyle w:val="Reference"/>
        </w:rPr>
        <w:t xml:space="preserve">Recommendation 6, </w:t>
      </w:r>
      <w:r w:rsidR="00787765" w:rsidRPr="20EC4723">
        <w:rPr>
          <w:rStyle w:val="Reference"/>
        </w:rPr>
        <w:t xml:space="preserve">VAGO </w:t>
      </w:r>
      <w:r w:rsidR="00787765" w:rsidRPr="20EC4723">
        <w:rPr>
          <w:rStyle w:val="Reference"/>
          <w:i/>
          <w:iCs/>
        </w:rPr>
        <w:t>Government Advertising</w:t>
      </w:r>
      <w:r w:rsidR="00787765" w:rsidRPr="20EC4723">
        <w:rPr>
          <w:rStyle w:val="Reference"/>
        </w:rPr>
        <w:t xml:space="preserve"> Report]</w:t>
      </w:r>
    </w:p>
    <w:p w14:paraId="13A76C34" w14:textId="0C9FA3D2" w:rsidR="006E0E99" w:rsidRPr="00E90058" w:rsidRDefault="003C77FB" w:rsidP="009F17C4">
      <w:pPr>
        <w:keepNext/>
        <w:tabs>
          <w:tab w:val="left" w:pos="964"/>
          <w:tab w:val="right" w:pos="14400"/>
          <w:tab w:val="right" w:pos="14742"/>
        </w:tabs>
        <w:spacing w:line="240" w:lineRule="auto"/>
        <w:rPr>
          <w:rFonts w:ascii="Arial" w:eastAsia="Arial" w:hAnsi="Arial" w:cs="Times New Roman"/>
          <w:b/>
          <w:iCs/>
          <w:color w:val="404040"/>
        </w:rPr>
      </w:pPr>
      <w:r w:rsidRPr="00D023FB">
        <w:rPr>
          <w:b/>
          <w:bCs/>
        </w:rPr>
        <w:t>Details of government advertising expenditure</w:t>
      </w:r>
      <w:r w:rsidR="00AC0B4D">
        <w:rPr>
          <w:b/>
          <w:bCs/>
        </w:rPr>
        <w:t xml:space="preserve"> </w:t>
      </w:r>
      <w:r w:rsidRPr="00D023FB">
        <w:rPr>
          <w:b/>
          <w:bCs/>
        </w:rPr>
        <w:t>(campaigns with a media spend of $100 000 or greater)</w:t>
      </w:r>
      <w:r w:rsidR="00C153D7">
        <w:rPr>
          <w:b/>
          <w:bCs/>
        </w:rPr>
        <w:t xml:space="preserve"> </w:t>
      </w:r>
      <w:r w:rsidR="00C153D7" w:rsidRPr="00C153D7">
        <w:rPr>
          <w:b/>
          <w:bCs/>
          <w:vertAlign w:val="superscript"/>
        </w:rPr>
        <w:t>(a)(b)</w:t>
      </w:r>
      <w:r>
        <w:tab/>
      </w:r>
      <w:r w:rsidRPr="00D023FB">
        <w:rPr>
          <w:b/>
          <w:bCs/>
        </w:rPr>
        <w:t>($ thousand</w:t>
      </w:r>
      <w:r w:rsidR="009F17C4">
        <w:rPr>
          <w:b/>
          <w:bCs/>
        </w:rPr>
        <w:t>)</w:t>
      </w:r>
      <w:r w:rsidR="00D023FB">
        <w:rPr>
          <w:rFonts w:ascii="Arial" w:eastAsia="Arial" w:hAnsi="Arial" w:cs="Times New Roman"/>
          <w:b/>
          <w:iCs/>
          <w:color w:val="404040"/>
        </w:rPr>
        <w:t xml:space="preserve"> </w:t>
      </w:r>
    </w:p>
    <w:tbl>
      <w:tblPr>
        <w:tblStyle w:val="DTFFinancialTable"/>
        <w:tblW w:w="14400" w:type="dxa"/>
        <w:tblLayout w:type="fixed"/>
        <w:tblLook w:val="06A0" w:firstRow="1" w:lastRow="0" w:firstColumn="1" w:lastColumn="0" w:noHBand="1" w:noVBand="1"/>
      </w:tblPr>
      <w:tblGrid>
        <w:gridCol w:w="1114"/>
        <w:gridCol w:w="2846"/>
        <w:gridCol w:w="928"/>
        <w:gridCol w:w="1290"/>
        <w:gridCol w:w="1370"/>
        <w:gridCol w:w="1370"/>
        <w:gridCol w:w="1371"/>
        <w:gridCol w:w="1370"/>
        <w:gridCol w:w="1370"/>
        <w:gridCol w:w="1371"/>
      </w:tblGrid>
      <w:tr w:rsidR="00E26948" w:rsidRPr="00A61567" w14:paraId="2287555B" w14:textId="77777777" w:rsidTr="008608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4" w:type="dxa"/>
          </w:tcPr>
          <w:p w14:paraId="01BFA678" w14:textId="77777777" w:rsidR="00E26948" w:rsidRPr="00A61567" w:rsidRDefault="00E26948" w:rsidP="00E0627C">
            <w:pPr>
              <w:rPr>
                <w:rFonts w:ascii="Arial" w:eastAsia="Arial" w:hAnsi="Arial" w:cs="Arial"/>
                <w:sz w:val="14"/>
                <w:szCs w:val="14"/>
              </w:rPr>
            </w:pPr>
          </w:p>
        </w:tc>
        <w:tc>
          <w:tcPr>
            <w:tcW w:w="2846" w:type="dxa"/>
          </w:tcPr>
          <w:p w14:paraId="3061F2E1" w14:textId="77777777" w:rsidR="00E26948" w:rsidRPr="00A61567" w:rsidRDefault="00E26948" w:rsidP="009F17C4">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928" w:type="dxa"/>
          </w:tcPr>
          <w:p w14:paraId="38AF7ECD" w14:textId="77777777" w:rsidR="00E26948" w:rsidRPr="00A61567" w:rsidRDefault="00E26948"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1290" w:type="dxa"/>
          </w:tcPr>
          <w:p w14:paraId="3FA05FE1" w14:textId="77777777" w:rsidR="00E26948" w:rsidRPr="00A61567" w:rsidRDefault="00E26948"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8222" w:type="dxa"/>
            <w:gridSpan w:val="6"/>
          </w:tcPr>
          <w:p w14:paraId="5AFC77A8" w14:textId="17CDA9A8" w:rsidR="00E26948" w:rsidRPr="00A61567" w:rsidRDefault="00047464" w:rsidP="00E2694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r w:rsidRPr="00A61567">
              <w:rPr>
                <w:rFonts w:ascii="Arial" w:eastAsia="Arial" w:hAnsi="Arial" w:cs="Arial"/>
                <w:sz w:val="14"/>
                <w:szCs w:val="14"/>
              </w:rPr>
              <w:fldChar w:fldCharType="begin"/>
            </w:r>
            <w:r w:rsidRPr="00A61567">
              <w:rPr>
                <w:rFonts w:ascii="Arial" w:eastAsia="Arial" w:hAnsi="Arial" w:cs="Arial"/>
                <w:sz w:val="14"/>
                <w:szCs w:val="14"/>
              </w:rPr>
              <w:instrText xml:space="preserve"> DOCPROPERTY  FinYearCurrent  \* MERGEFORMAT </w:instrText>
            </w:r>
            <w:r w:rsidRPr="00A61567">
              <w:rPr>
                <w:rFonts w:ascii="Arial" w:eastAsia="Arial" w:hAnsi="Arial" w:cs="Arial"/>
                <w:sz w:val="14"/>
                <w:szCs w:val="14"/>
              </w:rPr>
              <w:fldChar w:fldCharType="separate"/>
            </w:r>
            <w:r w:rsidRPr="00A61567">
              <w:rPr>
                <w:rFonts w:ascii="Arial" w:eastAsia="Arial" w:hAnsi="Arial" w:cs="Arial"/>
                <w:sz w:val="14"/>
                <w:szCs w:val="14"/>
              </w:rPr>
              <w:t>20X1</w:t>
            </w:r>
            <w:r w:rsidRPr="00A61567">
              <w:rPr>
                <w:rFonts w:ascii="Cambria Math" w:eastAsia="Arial" w:hAnsi="Cambria Math" w:cs="Cambria Math"/>
                <w:sz w:val="14"/>
                <w:szCs w:val="14"/>
              </w:rPr>
              <w:t>‑</w:t>
            </w:r>
            <w:r w:rsidRPr="00A61567">
              <w:rPr>
                <w:rFonts w:ascii="Arial" w:eastAsia="Arial" w:hAnsi="Arial" w:cs="Arial"/>
                <w:sz w:val="14"/>
                <w:szCs w:val="14"/>
              </w:rPr>
              <w:t>X2</w:t>
            </w:r>
            <w:r w:rsidRPr="00A61567">
              <w:rPr>
                <w:rFonts w:ascii="Arial" w:eastAsia="Arial" w:hAnsi="Arial" w:cs="Arial"/>
                <w:sz w:val="14"/>
                <w:szCs w:val="14"/>
              </w:rPr>
              <w:fldChar w:fldCharType="end"/>
            </w:r>
          </w:p>
        </w:tc>
      </w:tr>
      <w:tr w:rsidR="00872347" w:rsidRPr="00A61567" w14:paraId="103ADBCD" w14:textId="77777777" w:rsidTr="008608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4" w:type="dxa"/>
            <w:hideMark/>
          </w:tcPr>
          <w:p w14:paraId="22A7D84F" w14:textId="77777777" w:rsidR="006E0E99" w:rsidRPr="00A61567" w:rsidRDefault="006E0E99" w:rsidP="00E0627C">
            <w:pPr>
              <w:rPr>
                <w:rFonts w:ascii="Arial" w:eastAsia="Arial" w:hAnsi="Arial" w:cs="Arial"/>
                <w:sz w:val="14"/>
                <w:szCs w:val="14"/>
              </w:rPr>
            </w:pPr>
            <w:r w:rsidRPr="00A61567">
              <w:rPr>
                <w:rFonts w:ascii="Arial" w:eastAsia="Arial" w:hAnsi="Arial" w:cs="Arial"/>
                <w:sz w:val="14"/>
                <w:szCs w:val="14"/>
              </w:rPr>
              <w:t>Name of campaign</w:t>
            </w:r>
          </w:p>
        </w:tc>
        <w:tc>
          <w:tcPr>
            <w:tcW w:w="2846" w:type="dxa"/>
            <w:hideMark/>
          </w:tcPr>
          <w:p w14:paraId="1C2223BF" w14:textId="77777777" w:rsidR="006E0E99" w:rsidRPr="00A61567" w:rsidRDefault="006E0E99" w:rsidP="009F17C4">
            <w:pPr>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r w:rsidRPr="00A61567">
              <w:rPr>
                <w:rFonts w:ascii="Arial" w:eastAsia="Arial" w:hAnsi="Arial" w:cs="Arial"/>
                <w:sz w:val="14"/>
                <w:szCs w:val="14"/>
              </w:rPr>
              <w:t>Campaign summary</w:t>
            </w:r>
          </w:p>
        </w:tc>
        <w:tc>
          <w:tcPr>
            <w:tcW w:w="928" w:type="dxa"/>
            <w:hideMark/>
          </w:tcPr>
          <w:p w14:paraId="64C21014" w14:textId="77777777" w:rsidR="006E0E99" w:rsidRPr="00A61567" w:rsidRDefault="006E0E99"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r w:rsidRPr="00A61567">
              <w:rPr>
                <w:rFonts w:ascii="Arial" w:eastAsia="Arial" w:hAnsi="Arial" w:cs="Arial"/>
                <w:sz w:val="14"/>
                <w:szCs w:val="14"/>
              </w:rPr>
              <w:t>Start/</w:t>
            </w:r>
            <w:r w:rsidRPr="00A61567">
              <w:rPr>
                <w:rFonts w:ascii="Arial" w:eastAsia="Arial" w:hAnsi="Arial" w:cs="Arial"/>
                <w:sz w:val="14"/>
                <w:szCs w:val="14"/>
              </w:rPr>
              <w:br/>
              <w:t>end date</w:t>
            </w:r>
          </w:p>
        </w:tc>
        <w:tc>
          <w:tcPr>
            <w:tcW w:w="1290" w:type="dxa"/>
            <w:hideMark/>
          </w:tcPr>
          <w:p w14:paraId="03EFCA3A" w14:textId="77777777" w:rsidR="006E0E99" w:rsidRPr="00A61567" w:rsidRDefault="006E0E99"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r w:rsidRPr="00A61567">
              <w:rPr>
                <w:rFonts w:ascii="Arial" w:eastAsia="Arial" w:hAnsi="Arial" w:cs="Arial"/>
                <w:sz w:val="14"/>
                <w:szCs w:val="14"/>
              </w:rPr>
              <w:t>Advertising (media) expenditure</w:t>
            </w:r>
            <w:r w:rsidRPr="00A61567">
              <w:rPr>
                <w:rFonts w:ascii="Arial" w:eastAsia="Arial" w:hAnsi="Arial" w:cs="Arial"/>
                <w:sz w:val="14"/>
                <w:szCs w:val="14"/>
              </w:rPr>
              <w:br/>
              <w:t xml:space="preserve">(excl. GST) </w:t>
            </w:r>
          </w:p>
        </w:tc>
        <w:tc>
          <w:tcPr>
            <w:tcW w:w="1370" w:type="dxa"/>
            <w:hideMark/>
          </w:tcPr>
          <w:p w14:paraId="212DC952" w14:textId="77777777" w:rsidR="006E0E99" w:rsidRPr="00A61567" w:rsidRDefault="006E0E99"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r w:rsidRPr="00A61567">
              <w:rPr>
                <w:rFonts w:ascii="Arial" w:eastAsia="Arial" w:hAnsi="Arial" w:cs="Arial"/>
                <w:sz w:val="14"/>
                <w:szCs w:val="14"/>
              </w:rPr>
              <w:t>Creative and campaign development expenditure (excl. GST)</w:t>
            </w:r>
          </w:p>
        </w:tc>
        <w:tc>
          <w:tcPr>
            <w:tcW w:w="1370" w:type="dxa"/>
            <w:hideMark/>
          </w:tcPr>
          <w:p w14:paraId="749115BE" w14:textId="77777777" w:rsidR="006E0E99" w:rsidRPr="00E45F7F" w:rsidRDefault="006E0E99"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4"/>
              </w:rPr>
            </w:pPr>
            <w:r w:rsidRPr="00E45F7F">
              <w:rPr>
                <w:rFonts w:ascii="Arial" w:eastAsia="Arial" w:hAnsi="Arial" w:cs="Arial"/>
                <w:color w:val="FFFFFF" w:themeColor="background1"/>
                <w:sz w:val="14"/>
                <w:szCs w:val="14"/>
              </w:rPr>
              <w:t xml:space="preserve">Research expenditure (excl. GST) </w:t>
            </w:r>
          </w:p>
        </w:tc>
        <w:tc>
          <w:tcPr>
            <w:tcW w:w="1371" w:type="dxa"/>
          </w:tcPr>
          <w:p w14:paraId="7CFC1ABF" w14:textId="77777777" w:rsidR="006E0E99" w:rsidRPr="00E45F7F" w:rsidRDefault="006E0E99"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4"/>
                <w:szCs w:val="14"/>
              </w:rPr>
            </w:pPr>
            <w:r w:rsidRPr="00E45F7F">
              <w:rPr>
                <w:rFonts w:ascii="Arial" w:eastAsia="Arial" w:hAnsi="Arial" w:cs="Arial"/>
                <w:color w:val="FFFFFF" w:themeColor="background1"/>
                <w:sz w:val="14"/>
                <w:szCs w:val="14"/>
              </w:rPr>
              <w:t>Post-campaign evaluation expenditure (excl. GST)</w:t>
            </w:r>
          </w:p>
        </w:tc>
        <w:tc>
          <w:tcPr>
            <w:tcW w:w="1370" w:type="dxa"/>
            <w:hideMark/>
          </w:tcPr>
          <w:p w14:paraId="6E9B13FC" w14:textId="77777777" w:rsidR="006E0E99" w:rsidRPr="00A61567" w:rsidRDefault="006E0E99"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r w:rsidRPr="00A61567">
              <w:rPr>
                <w:rFonts w:ascii="Arial" w:eastAsia="Arial" w:hAnsi="Arial" w:cs="Arial"/>
                <w:sz w:val="14"/>
                <w:szCs w:val="14"/>
              </w:rPr>
              <w:t>Print and collateral expenditure (excl. GST)</w:t>
            </w:r>
          </w:p>
        </w:tc>
        <w:tc>
          <w:tcPr>
            <w:tcW w:w="1370" w:type="dxa"/>
            <w:hideMark/>
          </w:tcPr>
          <w:p w14:paraId="4E5A9B77" w14:textId="77777777" w:rsidR="006E0E99" w:rsidRPr="00A61567" w:rsidRDefault="006E0E99"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r w:rsidRPr="00A61567">
              <w:rPr>
                <w:rFonts w:ascii="Arial" w:eastAsia="Arial" w:hAnsi="Arial" w:cs="Arial"/>
                <w:sz w:val="14"/>
                <w:szCs w:val="14"/>
              </w:rPr>
              <w:t xml:space="preserve">Other campaign expenditure (excl. GST) </w:t>
            </w:r>
          </w:p>
        </w:tc>
        <w:tc>
          <w:tcPr>
            <w:tcW w:w="1371" w:type="dxa"/>
          </w:tcPr>
          <w:p w14:paraId="050AF3E2" w14:textId="77777777" w:rsidR="006E0E99" w:rsidRPr="00A61567" w:rsidRDefault="006E0E99" w:rsidP="00E0627C">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4"/>
                <w:szCs w:val="14"/>
              </w:rPr>
            </w:pPr>
            <w:r w:rsidRPr="00A61567">
              <w:rPr>
                <w:rFonts w:ascii="Arial" w:eastAsia="Arial" w:hAnsi="Arial" w:cs="Arial"/>
                <w:sz w:val="14"/>
                <w:szCs w:val="14"/>
              </w:rPr>
              <w:t>Total</w:t>
            </w:r>
          </w:p>
        </w:tc>
      </w:tr>
      <w:tr w:rsidR="006E0E99" w:rsidRPr="00A61567" w14:paraId="0A71FF96" w14:textId="77777777" w:rsidTr="00860831">
        <w:tc>
          <w:tcPr>
            <w:cnfStyle w:val="001000000000" w:firstRow="0" w:lastRow="0" w:firstColumn="1" w:lastColumn="0" w:oddVBand="0" w:evenVBand="0" w:oddHBand="0" w:evenHBand="0" w:firstRowFirstColumn="0" w:firstRowLastColumn="0" w:lastRowFirstColumn="0" w:lastRowLastColumn="0"/>
            <w:tcW w:w="1114" w:type="dxa"/>
            <w:vMerge w:val="restart"/>
          </w:tcPr>
          <w:p w14:paraId="3D0F11E1" w14:textId="77777777" w:rsidR="006E0E99" w:rsidRPr="007A70DD" w:rsidRDefault="006E0E99" w:rsidP="009F17C4">
            <w:pPr>
              <w:spacing w:before="40" w:after="40"/>
              <w:rPr>
                <w:rFonts w:ascii="Arial" w:eastAsia="Arial" w:hAnsi="Arial" w:cs="Arial"/>
                <w:sz w:val="14"/>
                <w:szCs w:val="14"/>
              </w:rPr>
            </w:pPr>
            <w:r w:rsidRPr="007A70DD">
              <w:rPr>
                <w:rFonts w:ascii="Arial" w:eastAsia="Arial" w:hAnsi="Arial" w:cs="Arial"/>
                <w:sz w:val="14"/>
                <w:szCs w:val="14"/>
              </w:rPr>
              <w:t>Online Safety</w:t>
            </w:r>
          </w:p>
        </w:tc>
        <w:tc>
          <w:tcPr>
            <w:tcW w:w="2846" w:type="dxa"/>
            <w:vMerge w:val="restart"/>
          </w:tcPr>
          <w:p w14:paraId="062DA661" w14:textId="001DE7B8" w:rsidR="006E0E99" w:rsidRPr="007A70DD" w:rsidRDefault="006E0E99" w:rsidP="009F17C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7A70DD">
              <w:rPr>
                <w:rFonts w:ascii="Arial" w:eastAsia="Arial" w:hAnsi="Arial" w:cs="Arial"/>
                <w:sz w:val="14"/>
                <w:szCs w:val="14"/>
              </w:rPr>
              <w:t>To ensure Victorian users remain safe online, the Department launched a six–month campaign aimed at informing and educating Victorians about how to stay safe online.</w:t>
            </w:r>
          </w:p>
        </w:tc>
        <w:tc>
          <w:tcPr>
            <w:tcW w:w="928" w:type="dxa"/>
            <w:vMerge w:val="restart"/>
          </w:tcPr>
          <w:p w14:paraId="20548F36" w14:textId="51A67B5A" w:rsidR="006E0E99" w:rsidRPr="007A70DD"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7A70DD">
              <w:rPr>
                <w:rFonts w:ascii="Arial" w:eastAsia="Arial" w:hAnsi="Arial" w:cs="Arial"/>
                <w:sz w:val="14"/>
                <w:szCs w:val="14"/>
              </w:rPr>
              <w:t xml:space="preserve">Aug </w:t>
            </w:r>
            <w:r w:rsidRPr="007A70DD">
              <w:rPr>
                <w:rFonts w:ascii="Arial" w:eastAsia="Arial" w:hAnsi="Arial" w:cs="Arial"/>
                <w:sz w:val="14"/>
                <w:szCs w:val="14"/>
              </w:rPr>
              <w:fldChar w:fldCharType="begin"/>
            </w:r>
            <w:r w:rsidRPr="007A70DD">
              <w:rPr>
                <w:rFonts w:ascii="Arial" w:eastAsia="Arial" w:hAnsi="Arial" w:cs="Arial"/>
                <w:sz w:val="14"/>
                <w:szCs w:val="14"/>
              </w:rPr>
              <w:instrText xml:space="preserve"> DOCPROPERTY  YearPrevious  \* MERGEFORMAT </w:instrText>
            </w:r>
            <w:r w:rsidRPr="007A70DD">
              <w:rPr>
                <w:rFonts w:ascii="Arial" w:eastAsia="Arial" w:hAnsi="Arial" w:cs="Arial"/>
                <w:sz w:val="14"/>
                <w:szCs w:val="14"/>
              </w:rPr>
              <w:fldChar w:fldCharType="separate"/>
            </w:r>
            <w:r w:rsidRPr="007A70DD">
              <w:rPr>
                <w:rFonts w:ascii="Arial" w:eastAsia="Arial" w:hAnsi="Arial" w:cs="Arial"/>
                <w:sz w:val="14"/>
                <w:szCs w:val="14"/>
              </w:rPr>
              <w:t>20X1</w:t>
            </w:r>
            <w:r w:rsidRPr="007A70DD">
              <w:rPr>
                <w:rFonts w:ascii="Arial" w:eastAsia="Arial" w:hAnsi="Arial" w:cs="Arial"/>
                <w:sz w:val="14"/>
                <w:szCs w:val="14"/>
              </w:rPr>
              <w:fldChar w:fldCharType="end"/>
            </w:r>
            <w:r w:rsidRPr="007A70DD">
              <w:rPr>
                <w:rFonts w:ascii="Arial" w:eastAsia="Arial" w:hAnsi="Arial" w:cs="Arial"/>
                <w:sz w:val="14"/>
                <w:szCs w:val="14"/>
              </w:rPr>
              <w:t xml:space="preserve">–Jan </w:t>
            </w:r>
            <w:r w:rsidRPr="007A70DD">
              <w:rPr>
                <w:rFonts w:ascii="Arial" w:eastAsia="Arial" w:hAnsi="Arial" w:cs="Arial"/>
                <w:sz w:val="14"/>
                <w:szCs w:val="14"/>
              </w:rPr>
              <w:fldChar w:fldCharType="begin"/>
            </w:r>
            <w:r w:rsidRPr="007A70DD">
              <w:rPr>
                <w:rFonts w:ascii="Arial" w:eastAsia="Arial" w:hAnsi="Arial" w:cs="Arial"/>
                <w:sz w:val="14"/>
                <w:szCs w:val="14"/>
              </w:rPr>
              <w:instrText xml:space="preserve"> DOCPROPERTY  YearCurrent  \* MERGEFORMAT </w:instrText>
            </w:r>
            <w:r w:rsidRPr="007A70DD">
              <w:rPr>
                <w:rFonts w:ascii="Arial" w:eastAsia="Arial" w:hAnsi="Arial" w:cs="Arial"/>
                <w:sz w:val="14"/>
                <w:szCs w:val="14"/>
              </w:rPr>
              <w:fldChar w:fldCharType="separate"/>
            </w:r>
            <w:r w:rsidRPr="007A70DD">
              <w:rPr>
                <w:rFonts w:ascii="Arial" w:eastAsia="Arial" w:hAnsi="Arial" w:cs="Arial"/>
                <w:sz w:val="14"/>
                <w:szCs w:val="14"/>
              </w:rPr>
              <w:t>20X2</w:t>
            </w:r>
            <w:r w:rsidRPr="007A70DD">
              <w:rPr>
                <w:rFonts w:ascii="Arial" w:eastAsia="Arial" w:hAnsi="Arial" w:cs="Arial"/>
                <w:sz w:val="14"/>
                <w:szCs w:val="14"/>
              </w:rPr>
              <w:fldChar w:fldCharType="end"/>
            </w:r>
          </w:p>
        </w:tc>
        <w:tc>
          <w:tcPr>
            <w:tcW w:w="1290" w:type="dxa"/>
          </w:tcPr>
          <w:p w14:paraId="0CA86300" w14:textId="41602785"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Approved: 1 300</w:t>
            </w:r>
          </w:p>
        </w:tc>
        <w:tc>
          <w:tcPr>
            <w:tcW w:w="1370" w:type="dxa"/>
          </w:tcPr>
          <w:p w14:paraId="713BA93D" w14:textId="20D8F927"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45</w:t>
            </w:r>
          </w:p>
        </w:tc>
        <w:tc>
          <w:tcPr>
            <w:tcW w:w="1370" w:type="dxa"/>
          </w:tcPr>
          <w:p w14:paraId="42B94D89" w14:textId="3EDB0CDB"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10</w:t>
            </w:r>
          </w:p>
        </w:tc>
        <w:tc>
          <w:tcPr>
            <w:tcW w:w="1371" w:type="dxa"/>
          </w:tcPr>
          <w:p w14:paraId="59E04E8B" w14:textId="74891688"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0</w:t>
            </w:r>
          </w:p>
        </w:tc>
        <w:tc>
          <w:tcPr>
            <w:tcW w:w="1370" w:type="dxa"/>
          </w:tcPr>
          <w:p w14:paraId="55FC44F6" w14:textId="4A324B9A"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60</w:t>
            </w:r>
          </w:p>
        </w:tc>
        <w:tc>
          <w:tcPr>
            <w:tcW w:w="1370" w:type="dxa"/>
          </w:tcPr>
          <w:p w14:paraId="5B4B99A6" w14:textId="068B37E1"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0</w:t>
            </w:r>
          </w:p>
        </w:tc>
        <w:tc>
          <w:tcPr>
            <w:tcW w:w="1371" w:type="dxa"/>
          </w:tcPr>
          <w:p w14:paraId="3759C89D" w14:textId="2549EA39"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4"/>
                <w:szCs w:val="14"/>
              </w:rPr>
            </w:pPr>
            <w:r w:rsidRPr="00E45F7F">
              <w:rPr>
                <w:rFonts w:ascii="Arial" w:eastAsia="Arial" w:hAnsi="Arial" w:cs="Arial"/>
                <w:b/>
                <w:bCs/>
                <w:sz w:val="14"/>
                <w:szCs w:val="14"/>
              </w:rPr>
              <w:t>Planned/</w:t>
            </w:r>
            <w:r w:rsidR="00AC0B4D">
              <w:rPr>
                <w:rFonts w:ascii="Arial" w:eastAsia="Arial" w:hAnsi="Arial" w:cs="Arial"/>
                <w:b/>
                <w:bCs/>
                <w:sz w:val="14"/>
                <w:szCs w:val="14"/>
              </w:rPr>
              <w:br/>
            </w:r>
            <w:r w:rsidRPr="00E45F7F">
              <w:rPr>
                <w:rFonts w:ascii="Arial" w:eastAsia="Arial" w:hAnsi="Arial" w:cs="Arial"/>
                <w:b/>
                <w:bCs/>
                <w:sz w:val="14"/>
                <w:szCs w:val="14"/>
              </w:rPr>
              <w:t>Approved: 1 415</w:t>
            </w:r>
          </w:p>
        </w:tc>
      </w:tr>
      <w:tr w:rsidR="006E0E99" w:rsidRPr="00A61567" w14:paraId="487E5862" w14:textId="77777777" w:rsidTr="00860831">
        <w:tc>
          <w:tcPr>
            <w:cnfStyle w:val="001000000000" w:firstRow="0" w:lastRow="0" w:firstColumn="1" w:lastColumn="0" w:oddVBand="0" w:evenVBand="0" w:oddHBand="0" w:evenHBand="0" w:firstRowFirstColumn="0" w:firstRowLastColumn="0" w:lastRowFirstColumn="0" w:lastRowLastColumn="0"/>
            <w:tcW w:w="1114" w:type="dxa"/>
            <w:vMerge/>
          </w:tcPr>
          <w:p w14:paraId="5266DB15" w14:textId="77777777" w:rsidR="006E0E99" w:rsidRPr="007A70DD" w:rsidRDefault="006E0E99" w:rsidP="009F17C4">
            <w:pPr>
              <w:spacing w:before="40" w:after="40"/>
              <w:rPr>
                <w:rFonts w:ascii="Arial" w:eastAsia="Arial" w:hAnsi="Arial" w:cs="Arial"/>
                <w:sz w:val="14"/>
                <w:szCs w:val="14"/>
              </w:rPr>
            </w:pPr>
          </w:p>
        </w:tc>
        <w:tc>
          <w:tcPr>
            <w:tcW w:w="2846" w:type="dxa"/>
            <w:vMerge/>
          </w:tcPr>
          <w:p w14:paraId="4EEF9A4E" w14:textId="77777777" w:rsidR="006E0E99" w:rsidRPr="007A70DD" w:rsidRDefault="006E0E99" w:rsidP="009F17C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928" w:type="dxa"/>
            <w:vMerge/>
          </w:tcPr>
          <w:p w14:paraId="58FF8ED5" w14:textId="77777777" w:rsidR="006E0E99" w:rsidRPr="007A70DD"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1290" w:type="dxa"/>
          </w:tcPr>
          <w:p w14:paraId="5F175BD1" w14:textId="50D75382"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1 250</w:t>
            </w:r>
          </w:p>
        </w:tc>
        <w:tc>
          <w:tcPr>
            <w:tcW w:w="1370" w:type="dxa"/>
          </w:tcPr>
          <w:p w14:paraId="1E2A43FC" w14:textId="6FAB8188"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40</w:t>
            </w:r>
          </w:p>
        </w:tc>
        <w:tc>
          <w:tcPr>
            <w:tcW w:w="1370" w:type="dxa"/>
          </w:tcPr>
          <w:p w14:paraId="567ED2F8" w14:textId="21954069"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15</w:t>
            </w:r>
          </w:p>
        </w:tc>
        <w:tc>
          <w:tcPr>
            <w:tcW w:w="1371" w:type="dxa"/>
          </w:tcPr>
          <w:p w14:paraId="5A704551" w14:textId="75D4B550"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0</w:t>
            </w:r>
          </w:p>
        </w:tc>
        <w:tc>
          <w:tcPr>
            <w:tcW w:w="1370" w:type="dxa"/>
          </w:tcPr>
          <w:p w14:paraId="20200A5F" w14:textId="7C3CAE9A"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65</w:t>
            </w:r>
          </w:p>
        </w:tc>
        <w:tc>
          <w:tcPr>
            <w:tcW w:w="1370" w:type="dxa"/>
          </w:tcPr>
          <w:p w14:paraId="083A9F1B" w14:textId="3F03438E"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0</w:t>
            </w:r>
          </w:p>
        </w:tc>
        <w:tc>
          <w:tcPr>
            <w:tcW w:w="1371" w:type="dxa"/>
          </w:tcPr>
          <w:p w14:paraId="4BF671F3" w14:textId="7B4370EE"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4"/>
                <w:szCs w:val="14"/>
              </w:rPr>
            </w:pPr>
            <w:r w:rsidRPr="00E45F7F">
              <w:rPr>
                <w:rFonts w:ascii="Arial" w:eastAsia="Arial" w:hAnsi="Arial" w:cs="Arial"/>
                <w:b/>
                <w:bCs/>
                <w:sz w:val="14"/>
                <w:szCs w:val="14"/>
              </w:rPr>
              <w:t>Actual: 1 370</w:t>
            </w:r>
          </w:p>
        </w:tc>
      </w:tr>
      <w:tr w:rsidR="006E0E99" w:rsidRPr="00A61567" w14:paraId="3FD4FD09" w14:textId="77777777" w:rsidTr="00860831">
        <w:tc>
          <w:tcPr>
            <w:cnfStyle w:val="001000000000" w:firstRow="0" w:lastRow="0" w:firstColumn="1" w:lastColumn="0" w:oddVBand="0" w:evenVBand="0" w:oddHBand="0" w:evenHBand="0" w:firstRowFirstColumn="0" w:firstRowLastColumn="0" w:lastRowFirstColumn="0" w:lastRowLastColumn="0"/>
            <w:tcW w:w="1114" w:type="dxa"/>
            <w:vMerge w:val="restart"/>
          </w:tcPr>
          <w:p w14:paraId="32119107" w14:textId="77777777" w:rsidR="006E0E99" w:rsidRPr="007A70DD" w:rsidRDefault="006E0E99" w:rsidP="009F17C4">
            <w:pPr>
              <w:spacing w:before="40" w:after="40"/>
              <w:rPr>
                <w:rFonts w:ascii="Arial" w:eastAsia="Arial" w:hAnsi="Arial" w:cs="Arial"/>
                <w:sz w:val="14"/>
                <w:szCs w:val="14"/>
              </w:rPr>
            </w:pPr>
            <w:r w:rsidRPr="007A70DD">
              <w:rPr>
                <w:rFonts w:ascii="Arial" w:eastAsia="Arial" w:hAnsi="Arial" w:cs="Arial"/>
                <w:sz w:val="14"/>
                <w:szCs w:val="14"/>
              </w:rPr>
              <w:t>E</w:t>
            </w:r>
            <w:r w:rsidRPr="007A70DD">
              <w:rPr>
                <w:rFonts w:ascii="Arial" w:eastAsia="Arial" w:hAnsi="Arial" w:cs="Arial"/>
                <w:sz w:val="14"/>
                <w:szCs w:val="14"/>
              </w:rPr>
              <w:noBreakHyphen/>
              <w:t>recycling</w:t>
            </w:r>
          </w:p>
        </w:tc>
        <w:tc>
          <w:tcPr>
            <w:tcW w:w="2846" w:type="dxa"/>
            <w:vMerge w:val="restart"/>
          </w:tcPr>
          <w:p w14:paraId="66F582D2" w14:textId="4462CC9D" w:rsidR="006E0E99" w:rsidRPr="007A70DD" w:rsidRDefault="006E0E99" w:rsidP="009F17C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7A70DD">
              <w:rPr>
                <w:rFonts w:ascii="Arial" w:eastAsia="Arial" w:hAnsi="Arial" w:cs="Arial"/>
                <w:sz w:val="14"/>
                <w:szCs w:val="14"/>
              </w:rPr>
              <w:t>The Department is committed to setting the standard for responsible recycling of electronic equipment. A six–month campaign has been initiated to educate companies about how to responsibly dispose of electronic waste.</w:t>
            </w:r>
          </w:p>
        </w:tc>
        <w:tc>
          <w:tcPr>
            <w:tcW w:w="928" w:type="dxa"/>
            <w:vMerge w:val="restart"/>
          </w:tcPr>
          <w:p w14:paraId="73A8A4DA" w14:textId="7EF719DB" w:rsidR="006E0E99" w:rsidRPr="007A70DD"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7A70DD">
              <w:rPr>
                <w:rFonts w:ascii="Arial" w:eastAsia="Arial" w:hAnsi="Arial" w:cs="Arial"/>
                <w:sz w:val="14"/>
                <w:szCs w:val="14"/>
              </w:rPr>
              <w:t xml:space="preserve">Oct </w:t>
            </w:r>
            <w:r w:rsidRPr="007A70DD">
              <w:rPr>
                <w:rFonts w:ascii="Arial" w:eastAsia="Arial" w:hAnsi="Arial" w:cs="Arial"/>
                <w:sz w:val="14"/>
                <w:szCs w:val="14"/>
              </w:rPr>
              <w:fldChar w:fldCharType="begin"/>
            </w:r>
            <w:r w:rsidRPr="007A70DD">
              <w:rPr>
                <w:rFonts w:ascii="Arial" w:eastAsia="Arial" w:hAnsi="Arial" w:cs="Arial"/>
                <w:sz w:val="14"/>
                <w:szCs w:val="14"/>
              </w:rPr>
              <w:instrText xml:space="preserve"> DOCPROPERTY  YearPrevious  \* MERGEFORMAT </w:instrText>
            </w:r>
            <w:r w:rsidRPr="007A70DD">
              <w:rPr>
                <w:rFonts w:ascii="Arial" w:eastAsia="Arial" w:hAnsi="Arial" w:cs="Arial"/>
                <w:sz w:val="14"/>
                <w:szCs w:val="14"/>
              </w:rPr>
              <w:fldChar w:fldCharType="separate"/>
            </w:r>
            <w:r w:rsidRPr="007A70DD">
              <w:rPr>
                <w:rFonts w:ascii="Arial" w:eastAsia="Arial" w:hAnsi="Arial" w:cs="Arial"/>
                <w:sz w:val="14"/>
                <w:szCs w:val="14"/>
              </w:rPr>
              <w:t>20X1</w:t>
            </w:r>
            <w:r w:rsidRPr="007A70DD">
              <w:rPr>
                <w:rFonts w:ascii="Arial" w:eastAsia="Arial" w:hAnsi="Arial" w:cs="Arial"/>
                <w:sz w:val="14"/>
                <w:szCs w:val="14"/>
              </w:rPr>
              <w:fldChar w:fldCharType="end"/>
            </w:r>
            <w:r w:rsidRPr="007A70DD">
              <w:rPr>
                <w:rFonts w:ascii="Arial" w:eastAsia="Arial" w:hAnsi="Arial" w:cs="Arial"/>
                <w:sz w:val="14"/>
                <w:szCs w:val="14"/>
              </w:rPr>
              <w:t xml:space="preserve">– Mar </w:t>
            </w:r>
            <w:r w:rsidRPr="007A70DD">
              <w:rPr>
                <w:rFonts w:ascii="Arial" w:eastAsia="Arial" w:hAnsi="Arial" w:cs="Arial"/>
                <w:sz w:val="14"/>
                <w:szCs w:val="14"/>
              </w:rPr>
              <w:fldChar w:fldCharType="begin"/>
            </w:r>
            <w:r w:rsidRPr="007A70DD">
              <w:rPr>
                <w:rFonts w:ascii="Arial" w:eastAsia="Arial" w:hAnsi="Arial" w:cs="Arial"/>
                <w:sz w:val="14"/>
                <w:szCs w:val="14"/>
              </w:rPr>
              <w:instrText xml:space="preserve"> DOCPROPERTY  YearCurrent  \* MERGEFORMAT </w:instrText>
            </w:r>
            <w:r w:rsidRPr="007A70DD">
              <w:rPr>
                <w:rFonts w:ascii="Arial" w:eastAsia="Arial" w:hAnsi="Arial" w:cs="Arial"/>
                <w:sz w:val="14"/>
                <w:szCs w:val="14"/>
              </w:rPr>
              <w:fldChar w:fldCharType="separate"/>
            </w:r>
            <w:r w:rsidRPr="007A70DD">
              <w:rPr>
                <w:rFonts w:ascii="Arial" w:eastAsia="Arial" w:hAnsi="Arial" w:cs="Arial"/>
                <w:sz w:val="14"/>
                <w:szCs w:val="14"/>
              </w:rPr>
              <w:t>20X2</w:t>
            </w:r>
            <w:r w:rsidRPr="007A70DD">
              <w:rPr>
                <w:rFonts w:ascii="Arial" w:eastAsia="Arial" w:hAnsi="Arial" w:cs="Arial"/>
                <w:sz w:val="14"/>
                <w:szCs w:val="14"/>
              </w:rPr>
              <w:fldChar w:fldCharType="end"/>
            </w:r>
          </w:p>
        </w:tc>
        <w:tc>
          <w:tcPr>
            <w:tcW w:w="1290" w:type="dxa"/>
          </w:tcPr>
          <w:p w14:paraId="27C934FC" w14:textId="65504C33" w:rsidR="003C5BB3"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Approved: 620</w:t>
            </w:r>
          </w:p>
        </w:tc>
        <w:tc>
          <w:tcPr>
            <w:tcW w:w="1370" w:type="dxa"/>
          </w:tcPr>
          <w:p w14:paraId="11842329" w14:textId="5488368A" w:rsidR="006E0E99" w:rsidRPr="00E45F7F" w:rsidRDefault="006E0E99" w:rsidP="00C253FE">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 xml:space="preserve">Planned: 10 </w:t>
            </w:r>
          </w:p>
        </w:tc>
        <w:tc>
          <w:tcPr>
            <w:tcW w:w="1370" w:type="dxa"/>
          </w:tcPr>
          <w:p w14:paraId="2A93EA6D" w14:textId="08A12933"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 xml:space="preserve">Planned: 30 </w:t>
            </w:r>
          </w:p>
        </w:tc>
        <w:tc>
          <w:tcPr>
            <w:tcW w:w="1371" w:type="dxa"/>
          </w:tcPr>
          <w:p w14:paraId="07950E39" w14:textId="29B62D92"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 xml:space="preserve">Planned: 0 </w:t>
            </w:r>
          </w:p>
        </w:tc>
        <w:tc>
          <w:tcPr>
            <w:tcW w:w="1370" w:type="dxa"/>
          </w:tcPr>
          <w:p w14:paraId="0CC1A534" w14:textId="4CFEFBAD"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10</w:t>
            </w:r>
          </w:p>
        </w:tc>
        <w:tc>
          <w:tcPr>
            <w:tcW w:w="1370" w:type="dxa"/>
          </w:tcPr>
          <w:p w14:paraId="12BD3395" w14:textId="6D09FA2E"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8</w:t>
            </w:r>
          </w:p>
        </w:tc>
        <w:tc>
          <w:tcPr>
            <w:tcW w:w="1371" w:type="dxa"/>
          </w:tcPr>
          <w:p w14:paraId="1BF92389" w14:textId="06C551B1" w:rsidR="006E0E99" w:rsidRPr="00E45F7F" w:rsidRDefault="006E0E99" w:rsidP="00556CF3">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4"/>
                <w:szCs w:val="14"/>
              </w:rPr>
            </w:pPr>
            <w:r w:rsidRPr="00E45F7F">
              <w:rPr>
                <w:rFonts w:ascii="Arial" w:eastAsia="Arial" w:hAnsi="Arial" w:cs="Arial"/>
                <w:b/>
                <w:bCs/>
                <w:sz w:val="14"/>
                <w:szCs w:val="14"/>
              </w:rPr>
              <w:t>Planned/</w:t>
            </w:r>
            <w:r w:rsidR="00AC0B4D">
              <w:rPr>
                <w:rFonts w:ascii="Arial" w:eastAsia="Arial" w:hAnsi="Arial" w:cs="Arial"/>
                <w:b/>
                <w:bCs/>
                <w:sz w:val="14"/>
                <w:szCs w:val="14"/>
              </w:rPr>
              <w:br/>
            </w:r>
            <w:r w:rsidRPr="00E45F7F">
              <w:rPr>
                <w:rFonts w:ascii="Arial" w:eastAsia="Arial" w:hAnsi="Arial" w:cs="Arial"/>
                <w:b/>
                <w:bCs/>
                <w:sz w:val="14"/>
                <w:szCs w:val="14"/>
              </w:rPr>
              <w:t>Approved: 678</w:t>
            </w:r>
          </w:p>
        </w:tc>
      </w:tr>
      <w:tr w:rsidR="006E0E99" w:rsidRPr="00A61567" w14:paraId="42035434" w14:textId="77777777" w:rsidTr="00860831">
        <w:tc>
          <w:tcPr>
            <w:cnfStyle w:val="001000000000" w:firstRow="0" w:lastRow="0" w:firstColumn="1" w:lastColumn="0" w:oddVBand="0" w:evenVBand="0" w:oddHBand="0" w:evenHBand="0" w:firstRowFirstColumn="0" w:firstRowLastColumn="0" w:lastRowFirstColumn="0" w:lastRowLastColumn="0"/>
            <w:tcW w:w="1114" w:type="dxa"/>
            <w:vMerge/>
          </w:tcPr>
          <w:p w14:paraId="68FC19EF" w14:textId="77777777" w:rsidR="006E0E99" w:rsidRPr="007A70DD" w:rsidRDefault="006E0E99" w:rsidP="009F17C4">
            <w:pPr>
              <w:spacing w:before="40" w:after="40"/>
              <w:rPr>
                <w:rFonts w:ascii="Arial" w:eastAsia="Arial" w:hAnsi="Arial" w:cs="Arial"/>
                <w:sz w:val="14"/>
                <w:szCs w:val="14"/>
              </w:rPr>
            </w:pPr>
          </w:p>
        </w:tc>
        <w:tc>
          <w:tcPr>
            <w:tcW w:w="2846" w:type="dxa"/>
            <w:vMerge/>
          </w:tcPr>
          <w:p w14:paraId="2A7BD399" w14:textId="77777777" w:rsidR="006E0E99" w:rsidRPr="007A70DD" w:rsidRDefault="006E0E99" w:rsidP="009F17C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928" w:type="dxa"/>
            <w:vMerge/>
          </w:tcPr>
          <w:p w14:paraId="6B714C07" w14:textId="77777777" w:rsidR="006E0E99" w:rsidRPr="007A70DD"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1290" w:type="dxa"/>
          </w:tcPr>
          <w:p w14:paraId="747E9244" w14:textId="63DA35A6"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600</w:t>
            </w:r>
          </w:p>
        </w:tc>
        <w:tc>
          <w:tcPr>
            <w:tcW w:w="1370" w:type="dxa"/>
          </w:tcPr>
          <w:p w14:paraId="36BE1FEF" w14:textId="61BF2ECF"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40</w:t>
            </w:r>
            <w:r w:rsidR="00C153D7" w:rsidRPr="00C153D7">
              <w:rPr>
                <w:rFonts w:ascii="Arial" w:eastAsia="Arial" w:hAnsi="Arial" w:cs="Arial"/>
                <w:sz w:val="14"/>
                <w:szCs w:val="14"/>
                <w:vertAlign w:val="superscript"/>
              </w:rPr>
              <w:t>(c)</w:t>
            </w:r>
          </w:p>
        </w:tc>
        <w:tc>
          <w:tcPr>
            <w:tcW w:w="1370" w:type="dxa"/>
          </w:tcPr>
          <w:p w14:paraId="36DBD696" w14:textId="1F8F014F"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32</w:t>
            </w:r>
          </w:p>
        </w:tc>
        <w:tc>
          <w:tcPr>
            <w:tcW w:w="1371" w:type="dxa"/>
          </w:tcPr>
          <w:p w14:paraId="2AC40C43" w14:textId="4C31F7BC"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0</w:t>
            </w:r>
          </w:p>
        </w:tc>
        <w:tc>
          <w:tcPr>
            <w:tcW w:w="1370" w:type="dxa"/>
          </w:tcPr>
          <w:p w14:paraId="3E174307" w14:textId="33F9BE71"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12</w:t>
            </w:r>
          </w:p>
        </w:tc>
        <w:tc>
          <w:tcPr>
            <w:tcW w:w="1370" w:type="dxa"/>
          </w:tcPr>
          <w:p w14:paraId="1D733179" w14:textId="0F0BB20C"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8</w:t>
            </w:r>
          </w:p>
        </w:tc>
        <w:tc>
          <w:tcPr>
            <w:tcW w:w="1371" w:type="dxa"/>
          </w:tcPr>
          <w:p w14:paraId="673D9ED6" w14:textId="4EBA244A"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4"/>
                <w:szCs w:val="14"/>
              </w:rPr>
            </w:pPr>
            <w:r w:rsidRPr="00E45F7F">
              <w:rPr>
                <w:rFonts w:ascii="Arial" w:eastAsia="Arial" w:hAnsi="Arial" w:cs="Arial"/>
                <w:b/>
                <w:bCs/>
                <w:sz w:val="14"/>
                <w:szCs w:val="14"/>
              </w:rPr>
              <w:t>Actual: 692</w:t>
            </w:r>
          </w:p>
        </w:tc>
      </w:tr>
      <w:tr w:rsidR="006E0E99" w:rsidRPr="00A61567" w14:paraId="28DEFEEB" w14:textId="77777777" w:rsidTr="00860831">
        <w:tc>
          <w:tcPr>
            <w:cnfStyle w:val="001000000000" w:firstRow="0" w:lastRow="0" w:firstColumn="1" w:lastColumn="0" w:oddVBand="0" w:evenVBand="0" w:oddHBand="0" w:evenHBand="0" w:firstRowFirstColumn="0" w:firstRowLastColumn="0" w:lastRowFirstColumn="0" w:lastRowLastColumn="0"/>
            <w:tcW w:w="1114" w:type="dxa"/>
            <w:vMerge w:val="restart"/>
          </w:tcPr>
          <w:p w14:paraId="14C22E47" w14:textId="77777777" w:rsidR="006E0E99" w:rsidRPr="007A70DD" w:rsidRDefault="006E0E99" w:rsidP="009F17C4">
            <w:pPr>
              <w:spacing w:before="40" w:after="40"/>
              <w:rPr>
                <w:rFonts w:ascii="Arial" w:eastAsia="Arial" w:hAnsi="Arial" w:cs="Arial"/>
                <w:bCs w:val="0"/>
                <w:sz w:val="14"/>
                <w:szCs w:val="14"/>
              </w:rPr>
            </w:pPr>
            <w:r w:rsidRPr="007A70DD">
              <w:rPr>
                <w:rFonts w:ascii="Arial" w:eastAsia="Arial" w:hAnsi="Arial" w:cs="Arial"/>
                <w:bCs w:val="0"/>
                <w:sz w:val="14"/>
                <w:szCs w:val="14"/>
              </w:rPr>
              <w:t>Senior Citizens Computer Literacy Campaign</w:t>
            </w:r>
          </w:p>
        </w:tc>
        <w:tc>
          <w:tcPr>
            <w:tcW w:w="2846" w:type="dxa"/>
            <w:vMerge w:val="restart"/>
          </w:tcPr>
          <w:p w14:paraId="78761608" w14:textId="77777777" w:rsidR="006E0E99" w:rsidRPr="007A70DD" w:rsidRDefault="006E0E99" w:rsidP="009F17C4">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7A70DD">
              <w:rPr>
                <w:rFonts w:ascii="Arial" w:eastAsia="Arial" w:hAnsi="Arial" w:cs="Arial"/>
                <w:sz w:val="14"/>
                <w:szCs w:val="14"/>
              </w:rPr>
              <w:t>The Department launched a three-month campaign promoting short courses for senior citizens to assist in developing basic IT skills.</w:t>
            </w:r>
          </w:p>
        </w:tc>
        <w:tc>
          <w:tcPr>
            <w:tcW w:w="928" w:type="dxa"/>
            <w:vMerge w:val="restart"/>
          </w:tcPr>
          <w:p w14:paraId="6538329B" w14:textId="10A15F70" w:rsidR="006E0E99" w:rsidRPr="007A70DD"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7A70DD">
              <w:rPr>
                <w:rFonts w:ascii="Arial" w:eastAsia="Arial" w:hAnsi="Arial" w:cs="Arial"/>
                <w:sz w:val="14"/>
                <w:szCs w:val="14"/>
              </w:rPr>
              <w:t xml:space="preserve">Jan </w:t>
            </w:r>
            <w:r w:rsidRPr="007A70DD">
              <w:rPr>
                <w:rFonts w:ascii="Arial" w:eastAsia="Arial" w:hAnsi="Arial" w:cs="Arial"/>
                <w:sz w:val="14"/>
                <w:szCs w:val="14"/>
              </w:rPr>
              <w:fldChar w:fldCharType="begin"/>
            </w:r>
            <w:r w:rsidRPr="007A70DD">
              <w:rPr>
                <w:rFonts w:ascii="Arial" w:eastAsia="Arial" w:hAnsi="Arial" w:cs="Arial"/>
                <w:sz w:val="14"/>
                <w:szCs w:val="14"/>
              </w:rPr>
              <w:instrText xml:space="preserve"> DOCPROPERTY  YearCurrent  \* MERGEFORMAT </w:instrText>
            </w:r>
            <w:r w:rsidRPr="007A70DD">
              <w:rPr>
                <w:rFonts w:ascii="Arial" w:eastAsia="Arial" w:hAnsi="Arial" w:cs="Arial"/>
                <w:sz w:val="14"/>
                <w:szCs w:val="14"/>
              </w:rPr>
              <w:fldChar w:fldCharType="separate"/>
            </w:r>
            <w:r w:rsidRPr="007A70DD">
              <w:rPr>
                <w:rFonts w:ascii="Arial" w:eastAsia="Arial" w:hAnsi="Arial" w:cs="Arial"/>
                <w:sz w:val="14"/>
                <w:szCs w:val="14"/>
              </w:rPr>
              <w:t>20X2</w:t>
            </w:r>
            <w:r w:rsidRPr="007A70DD">
              <w:rPr>
                <w:rFonts w:ascii="Arial" w:eastAsia="Arial" w:hAnsi="Arial" w:cs="Arial"/>
                <w:sz w:val="14"/>
                <w:szCs w:val="14"/>
              </w:rPr>
              <w:fldChar w:fldCharType="end"/>
            </w:r>
            <w:r w:rsidRPr="007A70DD">
              <w:rPr>
                <w:rFonts w:ascii="Arial" w:eastAsia="Arial" w:hAnsi="Arial" w:cs="Arial"/>
                <w:sz w:val="14"/>
                <w:szCs w:val="14"/>
              </w:rPr>
              <w:t xml:space="preserve">– Mar </w:t>
            </w:r>
            <w:r w:rsidRPr="007A70DD">
              <w:rPr>
                <w:rFonts w:ascii="Arial" w:eastAsia="Arial" w:hAnsi="Arial" w:cs="Arial"/>
                <w:sz w:val="14"/>
                <w:szCs w:val="14"/>
              </w:rPr>
              <w:fldChar w:fldCharType="begin"/>
            </w:r>
            <w:r w:rsidRPr="007A70DD">
              <w:rPr>
                <w:rFonts w:ascii="Arial" w:eastAsia="Arial" w:hAnsi="Arial" w:cs="Arial"/>
                <w:sz w:val="14"/>
                <w:szCs w:val="14"/>
              </w:rPr>
              <w:instrText xml:space="preserve"> DOCPROPERTY  YearCurrent  \* MERGEFORMAT </w:instrText>
            </w:r>
            <w:r w:rsidRPr="007A70DD">
              <w:rPr>
                <w:rFonts w:ascii="Arial" w:eastAsia="Arial" w:hAnsi="Arial" w:cs="Arial"/>
                <w:sz w:val="14"/>
                <w:szCs w:val="14"/>
              </w:rPr>
              <w:fldChar w:fldCharType="separate"/>
            </w:r>
            <w:r w:rsidRPr="007A70DD">
              <w:rPr>
                <w:rFonts w:ascii="Arial" w:eastAsia="Arial" w:hAnsi="Arial" w:cs="Arial"/>
                <w:sz w:val="14"/>
                <w:szCs w:val="14"/>
              </w:rPr>
              <w:t>20X2</w:t>
            </w:r>
            <w:r w:rsidRPr="007A70DD">
              <w:rPr>
                <w:rFonts w:ascii="Arial" w:eastAsia="Arial" w:hAnsi="Arial" w:cs="Arial"/>
                <w:sz w:val="14"/>
                <w:szCs w:val="14"/>
              </w:rPr>
              <w:fldChar w:fldCharType="end"/>
            </w:r>
          </w:p>
        </w:tc>
        <w:tc>
          <w:tcPr>
            <w:tcW w:w="1290" w:type="dxa"/>
          </w:tcPr>
          <w:p w14:paraId="37FA4E55" w14:textId="560F11FC"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 xml:space="preserve">Approved: 500 </w:t>
            </w:r>
          </w:p>
        </w:tc>
        <w:tc>
          <w:tcPr>
            <w:tcW w:w="1370" w:type="dxa"/>
          </w:tcPr>
          <w:p w14:paraId="189BED8B" w14:textId="1B31C7FE"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 xml:space="preserve">Planned: 10 </w:t>
            </w:r>
          </w:p>
        </w:tc>
        <w:tc>
          <w:tcPr>
            <w:tcW w:w="1370" w:type="dxa"/>
          </w:tcPr>
          <w:p w14:paraId="30F4BF18" w14:textId="5FD20DC6"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20</w:t>
            </w:r>
          </w:p>
        </w:tc>
        <w:tc>
          <w:tcPr>
            <w:tcW w:w="1371" w:type="dxa"/>
          </w:tcPr>
          <w:p w14:paraId="3853CE24" w14:textId="18674F1B"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0</w:t>
            </w:r>
          </w:p>
        </w:tc>
        <w:tc>
          <w:tcPr>
            <w:tcW w:w="1370" w:type="dxa"/>
          </w:tcPr>
          <w:p w14:paraId="02180D6E" w14:textId="088EB94D"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30</w:t>
            </w:r>
            <w:r w:rsidR="00C153D7">
              <w:rPr>
                <w:rFonts w:ascii="Arial" w:eastAsia="Arial" w:hAnsi="Arial" w:cs="Arial"/>
                <w:sz w:val="14"/>
                <w:szCs w:val="14"/>
                <w:vertAlign w:val="superscript"/>
              </w:rPr>
              <w:t>(d)</w:t>
            </w:r>
            <w:r w:rsidRPr="00E45F7F">
              <w:rPr>
                <w:rFonts w:ascii="Arial" w:eastAsia="Arial" w:hAnsi="Arial" w:cs="Arial"/>
                <w:sz w:val="14"/>
                <w:szCs w:val="14"/>
              </w:rPr>
              <w:t xml:space="preserve"> </w:t>
            </w:r>
          </w:p>
        </w:tc>
        <w:tc>
          <w:tcPr>
            <w:tcW w:w="1370" w:type="dxa"/>
          </w:tcPr>
          <w:p w14:paraId="6FC7D9F9" w14:textId="4E2D72B7"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Planned: 10</w:t>
            </w:r>
          </w:p>
        </w:tc>
        <w:tc>
          <w:tcPr>
            <w:tcW w:w="1371" w:type="dxa"/>
          </w:tcPr>
          <w:p w14:paraId="61021B52" w14:textId="01A391E9"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4"/>
                <w:szCs w:val="14"/>
              </w:rPr>
            </w:pPr>
            <w:r w:rsidRPr="00E45F7F">
              <w:rPr>
                <w:rFonts w:ascii="Arial" w:eastAsia="Arial" w:hAnsi="Arial" w:cs="Arial"/>
                <w:b/>
                <w:bCs/>
                <w:sz w:val="14"/>
                <w:szCs w:val="14"/>
              </w:rPr>
              <w:t>Planned/</w:t>
            </w:r>
            <w:r w:rsidR="00AC0B4D">
              <w:rPr>
                <w:rFonts w:ascii="Arial" w:eastAsia="Arial" w:hAnsi="Arial" w:cs="Arial"/>
                <w:b/>
                <w:bCs/>
                <w:sz w:val="14"/>
                <w:szCs w:val="14"/>
              </w:rPr>
              <w:br/>
            </w:r>
            <w:r w:rsidRPr="00E45F7F">
              <w:rPr>
                <w:rFonts w:ascii="Arial" w:eastAsia="Arial" w:hAnsi="Arial" w:cs="Arial"/>
                <w:b/>
                <w:bCs/>
                <w:sz w:val="14"/>
                <w:szCs w:val="14"/>
              </w:rPr>
              <w:t xml:space="preserve">Approved: 570 </w:t>
            </w:r>
          </w:p>
        </w:tc>
      </w:tr>
      <w:tr w:rsidR="006E0E99" w:rsidRPr="00A61567" w14:paraId="15F49C3E" w14:textId="77777777" w:rsidTr="00860831">
        <w:tc>
          <w:tcPr>
            <w:cnfStyle w:val="001000000000" w:firstRow="0" w:lastRow="0" w:firstColumn="1" w:lastColumn="0" w:oddVBand="0" w:evenVBand="0" w:oddHBand="0" w:evenHBand="0" w:firstRowFirstColumn="0" w:firstRowLastColumn="0" w:lastRowFirstColumn="0" w:lastRowLastColumn="0"/>
            <w:tcW w:w="1114" w:type="dxa"/>
            <w:vMerge/>
          </w:tcPr>
          <w:p w14:paraId="0DE646F4" w14:textId="77777777" w:rsidR="006E0E99" w:rsidRPr="007A70DD" w:rsidRDefault="006E0E99" w:rsidP="00E0627C">
            <w:pPr>
              <w:spacing w:before="40" w:after="40"/>
              <w:rPr>
                <w:rFonts w:ascii="Arial" w:eastAsia="Arial" w:hAnsi="Arial" w:cs="Arial"/>
                <w:sz w:val="14"/>
                <w:szCs w:val="14"/>
              </w:rPr>
            </w:pPr>
          </w:p>
        </w:tc>
        <w:tc>
          <w:tcPr>
            <w:tcW w:w="2846" w:type="dxa"/>
            <w:vMerge/>
          </w:tcPr>
          <w:p w14:paraId="563CC05A" w14:textId="77777777" w:rsidR="006E0E99" w:rsidRPr="007A70DD"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928" w:type="dxa"/>
            <w:vMerge/>
          </w:tcPr>
          <w:p w14:paraId="73AC21FF" w14:textId="77777777" w:rsidR="006E0E99" w:rsidRPr="007A70DD"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p>
        </w:tc>
        <w:tc>
          <w:tcPr>
            <w:tcW w:w="1290" w:type="dxa"/>
          </w:tcPr>
          <w:p w14:paraId="2DA123A8" w14:textId="6EF736F8"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500</w:t>
            </w:r>
          </w:p>
        </w:tc>
        <w:tc>
          <w:tcPr>
            <w:tcW w:w="1370" w:type="dxa"/>
          </w:tcPr>
          <w:p w14:paraId="19E1ACCA" w14:textId="1D04B6FD"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10</w:t>
            </w:r>
          </w:p>
        </w:tc>
        <w:tc>
          <w:tcPr>
            <w:tcW w:w="1370" w:type="dxa"/>
          </w:tcPr>
          <w:p w14:paraId="01AE832D" w14:textId="58ECDB27"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20</w:t>
            </w:r>
          </w:p>
        </w:tc>
        <w:tc>
          <w:tcPr>
            <w:tcW w:w="1371" w:type="dxa"/>
          </w:tcPr>
          <w:p w14:paraId="1EEAF4E5" w14:textId="11A05FCE"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0</w:t>
            </w:r>
          </w:p>
        </w:tc>
        <w:tc>
          <w:tcPr>
            <w:tcW w:w="1370" w:type="dxa"/>
          </w:tcPr>
          <w:p w14:paraId="36C1BABA" w14:textId="5088263F"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60</w:t>
            </w:r>
          </w:p>
        </w:tc>
        <w:tc>
          <w:tcPr>
            <w:tcW w:w="1370" w:type="dxa"/>
          </w:tcPr>
          <w:p w14:paraId="412551A1" w14:textId="12301283"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sidRPr="00E45F7F">
              <w:rPr>
                <w:rFonts w:ascii="Arial" w:eastAsia="Arial" w:hAnsi="Arial" w:cs="Arial"/>
                <w:sz w:val="14"/>
                <w:szCs w:val="14"/>
              </w:rPr>
              <w:t>Actual: 10</w:t>
            </w:r>
          </w:p>
        </w:tc>
        <w:tc>
          <w:tcPr>
            <w:tcW w:w="1371" w:type="dxa"/>
          </w:tcPr>
          <w:p w14:paraId="4FB96215" w14:textId="5942D3FA" w:rsidR="006E0E99" w:rsidRPr="00E45F7F" w:rsidRDefault="006E0E99" w:rsidP="00E0627C">
            <w:pPr>
              <w:spacing w:before="40" w:after="40"/>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14"/>
                <w:szCs w:val="14"/>
              </w:rPr>
            </w:pPr>
            <w:r w:rsidRPr="00E45F7F">
              <w:rPr>
                <w:rFonts w:ascii="Arial" w:eastAsia="Arial" w:hAnsi="Arial" w:cs="Arial"/>
                <w:b/>
                <w:bCs/>
                <w:sz w:val="14"/>
                <w:szCs w:val="14"/>
              </w:rPr>
              <w:t>Actual: 620</w:t>
            </w:r>
          </w:p>
        </w:tc>
      </w:tr>
    </w:tbl>
    <w:p w14:paraId="0EA2F77E" w14:textId="77777777" w:rsidR="00872347" w:rsidRPr="00E45F7F" w:rsidRDefault="00872347" w:rsidP="00872347">
      <w:pPr>
        <w:pStyle w:val="Note"/>
        <w:rPr>
          <w:bCs/>
        </w:rPr>
      </w:pPr>
      <w:r w:rsidRPr="00E45F7F">
        <w:t xml:space="preserve">Notes: </w:t>
      </w:r>
    </w:p>
    <w:p w14:paraId="1CFD4666" w14:textId="4BB35A98" w:rsidR="00872347" w:rsidRPr="007A70DD" w:rsidRDefault="00C153D7" w:rsidP="00AC0B4D">
      <w:pPr>
        <w:pStyle w:val="Note"/>
        <w:spacing w:before="20" w:after="20"/>
        <w:ind w:left="403" w:hanging="403"/>
        <w:contextualSpacing w:val="0"/>
      </w:pPr>
      <w:r w:rsidRPr="00C153D7">
        <w:rPr>
          <w:bCs/>
        </w:rPr>
        <w:t>(a)</w:t>
      </w:r>
      <w:r>
        <w:rPr>
          <w:b/>
        </w:rPr>
        <w:tab/>
      </w:r>
      <w:r w:rsidR="00872347" w:rsidRPr="007A70DD">
        <w:rPr>
          <w:b/>
        </w:rPr>
        <w:t>Approved</w:t>
      </w:r>
      <w:r w:rsidR="00872347" w:rsidRPr="007A70DD">
        <w:t xml:space="preserve"> ‘Advertising (media) expenditure’ is the amount approved for each campaign by the Advertising Approval Group (AAG).</w:t>
      </w:r>
    </w:p>
    <w:p w14:paraId="3B8279EE" w14:textId="64694BC0" w:rsidR="00872347" w:rsidRPr="00E45F7F" w:rsidRDefault="00C153D7" w:rsidP="00AC0B4D">
      <w:pPr>
        <w:pStyle w:val="Note"/>
        <w:spacing w:before="20" w:after="20"/>
        <w:ind w:left="403" w:hanging="403"/>
        <w:contextualSpacing w:val="0"/>
        <w:rPr>
          <w:bCs/>
          <w:vertAlign w:val="superscript"/>
        </w:rPr>
      </w:pPr>
      <w:r w:rsidRPr="00C153D7">
        <w:rPr>
          <w:bCs/>
        </w:rPr>
        <w:t>(b)</w:t>
      </w:r>
      <w:r>
        <w:rPr>
          <w:b/>
        </w:rPr>
        <w:tab/>
      </w:r>
      <w:r w:rsidR="00872347" w:rsidRPr="007A70DD">
        <w:rPr>
          <w:b/>
        </w:rPr>
        <w:t>Planned</w:t>
      </w:r>
      <w:r w:rsidR="00872347" w:rsidRPr="007A70DD">
        <w:t xml:space="preserve"> campaign expenditure amounts are the amounts included in the Campaign Strategy form submitted to the AAG for review.</w:t>
      </w:r>
    </w:p>
    <w:p w14:paraId="178C6A81" w14:textId="466CCFB8" w:rsidR="00872347" w:rsidRPr="00E45F7F" w:rsidRDefault="00C153D7" w:rsidP="00AC0B4D">
      <w:pPr>
        <w:pStyle w:val="Note"/>
        <w:spacing w:before="20" w:after="20"/>
        <w:ind w:left="403" w:hanging="403"/>
        <w:contextualSpacing w:val="0"/>
        <w:rPr>
          <w:bCs/>
        </w:rPr>
      </w:pPr>
      <w:r>
        <w:t>(c)</w:t>
      </w:r>
      <w:r w:rsidR="00872347" w:rsidRPr="00E45F7F">
        <w:t xml:space="preserve"> </w:t>
      </w:r>
      <w:r w:rsidR="00AC0B4D">
        <w:tab/>
      </w:r>
      <w:r w:rsidR="00872347" w:rsidRPr="00E45F7F">
        <w:t>Actual creative and campaign development expenditure for this campaign was higher than planned, to allow for an expansion in the number of multicultural communities targeted by the campaign, leading to an increase in translation and creative development costs.</w:t>
      </w:r>
    </w:p>
    <w:p w14:paraId="00DE9A27" w14:textId="5A07175A" w:rsidR="00872347" w:rsidRPr="007A70DD" w:rsidRDefault="00C153D7" w:rsidP="00AC0B4D">
      <w:pPr>
        <w:pStyle w:val="Note"/>
        <w:spacing w:before="20" w:after="20"/>
        <w:ind w:left="403" w:hanging="403"/>
        <w:contextualSpacing w:val="0"/>
        <w:rPr>
          <w:bCs/>
        </w:rPr>
      </w:pPr>
      <w:r>
        <w:t>(d)</w:t>
      </w:r>
      <w:r w:rsidR="00872347" w:rsidRPr="00E45F7F">
        <w:t xml:space="preserve"> </w:t>
      </w:r>
      <w:r w:rsidR="00AC0B4D">
        <w:tab/>
      </w:r>
      <w:r w:rsidR="00872347" w:rsidRPr="00E45F7F">
        <w:t xml:space="preserve">Demand for printed posters and other printed campaign collateral (from local councils and libraries) was higher than expected, leading to an increase in print costs for this campaign. </w:t>
      </w:r>
    </w:p>
    <w:p w14:paraId="357EF152" w14:textId="77777777" w:rsidR="003C77FB" w:rsidRDefault="003C77FB" w:rsidP="006E0E99">
      <w:pPr>
        <w:pStyle w:val="Caption"/>
      </w:pPr>
    </w:p>
    <w:p w14:paraId="02501660" w14:textId="77777777" w:rsidR="00D023FB" w:rsidRDefault="00D023FB" w:rsidP="00D023FB"/>
    <w:p w14:paraId="46887BF2" w14:textId="77777777" w:rsidR="00D023FB" w:rsidRPr="00D023FB" w:rsidRDefault="00D023FB" w:rsidP="00D023FB"/>
    <w:p w14:paraId="59272D92" w14:textId="77777777" w:rsidR="001108F3" w:rsidRDefault="001108F3" w:rsidP="003C77FB">
      <w:pPr>
        <w:rPr>
          <w:rStyle w:val="Guidance"/>
        </w:rPr>
      </w:pPr>
    </w:p>
    <w:p w14:paraId="422751A8" w14:textId="236D8B22" w:rsidR="001108F3" w:rsidRPr="00D023FB" w:rsidRDefault="001108F3" w:rsidP="001108F3">
      <w:pPr>
        <w:pStyle w:val="GuidanceEnd"/>
        <w:sectPr w:rsidR="001108F3" w:rsidRPr="00D023FB" w:rsidSect="006E0E99">
          <w:headerReference w:type="default" r:id="rId66"/>
          <w:footerReference w:type="default" r:id="rId67"/>
          <w:pgSz w:w="16838" w:h="11906" w:orient="landscape" w:code="9"/>
          <w:pgMar w:top="1134" w:right="1134" w:bottom="1134" w:left="1134" w:header="624" w:footer="567" w:gutter="0"/>
          <w:cols w:space="708"/>
          <w:docGrid w:linePitch="360"/>
        </w:sectPr>
      </w:pPr>
    </w:p>
    <w:p w14:paraId="517445E4" w14:textId="77777777" w:rsidR="00B6464A" w:rsidRDefault="00B6464A" w:rsidP="00B6464A">
      <w:pPr>
        <w:pStyle w:val="GuidanceBlockHeading"/>
      </w:pPr>
      <w:bookmarkStart w:id="140" w:name="INDEX_Consultancy"/>
      <w:bookmarkEnd w:id="140"/>
      <w:r>
        <w:lastRenderedPageBreak/>
        <w:t>Guidance – Government advertising expenditure</w:t>
      </w:r>
    </w:p>
    <w:p w14:paraId="74AA11EB" w14:textId="028EF5E4" w:rsidR="00B6464A" w:rsidRPr="000A09C4" w:rsidRDefault="00B6464A" w:rsidP="00B6464A">
      <w:pPr>
        <w:rPr>
          <w:rStyle w:val="Guidance"/>
        </w:rPr>
      </w:pPr>
      <w:r>
        <w:rPr>
          <w:rStyle w:val="Guidance"/>
        </w:rPr>
        <w:t xml:space="preserve">The government advertising disclosure has been updated based on recommendations made by VAGO as part of their </w:t>
      </w:r>
      <w:r w:rsidRPr="0056087A">
        <w:rPr>
          <w:rStyle w:val="Guidance"/>
          <w:i/>
          <w:iCs/>
        </w:rPr>
        <w:t>Government Advertising</w:t>
      </w:r>
      <w:r>
        <w:rPr>
          <w:rStyle w:val="Guidance"/>
        </w:rPr>
        <w:t xml:space="preserve"> report. </w:t>
      </w:r>
      <w:r w:rsidRPr="000A09C4">
        <w:rPr>
          <w:rStyle w:val="Guidance"/>
        </w:rPr>
        <w:t xml:space="preserve">In accordance with FRD 22, for each government advertising campaign with total media buy of $100 000 or greater (exclusive of GST), an entity should include a schedule listing the following: </w:t>
      </w:r>
      <w:r w:rsidRPr="00466C95">
        <w:rPr>
          <w:rStyle w:val="Reference"/>
        </w:rPr>
        <w:t>[FRD 22</w:t>
      </w:r>
      <w:r>
        <w:rPr>
          <w:rStyle w:val="Reference"/>
        </w:rPr>
        <w:t xml:space="preserve"> Paragraph 5.15</w:t>
      </w:r>
      <w:r w:rsidRPr="00466C95">
        <w:rPr>
          <w:rStyle w:val="Reference"/>
        </w:rPr>
        <w:t>]</w:t>
      </w:r>
    </w:p>
    <w:p w14:paraId="3B7E5943" w14:textId="77777777" w:rsidR="00B6464A" w:rsidRPr="000A09C4" w:rsidRDefault="00B6464A" w:rsidP="00B6464A">
      <w:pPr>
        <w:pStyle w:val="ListBullet"/>
        <w:rPr>
          <w:rStyle w:val="Guidance"/>
        </w:rPr>
      </w:pPr>
      <w:r>
        <w:rPr>
          <w:rStyle w:val="Guidance"/>
        </w:rPr>
        <w:t xml:space="preserve">the </w:t>
      </w:r>
      <w:r w:rsidRPr="000A09C4">
        <w:rPr>
          <w:rStyle w:val="Guidance"/>
        </w:rPr>
        <w:t xml:space="preserve">name of </w:t>
      </w:r>
      <w:r>
        <w:rPr>
          <w:rStyle w:val="Guidance"/>
        </w:rPr>
        <w:t xml:space="preserve">the </w:t>
      </w:r>
      <w:r w:rsidRPr="000A09C4">
        <w:rPr>
          <w:rStyle w:val="Guidance"/>
        </w:rPr>
        <w:t>advertising campaign</w:t>
      </w:r>
    </w:p>
    <w:p w14:paraId="79332099" w14:textId="77777777" w:rsidR="00B6464A" w:rsidRPr="000A09C4" w:rsidRDefault="00B6464A" w:rsidP="00B6464A">
      <w:pPr>
        <w:pStyle w:val="ListBullet"/>
        <w:rPr>
          <w:rStyle w:val="Guidance"/>
        </w:rPr>
      </w:pPr>
      <w:r>
        <w:rPr>
          <w:rStyle w:val="Guidance"/>
        </w:rPr>
        <w:t xml:space="preserve">the </w:t>
      </w:r>
      <w:r w:rsidRPr="000A09C4">
        <w:rPr>
          <w:rStyle w:val="Guidance"/>
        </w:rPr>
        <w:t xml:space="preserve">start and end date of </w:t>
      </w:r>
      <w:r>
        <w:rPr>
          <w:rStyle w:val="Guidance"/>
        </w:rPr>
        <w:t xml:space="preserve">the </w:t>
      </w:r>
      <w:r w:rsidRPr="000A09C4">
        <w:rPr>
          <w:rStyle w:val="Guidance"/>
        </w:rPr>
        <w:t>campaign</w:t>
      </w:r>
    </w:p>
    <w:p w14:paraId="397695CD" w14:textId="77777777" w:rsidR="00B6464A" w:rsidRPr="000A09C4" w:rsidRDefault="00B6464A" w:rsidP="00B6464A">
      <w:pPr>
        <w:pStyle w:val="ListBullet"/>
        <w:rPr>
          <w:rStyle w:val="Guidance"/>
        </w:rPr>
      </w:pPr>
      <w:r>
        <w:rPr>
          <w:rStyle w:val="Guidance"/>
        </w:rPr>
        <w:t xml:space="preserve">a </w:t>
      </w:r>
      <w:r w:rsidRPr="000A09C4">
        <w:rPr>
          <w:rStyle w:val="Guidance"/>
        </w:rPr>
        <w:t>campaign summary</w:t>
      </w:r>
    </w:p>
    <w:p w14:paraId="155DBC02" w14:textId="77777777" w:rsidR="00B6464A" w:rsidRPr="000A09C4" w:rsidRDefault="00B6464A" w:rsidP="00B6464A">
      <w:pPr>
        <w:pStyle w:val="ListBullet"/>
        <w:rPr>
          <w:rStyle w:val="Guidance"/>
        </w:rPr>
      </w:pPr>
      <w:r>
        <w:rPr>
          <w:rStyle w:val="Guidance"/>
        </w:rPr>
        <w:t>d</w:t>
      </w:r>
      <w:r w:rsidRPr="000A09C4">
        <w:rPr>
          <w:rStyle w:val="Guidance"/>
        </w:rPr>
        <w:t>etails of campaign expenditure for the reporting period (exclusive of GST) including:</w:t>
      </w:r>
    </w:p>
    <w:p w14:paraId="480246BB" w14:textId="77777777" w:rsidR="00B6464A" w:rsidRPr="000A09C4" w:rsidRDefault="00B6464A" w:rsidP="00052D9B">
      <w:pPr>
        <w:pStyle w:val="ListBullet2"/>
        <w:rPr>
          <w:rStyle w:val="Guidance"/>
        </w:rPr>
      </w:pPr>
      <w:r w:rsidRPr="000A09C4">
        <w:rPr>
          <w:rStyle w:val="Guidance"/>
        </w:rPr>
        <w:t>advertising (media)</w:t>
      </w:r>
    </w:p>
    <w:p w14:paraId="1A606202" w14:textId="77777777" w:rsidR="00B6464A" w:rsidRPr="000A09C4" w:rsidRDefault="00B6464A" w:rsidP="00052D9B">
      <w:pPr>
        <w:pStyle w:val="ListBullet2"/>
        <w:rPr>
          <w:rStyle w:val="Guidance"/>
        </w:rPr>
      </w:pPr>
      <w:r w:rsidRPr="000A09C4">
        <w:rPr>
          <w:rStyle w:val="Guidance"/>
        </w:rPr>
        <w:t>creative and campaign development</w:t>
      </w:r>
    </w:p>
    <w:p w14:paraId="7E9C93AE" w14:textId="77777777" w:rsidR="00B6464A" w:rsidRDefault="00B6464A" w:rsidP="00052D9B">
      <w:pPr>
        <w:pStyle w:val="ListBullet2"/>
        <w:rPr>
          <w:rStyle w:val="Guidance"/>
        </w:rPr>
      </w:pPr>
      <w:r w:rsidRPr="000A09C4">
        <w:rPr>
          <w:rStyle w:val="Guidance"/>
        </w:rPr>
        <w:t>research</w:t>
      </w:r>
    </w:p>
    <w:p w14:paraId="57DA79D0" w14:textId="77777777" w:rsidR="00B6464A" w:rsidRDefault="00B6464A" w:rsidP="00052D9B">
      <w:pPr>
        <w:pStyle w:val="ListBullet2"/>
        <w:rPr>
          <w:rStyle w:val="Guidance"/>
        </w:rPr>
      </w:pPr>
      <w:r>
        <w:rPr>
          <w:rStyle w:val="Guidance"/>
        </w:rPr>
        <w:t>post-campaign evaluation</w:t>
      </w:r>
    </w:p>
    <w:p w14:paraId="73800749" w14:textId="77777777" w:rsidR="00B6464A" w:rsidRPr="000A09C4" w:rsidRDefault="00B6464A" w:rsidP="00052D9B">
      <w:pPr>
        <w:pStyle w:val="ListBullet2"/>
        <w:rPr>
          <w:rStyle w:val="Guidance"/>
        </w:rPr>
      </w:pPr>
      <w:r w:rsidRPr="000A09C4">
        <w:rPr>
          <w:rStyle w:val="Guidance"/>
        </w:rPr>
        <w:t>print and collateral</w:t>
      </w:r>
    </w:p>
    <w:p w14:paraId="11A47CD9" w14:textId="77777777" w:rsidR="00B6464A" w:rsidRDefault="00B6464A" w:rsidP="00052D9B">
      <w:pPr>
        <w:pStyle w:val="ListBullet2"/>
        <w:rPr>
          <w:rStyle w:val="Guidance"/>
        </w:rPr>
      </w:pPr>
      <w:r w:rsidRPr="000A09C4">
        <w:rPr>
          <w:rStyle w:val="Guidance"/>
        </w:rPr>
        <w:t>other campaign costs.</w:t>
      </w:r>
    </w:p>
    <w:p w14:paraId="6E565816" w14:textId="77777777" w:rsidR="00B6464A" w:rsidRDefault="00B6464A" w:rsidP="00B6464A">
      <w:pPr>
        <w:pStyle w:val="ListBullet"/>
        <w:rPr>
          <w:rStyle w:val="Guidance"/>
        </w:rPr>
      </w:pPr>
      <w:r w:rsidRPr="007D3BDF">
        <w:rPr>
          <w:rStyle w:val="Guidance"/>
        </w:rPr>
        <w:t>where actual campaign expenditure significantly exceeds the approved/proposed campaign expenditure, entities are required to provide an explanation for this variance</w:t>
      </w:r>
      <w:r>
        <w:rPr>
          <w:rStyle w:val="Guidance"/>
        </w:rPr>
        <w:t>.</w:t>
      </w:r>
    </w:p>
    <w:p w14:paraId="017E3A3C" w14:textId="336F7F39" w:rsidR="00B6464A" w:rsidRDefault="00B6464A" w:rsidP="00B6464A">
      <w:pPr>
        <w:pStyle w:val="GuidanceHeading"/>
      </w:pPr>
      <w:r>
        <w:t xml:space="preserve">Nil report statement </w:t>
      </w:r>
      <w:r w:rsidRPr="20EC4723">
        <w:rPr>
          <w:rStyle w:val="Reference"/>
        </w:rPr>
        <w:t>[Recommendation 49, PAEC Review of the Performance Measurement and Reporting System]</w:t>
      </w:r>
    </w:p>
    <w:p w14:paraId="628CB52F" w14:textId="77777777" w:rsidR="00B6464A" w:rsidRDefault="00B6464A" w:rsidP="00B6464A">
      <w:pPr>
        <w:rPr>
          <w:rStyle w:val="Guidance"/>
        </w:rPr>
      </w:pPr>
      <w:r w:rsidRPr="000A09C4">
        <w:rPr>
          <w:rStyle w:val="Guidance"/>
        </w:rPr>
        <w:t>An explicit statement of ‘nil reports’ is required where the relevant activities or circumstances do not trigger the disclosure threshold of $100 000 on government advertising expenditure.</w:t>
      </w:r>
    </w:p>
    <w:p w14:paraId="4B0FBE6A" w14:textId="77777777" w:rsidR="00B6464A" w:rsidRDefault="00B6464A" w:rsidP="00B6464A">
      <w:pPr>
        <w:rPr>
          <w:rStyle w:val="Guidance"/>
        </w:rPr>
      </w:pPr>
    </w:p>
    <w:p w14:paraId="418B001B" w14:textId="589D205E" w:rsidR="00DC39DE" w:rsidRDefault="00DC39DE" w:rsidP="000A09C4">
      <w:pPr>
        <w:pStyle w:val="Heading2"/>
      </w:pPr>
      <w:bookmarkStart w:id="141" w:name="_Toc199156288"/>
      <w:r>
        <w:t>Consultancy expenditure</w:t>
      </w:r>
      <w:bookmarkEnd w:id="141"/>
    </w:p>
    <w:p w14:paraId="73A6442E" w14:textId="75755CFB" w:rsidR="000A09C4" w:rsidRDefault="000A09C4" w:rsidP="000A09C4">
      <w:pPr>
        <w:pStyle w:val="Heading3"/>
      </w:pPr>
      <w:bookmarkStart w:id="142" w:name="_Details_of_consultancies"/>
      <w:bookmarkEnd w:id="142"/>
      <w:r>
        <w:t xml:space="preserve">Details of consultancies (valued at $10 000 or greater) </w:t>
      </w:r>
      <w:r w:rsidRPr="20EC4723">
        <w:rPr>
          <w:rStyle w:val="Reference"/>
        </w:rPr>
        <w:t>[FRD 22/ Recommendation 71, PAEC</w:t>
      </w:r>
      <w:r w:rsidR="436AE5D4" w:rsidRPr="20EC4723">
        <w:rPr>
          <w:rStyle w:val="Reference"/>
        </w:rPr>
        <w:t xml:space="preserve"> Report on the 2007-08 Financial and Performance Outcomes</w:t>
      </w:r>
      <w:r w:rsidRPr="20EC4723">
        <w:rPr>
          <w:rStyle w:val="Reference"/>
        </w:rPr>
        <w:t>]</w:t>
      </w:r>
    </w:p>
    <w:p w14:paraId="3BCE70C1" w14:textId="2CA44281" w:rsidR="000A09C4" w:rsidRDefault="000A09C4" w:rsidP="000A09C4">
      <w:r>
        <w:t xml:space="preserve">In </w:t>
      </w:r>
      <w:fldSimple w:instr="DOCPROPERTY  FinYearCurrent  \* MERGEFORMAT">
        <w:r w:rsidR="000E6299">
          <w:t>20X1</w:t>
        </w:r>
        <w:r w:rsidR="000E6299" w:rsidRPr="000E6299">
          <w:rPr>
            <w:rFonts w:ascii="Cambria Math" w:hAnsi="Cambria Math" w:cs="Cambria Math"/>
          </w:rPr>
          <w:t>‑</w:t>
        </w:r>
        <w:r w:rsidR="000E6299">
          <w:t>X2</w:t>
        </w:r>
      </w:fldSimple>
      <w:r>
        <w:t xml:space="preserve">, there were three consultancies where the total fees payable to the consultants were $10 000 or greater. The total expenditure incurred during </w:t>
      </w:r>
      <w:fldSimple w:instr="DOCPROPERTY  FinYearCurrent  \* MERGEFORMAT">
        <w:r w:rsidR="000E6299">
          <w:t>20X1</w:t>
        </w:r>
        <w:r w:rsidR="000E6299" w:rsidRPr="000E6299">
          <w:rPr>
            <w:rFonts w:ascii="Cambria Math" w:hAnsi="Cambria Math" w:cs="Cambria Math"/>
          </w:rPr>
          <w:t>‑</w:t>
        </w:r>
        <w:r w:rsidR="000E6299">
          <w:t>X2</w:t>
        </w:r>
      </w:fldSimple>
      <w:r>
        <w:t xml:space="preserve"> in relation to these consultancies is $1.65 million (excluding GST). Details of individual consultancies are outlined below </w:t>
      </w:r>
      <w:r w:rsidRPr="000A09C4">
        <w:rPr>
          <w:rStyle w:val="Guidance"/>
        </w:rPr>
        <w:t>[insert website address if the entity chooses to report detailed disclosure online]</w:t>
      </w:r>
      <w:r>
        <w:t>.</w:t>
      </w:r>
    </w:p>
    <w:p w14:paraId="7AEB897B" w14:textId="77777777" w:rsidR="00A12F8A" w:rsidRDefault="000A09C4" w:rsidP="000A09C4">
      <w:pPr>
        <w:pStyle w:val="Caption"/>
      </w:pPr>
      <w:r>
        <w:tab/>
      </w:r>
      <w:r>
        <w:tab/>
      </w:r>
      <w:r w:rsidR="00DC39DE">
        <w:t>($ thousand)</w:t>
      </w:r>
    </w:p>
    <w:tbl>
      <w:tblPr>
        <w:tblStyle w:val="DTFFinancialTable"/>
        <w:tblW w:w="9639" w:type="dxa"/>
        <w:tblLayout w:type="fixed"/>
        <w:tblLook w:val="06A0" w:firstRow="1" w:lastRow="0" w:firstColumn="1" w:lastColumn="0" w:noHBand="1" w:noVBand="1"/>
      </w:tblPr>
      <w:tblGrid>
        <w:gridCol w:w="1213"/>
        <w:gridCol w:w="2473"/>
        <w:gridCol w:w="1134"/>
        <w:gridCol w:w="1276"/>
        <w:gridCol w:w="1275"/>
        <w:gridCol w:w="1134"/>
        <w:gridCol w:w="1134"/>
      </w:tblGrid>
      <w:tr w:rsidR="00A12F8A" w:rsidRPr="00107A54" w14:paraId="2637328A" w14:textId="77777777" w:rsidTr="000928B1">
        <w:trPr>
          <w:cnfStyle w:val="100000000000" w:firstRow="1" w:lastRow="0" w:firstColumn="0" w:lastColumn="0" w:oddVBand="0" w:evenVBand="0" w:oddHBand="0" w:evenHBand="0" w:firstRowFirstColumn="0" w:firstRowLastColumn="0" w:lastRowFirstColumn="0" w:lastRowLastColumn="0"/>
          <w:trHeight w:val="482"/>
        </w:trPr>
        <w:tc>
          <w:tcPr>
            <w:cnfStyle w:val="001000000100" w:firstRow="0" w:lastRow="0" w:firstColumn="1" w:lastColumn="0" w:oddVBand="0" w:evenVBand="0" w:oddHBand="0" w:evenHBand="0" w:firstRowFirstColumn="1" w:firstRowLastColumn="0" w:lastRowFirstColumn="0" w:lastRowLastColumn="0"/>
            <w:tcW w:w="1213" w:type="dxa"/>
          </w:tcPr>
          <w:p w14:paraId="390633BD" w14:textId="77777777" w:rsidR="00A12F8A" w:rsidRPr="00107A54" w:rsidRDefault="00A12F8A" w:rsidP="00896AD0">
            <w:r w:rsidRPr="00107A54">
              <w:t>Consultant</w:t>
            </w:r>
          </w:p>
        </w:tc>
        <w:tc>
          <w:tcPr>
            <w:tcW w:w="2473" w:type="dxa"/>
          </w:tcPr>
          <w:p w14:paraId="3DFB9D79" w14:textId="77777777" w:rsidR="00A12F8A" w:rsidRPr="00107A54" w:rsidRDefault="00A12F8A" w:rsidP="00896AD0">
            <w:pPr>
              <w:jc w:val="left"/>
              <w:cnfStyle w:val="100000000000" w:firstRow="1" w:lastRow="0" w:firstColumn="0" w:lastColumn="0" w:oddVBand="0" w:evenVBand="0" w:oddHBand="0" w:evenHBand="0" w:firstRowFirstColumn="0" w:firstRowLastColumn="0" w:lastRowFirstColumn="0" w:lastRowLastColumn="0"/>
            </w:pPr>
            <w:r w:rsidRPr="00107A54">
              <w:t xml:space="preserve">Purpose of </w:t>
            </w:r>
            <w:r w:rsidRPr="00107A54">
              <w:br/>
              <w:t>consultancy</w:t>
            </w:r>
          </w:p>
        </w:tc>
        <w:tc>
          <w:tcPr>
            <w:tcW w:w="1134" w:type="dxa"/>
          </w:tcPr>
          <w:p w14:paraId="78D4ED31" w14:textId="77777777" w:rsidR="00A12F8A" w:rsidRPr="00107A54" w:rsidRDefault="00A12F8A" w:rsidP="00AC0B4D">
            <w:pPr>
              <w:cnfStyle w:val="100000000000" w:firstRow="1" w:lastRow="0" w:firstColumn="0" w:lastColumn="0" w:oddVBand="0" w:evenVBand="0" w:oddHBand="0" w:evenHBand="0" w:firstRowFirstColumn="0" w:firstRowLastColumn="0" w:lastRowFirstColumn="0" w:lastRowLastColumn="0"/>
            </w:pPr>
            <w:r w:rsidRPr="00107A54">
              <w:t>Start date</w:t>
            </w:r>
          </w:p>
        </w:tc>
        <w:tc>
          <w:tcPr>
            <w:tcW w:w="1276" w:type="dxa"/>
          </w:tcPr>
          <w:p w14:paraId="1B9C6085" w14:textId="77777777" w:rsidR="00A12F8A" w:rsidRPr="00107A54" w:rsidRDefault="00A12F8A" w:rsidP="00AC0B4D">
            <w:pPr>
              <w:cnfStyle w:val="100000000000" w:firstRow="1" w:lastRow="0" w:firstColumn="0" w:lastColumn="0" w:oddVBand="0" w:evenVBand="0" w:oddHBand="0" w:evenHBand="0" w:firstRowFirstColumn="0" w:firstRowLastColumn="0" w:lastRowFirstColumn="0" w:lastRowLastColumn="0"/>
            </w:pPr>
            <w:r w:rsidRPr="00107A54">
              <w:t>End date</w:t>
            </w:r>
          </w:p>
        </w:tc>
        <w:tc>
          <w:tcPr>
            <w:tcW w:w="1275" w:type="dxa"/>
          </w:tcPr>
          <w:p w14:paraId="592FA18F" w14:textId="77777777" w:rsidR="00A12F8A" w:rsidRPr="00107A54" w:rsidRDefault="00A12F8A" w:rsidP="00AC0B4D">
            <w:pPr>
              <w:cnfStyle w:val="100000000000" w:firstRow="1" w:lastRow="0" w:firstColumn="0" w:lastColumn="0" w:oddVBand="0" w:evenVBand="0" w:oddHBand="0" w:evenHBand="0" w:firstRowFirstColumn="0" w:firstRowLastColumn="0" w:lastRowFirstColumn="0" w:lastRowLastColumn="0"/>
            </w:pPr>
            <w:r w:rsidRPr="00107A54">
              <w:t>Total approved project fee (excl. GST)</w:t>
            </w:r>
          </w:p>
        </w:tc>
        <w:tc>
          <w:tcPr>
            <w:tcW w:w="1134" w:type="dxa"/>
          </w:tcPr>
          <w:p w14:paraId="1355E396" w14:textId="75C1ACEF" w:rsidR="00A12F8A" w:rsidRPr="00107A54" w:rsidRDefault="00A12F8A" w:rsidP="00AC0B4D">
            <w:pPr>
              <w:cnfStyle w:val="100000000000" w:firstRow="1" w:lastRow="0" w:firstColumn="0" w:lastColumn="0" w:oddVBand="0" w:evenVBand="0" w:oddHBand="0" w:evenHBand="0" w:firstRowFirstColumn="0" w:firstRowLastColumn="0" w:lastRowFirstColumn="0" w:lastRowLastColumn="0"/>
            </w:pPr>
            <w:r w:rsidRPr="00107A54">
              <w:t xml:space="preserve">Expenditure </w:t>
            </w:r>
            <w:fldSimple w:instr="DOCPROPERTY  FinYearCurrent  \* MERGEFORMAT">
              <w:r w:rsidR="00A545BA">
                <w:t>20X1</w:t>
              </w:r>
              <w:r w:rsidR="00A545BA" w:rsidRPr="00A545BA">
                <w:rPr>
                  <w:rFonts w:ascii="Cambria Math" w:hAnsi="Cambria Math" w:cs="Cambria Math"/>
                </w:rPr>
                <w:t>‑</w:t>
              </w:r>
              <w:r w:rsidR="00A545BA">
                <w:t>22</w:t>
              </w:r>
            </w:fldSimple>
            <w:r w:rsidR="000928B1">
              <w:t xml:space="preserve"> </w:t>
            </w:r>
            <w:r w:rsidRPr="00107A54">
              <w:t>(excl. GST)</w:t>
            </w:r>
          </w:p>
        </w:tc>
        <w:tc>
          <w:tcPr>
            <w:tcW w:w="1134" w:type="dxa"/>
          </w:tcPr>
          <w:p w14:paraId="6108B5E6" w14:textId="77777777" w:rsidR="00A12F8A" w:rsidRPr="00107A54" w:rsidRDefault="00A12F8A" w:rsidP="00AC0B4D">
            <w:pPr>
              <w:cnfStyle w:val="100000000000" w:firstRow="1" w:lastRow="0" w:firstColumn="0" w:lastColumn="0" w:oddVBand="0" w:evenVBand="0" w:oddHBand="0" w:evenHBand="0" w:firstRowFirstColumn="0" w:firstRowLastColumn="0" w:lastRowFirstColumn="0" w:lastRowLastColumn="0"/>
            </w:pPr>
            <w:r w:rsidRPr="00107A54">
              <w:t>Future expenditure (excl. GST)</w:t>
            </w:r>
          </w:p>
        </w:tc>
      </w:tr>
      <w:tr w:rsidR="00A12F8A" w:rsidRPr="00107A54" w14:paraId="689D7C94" w14:textId="77777777" w:rsidTr="000928B1">
        <w:trPr>
          <w:trHeight w:val="361"/>
        </w:trPr>
        <w:tc>
          <w:tcPr>
            <w:cnfStyle w:val="001000000000" w:firstRow="0" w:lastRow="0" w:firstColumn="1" w:lastColumn="0" w:oddVBand="0" w:evenVBand="0" w:oddHBand="0" w:evenHBand="0" w:firstRowFirstColumn="0" w:firstRowLastColumn="0" w:lastRowFirstColumn="0" w:lastRowLastColumn="0"/>
            <w:tcW w:w="1213" w:type="dxa"/>
          </w:tcPr>
          <w:p w14:paraId="2E9AA6E2" w14:textId="77777777" w:rsidR="00A12F8A" w:rsidRPr="00107A54" w:rsidRDefault="00A12F8A" w:rsidP="000928B1">
            <w:r w:rsidRPr="00107A54">
              <w:t>Reedy Consultants</w:t>
            </w:r>
          </w:p>
        </w:tc>
        <w:tc>
          <w:tcPr>
            <w:tcW w:w="2473" w:type="dxa"/>
          </w:tcPr>
          <w:p w14:paraId="7E010244" w14:textId="77777777" w:rsidR="00A12F8A" w:rsidRPr="00107A54" w:rsidRDefault="00A12F8A" w:rsidP="00896AD0">
            <w:pPr>
              <w:jc w:val="left"/>
              <w:cnfStyle w:val="000000000000" w:firstRow="0" w:lastRow="0" w:firstColumn="0" w:lastColumn="0" w:oddVBand="0" w:evenVBand="0" w:oddHBand="0" w:evenHBand="0" w:firstRowFirstColumn="0" w:firstRowLastColumn="0" w:lastRowFirstColumn="0" w:lastRowLastColumn="0"/>
            </w:pPr>
            <w:r w:rsidRPr="00107A54">
              <w:t>Undertake community satisfaction measurement surveys</w:t>
            </w:r>
          </w:p>
        </w:tc>
        <w:tc>
          <w:tcPr>
            <w:tcW w:w="1134" w:type="dxa"/>
          </w:tcPr>
          <w:p w14:paraId="07C0E690" w14:textId="00491261"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 xml:space="preserve">1 Feb </w:t>
            </w:r>
            <w:fldSimple w:instr="DOCPROPERTY  YearCurrent  \* MERGEFORMAT">
              <w:r w:rsidR="00A545BA">
                <w:t>20X2</w:t>
              </w:r>
            </w:fldSimple>
          </w:p>
        </w:tc>
        <w:tc>
          <w:tcPr>
            <w:tcW w:w="1276" w:type="dxa"/>
          </w:tcPr>
          <w:p w14:paraId="0E59DF88" w14:textId="191F8656"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 xml:space="preserve">1 Apr </w:t>
            </w:r>
            <w:fldSimple w:instr="DOCPROPERTY  YearNext  \* MERGEFORMAT">
              <w:r w:rsidR="00A545BA">
                <w:t>20X3</w:t>
              </w:r>
            </w:fldSimple>
          </w:p>
        </w:tc>
        <w:tc>
          <w:tcPr>
            <w:tcW w:w="1275" w:type="dxa"/>
          </w:tcPr>
          <w:p w14:paraId="28E1273E"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1 200</w:t>
            </w:r>
          </w:p>
        </w:tc>
        <w:tc>
          <w:tcPr>
            <w:tcW w:w="1134" w:type="dxa"/>
          </w:tcPr>
          <w:p w14:paraId="60AB5043"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t>5</w:t>
            </w:r>
            <w:r w:rsidRPr="00107A54">
              <w:t>00</w:t>
            </w:r>
          </w:p>
        </w:tc>
        <w:tc>
          <w:tcPr>
            <w:tcW w:w="1134" w:type="dxa"/>
          </w:tcPr>
          <w:p w14:paraId="2732F2E8"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700</w:t>
            </w:r>
          </w:p>
        </w:tc>
      </w:tr>
      <w:tr w:rsidR="00A12F8A" w:rsidRPr="00107A54" w14:paraId="58428DF6" w14:textId="77777777" w:rsidTr="000928B1">
        <w:trPr>
          <w:trHeight w:val="74"/>
        </w:trPr>
        <w:tc>
          <w:tcPr>
            <w:cnfStyle w:val="001000000000" w:firstRow="0" w:lastRow="0" w:firstColumn="1" w:lastColumn="0" w:oddVBand="0" w:evenVBand="0" w:oddHBand="0" w:evenHBand="0" w:firstRowFirstColumn="0" w:firstRowLastColumn="0" w:lastRowFirstColumn="0" w:lastRowLastColumn="0"/>
            <w:tcW w:w="1213" w:type="dxa"/>
          </w:tcPr>
          <w:p w14:paraId="7CC132D9" w14:textId="08947165" w:rsidR="00A12F8A" w:rsidRPr="00107A54" w:rsidRDefault="00A12F8A" w:rsidP="000928B1">
            <w:r w:rsidRPr="00107A54">
              <w:t>GMPK</w:t>
            </w:r>
          </w:p>
        </w:tc>
        <w:tc>
          <w:tcPr>
            <w:tcW w:w="2473" w:type="dxa"/>
          </w:tcPr>
          <w:p w14:paraId="1AC89D0E" w14:textId="77777777" w:rsidR="00A12F8A" w:rsidRPr="00107A54" w:rsidRDefault="00A12F8A" w:rsidP="00896AD0">
            <w:pPr>
              <w:jc w:val="left"/>
              <w:cnfStyle w:val="000000000000" w:firstRow="0" w:lastRow="0" w:firstColumn="0" w:lastColumn="0" w:oddVBand="0" w:evenVBand="0" w:oddHBand="0" w:evenHBand="0" w:firstRowFirstColumn="0" w:firstRowLastColumn="0" w:lastRowFirstColumn="0" w:lastRowLastColumn="0"/>
            </w:pPr>
            <w:r w:rsidRPr="00107A54">
              <w:t>Advice on internal control functions</w:t>
            </w:r>
          </w:p>
        </w:tc>
        <w:tc>
          <w:tcPr>
            <w:tcW w:w="1134" w:type="dxa"/>
          </w:tcPr>
          <w:p w14:paraId="1D3DDD0F" w14:textId="3C705D80"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 xml:space="preserve">6 Nov </w:t>
            </w:r>
            <w:fldSimple w:instr="DOCPROPERTY  YearPrevious  \* MERGEFORMAT">
              <w:r w:rsidR="00A545BA">
                <w:t>20X1</w:t>
              </w:r>
            </w:fldSimple>
          </w:p>
        </w:tc>
        <w:tc>
          <w:tcPr>
            <w:tcW w:w="1276" w:type="dxa"/>
          </w:tcPr>
          <w:p w14:paraId="69563A0D" w14:textId="03B1DE11"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 xml:space="preserve">21 Jan </w:t>
            </w:r>
            <w:fldSimple w:instr="DOCPROPERTY  YearCurrent  \* MERGEFORMAT">
              <w:r w:rsidR="00A545BA">
                <w:t>20X2</w:t>
              </w:r>
            </w:fldSimple>
          </w:p>
        </w:tc>
        <w:tc>
          <w:tcPr>
            <w:tcW w:w="1275" w:type="dxa"/>
          </w:tcPr>
          <w:p w14:paraId="2BFDE801"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650</w:t>
            </w:r>
          </w:p>
        </w:tc>
        <w:tc>
          <w:tcPr>
            <w:tcW w:w="1134" w:type="dxa"/>
          </w:tcPr>
          <w:p w14:paraId="46BA3BB0"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650</w:t>
            </w:r>
          </w:p>
        </w:tc>
        <w:tc>
          <w:tcPr>
            <w:tcW w:w="1134" w:type="dxa"/>
          </w:tcPr>
          <w:p w14:paraId="7190BA28"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nil</w:t>
            </w:r>
          </w:p>
        </w:tc>
      </w:tr>
      <w:tr w:rsidR="00A12F8A" w:rsidRPr="00107A54" w14:paraId="46B5655B" w14:textId="77777777" w:rsidTr="000928B1">
        <w:trPr>
          <w:trHeight w:val="279"/>
        </w:trPr>
        <w:tc>
          <w:tcPr>
            <w:cnfStyle w:val="001000000000" w:firstRow="0" w:lastRow="0" w:firstColumn="1" w:lastColumn="0" w:oddVBand="0" w:evenVBand="0" w:oddHBand="0" w:evenHBand="0" w:firstRowFirstColumn="0" w:firstRowLastColumn="0" w:lastRowFirstColumn="0" w:lastRowLastColumn="0"/>
            <w:tcW w:w="1213" w:type="dxa"/>
          </w:tcPr>
          <w:p w14:paraId="0C4CF2E8" w14:textId="77777777" w:rsidR="00A12F8A" w:rsidRPr="00107A54" w:rsidRDefault="00A12F8A" w:rsidP="000928B1">
            <w:r w:rsidRPr="00107A54">
              <w:t>Morecroft and Crawford</w:t>
            </w:r>
          </w:p>
        </w:tc>
        <w:tc>
          <w:tcPr>
            <w:tcW w:w="2473" w:type="dxa"/>
          </w:tcPr>
          <w:p w14:paraId="7F0F6E44" w14:textId="77777777" w:rsidR="00A12F8A" w:rsidRPr="00107A54" w:rsidRDefault="00A12F8A" w:rsidP="00896AD0">
            <w:pPr>
              <w:jc w:val="left"/>
              <w:cnfStyle w:val="000000000000" w:firstRow="0" w:lastRow="0" w:firstColumn="0" w:lastColumn="0" w:oddVBand="0" w:evenVBand="0" w:oddHBand="0" w:evenHBand="0" w:firstRowFirstColumn="0" w:firstRowLastColumn="0" w:lastRowFirstColumn="0" w:lastRowLastColumn="0"/>
            </w:pPr>
            <w:r w:rsidRPr="00107A54">
              <w:t>Legal advisory services</w:t>
            </w:r>
          </w:p>
        </w:tc>
        <w:tc>
          <w:tcPr>
            <w:tcW w:w="1134" w:type="dxa"/>
          </w:tcPr>
          <w:p w14:paraId="0E062B8E" w14:textId="09BA0A52"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 xml:space="preserve">5 May </w:t>
            </w:r>
            <w:fldSimple w:instr="DOCPROPERTY  YearPrevious  \* MERGEFORMAT">
              <w:r w:rsidR="00A545BA">
                <w:t>20X1</w:t>
              </w:r>
            </w:fldSimple>
          </w:p>
        </w:tc>
        <w:tc>
          <w:tcPr>
            <w:tcW w:w="1276" w:type="dxa"/>
          </w:tcPr>
          <w:p w14:paraId="1DC19C03" w14:textId="1D5D4C29"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 xml:space="preserve">30 Sep </w:t>
            </w:r>
            <w:fldSimple w:instr="DOCPROPERTY  YearCurrent  \* MERGEFORMAT">
              <w:r w:rsidR="00A545BA">
                <w:t>20X2</w:t>
              </w:r>
            </w:fldSimple>
          </w:p>
        </w:tc>
        <w:tc>
          <w:tcPr>
            <w:tcW w:w="1275" w:type="dxa"/>
          </w:tcPr>
          <w:p w14:paraId="278AE620"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500</w:t>
            </w:r>
          </w:p>
        </w:tc>
        <w:tc>
          <w:tcPr>
            <w:tcW w:w="1134" w:type="dxa"/>
          </w:tcPr>
          <w:p w14:paraId="16AB1499"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500</w:t>
            </w:r>
          </w:p>
        </w:tc>
        <w:tc>
          <w:tcPr>
            <w:tcW w:w="1134" w:type="dxa"/>
          </w:tcPr>
          <w:p w14:paraId="3C41E32F" w14:textId="77777777" w:rsidR="00A12F8A" w:rsidRPr="00107A54" w:rsidRDefault="00A12F8A" w:rsidP="00AC0B4D">
            <w:pPr>
              <w:cnfStyle w:val="000000000000" w:firstRow="0" w:lastRow="0" w:firstColumn="0" w:lastColumn="0" w:oddVBand="0" w:evenVBand="0" w:oddHBand="0" w:evenHBand="0" w:firstRowFirstColumn="0" w:firstRowLastColumn="0" w:lastRowFirstColumn="0" w:lastRowLastColumn="0"/>
            </w:pPr>
            <w:r w:rsidRPr="00107A54">
              <w:t>nil</w:t>
            </w:r>
          </w:p>
        </w:tc>
      </w:tr>
    </w:tbl>
    <w:p w14:paraId="52D67002" w14:textId="1FE60822" w:rsidR="00DC39DE" w:rsidRPr="00D023FB" w:rsidRDefault="00DC39DE" w:rsidP="00D023FB">
      <w:pPr>
        <w:pStyle w:val="Note"/>
        <w:ind w:left="0" w:firstLine="0"/>
        <w:rPr>
          <w:color w:val="4472C4" w:themeColor="accent1"/>
        </w:rPr>
      </w:pPr>
      <w:r w:rsidRPr="000A09C4">
        <w:rPr>
          <w:rStyle w:val="Guidance"/>
        </w:rPr>
        <w:t>Note: [The disclosure on ‘start date’ and ‘end date’ of a consultancy is not a mandatory requirement of FRD 22.]</w:t>
      </w:r>
    </w:p>
    <w:p w14:paraId="0793E70E" w14:textId="77777777" w:rsidR="00DC39DE" w:rsidRDefault="00DC39DE" w:rsidP="000A09C4">
      <w:pPr>
        <w:pStyle w:val="Heading3"/>
      </w:pPr>
      <w:bookmarkStart w:id="143" w:name="_Details_of_consultancies_1"/>
      <w:bookmarkEnd w:id="143"/>
      <w:r>
        <w:t>Details of consultancies under $10 000</w:t>
      </w:r>
    </w:p>
    <w:p w14:paraId="5013ADE5" w14:textId="4ACBE52B" w:rsidR="00DC39DE" w:rsidRDefault="00DC39DE" w:rsidP="00DC39DE">
      <w:r>
        <w:t xml:space="preserve">In </w:t>
      </w:r>
      <w:fldSimple w:instr="DOCPROPERTY  FinYearCurrent  \* MERGEFORMAT">
        <w:r w:rsidR="000E6299">
          <w:t>20X1</w:t>
        </w:r>
        <w:r w:rsidR="000E6299" w:rsidRPr="000E6299">
          <w:rPr>
            <w:rFonts w:ascii="Cambria Math" w:hAnsi="Cambria Math" w:cs="Cambria Math"/>
          </w:rPr>
          <w:t>‑</w:t>
        </w:r>
        <w:r w:rsidR="000E6299">
          <w:t>X2</w:t>
        </w:r>
      </w:fldSimple>
      <w:r>
        <w:t xml:space="preserve">, there were 147 consultancies engaged during the year where the total fees payable to the individual consultancies was less than $10 000. The total expenditure incurred during </w:t>
      </w:r>
      <w:fldSimple w:instr="DOCPROPERTY  FinYearCurrent  \* MERGEFORMAT">
        <w:r w:rsidR="000E6299">
          <w:t>20X1</w:t>
        </w:r>
        <w:r w:rsidR="000E6299" w:rsidRPr="000E6299">
          <w:rPr>
            <w:rFonts w:ascii="Cambria Math" w:hAnsi="Cambria Math" w:cs="Cambria Math"/>
          </w:rPr>
          <w:t>‑</w:t>
        </w:r>
        <w:r w:rsidR="000E6299">
          <w:t>X2</w:t>
        </w:r>
      </w:fldSimple>
      <w:r>
        <w:t xml:space="preserve"> in relation to these consultancies was $1.3 million (excl. GST). </w:t>
      </w:r>
    </w:p>
    <w:p w14:paraId="1E0311AB" w14:textId="77777777" w:rsidR="00DC39DE" w:rsidRDefault="00DC39DE" w:rsidP="00DC39DE"/>
    <w:p w14:paraId="6547E797" w14:textId="0B587BA6" w:rsidR="000A09C4" w:rsidRDefault="000A09C4" w:rsidP="009F17C4">
      <w:pPr>
        <w:pStyle w:val="GuidanceBlockHeading"/>
      </w:pPr>
      <w:r>
        <w:lastRenderedPageBreak/>
        <w:t>Guidance – Consultancy expenditure disclosure</w:t>
      </w:r>
      <w:r w:rsidR="00E659A2">
        <w:t xml:space="preserve"> </w:t>
      </w:r>
      <w:r w:rsidR="00E659A2" w:rsidRPr="006D2835">
        <w:rPr>
          <w:color w:val="FFF8FF"/>
        </w:rPr>
        <w:t>[</w:t>
      </w:r>
      <w:r w:rsidR="00E659A2" w:rsidRPr="006D2835">
        <w:rPr>
          <w:rStyle w:val="Reference-Revised"/>
          <w:color w:val="FFF8FF"/>
          <w:sz w:val="20"/>
          <w:szCs w:val="32"/>
        </w:rPr>
        <w:t>REVISED]</w:t>
      </w:r>
    </w:p>
    <w:p w14:paraId="128C7A14" w14:textId="6B92CABA" w:rsidR="000A09C4" w:rsidRPr="000A09C4" w:rsidRDefault="000A09C4" w:rsidP="009F17C4">
      <w:pPr>
        <w:keepNext/>
        <w:rPr>
          <w:rStyle w:val="Guidance"/>
        </w:rPr>
      </w:pPr>
      <w:r w:rsidRPr="000A09C4">
        <w:rPr>
          <w:rStyle w:val="Guidance"/>
        </w:rPr>
        <w:t xml:space="preserve">For the purposes of the requirements of FRD 22: </w:t>
      </w:r>
      <w:r w:rsidRPr="000A09C4">
        <w:rPr>
          <w:rStyle w:val="Reference"/>
        </w:rPr>
        <w:t>[FRD 22]</w:t>
      </w:r>
    </w:p>
    <w:p w14:paraId="32340C29" w14:textId="04A6D99B" w:rsidR="000A09C4" w:rsidRPr="000A09C4" w:rsidRDefault="000A09C4" w:rsidP="00310F12">
      <w:pPr>
        <w:pStyle w:val="ListBullet"/>
        <w:rPr>
          <w:rStyle w:val="Guidance"/>
        </w:rPr>
      </w:pPr>
      <w:r w:rsidRPr="000A09C4">
        <w:rPr>
          <w:rStyle w:val="Guidance"/>
        </w:rPr>
        <w:t>a consultant is a particular type of contractor that is engaged primarily to perform a discrete task for an entity that facilitates decision making through:</w:t>
      </w:r>
    </w:p>
    <w:p w14:paraId="11C351E5" w14:textId="79782DFD" w:rsidR="000A09C4" w:rsidRPr="000A09C4" w:rsidRDefault="000A09C4" w:rsidP="00052D9B">
      <w:pPr>
        <w:pStyle w:val="ListBullet2"/>
        <w:rPr>
          <w:rStyle w:val="Guidance"/>
        </w:rPr>
      </w:pPr>
      <w:r w:rsidRPr="000A09C4">
        <w:rPr>
          <w:rStyle w:val="Guidance"/>
        </w:rPr>
        <w:t xml:space="preserve">provision of expert analysis and advice </w:t>
      </w:r>
    </w:p>
    <w:p w14:paraId="0D297F3C" w14:textId="12893CD2" w:rsidR="000A09C4" w:rsidRPr="000A09C4" w:rsidRDefault="000A09C4" w:rsidP="00052D9B">
      <w:pPr>
        <w:pStyle w:val="ListBullet2"/>
        <w:rPr>
          <w:rStyle w:val="Guidance"/>
        </w:rPr>
      </w:pPr>
      <w:r w:rsidRPr="000A09C4">
        <w:rPr>
          <w:rStyle w:val="Guidance"/>
        </w:rPr>
        <w:t xml:space="preserve">development of a written report or other intellectual output </w:t>
      </w:r>
    </w:p>
    <w:p w14:paraId="0C02C763" w14:textId="03BF2491" w:rsidR="000A09C4" w:rsidRDefault="000A09C4" w:rsidP="00310F12">
      <w:pPr>
        <w:pStyle w:val="ListBullet"/>
        <w:rPr>
          <w:rStyle w:val="Guidance"/>
        </w:rPr>
      </w:pPr>
      <w:r w:rsidRPr="000A09C4">
        <w:rPr>
          <w:rStyle w:val="Guidance"/>
        </w:rPr>
        <w:t>a contractor is an individual or organisation that is formally engaged to provide works or services for or on behalf of an entity. This definition does not apply to casual, fixed term or temporary employees directly employed by the entity.</w:t>
      </w:r>
    </w:p>
    <w:p w14:paraId="61A7E958" w14:textId="7C65A48A" w:rsidR="000A09C4" w:rsidRPr="008C0BCD" w:rsidRDefault="1015ECB9" w:rsidP="000A09C4">
      <w:pPr>
        <w:rPr>
          <w:rStyle w:val="Guidance"/>
        </w:rPr>
      </w:pPr>
      <w:r w:rsidRPr="1F574F39">
        <w:rPr>
          <w:rStyle w:val="Guidance"/>
        </w:rPr>
        <w:t xml:space="preserve">Refer to FRD 22 for the detailed disclosure requirements on consultancy expenditure. Examples of ‘consultants’ and ‘contractors’ are also available on the </w:t>
      </w:r>
      <w:hyperlink r:id="rId68">
        <w:r w:rsidRPr="1F574F39">
          <w:rPr>
            <w:rStyle w:val="Hyperlink"/>
          </w:rPr>
          <w:t>Guidance Note to FRD 22</w:t>
        </w:r>
      </w:hyperlink>
      <w:r w:rsidR="3E105469" w:rsidRPr="1F574F39">
        <w:rPr>
          <w:rStyle w:val="Guidance"/>
          <w:u w:val="single"/>
        </w:rPr>
        <w:t>.</w:t>
      </w:r>
    </w:p>
    <w:p w14:paraId="01AFC0A5" w14:textId="77777777" w:rsidR="000A09C4" w:rsidRPr="000A09C4" w:rsidRDefault="000A09C4" w:rsidP="000A09C4">
      <w:pPr>
        <w:pStyle w:val="GuidanceHeading"/>
        <w:rPr>
          <w:rStyle w:val="Guidance"/>
        </w:rPr>
      </w:pPr>
      <w:r w:rsidRPr="000A09C4">
        <w:rPr>
          <w:rStyle w:val="Guidance"/>
        </w:rPr>
        <w:t>Disclosure in machinery of government changes</w:t>
      </w:r>
    </w:p>
    <w:p w14:paraId="76C9A10A" w14:textId="37F2DAE9" w:rsidR="00DC39DE" w:rsidRDefault="000A09C4" w:rsidP="000A09C4">
      <w:pPr>
        <w:rPr>
          <w:rStyle w:val="Guidance"/>
        </w:rPr>
      </w:pPr>
      <w:r w:rsidRPr="000A09C4">
        <w:rPr>
          <w:rStyle w:val="Guidance"/>
        </w:rPr>
        <w:t>The objective of the disclosure is to provide additional transparency over the actual spending and engagements of contractors and consultants by the Department, which may not specifically tie to the individual outputs of the Department. As a result, the reporting of consultants’ expenditure in the event of machinery of government change should be made over the same period as the financial statements.</w:t>
      </w:r>
    </w:p>
    <w:p w14:paraId="70F3D931" w14:textId="77777777" w:rsidR="008A4638" w:rsidRPr="000A09C4" w:rsidRDefault="008A4638" w:rsidP="008A4638">
      <w:pPr>
        <w:pStyle w:val="GuidanceEnd"/>
        <w:rPr>
          <w:rStyle w:val="Guidance"/>
        </w:rPr>
      </w:pPr>
    </w:p>
    <w:p w14:paraId="7BBBF02E" w14:textId="77777777" w:rsidR="002E3231" w:rsidRDefault="002E3231">
      <w:pPr>
        <w:keepLines w:val="0"/>
        <w:rPr>
          <w:rFonts w:asciiTheme="majorHAnsi" w:eastAsiaTheme="majorEastAsia" w:hAnsiTheme="majorHAnsi" w:cstheme="majorBidi"/>
          <w:b/>
          <w:sz w:val="26"/>
          <w:szCs w:val="26"/>
        </w:rPr>
      </w:pPr>
      <w:r>
        <w:br w:type="page"/>
      </w:r>
    </w:p>
    <w:p w14:paraId="0B3E2B79" w14:textId="6D0CEA5E" w:rsidR="00525E92" w:rsidRPr="00C268E2" w:rsidRDefault="00525E92" w:rsidP="00525E92">
      <w:pPr>
        <w:pStyle w:val="Heading2"/>
      </w:pPr>
      <w:bookmarkStart w:id="144" w:name="INDEX_ReviewsAndStudiesExp"/>
      <w:bookmarkStart w:id="145" w:name="_Toc199156289"/>
      <w:bookmarkStart w:id="146" w:name="_Hlk144378354"/>
      <w:bookmarkEnd w:id="144"/>
      <w:r w:rsidRPr="00C268E2">
        <w:lastRenderedPageBreak/>
        <w:t>Reviews and studies expenditure</w:t>
      </w:r>
      <w:r w:rsidR="00633EC9" w:rsidRPr="00C268E2">
        <w:t xml:space="preserve"> </w:t>
      </w:r>
      <w:r w:rsidR="00080332" w:rsidRPr="00AE237E">
        <w:rPr>
          <w:color w:val="7030A0"/>
        </w:rPr>
        <w:t>[REVISED]</w:t>
      </w:r>
      <w:bookmarkEnd w:id="145"/>
      <w:r w:rsidR="00633EC9" w:rsidRPr="00AE237E">
        <w:rPr>
          <w:color w:val="7030A0"/>
        </w:rPr>
        <w:t xml:space="preserve"> </w:t>
      </w:r>
      <w:r w:rsidR="00C268E2" w:rsidRPr="00AE237E">
        <w:rPr>
          <w:color w:val="7030A0"/>
          <w:sz w:val="24"/>
          <w:szCs w:val="24"/>
        </w:rPr>
        <w:t xml:space="preserve"> </w:t>
      </w:r>
    </w:p>
    <w:p w14:paraId="6B1677F4" w14:textId="1B0462FB" w:rsidR="00525E92" w:rsidRPr="00C268E2" w:rsidRDefault="00525E92" w:rsidP="00525E92">
      <w:pPr>
        <w:pStyle w:val="Heading3"/>
      </w:pPr>
      <w:r>
        <w:t xml:space="preserve">Details </w:t>
      </w:r>
      <w:r w:rsidR="00A87050">
        <w:t xml:space="preserve">of </w:t>
      </w:r>
      <w:r>
        <w:t xml:space="preserve">reviews and studies </w:t>
      </w:r>
      <w:r w:rsidRPr="20EC4723">
        <w:rPr>
          <w:rStyle w:val="Reference"/>
        </w:rPr>
        <w:t xml:space="preserve">[Recommendation 3, PAEC </w:t>
      </w:r>
      <w:r w:rsidR="484840E4" w:rsidRPr="20EC4723">
        <w:rPr>
          <w:rStyle w:val="Reference"/>
        </w:rPr>
        <w:t>Inquiry into the 2017-18 and 2018-19 Financial and Performance Outcomes</w:t>
      </w:r>
      <w:r w:rsidR="00D12538">
        <w:rPr>
          <w:rStyle w:val="Reference"/>
        </w:rPr>
        <w:t>/</w:t>
      </w:r>
      <w:r w:rsidR="00C268E2" w:rsidRPr="20EC4723">
        <w:rPr>
          <w:rStyle w:val="Reference"/>
        </w:rPr>
        <w:t>FRD</w:t>
      </w:r>
      <w:r w:rsidR="0084561C" w:rsidRPr="20EC4723">
        <w:rPr>
          <w:rStyle w:val="Reference"/>
        </w:rPr>
        <w:t xml:space="preserve"> 22 </w:t>
      </w:r>
      <w:r w:rsidR="0084561C" w:rsidRPr="20EC4723" w:rsidDel="00EC4EF3">
        <w:rPr>
          <w:rStyle w:val="Reference"/>
        </w:rPr>
        <w:t>Revised</w:t>
      </w:r>
      <w:r w:rsidR="00EC0B6B" w:rsidRPr="20EC4723" w:rsidDel="00EC4EF3">
        <w:rPr>
          <w:rStyle w:val="Reference"/>
        </w:rPr>
        <w:t xml:space="preserve"> </w:t>
      </w:r>
      <w:r w:rsidR="00EC0B6B" w:rsidRPr="20EC4723">
        <w:rPr>
          <w:rStyle w:val="Reference"/>
        </w:rPr>
        <w:t>Paragraph 5.2</w:t>
      </w:r>
      <w:r w:rsidR="00080332">
        <w:rPr>
          <w:rStyle w:val="Reference"/>
        </w:rPr>
        <w:t>1</w:t>
      </w:r>
      <w:r w:rsidR="0084561C" w:rsidRPr="20EC4723">
        <w:rPr>
          <w:rStyle w:val="Reference"/>
        </w:rPr>
        <w:t>]</w:t>
      </w:r>
      <w:r w:rsidR="00080332">
        <w:rPr>
          <w:rStyle w:val="Reference"/>
        </w:rPr>
        <w:t xml:space="preserve"> </w:t>
      </w:r>
    </w:p>
    <w:p w14:paraId="5804B1EB" w14:textId="7D03E9A8" w:rsidR="00525E92" w:rsidRPr="00C268E2" w:rsidRDefault="001F6AA4" w:rsidP="00525E92">
      <w:r>
        <w:t>During</w:t>
      </w:r>
      <w:r w:rsidR="00525E92" w:rsidRPr="00C268E2">
        <w:t xml:space="preserve"> 20X1-X2, there were three reviews and studies </w:t>
      </w:r>
      <w:r>
        <w:t>undertaken with</w:t>
      </w:r>
      <w:r w:rsidR="00525E92" w:rsidRPr="00C268E2">
        <w:t xml:space="preserve"> the total cost </w:t>
      </w:r>
      <w:r>
        <w:t>of</w:t>
      </w:r>
      <w:r w:rsidR="00525E92" w:rsidRPr="00C268E2">
        <w:t xml:space="preserve"> $275 000. Details of individual reviews and studies are outlined below</w:t>
      </w:r>
      <w:r w:rsidR="00A13194">
        <w:t>.</w:t>
      </w:r>
      <w:r w:rsidR="00D618C0">
        <w:rPr>
          <w:vertAlign w:val="superscript"/>
        </w:rPr>
        <w:t>(a)</w:t>
      </w:r>
      <w:r w:rsidR="00525E92" w:rsidRPr="00C268E2">
        <w:t xml:space="preserve"> </w:t>
      </w:r>
    </w:p>
    <w:p w14:paraId="472A5BF6" w14:textId="77777777" w:rsidR="00525E92" w:rsidRPr="00C268E2" w:rsidRDefault="00525E92" w:rsidP="00525E92">
      <w:pPr>
        <w:pStyle w:val="Caption"/>
        <w:jc w:val="right"/>
      </w:pPr>
      <w:r w:rsidRPr="00C268E2">
        <w:t>($ thousand)</w:t>
      </w:r>
    </w:p>
    <w:tbl>
      <w:tblPr>
        <w:tblStyle w:val="DTFFinancialTable"/>
        <w:tblW w:w="9696" w:type="dxa"/>
        <w:tblLayout w:type="fixed"/>
        <w:tblLook w:val="06A0" w:firstRow="1" w:lastRow="0" w:firstColumn="1" w:lastColumn="0" w:noHBand="1" w:noVBand="1"/>
      </w:tblPr>
      <w:tblGrid>
        <w:gridCol w:w="1594"/>
        <w:gridCol w:w="1595"/>
        <w:gridCol w:w="1595"/>
        <w:gridCol w:w="1595"/>
        <w:gridCol w:w="1134"/>
        <w:gridCol w:w="1276"/>
        <w:gridCol w:w="907"/>
      </w:tblGrid>
      <w:tr w:rsidR="00525E92" w:rsidRPr="007A70DD" w14:paraId="5F10A673" w14:textId="77777777" w:rsidTr="00310128">
        <w:trPr>
          <w:cnfStyle w:val="100000000000" w:firstRow="1" w:lastRow="0" w:firstColumn="0" w:lastColumn="0" w:oddVBand="0" w:evenVBand="0" w:oddHBand="0" w:evenHBand="0" w:firstRowFirstColumn="0" w:firstRowLastColumn="0" w:lastRowFirstColumn="0" w:lastRowLastColumn="0"/>
          <w:trHeight w:val="482"/>
        </w:trPr>
        <w:tc>
          <w:tcPr>
            <w:cnfStyle w:val="001000000100" w:firstRow="0" w:lastRow="0" w:firstColumn="1" w:lastColumn="0" w:oddVBand="0" w:evenVBand="0" w:oddHBand="0" w:evenHBand="0" w:firstRowFirstColumn="1" w:firstRowLastColumn="0" w:lastRowFirstColumn="0" w:lastRowLastColumn="0"/>
            <w:tcW w:w="1594" w:type="dxa"/>
          </w:tcPr>
          <w:p w14:paraId="3F16D32B" w14:textId="77777777" w:rsidR="00525E92" w:rsidRPr="00C268E2" w:rsidRDefault="00525E92" w:rsidP="00E0627C">
            <w:r w:rsidRPr="00C268E2">
              <w:t>Name of the review (portfolio(s) and output(s)/agency responsible)</w:t>
            </w:r>
          </w:p>
        </w:tc>
        <w:tc>
          <w:tcPr>
            <w:tcW w:w="1595" w:type="dxa"/>
          </w:tcPr>
          <w:p w14:paraId="69AFFA8D" w14:textId="77777777" w:rsidR="00525E92" w:rsidRPr="00C268E2" w:rsidRDefault="00525E92" w:rsidP="00E0627C">
            <w:pPr>
              <w:jc w:val="left"/>
              <w:cnfStyle w:val="100000000000" w:firstRow="1" w:lastRow="0" w:firstColumn="0" w:lastColumn="0" w:oddVBand="0" w:evenVBand="0" w:oddHBand="0" w:evenHBand="0" w:firstRowFirstColumn="0" w:firstRowLastColumn="0" w:lastRowFirstColumn="0" w:lastRowLastColumn="0"/>
            </w:pPr>
            <w:r w:rsidRPr="00C268E2">
              <w:t>Reasons for review/study</w:t>
            </w:r>
          </w:p>
        </w:tc>
        <w:tc>
          <w:tcPr>
            <w:tcW w:w="1595" w:type="dxa"/>
          </w:tcPr>
          <w:p w14:paraId="1F2BDC93" w14:textId="77777777" w:rsidR="00525E92" w:rsidRPr="00C268E2" w:rsidRDefault="00525E92" w:rsidP="00E0627C">
            <w:pPr>
              <w:jc w:val="left"/>
              <w:cnfStyle w:val="100000000000" w:firstRow="1" w:lastRow="0" w:firstColumn="0" w:lastColumn="0" w:oddVBand="0" w:evenVBand="0" w:oddHBand="0" w:evenHBand="0" w:firstRowFirstColumn="0" w:firstRowLastColumn="0" w:lastRowFirstColumn="0" w:lastRowLastColumn="0"/>
            </w:pPr>
            <w:r w:rsidRPr="00C268E2">
              <w:t>Terms of reference/scope</w:t>
            </w:r>
          </w:p>
        </w:tc>
        <w:tc>
          <w:tcPr>
            <w:tcW w:w="1595" w:type="dxa"/>
          </w:tcPr>
          <w:p w14:paraId="70B9B5B6" w14:textId="77777777" w:rsidR="00525E92" w:rsidRPr="00C268E2" w:rsidRDefault="00525E92" w:rsidP="00E0627C">
            <w:pPr>
              <w:jc w:val="left"/>
              <w:cnfStyle w:val="100000000000" w:firstRow="1" w:lastRow="0" w:firstColumn="0" w:lastColumn="0" w:oddVBand="0" w:evenVBand="0" w:oddHBand="0" w:evenHBand="0" w:firstRowFirstColumn="0" w:firstRowLastColumn="0" w:lastRowFirstColumn="0" w:lastRowLastColumn="0"/>
            </w:pPr>
            <w:r w:rsidRPr="00C268E2">
              <w:t>Anticipated outcomes</w:t>
            </w:r>
          </w:p>
        </w:tc>
        <w:tc>
          <w:tcPr>
            <w:tcW w:w="1134" w:type="dxa"/>
          </w:tcPr>
          <w:p w14:paraId="1F7CFDCE" w14:textId="77777777" w:rsidR="00525E92" w:rsidRPr="00C268E2" w:rsidRDefault="00525E92" w:rsidP="00E0627C">
            <w:pPr>
              <w:cnfStyle w:val="100000000000" w:firstRow="1" w:lastRow="0" w:firstColumn="0" w:lastColumn="0" w:oddVBand="0" w:evenVBand="0" w:oddHBand="0" w:evenHBand="0" w:firstRowFirstColumn="0" w:firstRowLastColumn="0" w:lastRowFirstColumn="0" w:lastRowLastColumn="0"/>
            </w:pPr>
            <w:r w:rsidRPr="00C268E2">
              <w:t>Estimated cost for the year (excl. GST)</w:t>
            </w:r>
          </w:p>
        </w:tc>
        <w:tc>
          <w:tcPr>
            <w:tcW w:w="1276" w:type="dxa"/>
          </w:tcPr>
          <w:p w14:paraId="192196E3" w14:textId="77777777" w:rsidR="00525E92" w:rsidRPr="00C268E2" w:rsidRDefault="00525E92" w:rsidP="00E0627C">
            <w:pPr>
              <w:cnfStyle w:val="100000000000" w:firstRow="1" w:lastRow="0" w:firstColumn="0" w:lastColumn="0" w:oddVBand="0" w:evenVBand="0" w:oddHBand="0" w:evenHBand="0" w:firstRowFirstColumn="0" w:firstRowLastColumn="0" w:lastRowFirstColumn="0" w:lastRowLastColumn="0"/>
            </w:pPr>
            <w:r w:rsidRPr="00C268E2">
              <w:t>Final cost if completed (excl. GST)</w:t>
            </w:r>
          </w:p>
        </w:tc>
        <w:tc>
          <w:tcPr>
            <w:tcW w:w="907" w:type="dxa"/>
          </w:tcPr>
          <w:p w14:paraId="38A64E25" w14:textId="77777777" w:rsidR="00525E92" w:rsidRPr="00C268E2" w:rsidRDefault="00525E92" w:rsidP="00E0627C">
            <w:pPr>
              <w:cnfStyle w:val="100000000000" w:firstRow="1" w:lastRow="0" w:firstColumn="0" w:lastColumn="0" w:oddVBand="0" w:evenVBand="0" w:oddHBand="0" w:evenHBand="0" w:firstRowFirstColumn="0" w:firstRowLastColumn="0" w:lastRowFirstColumn="0" w:lastRowLastColumn="0"/>
            </w:pPr>
            <w:r w:rsidRPr="00C268E2">
              <w:t>Publicly available (Y/N) and URL</w:t>
            </w:r>
          </w:p>
        </w:tc>
      </w:tr>
      <w:tr w:rsidR="00525E92" w:rsidRPr="007A70DD" w14:paraId="3808111D" w14:textId="77777777" w:rsidTr="00310128">
        <w:trPr>
          <w:trHeight w:val="361"/>
        </w:trPr>
        <w:tc>
          <w:tcPr>
            <w:cnfStyle w:val="001000000000" w:firstRow="0" w:lastRow="0" w:firstColumn="1" w:lastColumn="0" w:oddVBand="0" w:evenVBand="0" w:oddHBand="0" w:evenHBand="0" w:firstRowFirstColumn="0" w:firstRowLastColumn="0" w:lastRowFirstColumn="0" w:lastRowLastColumn="0"/>
            <w:tcW w:w="1594" w:type="dxa"/>
          </w:tcPr>
          <w:p w14:paraId="54DF4D69" w14:textId="77777777" w:rsidR="00525E92" w:rsidRDefault="00525E92" w:rsidP="00E0627C">
            <w:pPr>
              <w:rPr>
                <w:bCs w:val="0"/>
              </w:rPr>
            </w:pPr>
            <w:r w:rsidRPr="00C268E2">
              <w:t>Feasibility study into potential development sites (Development Agency)</w:t>
            </w:r>
          </w:p>
          <w:p w14:paraId="1CCE6EC8" w14:textId="77777777" w:rsidR="00D023FB" w:rsidRPr="00C268E2" w:rsidRDefault="00D023FB" w:rsidP="00E0627C"/>
        </w:tc>
        <w:tc>
          <w:tcPr>
            <w:tcW w:w="1595" w:type="dxa"/>
          </w:tcPr>
          <w:p w14:paraId="2EC9EB1B" w14:textId="77777777" w:rsidR="00525E92"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To meet future demand and growth</w:t>
            </w:r>
          </w:p>
          <w:p w14:paraId="31203CE1" w14:textId="77777777" w:rsidR="00D023FB" w:rsidRDefault="00D023FB" w:rsidP="00E0627C">
            <w:pPr>
              <w:jc w:val="left"/>
              <w:cnfStyle w:val="000000000000" w:firstRow="0" w:lastRow="0" w:firstColumn="0" w:lastColumn="0" w:oddVBand="0" w:evenVBand="0" w:oddHBand="0" w:evenHBand="0" w:firstRowFirstColumn="0" w:firstRowLastColumn="0" w:lastRowFirstColumn="0" w:lastRowLastColumn="0"/>
            </w:pPr>
          </w:p>
          <w:p w14:paraId="0AC30C18" w14:textId="77777777" w:rsidR="00D023FB" w:rsidRDefault="00D023FB" w:rsidP="00E0627C">
            <w:pPr>
              <w:jc w:val="left"/>
              <w:cnfStyle w:val="000000000000" w:firstRow="0" w:lastRow="0" w:firstColumn="0" w:lastColumn="0" w:oddVBand="0" w:evenVBand="0" w:oddHBand="0" w:evenHBand="0" w:firstRowFirstColumn="0" w:firstRowLastColumn="0" w:lastRowFirstColumn="0" w:lastRowLastColumn="0"/>
            </w:pPr>
          </w:p>
          <w:p w14:paraId="367CC2CD" w14:textId="77777777" w:rsidR="00D023FB" w:rsidRPr="00C268E2" w:rsidRDefault="00D023FB" w:rsidP="00E0627C">
            <w:pPr>
              <w:jc w:val="left"/>
              <w:cnfStyle w:val="000000000000" w:firstRow="0" w:lastRow="0" w:firstColumn="0" w:lastColumn="0" w:oddVBand="0" w:evenVBand="0" w:oddHBand="0" w:evenHBand="0" w:firstRowFirstColumn="0" w:firstRowLastColumn="0" w:lastRowFirstColumn="0" w:lastRowLastColumn="0"/>
            </w:pPr>
          </w:p>
        </w:tc>
        <w:tc>
          <w:tcPr>
            <w:tcW w:w="1595" w:type="dxa"/>
          </w:tcPr>
          <w:p w14:paraId="201AB20F" w14:textId="4B1F2423" w:rsidR="00525E92"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Investigate options for a new site that is fit-for-purpose</w:t>
            </w:r>
            <w:r w:rsidR="00D023FB">
              <w:t>.</w:t>
            </w:r>
          </w:p>
          <w:p w14:paraId="0FC8C1BA" w14:textId="77777777" w:rsidR="00D023FB" w:rsidRDefault="00D023FB" w:rsidP="00E0627C">
            <w:pPr>
              <w:jc w:val="left"/>
              <w:cnfStyle w:val="000000000000" w:firstRow="0" w:lastRow="0" w:firstColumn="0" w:lastColumn="0" w:oddVBand="0" w:evenVBand="0" w:oddHBand="0" w:evenHBand="0" w:firstRowFirstColumn="0" w:firstRowLastColumn="0" w:lastRowFirstColumn="0" w:lastRowLastColumn="0"/>
            </w:pPr>
          </w:p>
          <w:p w14:paraId="58D6AF81" w14:textId="77777777" w:rsidR="00D023FB" w:rsidRDefault="00D023FB" w:rsidP="00E0627C">
            <w:pPr>
              <w:jc w:val="left"/>
              <w:cnfStyle w:val="000000000000" w:firstRow="0" w:lastRow="0" w:firstColumn="0" w:lastColumn="0" w:oddVBand="0" w:evenVBand="0" w:oddHBand="0" w:evenHBand="0" w:firstRowFirstColumn="0" w:firstRowLastColumn="0" w:lastRowFirstColumn="0" w:lastRowLastColumn="0"/>
            </w:pPr>
          </w:p>
          <w:p w14:paraId="6B4A0BA3" w14:textId="69D9A825" w:rsidR="00D023FB" w:rsidRPr="00C268E2" w:rsidRDefault="00D023FB" w:rsidP="00E0627C">
            <w:pPr>
              <w:jc w:val="left"/>
              <w:cnfStyle w:val="000000000000" w:firstRow="0" w:lastRow="0" w:firstColumn="0" w:lastColumn="0" w:oddVBand="0" w:evenVBand="0" w:oddHBand="0" w:evenHBand="0" w:firstRowFirstColumn="0" w:firstRowLastColumn="0" w:lastRowFirstColumn="0" w:lastRowLastColumn="0"/>
            </w:pPr>
          </w:p>
        </w:tc>
        <w:tc>
          <w:tcPr>
            <w:tcW w:w="1595" w:type="dxa"/>
          </w:tcPr>
          <w:p w14:paraId="155F1333" w14:textId="77777777" w:rsidR="00525E92"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More informed decision-making on future asset investment</w:t>
            </w:r>
            <w:r w:rsidR="001F6AA4">
              <w:t>s</w:t>
            </w:r>
          </w:p>
          <w:p w14:paraId="1A0D55F0" w14:textId="77777777" w:rsidR="00D023FB" w:rsidRDefault="00D023FB" w:rsidP="00E0627C">
            <w:pPr>
              <w:jc w:val="left"/>
              <w:cnfStyle w:val="000000000000" w:firstRow="0" w:lastRow="0" w:firstColumn="0" w:lastColumn="0" w:oddVBand="0" w:evenVBand="0" w:oddHBand="0" w:evenHBand="0" w:firstRowFirstColumn="0" w:firstRowLastColumn="0" w:lastRowFirstColumn="0" w:lastRowLastColumn="0"/>
            </w:pPr>
          </w:p>
          <w:p w14:paraId="12AD4BE7" w14:textId="1D5DD92C" w:rsidR="00D023FB" w:rsidRPr="00C268E2" w:rsidRDefault="00D023FB" w:rsidP="00E0627C">
            <w:pPr>
              <w:jc w:val="left"/>
              <w:cnfStyle w:val="000000000000" w:firstRow="0" w:lastRow="0" w:firstColumn="0" w:lastColumn="0" w:oddVBand="0" w:evenVBand="0" w:oddHBand="0" w:evenHBand="0" w:firstRowFirstColumn="0" w:firstRowLastColumn="0" w:lastRowFirstColumn="0" w:lastRowLastColumn="0"/>
            </w:pPr>
          </w:p>
        </w:tc>
        <w:tc>
          <w:tcPr>
            <w:tcW w:w="1134" w:type="dxa"/>
          </w:tcPr>
          <w:p w14:paraId="3856E26C" w14:textId="77777777" w:rsidR="00525E92" w:rsidRDefault="00525E92" w:rsidP="00E0627C">
            <w:pPr>
              <w:cnfStyle w:val="000000000000" w:firstRow="0" w:lastRow="0" w:firstColumn="0" w:lastColumn="0" w:oddVBand="0" w:evenVBand="0" w:oddHBand="0" w:evenHBand="0" w:firstRowFirstColumn="0" w:firstRowLastColumn="0" w:lastRowFirstColumn="0" w:lastRowLastColumn="0"/>
            </w:pPr>
            <w:r w:rsidRPr="00C268E2">
              <w:t>250</w:t>
            </w:r>
          </w:p>
          <w:p w14:paraId="6864DD5B"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594BA8A9"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2312B33D"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76F51B73"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1D458EBF" w14:textId="77777777" w:rsidR="00D023FB" w:rsidRPr="00C268E2" w:rsidRDefault="00D023FB" w:rsidP="00E0627C">
            <w:pPr>
              <w:cnfStyle w:val="000000000000" w:firstRow="0" w:lastRow="0" w:firstColumn="0" w:lastColumn="0" w:oddVBand="0" w:evenVBand="0" w:oddHBand="0" w:evenHBand="0" w:firstRowFirstColumn="0" w:firstRowLastColumn="0" w:lastRowFirstColumn="0" w:lastRowLastColumn="0"/>
            </w:pPr>
          </w:p>
        </w:tc>
        <w:tc>
          <w:tcPr>
            <w:tcW w:w="1276" w:type="dxa"/>
          </w:tcPr>
          <w:p w14:paraId="04E137E8" w14:textId="77777777" w:rsidR="00525E92" w:rsidRDefault="00525E92" w:rsidP="00E0627C">
            <w:pPr>
              <w:cnfStyle w:val="000000000000" w:firstRow="0" w:lastRow="0" w:firstColumn="0" w:lastColumn="0" w:oddVBand="0" w:evenVBand="0" w:oddHBand="0" w:evenHBand="0" w:firstRowFirstColumn="0" w:firstRowLastColumn="0" w:lastRowFirstColumn="0" w:lastRowLastColumn="0"/>
            </w:pPr>
            <w:r w:rsidRPr="00C268E2">
              <w:t>N/A</w:t>
            </w:r>
          </w:p>
          <w:p w14:paraId="6B3A1461"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14DBCED4"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48393736"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62E0D19D"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10820736" w14:textId="7991B390" w:rsidR="00D023FB" w:rsidRPr="00C268E2" w:rsidRDefault="00D023FB" w:rsidP="00E0627C">
            <w:pPr>
              <w:cnfStyle w:val="000000000000" w:firstRow="0" w:lastRow="0" w:firstColumn="0" w:lastColumn="0" w:oddVBand="0" w:evenVBand="0" w:oddHBand="0" w:evenHBand="0" w:firstRowFirstColumn="0" w:firstRowLastColumn="0" w:lastRowFirstColumn="0" w:lastRowLastColumn="0"/>
            </w:pPr>
          </w:p>
        </w:tc>
        <w:tc>
          <w:tcPr>
            <w:tcW w:w="907" w:type="dxa"/>
          </w:tcPr>
          <w:p w14:paraId="4389A8E3" w14:textId="77777777" w:rsidR="00525E92" w:rsidRDefault="00525E92" w:rsidP="00E0627C">
            <w:pPr>
              <w:cnfStyle w:val="000000000000" w:firstRow="0" w:lastRow="0" w:firstColumn="0" w:lastColumn="0" w:oddVBand="0" w:evenVBand="0" w:oddHBand="0" w:evenHBand="0" w:firstRowFirstColumn="0" w:firstRowLastColumn="0" w:lastRowFirstColumn="0" w:lastRowLastColumn="0"/>
            </w:pPr>
            <w:r w:rsidRPr="00C268E2">
              <w:t>N</w:t>
            </w:r>
          </w:p>
          <w:p w14:paraId="4C4D7F0E"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6CA6C6CD"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70880247"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22E6C10D"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675B6394" w14:textId="77777777" w:rsidR="00D023FB" w:rsidRPr="00C268E2" w:rsidRDefault="00D023FB" w:rsidP="00E0627C">
            <w:pPr>
              <w:cnfStyle w:val="000000000000" w:firstRow="0" w:lastRow="0" w:firstColumn="0" w:lastColumn="0" w:oddVBand="0" w:evenVBand="0" w:oddHBand="0" w:evenHBand="0" w:firstRowFirstColumn="0" w:firstRowLastColumn="0" w:lastRowFirstColumn="0" w:lastRowLastColumn="0"/>
            </w:pPr>
          </w:p>
        </w:tc>
      </w:tr>
      <w:tr w:rsidR="00525E92" w:rsidRPr="007A70DD" w14:paraId="3B020460" w14:textId="77777777" w:rsidTr="00310128">
        <w:trPr>
          <w:trHeight w:val="74"/>
        </w:trPr>
        <w:tc>
          <w:tcPr>
            <w:cnfStyle w:val="001000000000" w:firstRow="0" w:lastRow="0" w:firstColumn="1" w:lastColumn="0" w:oddVBand="0" w:evenVBand="0" w:oddHBand="0" w:evenHBand="0" w:firstRowFirstColumn="0" w:firstRowLastColumn="0" w:lastRowFirstColumn="0" w:lastRowLastColumn="0"/>
            <w:tcW w:w="1594" w:type="dxa"/>
          </w:tcPr>
          <w:p w14:paraId="71183F3B" w14:textId="77777777" w:rsidR="00525E92" w:rsidRDefault="00525E92" w:rsidP="00E0627C">
            <w:pPr>
              <w:rPr>
                <w:bCs w:val="0"/>
              </w:rPr>
            </w:pPr>
            <w:r w:rsidRPr="00C268E2">
              <w:t>Review of new technolog</w:t>
            </w:r>
            <w:r w:rsidR="001F6AA4">
              <w:t>ies</w:t>
            </w:r>
            <w:r w:rsidRPr="00C268E2">
              <w:t xml:space="preserve"> (Emerging technologies output)</w:t>
            </w:r>
          </w:p>
          <w:p w14:paraId="2885520A" w14:textId="72770CEE" w:rsidR="00D023FB" w:rsidRPr="00C268E2" w:rsidRDefault="00D023FB" w:rsidP="00E0627C"/>
        </w:tc>
        <w:tc>
          <w:tcPr>
            <w:tcW w:w="1595" w:type="dxa"/>
          </w:tcPr>
          <w:p w14:paraId="64884540" w14:textId="7E44BBAD" w:rsidR="00D023FB"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 xml:space="preserve">To keep </w:t>
            </w:r>
            <w:r w:rsidR="005B4F63">
              <w:t>updated on</w:t>
            </w:r>
            <w:r w:rsidRPr="00C268E2">
              <w:t xml:space="preserve"> best practice</w:t>
            </w:r>
            <w:r w:rsidR="00D023FB">
              <w:t>.</w:t>
            </w:r>
          </w:p>
          <w:p w14:paraId="11CDE0A6" w14:textId="77777777" w:rsidR="00D023FB" w:rsidRDefault="00D023FB" w:rsidP="00E0627C">
            <w:pPr>
              <w:jc w:val="left"/>
              <w:cnfStyle w:val="000000000000" w:firstRow="0" w:lastRow="0" w:firstColumn="0" w:lastColumn="0" w:oddVBand="0" w:evenVBand="0" w:oddHBand="0" w:evenHBand="0" w:firstRowFirstColumn="0" w:firstRowLastColumn="0" w:lastRowFirstColumn="0" w:lastRowLastColumn="0"/>
            </w:pPr>
          </w:p>
          <w:p w14:paraId="2FC12EFF" w14:textId="77777777" w:rsidR="00D023FB" w:rsidRDefault="00D023FB" w:rsidP="00E0627C">
            <w:pPr>
              <w:jc w:val="left"/>
              <w:cnfStyle w:val="000000000000" w:firstRow="0" w:lastRow="0" w:firstColumn="0" w:lastColumn="0" w:oddVBand="0" w:evenVBand="0" w:oddHBand="0" w:evenHBand="0" w:firstRowFirstColumn="0" w:firstRowLastColumn="0" w:lastRowFirstColumn="0" w:lastRowLastColumn="0"/>
            </w:pPr>
          </w:p>
          <w:p w14:paraId="1DA90E92" w14:textId="0AE2F6AF" w:rsidR="00D023FB" w:rsidRPr="00C268E2" w:rsidRDefault="00D023FB" w:rsidP="00E0627C">
            <w:pPr>
              <w:jc w:val="left"/>
              <w:cnfStyle w:val="000000000000" w:firstRow="0" w:lastRow="0" w:firstColumn="0" w:lastColumn="0" w:oddVBand="0" w:evenVBand="0" w:oddHBand="0" w:evenHBand="0" w:firstRowFirstColumn="0" w:firstRowLastColumn="0" w:lastRowFirstColumn="0" w:lastRowLastColumn="0"/>
            </w:pPr>
          </w:p>
        </w:tc>
        <w:tc>
          <w:tcPr>
            <w:tcW w:w="1595" w:type="dxa"/>
          </w:tcPr>
          <w:p w14:paraId="5C2FAD6A" w14:textId="0301B26B" w:rsidR="00D023FB"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Consider technological developments domestically and internationally</w:t>
            </w:r>
            <w:r w:rsidR="00D023FB">
              <w:t>.</w:t>
            </w:r>
          </w:p>
          <w:p w14:paraId="79A0AEB5" w14:textId="2965F8E6" w:rsidR="00D023FB" w:rsidRPr="00C268E2" w:rsidRDefault="00D023FB" w:rsidP="00E0627C">
            <w:pPr>
              <w:jc w:val="left"/>
              <w:cnfStyle w:val="000000000000" w:firstRow="0" w:lastRow="0" w:firstColumn="0" w:lastColumn="0" w:oddVBand="0" w:evenVBand="0" w:oddHBand="0" w:evenHBand="0" w:firstRowFirstColumn="0" w:firstRowLastColumn="0" w:lastRowFirstColumn="0" w:lastRowLastColumn="0"/>
            </w:pPr>
          </w:p>
        </w:tc>
        <w:tc>
          <w:tcPr>
            <w:tcW w:w="1595" w:type="dxa"/>
          </w:tcPr>
          <w:p w14:paraId="00885FB7" w14:textId="77777777" w:rsidR="00525E92"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Enhanced learning and innovation opportunities</w:t>
            </w:r>
          </w:p>
          <w:p w14:paraId="1E042E6A" w14:textId="77777777" w:rsidR="00D023FB" w:rsidRDefault="00D023FB" w:rsidP="00E0627C">
            <w:pPr>
              <w:jc w:val="left"/>
              <w:cnfStyle w:val="000000000000" w:firstRow="0" w:lastRow="0" w:firstColumn="0" w:lastColumn="0" w:oddVBand="0" w:evenVBand="0" w:oddHBand="0" w:evenHBand="0" w:firstRowFirstColumn="0" w:firstRowLastColumn="0" w:lastRowFirstColumn="0" w:lastRowLastColumn="0"/>
            </w:pPr>
          </w:p>
          <w:p w14:paraId="245B5462" w14:textId="77777777" w:rsidR="00D023FB" w:rsidRPr="00C268E2" w:rsidRDefault="00D023FB" w:rsidP="00E0627C">
            <w:pPr>
              <w:jc w:val="left"/>
              <w:cnfStyle w:val="000000000000" w:firstRow="0" w:lastRow="0" w:firstColumn="0" w:lastColumn="0" w:oddVBand="0" w:evenVBand="0" w:oddHBand="0" w:evenHBand="0" w:firstRowFirstColumn="0" w:firstRowLastColumn="0" w:lastRowFirstColumn="0" w:lastRowLastColumn="0"/>
            </w:pPr>
          </w:p>
        </w:tc>
        <w:tc>
          <w:tcPr>
            <w:tcW w:w="1134" w:type="dxa"/>
          </w:tcPr>
          <w:p w14:paraId="4900AD74" w14:textId="77777777" w:rsidR="00525E92" w:rsidRDefault="00525E92" w:rsidP="00E0627C">
            <w:pPr>
              <w:cnfStyle w:val="000000000000" w:firstRow="0" w:lastRow="0" w:firstColumn="0" w:lastColumn="0" w:oddVBand="0" w:evenVBand="0" w:oddHBand="0" w:evenHBand="0" w:firstRowFirstColumn="0" w:firstRowLastColumn="0" w:lastRowFirstColumn="0" w:lastRowLastColumn="0"/>
            </w:pPr>
            <w:r w:rsidRPr="00C268E2">
              <w:t>20</w:t>
            </w:r>
          </w:p>
          <w:p w14:paraId="3C4E7905"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7DDD5B48"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5EC10C8A" w14:textId="77777777" w:rsidR="00D023FB" w:rsidRPr="00C268E2" w:rsidRDefault="00D023FB" w:rsidP="00E0627C">
            <w:pPr>
              <w:cnfStyle w:val="000000000000" w:firstRow="0" w:lastRow="0" w:firstColumn="0" w:lastColumn="0" w:oddVBand="0" w:evenVBand="0" w:oddHBand="0" w:evenHBand="0" w:firstRowFirstColumn="0" w:firstRowLastColumn="0" w:lastRowFirstColumn="0" w:lastRowLastColumn="0"/>
            </w:pPr>
          </w:p>
        </w:tc>
        <w:tc>
          <w:tcPr>
            <w:tcW w:w="1276" w:type="dxa"/>
          </w:tcPr>
          <w:p w14:paraId="0DA319BE"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476CFD05"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068F102F" w14:textId="77777777" w:rsidR="00525E92" w:rsidRDefault="00525E92" w:rsidP="00E0627C">
            <w:pPr>
              <w:cnfStyle w:val="000000000000" w:firstRow="0" w:lastRow="0" w:firstColumn="0" w:lastColumn="0" w:oddVBand="0" w:evenVBand="0" w:oddHBand="0" w:evenHBand="0" w:firstRowFirstColumn="0" w:firstRowLastColumn="0" w:lastRowFirstColumn="0" w:lastRowLastColumn="0"/>
            </w:pPr>
            <w:r w:rsidRPr="00C268E2">
              <w:t>120</w:t>
            </w:r>
          </w:p>
          <w:p w14:paraId="77FB535E"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30EC28AE"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2F0AFB47" w14:textId="6EE0F6E7" w:rsidR="00D023FB" w:rsidRPr="00C268E2" w:rsidRDefault="00D023FB" w:rsidP="00E0627C">
            <w:pPr>
              <w:cnfStyle w:val="000000000000" w:firstRow="0" w:lastRow="0" w:firstColumn="0" w:lastColumn="0" w:oddVBand="0" w:evenVBand="0" w:oddHBand="0" w:evenHBand="0" w:firstRowFirstColumn="0" w:firstRowLastColumn="0" w:lastRowFirstColumn="0" w:lastRowLastColumn="0"/>
            </w:pPr>
          </w:p>
        </w:tc>
        <w:tc>
          <w:tcPr>
            <w:tcW w:w="907" w:type="dxa"/>
          </w:tcPr>
          <w:p w14:paraId="311B4865" w14:textId="77777777" w:rsidR="00525E92" w:rsidRDefault="00525E92" w:rsidP="00E0627C">
            <w:pPr>
              <w:cnfStyle w:val="000000000000" w:firstRow="0" w:lastRow="0" w:firstColumn="0" w:lastColumn="0" w:oddVBand="0" w:evenVBand="0" w:oddHBand="0" w:evenHBand="0" w:firstRowFirstColumn="0" w:firstRowLastColumn="0" w:lastRowFirstColumn="0" w:lastRowLastColumn="0"/>
            </w:pPr>
            <w:r w:rsidRPr="00C268E2">
              <w:t>N</w:t>
            </w:r>
          </w:p>
          <w:p w14:paraId="4983FAE7"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59F32AB8"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535690E8" w14:textId="77777777" w:rsidR="00D023FB" w:rsidRPr="00C268E2" w:rsidRDefault="00D023FB" w:rsidP="00E0627C">
            <w:pPr>
              <w:cnfStyle w:val="000000000000" w:firstRow="0" w:lastRow="0" w:firstColumn="0" w:lastColumn="0" w:oddVBand="0" w:evenVBand="0" w:oddHBand="0" w:evenHBand="0" w:firstRowFirstColumn="0" w:firstRowLastColumn="0" w:lastRowFirstColumn="0" w:lastRowLastColumn="0"/>
            </w:pPr>
          </w:p>
        </w:tc>
      </w:tr>
      <w:tr w:rsidR="00525E92" w:rsidRPr="007A70DD" w14:paraId="7A538B35" w14:textId="77777777" w:rsidTr="00310128">
        <w:trPr>
          <w:trHeight w:val="279"/>
        </w:trPr>
        <w:tc>
          <w:tcPr>
            <w:cnfStyle w:val="001000000000" w:firstRow="0" w:lastRow="0" w:firstColumn="1" w:lastColumn="0" w:oddVBand="0" w:evenVBand="0" w:oddHBand="0" w:evenHBand="0" w:firstRowFirstColumn="0" w:firstRowLastColumn="0" w:lastRowFirstColumn="0" w:lastRowLastColumn="0"/>
            <w:tcW w:w="1594" w:type="dxa"/>
          </w:tcPr>
          <w:p w14:paraId="576EA686" w14:textId="77777777" w:rsidR="00525E92" w:rsidRPr="00C268E2" w:rsidRDefault="00525E92" w:rsidP="00E0627C">
            <w:r w:rsidRPr="00C268E2">
              <w:t>Evaluation of pilot program (Evaluations output)</w:t>
            </w:r>
          </w:p>
        </w:tc>
        <w:tc>
          <w:tcPr>
            <w:tcW w:w="1595" w:type="dxa"/>
          </w:tcPr>
          <w:p w14:paraId="7CB96D42" w14:textId="52E084B8" w:rsidR="00525E92"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To determine whether to expand the pilot program</w:t>
            </w:r>
            <w:r w:rsidR="00D023FB">
              <w:t>.</w:t>
            </w:r>
          </w:p>
          <w:p w14:paraId="4AF73FBE" w14:textId="77777777" w:rsidR="00D023FB" w:rsidRPr="00C268E2" w:rsidRDefault="00D023FB" w:rsidP="00E0627C">
            <w:pPr>
              <w:jc w:val="left"/>
              <w:cnfStyle w:val="000000000000" w:firstRow="0" w:lastRow="0" w:firstColumn="0" w:lastColumn="0" w:oddVBand="0" w:evenVBand="0" w:oddHBand="0" w:evenHBand="0" w:firstRowFirstColumn="0" w:firstRowLastColumn="0" w:lastRowFirstColumn="0" w:lastRowLastColumn="0"/>
            </w:pPr>
          </w:p>
        </w:tc>
        <w:tc>
          <w:tcPr>
            <w:tcW w:w="1595" w:type="dxa"/>
          </w:tcPr>
          <w:p w14:paraId="0A55266E" w14:textId="5FE2C111" w:rsidR="00525E92" w:rsidRPr="00C268E2"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Evaluate pilot program that tested the adoption of new technology</w:t>
            </w:r>
            <w:r w:rsidR="00D023FB">
              <w:t>.</w:t>
            </w:r>
          </w:p>
        </w:tc>
        <w:tc>
          <w:tcPr>
            <w:tcW w:w="1595" w:type="dxa"/>
          </w:tcPr>
          <w:p w14:paraId="7EE5A028" w14:textId="77777777" w:rsidR="00525E92" w:rsidRDefault="00525E92" w:rsidP="00E0627C">
            <w:pPr>
              <w:jc w:val="left"/>
              <w:cnfStyle w:val="000000000000" w:firstRow="0" w:lastRow="0" w:firstColumn="0" w:lastColumn="0" w:oddVBand="0" w:evenVBand="0" w:oddHBand="0" w:evenHBand="0" w:firstRowFirstColumn="0" w:firstRowLastColumn="0" w:lastRowFirstColumn="0" w:lastRowLastColumn="0"/>
            </w:pPr>
            <w:r w:rsidRPr="00C268E2">
              <w:t>Improved use of resources</w:t>
            </w:r>
          </w:p>
          <w:p w14:paraId="7FB00B98" w14:textId="77777777" w:rsidR="00D023FB" w:rsidRPr="00C268E2" w:rsidRDefault="00D023FB" w:rsidP="00E0627C">
            <w:pPr>
              <w:jc w:val="left"/>
              <w:cnfStyle w:val="000000000000" w:firstRow="0" w:lastRow="0" w:firstColumn="0" w:lastColumn="0" w:oddVBand="0" w:evenVBand="0" w:oddHBand="0" w:evenHBand="0" w:firstRowFirstColumn="0" w:firstRowLastColumn="0" w:lastRowFirstColumn="0" w:lastRowLastColumn="0"/>
            </w:pPr>
          </w:p>
        </w:tc>
        <w:tc>
          <w:tcPr>
            <w:tcW w:w="1134" w:type="dxa"/>
          </w:tcPr>
          <w:p w14:paraId="4B663404" w14:textId="77777777" w:rsidR="00525E92" w:rsidRDefault="00525E92" w:rsidP="00E0627C">
            <w:pPr>
              <w:cnfStyle w:val="000000000000" w:firstRow="0" w:lastRow="0" w:firstColumn="0" w:lastColumn="0" w:oddVBand="0" w:evenVBand="0" w:oddHBand="0" w:evenHBand="0" w:firstRowFirstColumn="0" w:firstRowLastColumn="0" w:lastRowFirstColumn="0" w:lastRowLastColumn="0"/>
            </w:pPr>
            <w:r w:rsidRPr="00C268E2">
              <w:t>5</w:t>
            </w:r>
          </w:p>
          <w:p w14:paraId="22095243"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7D6DF2AC"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1FB9CAEB" w14:textId="77777777" w:rsidR="00D023FB" w:rsidRPr="00C268E2" w:rsidRDefault="00D023FB" w:rsidP="00E0627C">
            <w:pPr>
              <w:cnfStyle w:val="000000000000" w:firstRow="0" w:lastRow="0" w:firstColumn="0" w:lastColumn="0" w:oddVBand="0" w:evenVBand="0" w:oddHBand="0" w:evenHBand="0" w:firstRowFirstColumn="0" w:firstRowLastColumn="0" w:lastRowFirstColumn="0" w:lastRowLastColumn="0"/>
            </w:pPr>
          </w:p>
        </w:tc>
        <w:tc>
          <w:tcPr>
            <w:tcW w:w="1276" w:type="dxa"/>
          </w:tcPr>
          <w:p w14:paraId="2D5628F0" w14:textId="77777777" w:rsidR="00525E92" w:rsidRDefault="00525E92" w:rsidP="00E0627C">
            <w:pPr>
              <w:cnfStyle w:val="000000000000" w:firstRow="0" w:lastRow="0" w:firstColumn="0" w:lastColumn="0" w:oddVBand="0" w:evenVBand="0" w:oddHBand="0" w:evenHBand="0" w:firstRowFirstColumn="0" w:firstRowLastColumn="0" w:lastRowFirstColumn="0" w:lastRowLastColumn="0"/>
            </w:pPr>
            <w:r w:rsidRPr="00C268E2">
              <w:t>35</w:t>
            </w:r>
          </w:p>
          <w:p w14:paraId="7A3BD861"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5484ADAD" w14:textId="77777777" w:rsidR="00D023FB" w:rsidRDefault="00D023FB" w:rsidP="00E0627C">
            <w:pPr>
              <w:cnfStyle w:val="000000000000" w:firstRow="0" w:lastRow="0" w:firstColumn="0" w:lastColumn="0" w:oddVBand="0" w:evenVBand="0" w:oddHBand="0" w:evenHBand="0" w:firstRowFirstColumn="0" w:firstRowLastColumn="0" w:lastRowFirstColumn="0" w:lastRowLastColumn="0"/>
            </w:pPr>
          </w:p>
          <w:p w14:paraId="35AA6739" w14:textId="77777777" w:rsidR="00D023FB" w:rsidRPr="00C268E2" w:rsidRDefault="00D023FB" w:rsidP="00E0627C">
            <w:pPr>
              <w:cnfStyle w:val="000000000000" w:firstRow="0" w:lastRow="0" w:firstColumn="0" w:lastColumn="0" w:oddVBand="0" w:evenVBand="0" w:oddHBand="0" w:evenHBand="0" w:firstRowFirstColumn="0" w:firstRowLastColumn="0" w:lastRowFirstColumn="0" w:lastRowLastColumn="0"/>
            </w:pPr>
          </w:p>
        </w:tc>
        <w:tc>
          <w:tcPr>
            <w:tcW w:w="907" w:type="dxa"/>
          </w:tcPr>
          <w:p w14:paraId="6732F2AD" w14:textId="4211ED53" w:rsidR="00525E92" w:rsidRPr="00D023FB" w:rsidRDefault="00525E92" w:rsidP="00D023FB">
            <w:pPr>
              <w:cnfStyle w:val="000000000000" w:firstRow="0" w:lastRow="0" w:firstColumn="0" w:lastColumn="0" w:oddVBand="0" w:evenVBand="0" w:oddHBand="0" w:evenHBand="0" w:firstRowFirstColumn="0" w:firstRowLastColumn="0" w:lastRowFirstColumn="0" w:lastRowLastColumn="0"/>
            </w:pPr>
            <w:r w:rsidRPr="00C268E2">
              <w:t>Y</w:t>
            </w:r>
            <w:r w:rsidR="00D023FB">
              <w:t xml:space="preserve"> </w:t>
            </w:r>
            <w:r w:rsidRPr="00C268E2">
              <w:rPr>
                <w:color w:val="0070C0"/>
                <w:u w:val="single"/>
              </w:rPr>
              <w:t>website</w:t>
            </w:r>
          </w:p>
          <w:p w14:paraId="7CB3D313" w14:textId="77777777" w:rsidR="00D023FB" w:rsidRDefault="00D023FB" w:rsidP="00D023FB">
            <w:pPr>
              <w:cnfStyle w:val="000000000000" w:firstRow="0" w:lastRow="0" w:firstColumn="0" w:lastColumn="0" w:oddVBand="0" w:evenVBand="0" w:oddHBand="0" w:evenHBand="0" w:firstRowFirstColumn="0" w:firstRowLastColumn="0" w:lastRowFirstColumn="0" w:lastRowLastColumn="0"/>
              <w:rPr>
                <w:color w:val="0070C0"/>
                <w:u w:val="single"/>
              </w:rPr>
            </w:pPr>
          </w:p>
          <w:p w14:paraId="2A8F659C" w14:textId="77777777" w:rsidR="00D023FB" w:rsidRDefault="00D023FB" w:rsidP="00D023FB">
            <w:pPr>
              <w:cnfStyle w:val="000000000000" w:firstRow="0" w:lastRow="0" w:firstColumn="0" w:lastColumn="0" w:oddVBand="0" w:evenVBand="0" w:oddHBand="0" w:evenHBand="0" w:firstRowFirstColumn="0" w:firstRowLastColumn="0" w:lastRowFirstColumn="0" w:lastRowLastColumn="0"/>
              <w:rPr>
                <w:color w:val="0070C0"/>
                <w:u w:val="single"/>
              </w:rPr>
            </w:pPr>
          </w:p>
          <w:p w14:paraId="66FFB1C4" w14:textId="7969EDD6" w:rsidR="00D023FB" w:rsidRPr="00D023FB" w:rsidRDefault="00D023FB" w:rsidP="00D023FB">
            <w:pPr>
              <w:cnfStyle w:val="000000000000" w:firstRow="0" w:lastRow="0" w:firstColumn="0" w:lastColumn="0" w:oddVBand="0" w:evenVBand="0" w:oddHBand="0" w:evenHBand="0" w:firstRowFirstColumn="0" w:firstRowLastColumn="0" w:lastRowFirstColumn="0" w:lastRowLastColumn="0"/>
            </w:pPr>
          </w:p>
        </w:tc>
      </w:tr>
    </w:tbl>
    <w:p w14:paraId="3E076FAA" w14:textId="664FD27A" w:rsidR="0045164F" w:rsidRPr="00487526" w:rsidRDefault="00545342" w:rsidP="00310128">
      <w:pPr>
        <w:pStyle w:val="Note"/>
      </w:pPr>
      <w:r w:rsidRPr="00487526">
        <w:t>Note:</w:t>
      </w:r>
    </w:p>
    <w:p w14:paraId="14CEAEBC" w14:textId="75094B48" w:rsidR="0038034B" w:rsidRPr="00487526" w:rsidRDefault="00D618C0" w:rsidP="00310128">
      <w:pPr>
        <w:pStyle w:val="Note"/>
      </w:pPr>
      <w:r>
        <w:t>(a)</w:t>
      </w:r>
      <w:r w:rsidR="00CF203A">
        <w:t xml:space="preserve"> </w:t>
      </w:r>
      <w:r w:rsidR="00CF203A">
        <w:tab/>
      </w:r>
      <w:r w:rsidR="00CA17D5" w:rsidRPr="00487526">
        <w:t xml:space="preserve">Table does not include </w:t>
      </w:r>
      <w:r w:rsidR="00BD269F" w:rsidRPr="00487526">
        <w:t>reviews or studies that may be Commercial</w:t>
      </w:r>
      <w:r w:rsidR="007C02D1">
        <w:t>-</w:t>
      </w:r>
      <w:r w:rsidR="00BD269F" w:rsidRPr="00487526">
        <w:t>in</w:t>
      </w:r>
      <w:r w:rsidR="007C02D1">
        <w:t>-</w:t>
      </w:r>
      <w:r w:rsidR="00BD269F" w:rsidRPr="00487526">
        <w:t>Confidence or commercially sensitive, or where the release may be detrimental to Government operations (e.g. by pre</w:t>
      </w:r>
      <w:r w:rsidR="00BD269F" w:rsidRPr="00487526">
        <w:noBreakHyphen/>
        <w:t>empting the finalisation of policy decisions prior to their announcement by Government).</w:t>
      </w:r>
    </w:p>
    <w:p w14:paraId="7D8E750A" w14:textId="119A0F39" w:rsidR="00525E92" w:rsidRPr="00C268E2" w:rsidRDefault="00525E92" w:rsidP="00525E92">
      <w:pPr>
        <w:pStyle w:val="GuidanceBlockHeading"/>
      </w:pPr>
      <w:r w:rsidRPr="00C268E2">
        <w:t>Guidance – Reviews and studies expenditure disclosure</w:t>
      </w:r>
      <w:r w:rsidR="00080332">
        <w:t xml:space="preserve"> </w:t>
      </w:r>
      <w:r w:rsidR="00080332" w:rsidRPr="006D2835">
        <w:rPr>
          <w:color w:val="FFF8FF"/>
        </w:rPr>
        <w:t>[</w:t>
      </w:r>
      <w:r w:rsidR="00080332" w:rsidRPr="006D2835">
        <w:rPr>
          <w:rStyle w:val="Reference-Revised"/>
          <w:color w:val="FFF8FF"/>
          <w:sz w:val="20"/>
          <w:szCs w:val="32"/>
        </w:rPr>
        <w:t>REVISED]</w:t>
      </w:r>
    </w:p>
    <w:p w14:paraId="22200EA6" w14:textId="65B3E384" w:rsidR="000B66D8" w:rsidRDefault="002C17A2" w:rsidP="00525E92">
      <w:pPr>
        <w:rPr>
          <w:rStyle w:val="Guidance"/>
        </w:rPr>
      </w:pPr>
      <w:r>
        <w:rPr>
          <w:rStyle w:val="Guidance"/>
        </w:rPr>
        <w:t>The</w:t>
      </w:r>
      <w:r w:rsidR="00FB771A">
        <w:rPr>
          <w:rStyle w:val="Guidance"/>
        </w:rPr>
        <w:t xml:space="preserve"> </w:t>
      </w:r>
      <w:r w:rsidR="00525E92" w:rsidRPr="20EC4723">
        <w:rPr>
          <w:rStyle w:val="Guidance"/>
        </w:rPr>
        <w:t>PAEC</w:t>
      </w:r>
      <w:r w:rsidR="2CACEB0F" w:rsidRPr="20EC4723">
        <w:rPr>
          <w:rStyle w:val="Guidance"/>
        </w:rPr>
        <w:t xml:space="preserve"> Inquiry into the 2017-18 and 2018-19 Financial and Performance Outcomes</w:t>
      </w:r>
      <w:r>
        <w:rPr>
          <w:rStyle w:val="Guidance"/>
        </w:rPr>
        <w:t xml:space="preserve"> </w:t>
      </w:r>
      <w:r w:rsidRPr="20EC4723">
        <w:rPr>
          <w:rStyle w:val="Guidance"/>
        </w:rPr>
        <w:t>Recommendation 3</w:t>
      </w:r>
      <w:r w:rsidR="00FD5BCA">
        <w:rPr>
          <w:rStyle w:val="Guidance"/>
        </w:rPr>
        <w:t xml:space="preserve"> encourages</w:t>
      </w:r>
      <w:r w:rsidR="00525E92" w:rsidRPr="20EC4723">
        <w:rPr>
          <w:rStyle w:val="Guidance"/>
        </w:rPr>
        <w:t xml:space="preserve"> </w:t>
      </w:r>
      <w:r w:rsidR="000B66D8">
        <w:rPr>
          <w:rStyle w:val="Guidance"/>
        </w:rPr>
        <w:t xml:space="preserve">departments to disclose reviews and studies expenditure </w:t>
      </w:r>
      <w:r w:rsidR="00276FA9">
        <w:rPr>
          <w:rStyle w:val="Guidance"/>
        </w:rPr>
        <w:t>where feasible</w:t>
      </w:r>
      <w:r w:rsidR="000B66D8">
        <w:rPr>
          <w:rStyle w:val="Guidance"/>
        </w:rPr>
        <w:t>.</w:t>
      </w:r>
      <w:r w:rsidR="00E04DB6">
        <w:rPr>
          <w:rStyle w:val="Guidance"/>
        </w:rPr>
        <w:t xml:space="preserve"> </w:t>
      </w:r>
      <w:r w:rsidR="00E04DB6" w:rsidRPr="007A6587">
        <w:rPr>
          <w:rStyle w:val="Guidance"/>
        </w:rPr>
        <w:t xml:space="preserve">Reviews or studies </w:t>
      </w:r>
      <w:r w:rsidR="00E04DB6" w:rsidRPr="00487526">
        <w:rPr>
          <w:rStyle w:val="Guidance"/>
          <w:b/>
          <w:bCs/>
        </w:rPr>
        <w:t>do not</w:t>
      </w:r>
      <w:r w:rsidR="00E04DB6" w:rsidRPr="007A6587">
        <w:rPr>
          <w:rStyle w:val="Guidance"/>
        </w:rPr>
        <w:t xml:space="preserve"> need to be reported on if they are commercially sensitive and/or doing so would be detrimental to commercial operations</w:t>
      </w:r>
      <w:r w:rsidR="009725E5">
        <w:rPr>
          <w:rStyle w:val="Guidance"/>
        </w:rPr>
        <w:t>.</w:t>
      </w:r>
    </w:p>
    <w:p w14:paraId="5D2CEFC0" w14:textId="5FF5B00B" w:rsidR="00525E92" w:rsidRPr="00C268E2" w:rsidRDefault="00443408" w:rsidP="00525E92">
      <w:pPr>
        <w:rPr>
          <w:rStyle w:val="Guidance"/>
        </w:rPr>
      </w:pPr>
      <w:r>
        <w:rPr>
          <w:rStyle w:val="Guidance"/>
        </w:rPr>
        <w:t>When</w:t>
      </w:r>
      <w:r w:rsidR="000B66D8">
        <w:rPr>
          <w:rStyle w:val="Guidance"/>
        </w:rPr>
        <w:t xml:space="preserve"> a department intends to make a disclosure on reviews and expenditure, </w:t>
      </w:r>
      <w:r w:rsidR="00902E5A">
        <w:rPr>
          <w:rStyle w:val="Guidance"/>
        </w:rPr>
        <w:t>the</w:t>
      </w:r>
      <w:r w:rsidR="000B66D8">
        <w:rPr>
          <w:rStyle w:val="Guidance"/>
        </w:rPr>
        <w:t xml:space="preserve"> </w:t>
      </w:r>
      <w:r w:rsidR="00525E92" w:rsidRPr="20EC4723">
        <w:rPr>
          <w:rStyle w:val="Guidance"/>
        </w:rPr>
        <w:t xml:space="preserve">review or study </w:t>
      </w:r>
      <w:r w:rsidR="001C5FD4">
        <w:rPr>
          <w:rStyle w:val="Guidance"/>
        </w:rPr>
        <w:t>must be</w:t>
      </w:r>
      <w:r w:rsidR="00902E5A">
        <w:rPr>
          <w:rStyle w:val="Guidance"/>
        </w:rPr>
        <w:t xml:space="preserve"> </w:t>
      </w:r>
      <w:r w:rsidR="00525E92" w:rsidRPr="20EC4723">
        <w:rPr>
          <w:rStyle w:val="Guidance"/>
        </w:rPr>
        <w:t>sufficiently structured to merit reference in an annual report and may include the following:</w:t>
      </w:r>
    </w:p>
    <w:p w14:paraId="1FF680FA" w14:textId="77777777" w:rsidR="00525E92" w:rsidRPr="00C268E2" w:rsidRDefault="00525E92" w:rsidP="00052D9B">
      <w:pPr>
        <w:pStyle w:val="ListBullet2"/>
        <w:numPr>
          <w:ilvl w:val="0"/>
          <w:numId w:val="49"/>
        </w:numPr>
        <w:rPr>
          <w:rStyle w:val="Guidance"/>
        </w:rPr>
      </w:pPr>
      <w:r w:rsidRPr="00C268E2">
        <w:rPr>
          <w:rStyle w:val="Guidance"/>
        </w:rPr>
        <w:t>feasibility studies</w:t>
      </w:r>
    </w:p>
    <w:p w14:paraId="4EBEC3B2" w14:textId="77777777" w:rsidR="00525E92" w:rsidRPr="00C268E2" w:rsidRDefault="00525E92" w:rsidP="00052D9B">
      <w:pPr>
        <w:pStyle w:val="ListBullet2"/>
        <w:numPr>
          <w:ilvl w:val="0"/>
          <w:numId w:val="49"/>
        </w:numPr>
        <w:rPr>
          <w:rStyle w:val="Guidance"/>
        </w:rPr>
      </w:pPr>
      <w:r w:rsidRPr="00C268E2">
        <w:rPr>
          <w:rStyle w:val="Guidance"/>
        </w:rPr>
        <w:t>scoping studies</w:t>
      </w:r>
    </w:p>
    <w:p w14:paraId="07666B72" w14:textId="77777777" w:rsidR="00525E92" w:rsidRPr="00C268E2" w:rsidRDefault="00525E92" w:rsidP="00052D9B">
      <w:pPr>
        <w:pStyle w:val="ListBullet2"/>
        <w:numPr>
          <w:ilvl w:val="0"/>
          <w:numId w:val="49"/>
        </w:numPr>
        <w:rPr>
          <w:rStyle w:val="Guidance"/>
        </w:rPr>
      </w:pPr>
      <w:r w:rsidRPr="00C268E2">
        <w:rPr>
          <w:rStyle w:val="Guidance"/>
        </w:rPr>
        <w:t>audits/reviews</w:t>
      </w:r>
    </w:p>
    <w:p w14:paraId="7F34977A" w14:textId="77777777" w:rsidR="00525E92" w:rsidRPr="00C268E2" w:rsidRDefault="00525E92" w:rsidP="00052D9B">
      <w:pPr>
        <w:pStyle w:val="ListBullet2"/>
        <w:numPr>
          <w:ilvl w:val="0"/>
          <w:numId w:val="49"/>
        </w:numPr>
        <w:rPr>
          <w:rStyle w:val="Guidance"/>
        </w:rPr>
      </w:pPr>
      <w:r w:rsidRPr="00C268E2">
        <w:rPr>
          <w:rStyle w:val="Guidance"/>
        </w:rPr>
        <w:t>research and development</w:t>
      </w:r>
    </w:p>
    <w:p w14:paraId="1FA423D3" w14:textId="77777777" w:rsidR="00525E92" w:rsidRPr="00C268E2" w:rsidRDefault="00525E92" w:rsidP="00052D9B">
      <w:pPr>
        <w:pStyle w:val="ListBullet2"/>
        <w:numPr>
          <w:ilvl w:val="0"/>
          <w:numId w:val="49"/>
        </w:numPr>
        <w:rPr>
          <w:rStyle w:val="Guidance"/>
        </w:rPr>
      </w:pPr>
      <w:r w:rsidRPr="00C268E2">
        <w:rPr>
          <w:rStyle w:val="Guidance"/>
        </w:rPr>
        <w:t>inquiries and investigations</w:t>
      </w:r>
    </w:p>
    <w:p w14:paraId="76FF1CE8" w14:textId="77777777" w:rsidR="00525E92" w:rsidRPr="00C268E2" w:rsidRDefault="00525E92" w:rsidP="00052D9B">
      <w:pPr>
        <w:pStyle w:val="ListBullet2"/>
        <w:numPr>
          <w:ilvl w:val="0"/>
          <w:numId w:val="49"/>
        </w:numPr>
        <w:rPr>
          <w:rStyle w:val="Guidance"/>
        </w:rPr>
      </w:pPr>
      <w:r w:rsidRPr="00C268E2">
        <w:rPr>
          <w:rStyle w:val="Guidance"/>
        </w:rPr>
        <w:t>impact/evaluation studies</w:t>
      </w:r>
    </w:p>
    <w:p w14:paraId="3404E685" w14:textId="1BD58F9A" w:rsidR="00525E92" w:rsidRPr="00C268E2" w:rsidRDefault="00525E92" w:rsidP="00525E92">
      <w:pPr>
        <w:rPr>
          <w:rStyle w:val="Guidance"/>
        </w:rPr>
      </w:pPr>
      <w:r w:rsidRPr="00C268E2">
        <w:rPr>
          <w:rStyle w:val="Guidance"/>
        </w:rPr>
        <w:t>Where an external provider is engaged as part of a contract to perform a review</w:t>
      </w:r>
      <w:r w:rsidR="001F6AA4">
        <w:rPr>
          <w:rStyle w:val="Guidance"/>
        </w:rPr>
        <w:t xml:space="preserve"> or </w:t>
      </w:r>
      <w:r w:rsidRPr="00C268E2">
        <w:rPr>
          <w:rStyle w:val="Guidance"/>
        </w:rPr>
        <w:t xml:space="preserve">study, </w:t>
      </w:r>
      <w:r w:rsidR="005B4F63">
        <w:rPr>
          <w:rStyle w:val="Guidance"/>
        </w:rPr>
        <w:t>the</w:t>
      </w:r>
      <w:r w:rsidRPr="00C268E2">
        <w:rPr>
          <w:rStyle w:val="Guidance"/>
        </w:rPr>
        <w:t xml:space="preserve"> review</w:t>
      </w:r>
      <w:r w:rsidR="001F6AA4">
        <w:rPr>
          <w:rStyle w:val="Guidance"/>
        </w:rPr>
        <w:t xml:space="preserve"> </w:t>
      </w:r>
      <w:r w:rsidR="005B4F63">
        <w:rPr>
          <w:rStyle w:val="Guidance"/>
        </w:rPr>
        <w:t>or</w:t>
      </w:r>
      <w:r w:rsidR="005B4F63" w:rsidRPr="00C268E2">
        <w:rPr>
          <w:rStyle w:val="Guidance"/>
        </w:rPr>
        <w:t xml:space="preserve"> study</w:t>
      </w:r>
      <w:r w:rsidRPr="00C268E2">
        <w:rPr>
          <w:rStyle w:val="Guidance"/>
        </w:rPr>
        <w:t xml:space="preserve"> should be referenced within an annual report</w:t>
      </w:r>
      <w:r w:rsidR="00075D14">
        <w:rPr>
          <w:rStyle w:val="Guidance"/>
        </w:rPr>
        <w:t>, subject to confidentiality considerations</w:t>
      </w:r>
      <w:r w:rsidRPr="00C268E2">
        <w:rPr>
          <w:rStyle w:val="Guidance"/>
        </w:rPr>
        <w:t>. Internal reviews</w:t>
      </w:r>
      <w:r w:rsidR="001F6AA4">
        <w:rPr>
          <w:rStyle w:val="Guidance"/>
        </w:rPr>
        <w:t xml:space="preserve"> or </w:t>
      </w:r>
      <w:r w:rsidRPr="00C268E2">
        <w:rPr>
          <w:rStyle w:val="Guidance"/>
        </w:rPr>
        <w:t>studies should also be captured whe</w:t>
      </w:r>
      <w:r w:rsidR="005B4F63">
        <w:rPr>
          <w:rStyle w:val="Guidance"/>
        </w:rPr>
        <w:t>n</w:t>
      </w:r>
      <w:r w:rsidRPr="00C268E2">
        <w:rPr>
          <w:rStyle w:val="Guidance"/>
        </w:rPr>
        <w:t xml:space="preserve"> the</w:t>
      </w:r>
      <w:r w:rsidR="005B4F63">
        <w:rPr>
          <w:rStyle w:val="Guidance"/>
        </w:rPr>
        <w:t>y</w:t>
      </w:r>
      <w:r w:rsidRPr="00C268E2">
        <w:rPr>
          <w:rStyle w:val="Guidance"/>
        </w:rPr>
        <w:t xml:space="preserve"> can be reliably measured.</w:t>
      </w:r>
    </w:p>
    <w:p w14:paraId="6135A684" w14:textId="0F73A219" w:rsidR="00525E92" w:rsidRPr="00AE237E" w:rsidRDefault="0074595F" w:rsidP="00525E92">
      <w:pPr>
        <w:rPr>
          <w:rStyle w:val="Guidance"/>
          <w:color w:val="A20000"/>
        </w:rPr>
      </w:pPr>
      <w:r w:rsidRPr="00D615EF">
        <w:rPr>
          <w:rStyle w:val="Guidance"/>
          <w:b/>
          <w:bCs/>
        </w:rPr>
        <w:t>Note:</w:t>
      </w:r>
      <w:r w:rsidRPr="007A6587">
        <w:rPr>
          <w:rStyle w:val="Guidance"/>
        </w:rPr>
        <w:t xml:space="preserve"> </w:t>
      </w:r>
      <w:r w:rsidR="00525E92" w:rsidRPr="00C268E2">
        <w:rPr>
          <w:rStyle w:val="Guidance"/>
        </w:rPr>
        <w:t>Reviews</w:t>
      </w:r>
      <w:r w:rsidR="001F6AA4">
        <w:rPr>
          <w:rStyle w:val="Guidance"/>
        </w:rPr>
        <w:t xml:space="preserve"> or</w:t>
      </w:r>
      <w:r w:rsidR="005B4F63">
        <w:rPr>
          <w:rStyle w:val="Guidance"/>
        </w:rPr>
        <w:t xml:space="preserve"> </w:t>
      </w:r>
      <w:r w:rsidR="00525E92" w:rsidRPr="00C268E2">
        <w:rPr>
          <w:rStyle w:val="Guidance"/>
        </w:rPr>
        <w:t>studies should be disclosed with estimated costs for the year and final costs including any associated costs from previous years where completed.</w:t>
      </w:r>
      <w:r w:rsidR="00443408">
        <w:rPr>
          <w:rStyle w:val="Guidance"/>
        </w:rPr>
        <w:t xml:space="preserve"> </w:t>
      </w:r>
      <w:r w:rsidR="00380722">
        <w:rPr>
          <w:rStyle w:val="Reference"/>
        </w:rPr>
        <w:t>[F</w:t>
      </w:r>
      <w:r w:rsidR="00380722" w:rsidRPr="20EC4723">
        <w:rPr>
          <w:rStyle w:val="Reference"/>
        </w:rPr>
        <w:t xml:space="preserve">RD 22 </w:t>
      </w:r>
      <w:r w:rsidR="00380722">
        <w:rPr>
          <w:rStyle w:val="Reference"/>
        </w:rPr>
        <w:t xml:space="preserve">Revised </w:t>
      </w:r>
      <w:r w:rsidR="00380722" w:rsidRPr="20EC4723">
        <w:rPr>
          <w:rStyle w:val="Reference"/>
        </w:rPr>
        <w:t>Paragraph 5.2</w:t>
      </w:r>
      <w:r w:rsidR="00380722">
        <w:rPr>
          <w:rStyle w:val="Reference"/>
        </w:rPr>
        <w:t>1]</w:t>
      </w:r>
    </w:p>
    <w:p w14:paraId="17A74444" w14:textId="77777777" w:rsidR="00525E92" w:rsidRPr="000A09C4" w:rsidRDefault="00525E92" w:rsidP="00525E92">
      <w:pPr>
        <w:pStyle w:val="GuidanceEnd"/>
        <w:rPr>
          <w:rStyle w:val="Guidance"/>
        </w:rPr>
      </w:pPr>
    </w:p>
    <w:p w14:paraId="06F293FD" w14:textId="77777777" w:rsidR="00525E92" w:rsidRDefault="00525E92" w:rsidP="00525E92">
      <w:pPr>
        <w:keepLines w:val="0"/>
        <w:rPr>
          <w:rFonts w:asciiTheme="majorHAnsi" w:eastAsiaTheme="majorEastAsia" w:hAnsiTheme="majorHAnsi" w:cstheme="majorBidi"/>
          <w:b/>
          <w:sz w:val="26"/>
          <w:szCs w:val="26"/>
        </w:rPr>
      </w:pPr>
      <w:r>
        <w:br w:type="page"/>
      </w:r>
    </w:p>
    <w:p w14:paraId="76CFA9E4" w14:textId="73DCE14B" w:rsidR="000A09C4" w:rsidRDefault="000A09C4" w:rsidP="000A09C4">
      <w:pPr>
        <w:pStyle w:val="Heading2"/>
      </w:pPr>
      <w:bookmarkStart w:id="147" w:name="INDEX_ICTexp"/>
      <w:bookmarkStart w:id="148" w:name="_Toc199156290"/>
      <w:bookmarkEnd w:id="146"/>
      <w:bookmarkEnd w:id="147"/>
      <w:r w:rsidRPr="000A09C4">
        <w:lastRenderedPageBreak/>
        <w:t>Information and communication technology expenditure</w:t>
      </w:r>
      <w:bookmarkEnd w:id="148"/>
    </w:p>
    <w:p w14:paraId="523B94BC" w14:textId="616A5C15" w:rsidR="00DC39DE" w:rsidRDefault="00DC39DE" w:rsidP="000A09C4">
      <w:pPr>
        <w:pStyle w:val="Heading3"/>
      </w:pPr>
      <w:r>
        <w:t>Details of information and communication technology (ICT) expenditure</w:t>
      </w:r>
      <w:r w:rsidR="000A09C4">
        <w:t xml:space="preserve"> </w:t>
      </w:r>
      <w:r w:rsidR="000A09C4" w:rsidRPr="000A09C4">
        <w:rPr>
          <w:rStyle w:val="Reference"/>
        </w:rPr>
        <w:t>[FRD 22]</w:t>
      </w:r>
    </w:p>
    <w:p w14:paraId="52C5CE42" w14:textId="7708DCDA" w:rsidR="00DC39DE" w:rsidRDefault="00DC39DE" w:rsidP="00DC39DE">
      <w:r>
        <w:t xml:space="preserve">For the </w:t>
      </w:r>
      <w:fldSimple w:instr="DOCPROPERTY  FinYearCurrent  \* MERGEFORMAT">
        <w:r w:rsidR="000E6299">
          <w:t>20X1</w:t>
        </w:r>
        <w:r w:rsidR="000E6299" w:rsidRPr="000E6299">
          <w:rPr>
            <w:rFonts w:ascii="Cambria Math" w:hAnsi="Cambria Math" w:cs="Cambria Math"/>
          </w:rPr>
          <w:t>‑</w:t>
        </w:r>
        <w:r w:rsidR="000E6299">
          <w:t>X2</w:t>
        </w:r>
      </w:fldSimple>
      <w:r>
        <w:t xml:space="preserve"> reporting period, the Department had a total ICT expenditure of </w:t>
      </w:r>
      <w:r w:rsidRPr="000A09C4">
        <w:rPr>
          <w:rStyle w:val="Guidance"/>
        </w:rPr>
        <w:t>[insert total value]</w:t>
      </w:r>
      <w:r>
        <w:t xml:space="preserve">, with the details shown below. </w:t>
      </w:r>
    </w:p>
    <w:p w14:paraId="09868B47" w14:textId="30091982" w:rsidR="00DC39DE" w:rsidRDefault="000A09C4" w:rsidP="000A09C4">
      <w:pPr>
        <w:pStyle w:val="Caption"/>
      </w:pPr>
      <w:r>
        <w:tab/>
      </w:r>
      <w:r>
        <w:tab/>
      </w:r>
      <w:r w:rsidR="00DC39DE">
        <w:t>($ thousand)</w:t>
      </w:r>
    </w:p>
    <w:tbl>
      <w:tblPr>
        <w:tblStyle w:val="DTFFinancialTable"/>
        <w:tblW w:w="9773" w:type="dxa"/>
        <w:tblLayout w:type="fixed"/>
        <w:tblLook w:val="06E0" w:firstRow="1" w:lastRow="1" w:firstColumn="1" w:lastColumn="0" w:noHBand="1" w:noVBand="1"/>
      </w:tblPr>
      <w:tblGrid>
        <w:gridCol w:w="1890"/>
        <w:gridCol w:w="3690"/>
        <w:gridCol w:w="2070"/>
        <w:gridCol w:w="2123"/>
      </w:tblGrid>
      <w:tr w:rsidR="00504E7C" w:rsidRPr="00107A54" w14:paraId="06A9F4B1" w14:textId="77777777" w:rsidTr="00074D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90" w:type="dxa"/>
          </w:tcPr>
          <w:p w14:paraId="56DBBA16" w14:textId="77777777" w:rsidR="00504E7C" w:rsidRPr="00417AA8" w:rsidRDefault="00504E7C" w:rsidP="00896AD0">
            <w:r w:rsidRPr="00417AA8">
              <w:t>All operational ICT expenditure</w:t>
            </w:r>
          </w:p>
        </w:tc>
        <w:tc>
          <w:tcPr>
            <w:tcW w:w="7883" w:type="dxa"/>
            <w:gridSpan w:val="3"/>
            <w:tcBorders>
              <w:bottom w:val="single" w:sz="4" w:space="0" w:color="FFFFFF" w:themeColor="background1"/>
            </w:tcBorders>
          </w:tcPr>
          <w:p w14:paraId="467EB9C7" w14:textId="77777777" w:rsidR="00504E7C" w:rsidRPr="00107A54" w:rsidRDefault="00504E7C" w:rsidP="00896AD0">
            <w:pPr>
              <w:jc w:val="center"/>
              <w:cnfStyle w:val="100000000000" w:firstRow="1" w:lastRow="0" w:firstColumn="0" w:lastColumn="0" w:oddVBand="0" w:evenVBand="0" w:oddHBand="0" w:evenHBand="0" w:firstRowFirstColumn="0" w:firstRowLastColumn="0" w:lastRowFirstColumn="0" w:lastRowLastColumn="0"/>
            </w:pPr>
            <w:r w:rsidRPr="00107A54">
              <w:t xml:space="preserve">ICT expenditure related to projects </w:t>
            </w:r>
            <w:r>
              <w:br/>
            </w:r>
            <w:r w:rsidRPr="00107A54">
              <w:t>to create or enhance ICT capabilities</w:t>
            </w:r>
          </w:p>
        </w:tc>
      </w:tr>
      <w:tr w:rsidR="00504E7C" w:rsidRPr="00107A54" w14:paraId="41549010" w14:textId="77777777" w:rsidTr="00074D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90" w:type="dxa"/>
          </w:tcPr>
          <w:p w14:paraId="411CE545" w14:textId="77777777" w:rsidR="00504E7C" w:rsidRPr="00417AA8" w:rsidRDefault="00504E7C" w:rsidP="00C02C51">
            <w:pPr>
              <w:jc w:val="right"/>
            </w:pPr>
            <w:r w:rsidRPr="00417AA8">
              <w:t xml:space="preserve">Business </w:t>
            </w:r>
            <w:r>
              <w:t>as</w:t>
            </w:r>
            <w:r w:rsidRPr="00417AA8">
              <w:t xml:space="preserve"> Usual (BAU) ICT expenditure</w:t>
            </w:r>
          </w:p>
        </w:tc>
        <w:tc>
          <w:tcPr>
            <w:tcW w:w="3690" w:type="dxa"/>
            <w:tcBorders>
              <w:top w:val="single" w:sz="4" w:space="0" w:color="FFFFFF" w:themeColor="background1"/>
            </w:tcBorders>
          </w:tcPr>
          <w:p w14:paraId="0C946009" w14:textId="73F5793E" w:rsidR="00504E7C" w:rsidRPr="00107A54" w:rsidRDefault="00504E7C" w:rsidP="00896AD0">
            <w:pPr>
              <w:cnfStyle w:val="100000000000" w:firstRow="1" w:lastRow="0" w:firstColumn="0" w:lastColumn="0" w:oddVBand="0" w:evenVBand="0" w:oddHBand="0" w:evenHBand="0" w:firstRowFirstColumn="0" w:firstRowLastColumn="0" w:lastRowFirstColumn="0" w:lastRowLastColumn="0"/>
            </w:pPr>
            <w:r w:rsidRPr="00107A54">
              <w:t>Non</w:t>
            </w:r>
            <w:r w:rsidRPr="00107A54">
              <w:noBreakHyphen/>
              <w:t xml:space="preserve">Business </w:t>
            </w:r>
            <w:r>
              <w:t>as</w:t>
            </w:r>
            <w:r w:rsidRPr="00107A54">
              <w:t xml:space="preserve"> Usual (non</w:t>
            </w:r>
            <w:r w:rsidRPr="00107A54">
              <w:noBreakHyphen/>
              <w:t xml:space="preserve">BAU) </w:t>
            </w:r>
            <w:r w:rsidR="000928B1">
              <w:br/>
            </w:r>
            <w:r w:rsidRPr="00107A54">
              <w:t>ICT expenditure</w:t>
            </w:r>
          </w:p>
        </w:tc>
        <w:tc>
          <w:tcPr>
            <w:tcW w:w="2070" w:type="dxa"/>
            <w:tcBorders>
              <w:top w:val="single" w:sz="4" w:space="0" w:color="FFFFFF" w:themeColor="background1"/>
            </w:tcBorders>
          </w:tcPr>
          <w:p w14:paraId="3334F630" w14:textId="46BF1130" w:rsidR="00504E7C" w:rsidRPr="00107A54" w:rsidRDefault="00504E7C" w:rsidP="00896AD0">
            <w:pPr>
              <w:cnfStyle w:val="100000000000" w:firstRow="1" w:lastRow="0" w:firstColumn="0" w:lastColumn="0" w:oddVBand="0" w:evenVBand="0" w:oddHBand="0" w:evenHBand="0" w:firstRowFirstColumn="0" w:firstRowLastColumn="0" w:lastRowFirstColumn="0" w:lastRowLastColumn="0"/>
            </w:pPr>
            <w:r w:rsidRPr="00107A54">
              <w:t>Operational</w:t>
            </w:r>
            <w:r>
              <w:br/>
            </w:r>
            <w:r w:rsidRPr="00107A54">
              <w:t>expenditure</w:t>
            </w:r>
          </w:p>
        </w:tc>
        <w:tc>
          <w:tcPr>
            <w:tcW w:w="2123" w:type="dxa"/>
            <w:tcBorders>
              <w:top w:val="single" w:sz="4" w:space="0" w:color="FFFFFF" w:themeColor="background1"/>
            </w:tcBorders>
          </w:tcPr>
          <w:p w14:paraId="11D55CC4" w14:textId="77777777" w:rsidR="00504E7C" w:rsidRPr="00107A54" w:rsidRDefault="00504E7C" w:rsidP="00896AD0">
            <w:pPr>
              <w:cnfStyle w:val="100000000000" w:firstRow="1" w:lastRow="0" w:firstColumn="0" w:lastColumn="0" w:oddVBand="0" w:evenVBand="0" w:oddHBand="0" w:evenHBand="0" w:firstRowFirstColumn="0" w:firstRowLastColumn="0" w:lastRowFirstColumn="0" w:lastRowLastColumn="0"/>
            </w:pPr>
            <w:r w:rsidRPr="00107A54">
              <w:t xml:space="preserve">Capital </w:t>
            </w:r>
            <w:r w:rsidRPr="00107A54">
              <w:br/>
              <w:t>expenditure</w:t>
            </w:r>
          </w:p>
        </w:tc>
      </w:tr>
      <w:tr w:rsidR="00504E7C" w:rsidRPr="00107A54" w14:paraId="4A8DA662" w14:textId="77777777" w:rsidTr="00074D8D">
        <w:tc>
          <w:tcPr>
            <w:cnfStyle w:val="001000000000" w:firstRow="0" w:lastRow="0" w:firstColumn="1" w:lastColumn="0" w:oddVBand="0" w:evenVBand="0" w:oddHBand="0" w:evenHBand="0" w:firstRowFirstColumn="0" w:firstRowLastColumn="0" w:lastRowFirstColumn="0" w:lastRowLastColumn="0"/>
            <w:tcW w:w="1890" w:type="dxa"/>
          </w:tcPr>
          <w:p w14:paraId="64278CE1" w14:textId="77777777" w:rsidR="00504E7C" w:rsidRPr="00417AA8" w:rsidRDefault="00504E7C" w:rsidP="00C02C51">
            <w:pPr>
              <w:jc w:val="right"/>
            </w:pPr>
            <w:r w:rsidRPr="00417AA8">
              <w:t>(Total)</w:t>
            </w:r>
          </w:p>
        </w:tc>
        <w:tc>
          <w:tcPr>
            <w:tcW w:w="3690" w:type="dxa"/>
          </w:tcPr>
          <w:p w14:paraId="5C547020" w14:textId="7B66616E" w:rsidR="00504E7C" w:rsidRPr="00107A54" w:rsidRDefault="00504E7C" w:rsidP="00896AD0">
            <w:pPr>
              <w:cnfStyle w:val="000000000000" w:firstRow="0" w:lastRow="0" w:firstColumn="0" w:lastColumn="0" w:oddVBand="0" w:evenVBand="0" w:oddHBand="0" w:evenHBand="0" w:firstRowFirstColumn="0" w:firstRowLastColumn="0" w:lastRowFirstColumn="0" w:lastRowLastColumn="0"/>
            </w:pPr>
            <w:r w:rsidRPr="00107A54">
              <w:t xml:space="preserve">(Total = Operational expenditure </w:t>
            </w:r>
            <w:r w:rsidR="00BC58CE">
              <w:br/>
            </w:r>
            <w:r w:rsidRPr="00107A54">
              <w:t>and capital expenditure)</w:t>
            </w:r>
          </w:p>
        </w:tc>
        <w:tc>
          <w:tcPr>
            <w:tcW w:w="2070" w:type="dxa"/>
          </w:tcPr>
          <w:p w14:paraId="2E5E540B" w14:textId="77777777" w:rsidR="00504E7C" w:rsidRPr="00107A54" w:rsidRDefault="00504E7C" w:rsidP="00896AD0">
            <w:pPr>
              <w:cnfStyle w:val="000000000000" w:firstRow="0" w:lastRow="0" w:firstColumn="0" w:lastColumn="0" w:oddVBand="0" w:evenVBand="0" w:oddHBand="0" w:evenHBand="0" w:firstRowFirstColumn="0" w:firstRowLastColumn="0" w:lastRowFirstColumn="0" w:lastRowLastColumn="0"/>
            </w:pPr>
          </w:p>
        </w:tc>
        <w:tc>
          <w:tcPr>
            <w:tcW w:w="2123" w:type="dxa"/>
          </w:tcPr>
          <w:p w14:paraId="73CAEA5B" w14:textId="77777777" w:rsidR="00504E7C" w:rsidRPr="00107A54" w:rsidRDefault="00504E7C" w:rsidP="00896AD0">
            <w:pPr>
              <w:cnfStyle w:val="000000000000" w:firstRow="0" w:lastRow="0" w:firstColumn="0" w:lastColumn="0" w:oddVBand="0" w:evenVBand="0" w:oddHBand="0" w:evenHBand="0" w:firstRowFirstColumn="0" w:firstRowLastColumn="0" w:lastRowFirstColumn="0" w:lastRowLastColumn="0"/>
            </w:pPr>
          </w:p>
        </w:tc>
      </w:tr>
      <w:tr w:rsidR="00504E7C" w:rsidRPr="00107A54" w14:paraId="09A4C25F" w14:textId="77777777" w:rsidTr="00074D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34EB39" w14:textId="77777777" w:rsidR="00504E7C" w:rsidRPr="00107A54" w:rsidRDefault="00504E7C" w:rsidP="00C02C51">
            <w:pPr>
              <w:jc w:val="right"/>
            </w:pPr>
            <w:r w:rsidRPr="00107A54">
              <w:t>60</w:t>
            </w:r>
          </w:p>
        </w:tc>
        <w:tc>
          <w:tcPr>
            <w:tcW w:w="3690" w:type="dxa"/>
          </w:tcPr>
          <w:p w14:paraId="0430B996" w14:textId="77777777" w:rsidR="00504E7C" w:rsidRPr="00107A54" w:rsidRDefault="00504E7C" w:rsidP="00896AD0">
            <w:pPr>
              <w:cnfStyle w:val="010000000000" w:firstRow="0" w:lastRow="1" w:firstColumn="0" w:lastColumn="0" w:oddVBand="0" w:evenVBand="0" w:oddHBand="0" w:evenHBand="0" w:firstRowFirstColumn="0" w:firstRowLastColumn="0" w:lastRowFirstColumn="0" w:lastRowLastColumn="0"/>
            </w:pPr>
            <w:r w:rsidRPr="00107A54">
              <w:t>40</w:t>
            </w:r>
          </w:p>
        </w:tc>
        <w:tc>
          <w:tcPr>
            <w:tcW w:w="2070" w:type="dxa"/>
          </w:tcPr>
          <w:p w14:paraId="5C4C54BB" w14:textId="77777777" w:rsidR="00504E7C" w:rsidRPr="00107A54" w:rsidRDefault="00504E7C" w:rsidP="00896AD0">
            <w:pPr>
              <w:cnfStyle w:val="010000000000" w:firstRow="0" w:lastRow="1" w:firstColumn="0" w:lastColumn="0" w:oddVBand="0" w:evenVBand="0" w:oddHBand="0" w:evenHBand="0" w:firstRowFirstColumn="0" w:firstRowLastColumn="0" w:lastRowFirstColumn="0" w:lastRowLastColumn="0"/>
            </w:pPr>
            <w:r w:rsidRPr="00107A54">
              <w:t>30</w:t>
            </w:r>
          </w:p>
        </w:tc>
        <w:tc>
          <w:tcPr>
            <w:tcW w:w="2123" w:type="dxa"/>
          </w:tcPr>
          <w:p w14:paraId="775B6E56" w14:textId="77777777" w:rsidR="00504E7C" w:rsidRPr="00107A54" w:rsidRDefault="00504E7C" w:rsidP="00896AD0">
            <w:pPr>
              <w:cnfStyle w:val="010000000000" w:firstRow="0" w:lastRow="1" w:firstColumn="0" w:lastColumn="0" w:oddVBand="0" w:evenVBand="0" w:oddHBand="0" w:evenHBand="0" w:firstRowFirstColumn="0" w:firstRowLastColumn="0" w:lastRowFirstColumn="0" w:lastRowLastColumn="0"/>
            </w:pPr>
            <w:r w:rsidRPr="00107A54">
              <w:t>10</w:t>
            </w:r>
          </w:p>
        </w:tc>
      </w:tr>
    </w:tbl>
    <w:p w14:paraId="6E33C16F" w14:textId="41D69FBB" w:rsidR="00DC39DE" w:rsidRDefault="00DC39DE" w:rsidP="00DC39DE">
      <w:r>
        <w:t>ICT expenditure refers to the Department’s costs in providing business enabling ICT services within the current reporting period. It comprises Business as Usual (BAU) ICT expenditure and Non</w:t>
      </w:r>
      <w:r w:rsidR="000A09C4">
        <w:t>-</w:t>
      </w:r>
      <w:r>
        <w:t>Business as Usual (Non-BAU) ICT expenditure. Non-BAU ICT expenditure relates to extending or enhancing the Department’s current ICT capabilities. BAU ICT expenditure is all remaining ICT expenditure that primarily relates to ongoing activities to operate and maintain the current ICT capability.</w:t>
      </w:r>
    </w:p>
    <w:p w14:paraId="3106153D" w14:textId="3BDD611C" w:rsidR="000A09C4" w:rsidRDefault="000A09C4" w:rsidP="000A09C4">
      <w:pPr>
        <w:pStyle w:val="GuidanceBlockHeading"/>
      </w:pPr>
      <w:r>
        <w:t>Guidance – ICT expenditure</w:t>
      </w:r>
    </w:p>
    <w:p w14:paraId="5169A2E5" w14:textId="51D1BD66" w:rsidR="000A09C4" w:rsidRPr="004544E1" w:rsidRDefault="000A09C4" w:rsidP="000A09C4">
      <w:pPr>
        <w:rPr>
          <w:rStyle w:val="Reference"/>
          <w:color w:val="4472C4" w:themeColor="accent1"/>
          <w:sz w:val="18"/>
        </w:rPr>
      </w:pPr>
      <w:r w:rsidRPr="004063D9">
        <w:rPr>
          <w:rStyle w:val="Guidance"/>
        </w:rPr>
        <w:t xml:space="preserve">In accordance with FRD 22, an entity should disclose the following: </w:t>
      </w:r>
      <w:r w:rsidRPr="004063D9">
        <w:rPr>
          <w:rStyle w:val="Reference"/>
        </w:rPr>
        <w:t>[FRD 22]</w:t>
      </w:r>
      <w:r w:rsidR="00DE5AC7">
        <w:rPr>
          <w:rStyle w:val="Reference"/>
        </w:rPr>
        <w:t>.</w:t>
      </w:r>
    </w:p>
    <w:p w14:paraId="5C9B0DF2" w14:textId="3F866FE7" w:rsidR="000A09C4" w:rsidRDefault="000A09C4" w:rsidP="00310F12">
      <w:pPr>
        <w:pStyle w:val="ListBullet"/>
        <w:rPr>
          <w:rStyle w:val="Guidance"/>
        </w:rPr>
      </w:pPr>
      <w:r w:rsidRPr="004063D9">
        <w:rPr>
          <w:rStyle w:val="Guidance"/>
        </w:rPr>
        <w:t>total entity ICT Business as Usual (BAU) expenditure for the full 12-month reporting period</w:t>
      </w:r>
    </w:p>
    <w:p w14:paraId="29ECA5FD" w14:textId="77777777" w:rsidR="00F514B7" w:rsidRDefault="000A09C4" w:rsidP="00310F12">
      <w:pPr>
        <w:pStyle w:val="ListBullet"/>
        <w:rPr>
          <w:rStyle w:val="Guidance"/>
        </w:rPr>
      </w:pPr>
      <w:r w:rsidRPr="004063D9">
        <w:rPr>
          <w:rStyle w:val="Guidance"/>
        </w:rPr>
        <w:t>total entity ICT Non-BAU expenditure for the full 12-month reporting period; and provide a breakdown for:</w:t>
      </w:r>
    </w:p>
    <w:p w14:paraId="29F5A125" w14:textId="47E258A1" w:rsidR="000A09C4" w:rsidRDefault="000A09C4" w:rsidP="00052D9B">
      <w:pPr>
        <w:pStyle w:val="ListBullet2"/>
        <w:rPr>
          <w:rStyle w:val="Guidance"/>
        </w:rPr>
      </w:pPr>
      <w:r w:rsidRPr="004063D9">
        <w:rPr>
          <w:rStyle w:val="Guidance"/>
        </w:rPr>
        <w:t>operational expenditure (OPEX</w:t>
      </w:r>
      <w:r w:rsidR="00B46F50">
        <w:rPr>
          <w:rStyle w:val="Guidance"/>
        </w:rPr>
        <w:t>,</w:t>
      </w:r>
      <w:r w:rsidRPr="004063D9">
        <w:rPr>
          <w:rStyle w:val="Guidance"/>
        </w:rPr>
        <w:t xml:space="preserve"> i.e. the expenditure is charged against operational funding </w:t>
      </w:r>
    </w:p>
    <w:p w14:paraId="4F33DCE3" w14:textId="1293DEEF" w:rsidR="000A09C4" w:rsidRPr="004063D9" w:rsidRDefault="000A09C4" w:rsidP="00052D9B">
      <w:pPr>
        <w:pStyle w:val="ListBullet2"/>
        <w:rPr>
          <w:rStyle w:val="Guidance"/>
        </w:rPr>
      </w:pPr>
      <w:r w:rsidRPr="004063D9">
        <w:rPr>
          <w:rStyle w:val="Guidance"/>
        </w:rPr>
        <w:t>capital expenditure (CAPEX), i.e. the expenditure is charged against capital funding.</w:t>
      </w:r>
    </w:p>
    <w:p w14:paraId="13ADBF25" w14:textId="73655044" w:rsidR="000A09C4" w:rsidRPr="004063D9" w:rsidRDefault="000A09C4" w:rsidP="000A09C4">
      <w:pPr>
        <w:rPr>
          <w:rStyle w:val="Guidance"/>
        </w:rPr>
      </w:pPr>
      <w:r w:rsidRPr="004063D9">
        <w:rPr>
          <w:rStyle w:val="Guidance"/>
          <w:b/>
          <w:bCs/>
        </w:rPr>
        <w:t>ICT expenditure</w:t>
      </w:r>
      <w:r w:rsidRPr="004063D9">
        <w:rPr>
          <w:rStyle w:val="Guidance"/>
        </w:rPr>
        <w:t>: a</w:t>
      </w:r>
      <w:r w:rsidR="00305DEF">
        <w:rPr>
          <w:rStyle w:val="Guidance"/>
        </w:rPr>
        <w:t xml:space="preserve"> depar</w:t>
      </w:r>
      <w:r w:rsidR="004E5460">
        <w:rPr>
          <w:rStyle w:val="Guidance"/>
        </w:rPr>
        <w:t>t</w:t>
      </w:r>
      <w:r w:rsidR="00305DEF">
        <w:rPr>
          <w:rStyle w:val="Guidance"/>
        </w:rPr>
        <w:t>ment</w:t>
      </w:r>
      <w:r w:rsidRPr="004063D9">
        <w:rPr>
          <w:rStyle w:val="Guidance"/>
        </w:rPr>
        <w:t>’s costs in providing business-enabling ICT services and consists of the following cost elements:</w:t>
      </w:r>
    </w:p>
    <w:p w14:paraId="0B8A9748" w14:textId="237FC810" w:rsidR="000A09C4" w:rsidRPr="004063D9" w:rsidRDefault="000A09C4" w:rsidP="00310F12">
      <w:pPr>
        <w:pStyle w:val="ListBullet"/>
        <w:rPr>
          <w:rStyle w:val="Guidance"/>
        </w:rPr>
      </w:pPr>
      <w:r w:rsidRPr="004063D9">
        <w:rPr>
          <w:rStyle w:val="Guidance"/>
        </w:rPr>
        <w:t>operating (including depreciation and impairment) and capital expenditure</w:t>
      </w:r>
    </w:p>
    <w:p w14:paraId="5EDA5868" w14:textId="782ACACD" w:rsidR="000A09C4" w:rsidRPr="004063D9" w:rsidRDefault="000A09C4" w:rsidP="00310F12">
      <w:pPr>
        <w:pStyle w:val="ListBullet"/>
        <w:rPr>
          <w:rStyle w:val="Guidance"/>
        </w:rPr>
      </w:pPr>
      <w:r w:rsidRPr="004063D9">
        <w:rPr>
          <w:rStyle w:val="Guidance"/>
        </w:rPr>
        <w:t>ICT services – internally and externally sourced</w:t>
      </w:r>
    </w:p>
    <w:p w14:paraId="797E70E8" w14:textId="1CB31522" w:rsidR="000A09C4" w:rsidRPr="004063D9" w:rsidRDefault="000A09C4" w:rsidP="00310F12">
      <w:pPr>
        <w:pStyle w:val="ListBullet"/>
        <w:rPr>
          <w:rStyle w:val="Guidance"/>
        </w:rPr>
      </w:pPr>
      <w:r w:rsidRPr="004063D9">
        <w:rPr>
          <w:rStyle w:val="Guidance"/>
        </w:rPr>
        <w:t>cost in providing ICT services (including personnel and facilities) across the agency, whether funded through a central ICT budget or through other budgets</w:t>
      </w:r>
    </w:p>
    <w:p w14:paraId="02BE8067" w14:textId="7C3E3C06" w:rsidR="000A09C4" w:rsidRPr="004063D9" w:rsidRDefault="000A09C4" w:rsidP="00310F12">
      <w:pPr>
        <w:pStyle w:val="ListBullet"/>
        <w:rPr>
          <w:rStyle w:val="Guidance"/>
        </w:rPr>
      </w:pPr>
      <w:r w:rsidRPr="004063D9">
        <w:rPr>
          <w:rStyle w:val="Guidance"/>
        </w:rPr>
        <w:t>cost in providing ICT services to other organisations.</w:t>
      </w:r>
    </w:p>
    <w:p w14:paraId="6150964E" w14:textId="77777777" w:rsidR="000A09C4" w:rsidRPr="004063D9" w:rsidRDefault="000A09C4" w:rsidP="000A09C4">
      <w:pPr>
        <w:rPr>
          <w:rStyle w:val="Guidance"/>
        </w:rPr>
      </w:pPr>
      <w:r w:rsidRPr="004063D9">
        <w:rPr>
          <w:rStyle w:val="Guidance"/>
        </w:rPr>
        <w:t>Total ICT expenditure = ICT BAU expenditure + ICT Non-BAU expenditure.</w:t>
      </w:r>
    </w:p>
    <w:p w14:paraId="6A0D1D0B" w14:textId="655223DD" w:rsidR="000A09C4" w:rsidRPr="004063D9" w:rsidRDefault="000A09C4" w:rsidP="000A09C4">
      <w:pPr>
        <w:rPr>
          <w:rStyle w:val="Guidance"/>
        </w:rPr>
      </w:pPr>
      <w:r w:rsidRPr="004063D9">
        <w:rPr>
          <w:rStyle w:val="Guidance"/>
          <w:b/>
          <w:bCs/>
        </w:rPr>
        <w:t>Non-Business as Usual (Non-BAU)</w:t>
      </w:r>
      <w:r w:rsidRPr="004063D9">
        <w:rPr>
          <w:rStyle w:val="Guidance"/>
        </w:rPr>
        <w:t>: non-BAU ICT expenditure is a subset of ICT expenditure that relates to extending or enhancing current ICT capabilities and are usually run as projects.</w:t>
      </w:r>
      <w:r w:rsidR="008D4692">
        <w:rPr>
          <w:rStyle w:val="Guidance"/>
        </w:rPr>
        <w:t xml:space="preserve"> </w:t>
      </w:r>
      <w:r w:rsidRPr="004063D9">
        <w:rPr>
          <w:rStyle w:val="Guidance"/>
        </w:rPr>
        <w:t>This includes expenditure incurred for a project to build enhancements to an existing ICT system or to implement a new ICT system or solution.</w:t>
      </w:r>
    </w:p>
    <w:p w14:paraId="30B71519" w14:textId="6CFCB6D4" w:rsidR="000A09C4" w:rsidRPr="004063D9" w:rsidRDefault="000A09C4" w:rsidP="000A09C4">
      <w:pPr>
        <w:rPr>
          <w:rStyle w:val="Guidance"/>
        </w:rPr>
      </w:pPr>
      <w:r w:rsidRPr="004063D9">
        <w:rPr>
          <w:rStyle w:val="Guidance"/>
          <w:b/>
          <w:bCs/>
        </w:rPr>
        <w:t>Business as Usual (BAU)</w:t>
      </w:r>
      <w:r w:rsidRPr="004063D9">
        <w:rPr>
          <w:rStyle w:val="Guidance"/>
        </w:rPr>
        <w:t>: all remaining ICT expenditure is considered BAU ICT expenditure and typically relates to ongoing activities to operate and maintain the current ICT capability.</w:t>
      </w:r>
      <w:r w:rsidR="008D4692">
        <w:rPr>
          <w:rStyle w:val="Guidance"/>
        </w:rPr>
        <w:t xml:space="preserve"> </w:t>
      </w:r>
      <w:r w:rsidRPr="004063D9">
        <w:rPr>
          <w:rStyle w:val="Guidance"/>
        </w:rPr>
        <w:t xml:space="preserve">This includes ongoing operational expenditure incurred for any ICT services or systems, such as depreciation expenses, repairs and maintenance costs. </w:t>
      </w:r>
    </w:p>
    <w:p w14:paraId="7AB134F9" w14:textId="787F3055" w:rsidR="000A09C4" w:rsidRPr="004063D9" w:rsidRDefault="000A09C4" w:rsidP="000A09C4">
      <w:pPr>
        <w:rPr>
          <w:rStyle w:val="Guidance"/>
        </w:rPr>
      </w:pPr>
      <w:r w:rsidRPr="004063D9">
        <w:rPr>
          <w:rStyle w:val="Guidance"/>
        </w:rPr>
        <w:t xml:space="preserve">Further detail is available from the </w:t>
      </w:r>
      <w:hyperlink r:id="rId69" w:history="1">
        <w:r w:rsidRPr="00CD06B1">
          <w:rPr>
            <w:rStyle w:val="Hyperlink"/>
          </w:rPr>
          <w:t>ICT Reporting Standard and ICT Expenditure Reporting Guideline</w:t>
        </w:r>
      </w:hyperlink>
      <w:r w:rsidR="008D4692" w:rsidRPr="00CD06B1">
        <w:rPr>
          <w:rStyle w:val="Guidance"/>
          <w:u w:val="single"/>
        </w:rPr>
        <w:t>.</w:t>
      </w:r>
      <w:r w:rsidRPr="00CD06B1">
        <w:rPr>
          <w:rStyle w:val="Guidance"/>
          <w:u w:val="single"/>
        </w:rPr>
        <w:t xml:space="preserve"> </w:t>
      </w:r>
    </w:p>
    <w:p w14:paraId="7B4A2CF0" w14:textId="77777777" w:rsidR="000A09C4" w:rsidRPr="004063D9" w:rsidRDefault="000A09C4" w:rsidP="004063D9">
      <w:pPr>
        <w:pStyle w:val="GuidanceHeading"/>
        <w:rPr>
          <w:rStyle w:val="Guidance"/>
        </w:rPr>
      </w:pPr>
      <w:r w:rsidRPr="004063D9">
        <w:rPr>
          <w:rStyle w:val="Guidance"/>
        </w:rPr>
        <w:t>Nil report statement</w:t>
      </w:r>
    </w:p>
    <w:p w14:paraId="5290AF91" w14:textId="67AAF663" w:rsidR="00DC39DE" w:rsidRPr="004063D9" w:rsidRDefault="000A09C4" w:rsidP="004063D9">
      <w:pPr>
        <w:rPr>
          <w:rStyle w:val="Guidance"/>
        </w:rPr>
      </w:pPr>
      <w:r w:rsidRPr="004063D9">
        <w:rPr>
          <w:rStyle w:val="Guidance"/>
        </w:rPr>
        <w:t>An explicit statement of ‘nil reports’ is required where the relevant activities or circumstances do not result in any spending.</w:t>
      </w:r>
    </w:p>
    <w:p w14:paraId="1EB10A74" w14:textId="0AE477F6" w:rsidR="004063D9" w:rsidRPr="004063D9" w:rsidRDefault="004063D9" w:rsidP="008A4638">
      <w:pPr>
        <w:pStyle w:val="GuidanceEnd"/>
      </w:pPr>
    </w:p>
    <w:p w14:paraId="4F0A3DE6" w14:textId="25513F53" w:rsidR="00DC39DE" w:rsidRDefault="00DC39DE" w:rsidP="004063D9">
      <w:pPr>
        <w:pStyle w:val="Heading2"/>
      </w:pPr>
      <w:bookmarkStart w:id="149" w:name="INDEXmajorcontract"/>
      <w:bookmarkStart w:id="150" w:name="_Toc199156291"/>
      <w:bookmarkEnd w:id="149"/>
      <w:r>
        <w:lastRenderedPageBreak/>
        <w:t>Disclosure of major contracts</w:t>
      </w:r>
      <w:bookmarkEnd w:id="150"/>
      <w:r w:rsidR="002D5AB1">
        <w:t xml:space="preserve"> </w:t>
      </w:r>
    </w:p>
    <w:p w14:paraId="02ABD57E" w14:textId="53C74266" w:rsidR="004063D9" w:rsidRPr="004063D9" w:rsidRDefault="004063D9" w:rsidP="00074D8D">
      <w:pPr>
        <w:keepNext/>
      </w:pPr>
      <w:r w:rsidRPr="004063D9">
        <w:t>With the exception of the contract referred to below, the Department has disclosed, in accordance with the requirements of government policy and accompanying guidelines, all contracts greater than $10 million in value entered into during the financial year ended 30 June</w:t>
      </w:r>
      <w:r w:rsidR="00FF4F58">
        <w:t xml:space="preserve"> </w:t>
      </w:r>
      <w:fldSimple w:instr="DOCPROPERTY  YearCurrent  \* MERGEFORMAT">
        <w:r w:rsidR="00A545BA">
          <w:t>20X2</w:t>
        </w:r>
      </w:fldSimple>
      <w:r w:rsidRPr="004063D9">
        <w:t xml:space="preserve">. Details of contracts that have been disclosed in the Victorian Government Contracts Publishing System can be viewed </w:t>
      </w:r>
      <w:r w:rsidR="00853AF9">
        <w:t xml:space="preserve">on the </w:t>
      </w:r>
      <w:hyperlink r:id="rId70" w:history="1">
        <w:r w:rsidR="00B55403" w:rsidRPr="006D43D5">
          <w:rPr>
            <w:rStyle w:val="Hyperlink"/>
          </w:rPr>
          <w:t xml:space="preserve">Buying for </w:t>
        </w:r>
        <w:r w:rsidR="0062271C" w:rsidRPr="006D43D5">
          <w:rPr>
            <w:rStyle w:val="Hyperlink"/>
          </w:rPr>
          <w:t>Victoria Tenders Portal</w:t>
        </w:r>
      </w:hyperlink>
      <w:r w:rsidRPr="004063D9">
        <w:t>.</w:t>
      </w:r>
      <w:r>
        <w:t xml:space="preserve"> </w:t>
      </w:r>
      <w:r w:rsidRPr="004063D9">
        <w:rPr>
          <w:rStyle w:val="Reference"/>
        </w:rPr>
        <w:t>[FRD 12]</w:t>
      </w:r>
    </w:p>
    <w:p w14:paraId="56F589D4" w14:textId="4477A3B3" w:rsidR="00DC39DE" w:rsidRDefault="00DC39DE" w:rsidP="00DC39DE">
      <w:r>
        <w:t xml:space="preserve">Contractual details have not been disclosed for contracts where disclosure is exempted under the </w:t>
      </w:r>
      <w:r w:rsidRPr="004063D9">
        <w:rPr>
          <w:i/>
          <w:iCs/>
        </w:rPr>
        <w:t>Freedom of Information Act 1982</w:t>
      </w:r>
      <w:r>
        <w:t xml:space="preserve"> (the Act) and/or government guidelines.</w:t>
      </w:r>
    </w:p>
    <w:p w14:paraId="09F4C123" w14:textId="77777777" w:rsidR="002D5AB1" w:rsidRDefault="002D5AB1" w:rsidP="002D5AB1">
      <w:r>
        <w:t xml:space="preserve">Specific contract information has not been disclosed for contracts where such information is withheld under the </w:t>
      </w:r>
      <w:r w:rsidRPr="00C268E2">
        <w:rPr>
          <w:i/>
          <w:iCs/>
        </w:rPr>
        <w:t>Freedom of Information Act 1982</w:t>
      </w:r>
      <w:r w:rsidRPr="00750D5C">
        <w:t xml:space="preserve"> (Vic) (FOI Act)</w:t>
      </w:r>
      <w:r>
        <w:t xml:space="preserve"> or other laws or government policies.</w:t>
      </w:r>
    </w:p>
    <w:p w14:paraId="5EF47F00" w14:textId="509DFBAC" w:rsidR="002D5AB1" w:rsidRDefault="002D5AB1" w:rsidP="00DC39DE">
      <w:r>
        <w:t xml:space="preserve">The contractual details with MNO People Solutions for staff recruitment and training has not been disclosed as at 30 June </w:t>
      </w:r>
      <w:fldSimple w:instr="DOCPROPERTY  YearCurrent  \* MERGEFORMAT">
        <w:r>
          <w:t>20X2</w:t>
        </w:r>
      </w:fldSimple>
      <w:r>
        <w:t xml:space="preserve"> but will be posted on the Department’s website on 1 October </w:t>
      </w:r>
      <w:fldSimple w:instr="DOCPROPERTY  YearCurrent  \* MERGEFORMAT">
        <w:r>
          <w:t>20X2</w:t>
        </w:r>
      </w:fldSimple>
    </w:p>
    <w:p w14:paraId="434B047E" w14:textId="0980A0FE" w:rsidR="004063D9" w:rsidRDefault="004063D9" w:rsidP="004063D9">
      <w:pPr>
        <w:pStyle w:val="GuidanceBlockHeading"/>
      </w:pPr>
      <w:r>
        <w:t>Guidance – Disclosure of major contracts</w:t>
      </w:r>
      <w:r w:rsidR="00041FED">
        <w:t xml:space="preserve"> </w:t>
      </w:r>
      <w:r w:rsidR="00EE40CA" w:rsidRPr="007D6A6A">
        <w:rPr>
          <w:rStyle w:val="Reference-Revised"/>
          <w:color w:val="FFF8FF"/>
          <w:sz w:val="20"/>
          <w:szCs w:val="32"/>
        </w:rPr>
        <w:t>[REVISED]</w:t>
      </w:r>
    </w:p>
    <w:p w14:paraId="2FF83708" w14:textId="6561A566" w:rsidR="004063D9" w:rsidRDefault="004063D9" w:rsidP="004063D9">
      <w:pPr>
        <w:pStyle w:val="GuidanceHeading"/>
      </w:pPr>
      <w:r>
        <w:t>Legislative and documented references</w:t>
      </w:r>
    </w:p>
    <w:p w14:paraId="6063FEE7" w14:textId="0F326E12" w:rsidR="004063D9" w:rsidRPr="004063D9" w:rsidRDefault="004063D9" w:rsidP="004063D9">
      <w:pPr>
        <w:rPr>
          <w:rStyle w:val="Guidance"/>
        </w:rPr>
      </w:pPr>
      <w:r w:rsidRPr="004063D9">
        <w:rPr>
          <w:rStyle w:val="Guidance"/>
        </w:rPr>
        <w:t>FRD 12</w:t>
      </w:r>
      <w:r w:rsidR="00970F95" w:rsidRPr="00C268E2">
        <w:rPr>
          <w:rStyle w:val="Guidance"/>
          <w:i/>
          <w:iCs/>
        </w:rPr>
        <w:t xml:space="preserve"> Disclosure of major contracts</w:t>
      </w:r>
      <w:r w:rsidRPr="004063D9">
        <w:rPr>
          <w:rStyle w:val="Guidance"/>
        </w:rPr>
        <w:t xml:space="preserve"> requires that for contracts greater than $10 million, a department’s annual report must include a statement by the Accountable Officer advising that:</w:t>
      </w:r>
    </w:p>
    <w:p w14:paraId="7736CB51" w14:textId="3A294C63" w:rsidR="004063D9" w:rsidRPr="004063D9" w:rsidRDefault="004063D9" w:rsidP="00310F12">
      <w:pPr>
        <w:pStyle w:val="ListBullet"/>
        <w:rPr>
          <w:rStyle w:val="Guidance"/>
        </w:rPr>
      </w:pPr>
      <w:r w:rsidRPr="004063D9">
        <w:rPr>
          <w:rStyle w:val="Guidance"/>
        </w:rPr>
        <w:t xml:space="preserve">contracts entered into during the reporting period have been disclosed in part or in full, except for certain material that falls within one or more of the criteria contained in Part IV of the </w:t>
      </w:r>
      <w:r w:rsidRPr="00EC0B6B">
        <w:rPr>
          <w:rStyle w:val="Guidance"/>
          <w:i/>
          <w:iCs/>
        </w:rPr>
        <w:t>Freedom of Information Act 1982</w:t>
      </w:r>
    </w:p>
    <w:p w14:paraId="48040E5B" w14:textId="299CC2F3" w:rsidR="00515BFB" w:rsidRPr="004063D9" w:rsidRDefault="004063D9" w:rsidP="00310F12">
      <w:pPr>
        <w:pStyle w:val="ListBullet"/>
        <w:rPr>
          <w:rStyle w:val="Guidance"/>
        </w:rPr>
      </w:pPr>
      <w:r w:rsidRPr="004063D9">
        <w:rPr>
          <w:rStyle w:val="Guidance"/>
        </w:rPr>
        <w:t>brief details of the contractors and the purpose of contracts that have not been disclosed and the date when it will be disclosed</w:t>
      </w:r>
    </w:p>
    <w:p w14:paraId="2F6EA27B" w14:textId="6761D9A3" w:rsidR="004063D9" w:rsidRPr="004063D9" w:rsidRDefault="004063D9" w:rsidP="00310F12">
      <w:pPr>
        <w:pStyle w:val="ListBullet"/>
        <w:rPr>
          <w:rStyle w:val="Guidance"/>
        </w:rPr>
      </w:pPr>
      <w:r w:rsidRPr="004063D9">
        <w:rPr>
          <w:rStyle w:val="Guidance"/>
        </w:rPr>
        <w:t>where the details of contracts that have been disclosed are publicly available.</w:t>
      </w:r>
    </w:p>
    <w:p w14:paraId="425C14F6" w14:textId="77777777" w:rsidR="004063D9" w:rsidRPr="004063D9" w:rsidRDefault="004063D9" w:rsidP="004063D9">
      <w:pPr>
        <w:pStyle w:val="GuidanceHeading"/>
        <w:rPr>
          <w:rStyle w:val="Guidance"/>
        </w:rPr>
      </w:pPr>
      <w:r w:rsidRPr="004063D9">
        <w:rPr>
          <w:rStyle w:val="Guidance"/>
        </w:rPr>
        <w:t>Guidance</w:t>
      </w:r>
    </w:p>
    <w:p w14:paraId="619CF7C2" w14:textId="77777777" w:rsidR="004063D9" w:rsidRPr="004063D9" w:rsidRDefault="004063D9" w:rsidP="004063D9">
      <w:pPr>
        <w:rPr>
          <w:rStyle w:val="Guidance"/>
        </w:rPr>
      </w:pPr>
      <w:r w:rsidRPr="004063D9">
        <w:rPr>
          <w:rStyle w:val="Guidance"/>
        </w:rPr>
        <w:t>In complying with these requirements, the Accountable Officer should have regard to the following documents and other relevant material:</w:t>
      </w:r>
    </w:p>
    <w:p w14:paraId="5DD9B7E0" w14:textId="6B028870" w:rsidR="004063D9" w:rsidRPr="004063D9" w:rsidRDefault="004063D9" w:rsidP="00310F12">
      <w:pPr>
        <w:pStyle w:val="ListBullet"/>
        <w:rPr>
          <w:rStyle w:val="Guidance"/>
        </w:rPr>
      </w:pPr>
      <w:r w:rsidRPr="004063D9">
        <w:rPr>
          <w:rStyle w:val="Guidance"/>
        </w:rPr>
        <w:t xml:space="preserve">Ensuring Openness and Probity in Victorian Government Contracts: A policy statement (11 October 2000) </w:t>
      </w:r>
    </w:p>
    <w:p w14:paraId="046FE385" w14:textId="5B390EDF" w:rsidR="004063D9" w:rsidRPr="004063D9" w:rsidRDefault="004063D9" w:rsidP="00310F12">
      <w:pPr>
        <w:pStyle w:val="ListBullet"/>
        <w:rPr>
          <w:rStyle w:val="Guidance"/>
        </w:rPr>
      </w:pPr>
      <w:r w:rsidRPr="004063D9">
        <w:rPr>
          <w:rStyle w:val="Guidance"/>
        </w:rPr>
        <w:t>Ensuring Openness and Probity in Victorian Government Contracts: Implementation guidelines</w:t>
      </w:r>
    </w:p>
    <w:p w14:paraId="4C9ECC55" w14:textId="6536FD18" w:rsidR="002624CF" w:rsidRPr="00595A58" w:rsidRDefault="002624CF" w:rsidP="002624CF">
      <w:pPr>
        <w:pStyle w:val="ListBullet"/>
        <w:rPr>
          <w:color w:val="4472C4" w:themeColor="accent1"/>
        </w:rPr>
      </w:pPr>
      <w:r w:rsidRPr="00595A58">
        <w:rPr>
          <w:color w:val="4472C4" w:themeColor="accent1"/>
        </w:rPr>
        <w:t>Victorian Government Purchasing Board Contract management and contract disclosure polic</w:t>
      </w:r>
      <w:r>
        <w:rPr>
          <w:color w:val="4472C4" w:themeColor="accent1"/>
        </w:rPr>
        <w:t>y</w:t>
      </w:r>
      <w:r w:rsidRPr="00595A58">
        <w:rPr>
          <w:color w:val="4472C4" w:themeColor="accent1"/>
        </w:rPr>
        <w:t xml:space="preserve"> and guidance</w:t>
      </w:r>
      <w:r w:rsidR="00064B70">
        <w:rPr>
          <w:color w:val="4472C4" w:themeColor="accent1"/>
        </w:rPr>
        <w:t>.</w:t>
      </w:r>
    </w:p>
    <w:p w14:paraId="3CB2EB80" w14:textId="3B35344B" w:rsidR="004063D9" w:rsidRDefault="004063D9" w:rsidP="004063D9">
      <w:pPr>
        <w:rPr>
          <w:rStyle w:val="Guidance"/>
        </w:rPr>
      </w:pPr>
      <w:r w:rsidRPr="004063D9">
        <w:rPr>
          <w:rStyle w:val="Guidance"/>
        </w:rPr>
        <w:t>The mandated disclosure above is a minimum requirement. The policy requires that all other public sector entities document their policies on disclosure, having regard to the Government’s policy on openness and probity.</w:t>
      </w:r>
    </w:p>
    <w:p w14:paraId="032403DB" w14:textId="77777777" w:rsidR="008D2897" w:rsidRPr="004063D9" w:rsidRDefault="008D2897" w:rsidP="008D2897">
      <w:pPr>
        <w:pStyle w:val="GuidanceEnd"/>
        <w:rPr>
          <w:rStyle w:val="Guidance"/>
        </w:rPr>
      </w:pPr>
    </w:p>
    <w:p w14:paraId="58213033" w14:textId="77777777" w:rsidR="000928B1" w:rsidRDefault="000928B1">
      <w:pPr>
        <w:keepLines w:val="0"/>
        <w:rPr>
          <w:rFonts w:asciiTheme="majorHAnsi" w:eastAsiaTheme="majorEastAsia" w:hAnsiTheme="majorHAnsi" w:cstheme="majorBidi"/>
          <w:b/>
          <w:sz w:val="26"/>
          <w:szCs w:val="26"/>
        </w:rPr>
      </w:pPr>
      <w:r>
        <w:br w:type="page"/>
      </w:r>
    </w:p>
    <w:p w14:paraId="3C70473C" w14:textId="72E73F16" w:rsidR="00DC39DE" w:rsidRPr="002D5AB1" w:rsidRDefault="00DC39DE" w:rsidP="000928B1">
      <w:pPr>
        <w:pStyle w:val="Heading2"/>
        <w:spacing w:before="0"/>
      </w:pPr>
      <w:bookmarkStart w:id="151" w:name="INDEX_FOI"/>
      <w:bookmarkStart w:id="152" w:name="_Toc199156292"/>
      <w:bookmarkEnd w:id="151"/>
      <w:r>
        <w:lastRenderedPageBreak/>
        <w:t xml:space="preserve">Freedom of </w:t>
      </w:r>
      <w:r w:rsidR="00D023FB">
        <w:t xml:space="preserve">information </w:t>
      </w:r>
      <w:r w:rsidR="00D023FB" w:rsidRPr="00D615EF">
        <w:rPr>
          <w:color w:val="7030A0"/>
          <w:sz w:val="20"/>
          <w:szCs w:val="20"/>
        </w:rPr>
        <w:t>[</w:t>
      </w:r>
      <w:r w:rsidR="002D5AB1" w:rsidRPr="00EE40CA">
        <w:rPr>
          <w:rStyle w:val="Reference-Revised"/>
          <w:sz w:val="20"/>
          <w:szCs w:val="20"/>
        </w:rPr>
        <w:t>REVISED]</w:t>
      </w:r>
      <w:bookmarkEnd w:id="152"/>
    </w:p>
    <w:p w14:paraId="2D24043E" w14:textId="5D10A56A" w:rsidR="002D5AB1" w:rsidRDefault="002D5AB1" w:rsidP="002D5AB1">
      <w:r w:rsidRPr="004063D9">
        <w:t xml:space="preserve">The </w:t>
      </w:r>
      <w:r w:rsidRPr="00AC3EB5">
        <w:rPr>
          <w:i/>
        </w:rPr>
        <w:t>Freedom of Information Act 1982</w:t>
      </w:r>
      <w:r w:rsidRPr="00433DB6">
        <w:t xml:space="preserve"> </w:t>
      </w:r>
      <w:r>
        <w:t xml:space="preserve">(Vic) </w:t>
      </w:r>
      <w:r w:rsidRPr="00433DB6">
        <w:t>(</w:t>
      </w:r>
      <w:r w:rsidR="00336825">
        <w:t>the</w:t>
      </w:r>
      <w:r w:rsidR="00336825" w:rsidRPr="00433DB6">
        <w:t xml:space="preserve"> </w:t>
      </w:r>
      <w:r w:rsidRPr="00433DB6">
        <w:t>Act)</w:t>
      </w:r>
      <w:r w:rsidRPr="004063D9">
        <w:t xml:space="preserve"> allows the public a right of access to documents held by the Department. The purpose of the Act is to extend as far as possible the right of the community to access information held by government departments, local councils, Ministers and other bodies subject to the Act.</w:t>
      </w:r>
      <w:r>
        <w:t xml:space="preserve"> </w:t>
      </w:r>
      <w:r w:rsidRPr="00CF2CBD">
        <w:rPr>
          <w:rStyle w:val="Reference"/>
        </w:rPr>
        <w:t>[FRD 22]</w:t>
      </w:r>
    </w:p>
    <w:p w14:paraId="59C382C8" w14:textId="77777777" w:rsidR="002D5AB1" w:rsidRDefault="002D5AB1" w:rsidP="002D5AB1">
      <w:r>
        <w:t>An applicant has a right to apply for access to documents held by a department. This comprises documents both created by the department or supplied to the department by an external organisation or individual, and may also include maps, films, microfiche, photographs, computer printouts, computer discs, tape recordings and videotapes. Information about the type of material produced by the Department is available on the Department’s website under its Part II Information Statement.</w:t>
      </w:r>
    </w:p>
    <w:p w14:paraId="3C7D1EB4" w14:textId="77777777" w:rsidR="002D5AB1" w:rsidRDefault="002D5AB1" w:rsidP="002D5AB1">
      <w:r>
        <w:t xml:space="preserve">The Act allows a department to refuse access, either fully or partially, to certain documents or information. Examples of documents that may not be accessed include cabinet documents; some internal working documents; law enforcement documents; documents covered by legal professional privilege, such as legal advice; personal information about other people; and information provided to a department in-confidence </w:t>
      </w:r>
      <w:r w:rsidRPr="00921BF8">
        <w:t>and information that is confidential under another Act</w:t>
      </w:r>
      <w:r>
        <w:t>.</w:t>
      </w:r>
    </w:p>
    <w:p w14:paraId="270FB662" w14:textId="77777777" w:rsidR="002D5AB1" w:rsidRDefault="002D5AB1" w:rsidP="002D5AB1">
      <w:r w:rsidRPr="00062831">
        <w:t>Under the Act, the FOI processing time for requests received is 30</w:t>
      </w:r>
      <w:r>
        <w:t xml:space="preserve"> calendar</w:t>
      </w:r>
      <w:r w:rsidRPr="00062831">
        <w:t xml:space="preserve"> days.</w:t>
      </w:r>
      <w:r>
        <w:t xml:space="preserve"> However, when external consultation is required under ss29, 29A, 31, 31A, 33, 34 or 35, a 15 day automatic extension applies. </w:t>
      </w:r>
      <w:r w:rsidRPr="00831C26">
        <w:t>Processing time may also be extended by periods of</w:t>
      </w:r>
      <w:r>
        <w:t xml:space="preserve"> up to</w:t>
      </w:r>
      <w:r w:rsidRPr="00831C26">
        <w:t xml:space="preserve"> 30 days, in consultation with the applicant.</w:t>
      </w:r>
      <w:r>
        <w:t xml:space="preserve"> With the applicant’s agreement this may occur any number of times. However, obtaining an applicant’s agreement for an extension cannot occur after the expiry of the timeframe for deciding a request. </w:t>
      </w:r>
    </w:p>
    <w:p w14:paraId="59BA30F9" w14:textId="3F7145B5" w:rsidR="002D5AB1" w:rsidRDefault="002D5AB1" w:rsidP="00DC39DE">
      <w:r>
        <w:t>If an applicant is not satisfied by a decision made by the Department, under section 49A of the Act, they have the right to seek a review by the Office of the Victorian Information Commissioner (OVIC) within 28 days of receiving a decision letter.</w:t>
      </w:r>
    </w:p>
    <w:p w14:paraId="74CA1387" w14:textId="77777777" w:rsidR="00DC39DE" w:rsidRDefault="00DC39DE" w:rsidP="008D2897">
      <w:pPr>
        <w:pStyle w:val="Heading3"/>
      </w:pPr>
      <w:r>
        <w:t>Making a request</w:t>
      </w:r>
    </w:p>
    <w:p w14:paraId="2CAA59BD" w14:textId="1E1BB7EB" w:rsidR="002D5AB1" w:rsidRDefault="002D5AB1" w:rsidP="002D5AB1">
      <w:r>
        <w:t xml:space="preserve">FOI requests can be lodged online at </w:t>
      </w:r>
      <w:r w:rsidRPr="001A1B7D">
        <w:t>online.foi.vic.gov.au</w:t>
      </w:r>
      <w:r w:rsidRPr="00AA6D6E">
        <w:t>.</w:t>
      </w:r>
      <w:r>
        <w:t xml:space="preserve"> An application fee of</w:t>
      </w:r>
      <w:r w:rsidR="00CE09AF">
        <w:t xml:space="preserve"> </w:t>
      </w:r>
      <w:r w:rsidR="00022386" w:rsidRPr="00517152">
        <w:rPr>
          <w:color w:val="000000" w:themeColor="text1"/>
        </w:rPr>
        <w:t>$3</w:t>
      </w:r>
      <w:r w:rsidR="00022386">
        <w:rPr>
          <w:color w:val="000000" w:themeColor="text1"/>
        </w:rPr>
        <w:t>2</w:t>
      </w:r>
      <w:r w:rsidR="00022386" w:rsidRPr="00517152">
        <w:rPr>
          <w:color w:val="000000" w:themeColor="text1"/>
        </w:rPr>
        <w:t>.</w:t>
      </w:r>
      <w:r w:rsidR="00022386">
        <w:rPr>
          <w:color w:val="000000" w:themeColor="text1"/>
        </w:rPr>
        <w:t>7</w:t>
      </w:r>
      <w:r w:rsidR="00022386" w:rsidRPr="00517152">
        <w:rPr>
          <w:color w:val="000000" w:themeColor="text1"/>
        </w:rPr>
        <w:t xml:space="preserve">0 </w:t>
      </w:r>
      <w:r w:rsidR="00022386">
        <w:t>applies</w:t>
      </w:r>
      <w:r>
        <w:t>. Access charges may also be payable if the document pool is large and the search for material time consuming.</w:t>
      </w:r>
    </w:p>
    <w:p w14:paraId="4F7F9AC9" w14:textId="018E614B" w:rsidR="002D5AB1" w:rsidRDefault="002D5AB1" w:rsidP="002D5AB1">
      <w:r>
        <w:t>When making an FOI request, applicants should ensure requests are in writing, clearly identify what types of material/documents are being sought</w:t>
      </w:r>
      <w:r w:rsidRPr="0075621B">
        <w:t xml:space="preserve"> and be accompanied by the application fee to be a valid request</w:t>
      </w:r>
      <w:r>
        <w:t>.</w:t>
      </w:r>
    </w:p>
    <w:p w14:paraId="7CE3F48A" w14:textId="77777777" w:rsidR="00B24789" w:rsidRDefault="00B24789" w:rsidP="00B24789">
      <w:r>
        <w:t>If you are unable to make a request online, you can request documents in the possession of the Department of Technology by writing to:</w:t>
      </w:r>
    </w:p>
    <w:p w14:paraId="63DD04AA" w14:textId="77777777" w:rsidR="002D5AB1" w:rsidRDefault="002D5AB1" w:rsidP="002D5AB1">
      <w:r>
        <w:t>Freedom of Information Team</w:t>
      </w:r>
      <w:r>
        <w:br/>
        <w:t>Department of Technology</w:t>
      </w:r>
      <w:r>
        <w:br/>
        <w:t>1 Victoria Place</w:t>
      </w:r>
      <w:r>
        <w:br/>
        <w:t>Melbourne VIC 3000</w:t>
      </w:r>
    </w:p>
    <w:p w14:paraId="3108E0C6" w14:textId="0CE48ABA" w:rsidR="002D5AB1" w:rsidRDefault="002D5AB1" w:rsidP="002D5AB1">
      <w:r w:rsidRPr="00FF61C4">
        <w:t xml:space="preserve">Enquiries can be made to the </w:t>
      </w:r>
      <w:r w:rsidR="00816FDB">
        <w:t>D</w:t>
      </w:r>
      <w:r w:rsidRPr="00FF61C4">
        <w:t xml:space="preserve">epartment’s FOI Unit via email at </w:t>
      </w:r>
      <w:r>
        <w:t>[</w:t>
      </w:r>
      <w:r w:rsidRPr="00FF61C4">
        <w:t>provide the relevant email address</w:t>
      </w:r>
      <w:r>
        <w:t>]</w:t>
      </w:r>
      <w:r w:rsidRPr="00FF61C4">
        <w:t>.</w:t>
      </w:r>
      <w:r w:rsidRPr="00637F9F">
        <w:t xml:space="preserve"> </w:t>
      </w:r>
    </w:p>
    <w:p w14:paraId="12241D08" w14:textId="78655959" w:rsidR="002D5AB1" w:rsidRDefault="002D5AB1" w:rsidP="00F6101E">
      <w:r>
        <w:t xml:space="preserve">Requests for documents held by the </w:t>
      </w:r>
      <w:r w:rsidR="00816FDB">
        <w:t>D</w:t>
      </w:r>
      <w:r>
        <w:t xml:space="preserve">epartment’s portfolio statutory bodies that are subject to FOI, such as xxx should be sent directly to the relevant statutory body. A list of the </w:t>
      </w:r>
      <w:r w:rsidR="006427F2">
        <w:t>D</w:t>
      </w:r>
      <w:r>
        <w:t xml:space="preserve">epartment’s statutory bodies that are subject to FOI can be found </w:t>
      </w:r>
      <w:r w:rsidRPr="00FF61C4">
        <w:t xml:space="preserve">at </w:t>
      </w:r>
      <w:r>
        <w:t>[</w:t>
      </w:r>
      <w:r w:rsidRPr="00FF61C4">
        <w:t>provide the location of the lis</w:t>
      </w:r>
      <w:r>
        <w:t>t]</w:t>
      </w:r>
      <w:r w:rsidRPr="00FF61C4">
        <w:t>.</w:t>
      </w:r>
    </w:p>
    <w:p w14:paraId="71756AF5" w14:textId="77777777" w:rsidR="00DC39DE" w:rsidRDefault="00DC39DE" w:rsidP="008D2897">
      <w:pPr>
        <w:pStyle w:val="Heading3"/>
      </w:pPr>
      <w:r>
        <w:t>FOI statistics/timeliness</w:t>
      </w:r>
    </w:p>
    <w:p w14:paraId="409525A6" w14:textId="70C9E4F0" w:rsidR="00DC39DE" w:rsidRDefault="00DC39DE" w:rsidP="00DC39DE">
      <w:r>
        <w:t xml:space="preserve">During </w:t>
      </w:r>
      <w:fldSimple w:instr="DOCPROPERTY  FinYearCurrent  \* MERGEFORMAT">
        <w:r w:rsidR="000E6299">
          <w:t>20X1</w:t>
        </w:r>
        <w:r w:rsidR="000E6299" w:rsidRPr="000E6299">
          <w:rPr>
            <w:rFonts w:ascii="Cambria Math" w:hAnsi="Cambria Math" w:cs="Cambria Math"/>
          </w:rPr>
          <w:t>‑</w:t>
        </w:r>
        <w:r w:rsidR="000E6299">
          <w:t>X2</w:t>
        </w:r>
      </w:fldSimple>
      <w:r>
        <w:t>, the Department received 100 applications. Of these requests, 20 were from Members of Parliament, 10</w:t>
      </w:r>
      <w:r w:rsidR="008D2897">
        <w:t> </w:t>
      </w:r>
      <w:r>
        <w:t xml:space="preserve">from the media, and the remainder from the general public. </w:t>
      </w:r>
    </w:p>
    <w:p w14:paraId="34D239D5" w14:textId="6F4DC40C" w:rsidR="00DC39DE" w:rsidRDefault="00DC39DE" w:rsidP="00DC39DE">
      <w:r>
        <w:t xml:space="preserve">The Department made 95 FOI decisions during the 12 months ended 30 June </w:t>
      </w:r>
      <w:fldSimple w:instr="DOCPROPERTY  YearCurrent  \* MERGEFORMAT">
        <w:r w:rsidR="00A545BA">
          <w:t>20X2</w:t>
        </w:r>
      </w:fldSimple>
      <w:r>
        <w:t xml:space="preserve">. </w:t>
      </w:r>
    </w:p>
    <w:p w14:paraId="58039B7C" w14:textId="269FF415" w:rsidR="002A7249" w:rsidRDefault="002A7249" w:rsidP="00DC39DE">
      <w:r w:rsidRPr="002A7249">
        <w:t xml:space="preserve">There were xxx decisions made within the statutory time periods. Of the decisions made outside time, xxx were made within a further 45 days and xxx decisions were made in greater than 45 days. </w:t>
      </w:r>
      <w:r w:rsidR="00F10F79">
        <w:t xml:space="preserve">Of the total decisions made, </w:t>
      </w:r>
      <w:r w:rsidR="00AE441A">
        <w:t>xxx</w:t>
      </w:r>
      <w:r w:rsidR="00F10F79">
        <w:t xml:space="preserve"> grant</w:t>
      </w:r>
      <w:r w:rsidR="00260AF4">
        <w:t xml:space="preserve">ed </w:t>
      </w:r>
      <w:r w:rsidRPr="002A7249">
        <w:t xml:space="preserve">access to documents in full, </w:t>
      </w:r>
      <w:r w:rsidR="007F28EA">
        <w:t xml:space="preserve">xxx </w:t>
      </w:r>
      <w:r w:rsidRPr="002A7249">
        <w:t xml:space="preserve">granted </w:t>
      </w:r>
      <w:r w:rsidR="00721C9B">
        <w:t xml:space="preserve">access </w:t>
      </w:r>
      <w:r w:rsidRPr="002A7249">
        <w:t xml:space="preserve">in part </w:t>
      </w:r>
      <w:r w:rsidR="007F28EA">
        <w:t>and xxx</w:t>
      </w:r>
      <w:r w:rsidRPr="002A7249">
        <w:t xml:space="preserve"> denied </w:t>
      </w:r>
      <w:r w:rsidR="00721C9B">
        <w:t xml:space="preserve">access </w:t>
      </w:r>
      <w:r w:rsidRPr="002A7249">
        <w:t>in full. XXX decisions were made after mandatory extensions had been applied or extensions were agreed upon by the applicant. Of requests finalised, the average number of days over</w:t>
      </w:r>
      <w:r w:rsidR="00D12538">
        <w:t>/</w:t>
      </w:r>
      <w:r w:rsidRPr="002A7249">
        <w:t xml:space="preserve">under the statutory time (including extended timeframes) to decide the request was </w:t>
      </w:r>
      <w:r w:rsidR="006427F2">
        <w:t>x</w:t>
      </w:r>
      <w:r w:rsidRPr="002A7249">
        <w:t>xx days.</w:t>
      </w:r>
    </w:p>
    <w:p w14:paraId="5036D07E" w14:textId="38B58847" w:rsidR="00DC39DE" w:rsidRDefault="00DC39DE" w:rsidP="00DC39DE">
      <w:r>
        <w:t xml:space="preserve">During </w:t>
      </w:r>
      <w:fldSimple w:instr="DOCPROPERTY  FinYearCurrent  \* MERGEFORMAT">
        <w:r w:rsidR="000E6299">
          <w:t>20X1</w:t>
        </w:r>
        <w:r w:rsidR="000E6299" w:rsidRPr="000E6299">
          <w:rPr>
            <w:rFonts w:ascii="Cambria Math" w:hAnsi="Cambria Math" w:cs="Cambria Math"/>
          </w:rPr>
          <w:t>‑</w:t>
        </w:r>
        <w:r w:rsidR="000E6299">
          <w:t>X2</w:t>
        </w:r>
      </w:fldSimple>
      <w:r>
        <w:t>, five requests were subject to a complaint/internal review by OVIC. Two requests progressed to the Victorian Civil and Administrative Tribunal (VCAT).</w:t>
      </w:r>
    </w:p>
    <w:p w14:paraId="61E96311" w14:textId="77777777" w:rsidR="00DC39DE" w:rsidRDefault="00DC39DE" w:rsidP="008D2897">
      <w:pPr>
        <w:pStyle w:val="Heading3"/>
      </w:pPr>
      <w:r>
        <w:lastRenderedPageBreak/>
        <w:t>Further information</w:t>
      </w:r>
    </w:p>
    <w:p w14:paraId="518A5D17" w14:textId="3DED1B58" w:rsidR="00DC39DE" w:rsidRDefault="00DC39DE" w:rsidP="00DC39DE">
      <w:r>
        <w:t>Further information regarding the operation and scope of FOI can be obtained from the Act</w:t>
      </w:r>
      <w:r w:rsidR="00115190">
        <w:t>,</w:t>
      </w:r>
      <w:r>
        <w:t xml:space="preserve"> regulations made under the Act and </w:t>
      </w:r>
      <w:hyperlink r:id="rId71" w:history="1">
        <w:r w:rsidR="00EC4D33" w:rsidRPr="00E122E2">
          <w:rPr>
            <w:rStyle w:val="Hyperlink"/>
          </w:rPr>
          <w:t>ovic.vic.gov.au</w:t>
        </w:r>
      </w:hyperlink>
      <w:r>
        <w:t>.</w:t>
      </w:r>
    </w:p>
    <w:p w14:paraId="1C2DE4A7" w14:textId="2D94FC46" w:rsidR="002E3231" w:rsidRPr="000928B1" w:rsidRDefault="002E3231">
      <w:pPr>
        <w:keepLines w:val="0"/>
      </w:pPr>
    </w:p>
    <w:p w14:paraId="2E4CD500" w14:textId="6B97087F" w:rsidR="008D2897" w:rsidRDefault="008D2897" w:rsidP="008D2897">
      <w:pPr>
        <w:pStyle w:val="GuidanceBlockHeading"/>
      </w:pPr>
      <w:r>
        <w:t>Guidance – Freedom of Information</w:t>
      </w:r>
    </w:p>
    <w:p w14:paraId="54942842" w14:textId="1697C324" w:rsidR="008D2897" w:rsidRDefault="008D2897" w:rsidP="008D2897">
      <w:pPr>
        <w:pStyle w:val="GuidanceHeading"/>
      </w:pPr>
      <w:r>
        <w:t xml:space="preserve">Legislative and documented references </w:t>
      </w:r>
    </w:p>
    <w:p w14:paraId="52D93BD9" w14:textId="6B0FF1C6" w:rsidR="008D2897" w:rsidRPr="008D2897" w:rsidRDefault="008D2897" w:rsidP="008D2897">
      <w:pPr>
        <w:rPr>
          <w:rStyle w:val="Guidance"/>
        </w:rPr>
      </w:pPr>
      <w:r w:rsidRPr="008D2897">
        <w:rPr>
          <w:rStyle w:val="Guidance"/>
        </w:rPr>
        <w:t>FRD 22</w:t>
      </w:r>
      <w:r w:rsidR="00970F95">
        <w:rPr>
          <w:rStyle w:val="Guidance"/>
        </w:rPr>
        <w:t xml:space="preserve"> </w:t>
      </w:r>
      <w:r w:rsidRPr="008D2897">
        <w:rPr>
          <w:rStyle w:val="Guidance"/>
        </w:rPr>
        <w:t xml:space="preserve">states that a Department’s annual report should include a ‘summary of the application and operation of the </w:t>
      </w:r>
      <w:r w:rsidRPr="008D2897">
        <w:rPr>
          <w:rStyle w:val="Guidance"/>
          <w:i/>
          <w:iCs/>
        </w:rPr>
        <w:t>Freedom of Information Act 1982</w:t>
      </w:r>
      <w:r w:rsidRPr="008D2897">
        <w:rPr>
          <w:rStyle w:val="Guidance"/>
        </w:rPr>
        <w:t xml:space="preserve"> (the Act)’. </w:t>
      </w:r>
    </w:p>
    <w:p w14:paraId="72D9E5CC" w14:textId="77777777" w:rsidR="008D2897" w:rsidRDefault="008D2897" w:rsidP="008D2897">
      <w:pPr>
        <w:pStyle w:val="GuidanceHeading"/>
      </w:pPr>
      <w:r>
        <w:t>Guidance</w:t>
      </w:r>
    </w:p>
    <w:p w14:paraId="2C51A784" w14:textId="268BE3C8" w:rsidR="008D2897" w:rsidRPr="008D2897" w:rsidRDefault="008D2897" w:rsidP="008D2897">
      <w:pPr>
        <w:rPr>
          <w:rStyle w:val="Guidance"/>
        </w:rPr>
      </w:pPr>
      <w:r w:rsidRPr="008D2897">
        <w:rPr>
          <w:rStyle w:val="Guidance"/>
        </w:rPr>
        <w:t xml:space="preserve">This section should provide the reader with context of how the Act operates and the </w:t>
      </w:r>
      <w:r w:rsidR="00115190">
        <w:rPr>
          <w:rStyle w:val="Guidance"/>
        </w:rPr>
        <w:t>d</w:t>
      </w:r>
      <w:r w:rsidRPr="008D2897">
        <w:rPr>
          <w:rStyle w:val="Guidance"/>
        </w:rPr>
        <w:t>epartment’s application of the requirements under the Act, including:</w:t>
      </w:r>
    </w:p>
    <w:p w14:paraId="539435B7" w14:textId="3891C97D" w:rsidR="008D2897" w:rsidRPr="008D2897" w:rsidRDefault="008D2897" w:rsidP="00310F12">
      <w:pPr>
        <w:pStyle w:val="ListBullet"/>
        <w:rPr>
          <w:rStyle w:val="Guidance"/>
        </w:rPr>
      </w:pPr>
      <w:r w:rsidRPr="008D2897">
        <w:rPr>
          <w:rStyle w:val="Guidance"/>
        </w:rPr>
        <w:t xml:space="preserve">a description of what types of requests are handled by the </w:t>
      </w:r>
      <w:r w:rsidR="00115190">
        <w:rPr>
          <w:rStyle w:val="Guidance"/>
        </w:rPr>
        <w:t>d</w:t>
      </w:r>
      <w:r w:rsidRPr="008D2897">
        <w:rPr>
          <w:rStyle w:val="Guidance"/>
        </w:rPr>
        <w:t>epartment and what are outside its scope (e.g. requests for information belonging to a portfolio agency)</w:t>
      </w:r>
    </w:p>
    <w:p w14:paraId="77DD813F" w14:textId="4BEB84AB" w:rsidR="008D2897" w:rsidRPr="008D2897" w:rsidRDefault="008D2897" w:rsidP="00310F12">
      <w:pPr>
        <w:pStyle w:val="ListBullet"/>
        <w:rPr>
          <w:rStyle w:val="Guidance"/>
        </w:rPr>
      </w:pPr>
      <w:r w:rsidRPr="008D2897">
        <w:rPr>
          <w:rStyle w:val="Guidance"/>
        </w:rPr>
        <w:t>guidance on how a member of the public can make an FOI request, what format it should be in and any costs associated with making the request</w:t>
      </w:r>
    </w:p>
    <w:p w14:paraId="07B450F1" w14:textId="293AC89D" w:rsidR="008D2897" w:rsidRPr="008D2897" w:rsidRDefault="008D2897" w:rsidP="00310F12">
      <w:pPr>
        <w:pStyle w:val="ListBullet"/>
        <w:rPr>
          <w:rStyle w:val="Guidance"/>
        </w:rPr>
      </w:pPr>
      <w:r w:rsidRPr="008D2897">
        <w:rPr>
          <w:rStyle w:val="Guidance"/>
        </w:rPr>
        <w:t xml:space="preserve">contact details for the </w:t>
      </w:r>
      <w:r w:rsidR="00115190">
        <w:rPr>
          <w:rStyle w:val="Guidance"/>
        </w:rPr>
        <w:t>d</w:t>
      </w:r>
      <w:r w:rsidRPr="008D2897">
        <w:rPr>
          <w:rStyle w:val="Guidance"/>
        </w:rPr>
        <w:t>epartment’s FOI officer(s)</w:t>
      </w:r>
    </w:p>
    <w:p w14:paraId="2B91D530" w14:textId="4F2F0474" w:rsidR="008D2897" w:rsidRPr="008D2897" w:rsidRDefault="008D2897" w:rsidP="00310F12">
      <w:pPr>
        <w:pStyle w:val="ListBullet"/>
        <w:rPr>
          <w:rStyle w:val="Guidance"/>
        </w:rPr>
      </w:pPr>
      <w:r w:rsidRPr="008D2897">
        <w:rPr>
          <w:rStyle w:val="Guidance"/>
        </w:rPr>
        <w:t>details of how the Act has been applied for the reporting period, including the entity’s application of the publication requirements prescribed in s7(4) of the Act</w:t>
      </w:r>
    </w:p>
    <w:p w14:paraId="14AC6FA7" w14:textId="2F10EC03" w:rsidR="008D2897" w:rsidRPr="008D2897" w:rsidRDefault="008D2897" w:rsidP="00310F12">
      <w:pPr>
        <w:pStyle w:val="ListBullet"/>
        <w:rPr>
          <w:rStyle w:val="Guidance"/>
        </w:rPr>
      </w:pPr>
      <w:r w:rsidRPr="008D2897">
        <w:rPr>
          <w:rStyle w:val="Guidance"/>
        </w:rPr>
        <w:t>a summary of the types of requesters (e.g. ‘six were from Members of Parliament</w:t>
      </w:r>
      <w:r w:rsidR="00C43D5A">
        <w:rPr>
          <w:rStyle w:val="Guidance"/>
        </w:rPr>
        <w:t>,</w:t>
      </w:r>
      <w:r w:rsidRPr="008D2897">
        <w:rPr>
          <w:rStyle w:val="Guidance"/>
        </w:rPr>
        <w:t xml:space="preserve"> three from the </w:t>
      </w:r>
      <w:r w:rsidR="00115190">
        <w:rPr>
          <w:rStyle w:val="Guidance"/>
        </w:rPr>
        <w:t>m</w:t>
      </w:r>
      <w:r w:rsidRPr="008D2897">
        <w:rPr>
          <w:rStyle w:val="Guidance"/>
        </w:rPr>
        <w:t>edia and the remainder were from the general public’) and the outcome of the requests in brief detail</w:t>
      </w:r>
    </w:p>
    <w:p w14:paraId="36440BA5" w14:textId="1112FEC8" w:rsidR="008D2897" w:rsidRPr="008D2897" w:rsidRDefault="008D2897" w:rsidP="00310F12">
      <w:pPr>
        <w:pStyle w:val="ListBullet"/>
        <w:rPr>
          <w:rStyle w:val="Guidance"/>
        </w:rPr>
      </w:pPr>
      <w:r w:rsidRPr="008D2897">
        <w:rPr>
          <w:rStyle w:val="Guidance"/>
        </w:rPr>
        <w:t>further information on where readers may find out more information about FOI may also be included (FOI website, FOI Act etc.).</w:t>
      </w:r>
    </w:p>
    <w:p w14:paraId="66D7B255" w14:textId="51275D50" w:rsidR="00DC39DE" w:rsidRDefault="008D2897" w:rsidP="008D2897">
      <w:pPr>
        <w:rPr>
          <w:rStyle w:val="Guidance"/>
          <w:b/>
          <w:bCs/>
        </w:rPr>
      </w:pPr>
      <w:r w:rsidRPr="008D2897">
        <w:rPr>
          <w:rStyle w:val="Guidance"/>
        </w:rPr>
        <w:t xml:space="preserve">Please note that entities should refer to the FOI Act for the detailed requirements. </w:t>
      </w:r>
      <w:r w:rsidRPr="008D2897">
        <w:rPr>
          <w:rStyle w:val="Guidance"/>
          <w:b/>
          <w:bCs/>
        </w:rPr>
        <w:t>The Model should not be used as a substitute for the actual legislation or specific requirements.</w:t>
      </w:r>
    </w:p>
    <w:p w14:paraId="6E33A12C" w14:textId="77777777" w:rsidR="008D2897" w:rsidRPr="008D2897" w:rsidRDefault="008D2897" w:rsidP="008D2897">
      <w:pPr>
        <w:pStyle w:val="GuidanceEnd"/>
        <w:rPr>
          <w:rStyle w:val="Guidance"/>
          <w:b/>
          <w:bCs/>
        </w:rPr>
      </w:pPr>
    </w:p>
    <w:p w14:paraId="2326DF6F" w14:textId="77777777" w:rsidR="000928B1" w:rsidRDefault="000928B1">
      <w:pPr>
        <w:keepLines w:val="0"/>
        <w:rPr>
          <w:rFonts w:asciiTheme="majorHAnsi" w:eastAsiaTheme="majorEastAsia" w:hAnsiTheme="majorHAnsi" w:cstheme="majorBidi"/>
          <w:b/>
          <w:sz w:val="26"/>
          <w:szCs w:val="26"/>
        </w:rPr>
      </w:pPr>
      <w:r>
        <w:br w:type="page"/>
      </w:r>
    </w:p>
    <w:p w14:paraId="7BE1449C" w14:textId="131837F1" w:rsidR="00DC39DE" w:rsidRDefault="00DC39DE" w:rsidP="008D2897">
      <w:pPr>
        <w:pStyle w:val="Heading2"/>
      </w:pPr>
      <w:bookmarkStart w:id="153" w:name="INDEX_BuildingAct"/>
      <w:bookmarkStart w:id="154" w:name="_Toc199156293"/>
      <w:bookmarkEnd w:id="153"/>
      <w:r>
        <w:lastRenderedPageBreak/>
        <w:t xml:space="preserve">Compliance with the </w:t>
      </w:r>
      <w:r w:rsidRPr="008D2897">
        <w:rPr>
          <w:i/>
          <w:iCs/>
        </w:rPr>
        <w:t>Building Act 1993</w:t>
      </w:r>
      <w:bookmarkEnd w:id="154"/>
    </w:p>
    <w:p w14:paraId="7BB36A4C" w14:textId="373B0ACE" w:rsidR="008D2897" w:rsidRDefault="008D2897" w:rsidP="00DC39DE">
      <w:r w:rsidRPr="008D2897">
        <w:t xml:space="preserve">The Department does not own or control any government buildings and consequently is exempt from notifying its compliance with the building and maintenance provisions of the </w:t>
      </w:r>
      <w:r w:rsidRPr="008D2897">
        <w:rPr>
          <w:i/>
          <w:iCs/>
        </w:rPr>
        <w:t>Building Act 1993</w:t>
      </w:r>
      <w:r w:rsidRPr="008D2897">
        <w:t xml:space="preserve"> </w:t>
      </w:r>
      <w:r w:rsidRPr="008D2897">
        <w:rPr>
          <w:rStyle w:val="Guidance"/>
        </w:rPr>
        <w:t>[for publicly owned buildings controlled by the Department]</w:t>
      </w:r>
      <w:r w:rsidRPr="008D2897">
        <w:t>.</w:t>
      </w:r>
      <w:r>
        <w:t xml:space="preserve"> </w:t>
      </w:r>
      <w:r w:rsidRPr="008D2897">
        <w:rPr>
          <w:rStyle w:val="Reference"/>
        </w:rPr>
        <w:t>[FRD 22]</w:t>
      </w:r>
    </w:p>
    <w:p w14:paraId="5E4A8B16" w14:textId="0645020E" w:rsidR="008D2897" w:rsidRDefault="008D2897" w:rsidP="008D2897">
      <w:pPr>
        <w:pStyle w:val="GuidanceBlockHeading"/>
      </w:pPr>
      <w:r>
        <w:t xml:space="preserve">Guidance – Compliance with the </w:t>
      </w:r>
      <w:r w:rsidRPr="008D2897">
        <w:rPr>
          <w:i/>
          <w:iCs w:val="0"/>
        </w:rPr>
        <w:t>Building Act 1993</w:t>
      </w:r>
    </w:p>
    <w:p w14:paraId="6CC6A31B" w14:textId="63BEB509" w:rsidR="008D2897" w:rsidRDefault="008D2897" w:rsidP="008D2897">
      <w:pPr>
        <w:pStyle w:val="GuidanceHeading"/>
      </w:pPr>
      <w:r>
        <w:t>Legislative and documented references</w:t>
      </w:r>
    </w:p>
    <w:p w14:paraId="1B6C3407" w14:textId="4D7F80BA" w:rsidR="008D2897" w:rsidRPr="008D2897" w:rsidRDefault="008D2897" w:rsidP="008D2897">
      <w:pPr>
        <w:rPr>
          <w:rStyle w:val="Guidance"/>
        </w:rPr>
      </w:pPr>
      <w:r w:rsidRPr="008D2897">
        <w:rPr>
          <w:rStyle w:val="Guidance"/>
        </w:rPr>
        <w:t>FRD 22</w:t>
      </w:r>
      <w:r w:rsidR="00A36FE6">
        <w:rPr>
          <w:rStyle w:val="Guidance"/>
        </w:rPr>
        <w:t xml:space="preserve"> </w:t>
      </w:r>
      <w:r w:rsidRPr="008D2897">
        <w:rPr>
          <w:rStyle w:val="Guidance"/>
        </w:rPr>
        <w:t xml:space="preserve">states that a </w:t>
      </w:r>
      <w:r w:rsidR="00A1326F">
        <w:rPr>
          <w:rStyle w:val="Guidance"/>
        </w:rPr>
        <w:t>d</w:t>
      </w:r>
      <w:r w:rsidRPr="008D2897">
        <w:rPr>
          <w:rStyle w:val="Guidance"/>
        </w:rPr>
        <w:t xml:space="preserve">epartment’s annual report must include a ‘statement on compliance with the building and maintenance provisions’ of the </w:t>
      </w:r>
      <w:r w:rsidRPr="008D2897">
        <w:rPr>
          <w:rStyle w:val="Guidance"/>
          <w:i/>
          <w:iCs/>
        </w:rPr>
        <w:t>Building Act 1993</w:t>
      </w:r>
      <w:r w:rsidRPr="008D2897">
        <w:rPr>
          <w:rStyle w:val="Guidance"/>
        </w:rPr>
        <w:t xml:space="preserve">. This reference to the Building Act should be taken to refer to the regulations made under the </w:t>
      </w:r>
      <w:r w:rsidRPr="008D2897">
        <w:rPr>
          <w:rStyle w:val="Guidance"/>
          <w:i/>
          <w:iCs/>
        </w:rPr>
        <w:t>Building Act 1993</w:t>
      </w:r>
      <w:r w:rsidRPr="008D2897">
        <w:rPr>
          <w:rStyle w:val="Guidance"/>
        </w:rPr>
        <w:t xml:space="preserve"> as well as the relevant provisions of the National Construction Code.</w:t>
      </w:r>
    </w:p>
    <w:p w14:paraId="2114B5B4" w14:textId="77777777" w:rsidR="008D2897" w:rsidRDefault="008D2897" w:rsidP="008D2897">
      <w:pPr>
        <w:pStyle w:val="GuidanceHeading"/>
      </w:pPr>
      <w:r>
        <w:t>Audit of government-owned and leased buildings for the presence of combustible cladding</w:t>
      </w:r>
    </w:p>
    <w:p w14:paraId="328B86F8" w14:textId="46725B67" w:rsidR="008D2897" w:rsidRPr="008D2897" w:rsidRDefault="008D2897" w:rsidP="008D2897">
      <w:pPr>
        <w:rPr>
          <w:rStyle w:val="Guidance"/>
        </w:rPr>
      </w:pPr>
      <w:r w:rsidRPr="008D2897">
        <w:rPr>
          <w:rStyle w:val="Guidance"/>
        </w:rPr>
        <w:t>Departments should be aware that an audit of government-owned and leased building</w:t>
      </w:r>
      <w:r w:rsidR="0024679F">
        <w:rPr>
          <w:rStyle w:val="Guidance"/>
        </w:rPr>
        <w:t>s</w:t>
      </w:r>
      <w:r w:rsidRPr="008D2897">
        <w:rPr>
          <w:rStyle w:val="Guidance"/>
        </w:rPr>
        <w:t xml:space="preserve"> </w:t>
      </w:r>
      <w:r w:rsidR="0024679F">
        <w:rPr>
          <w:rStyle w:val="Guidance"/>
        </w:rPr>
        <w:t>has been unde</w:t>
      </w:r>
      <w:r w:rsidR="00A03D0D">
        <w:rPr>
          <w:rStyle w:val="Guidance"/>
        </w:rPr>
        <w:t>r</w:t>
      </w:r>
      <w:r w:rsidR="0024679F">
        <w:rPr>
          <w:rStyle w:val="Guidance"/>
        </w:rPr>
        <w:t>taken</w:t>
      </w:r>
      <w:r w:rsidRPr="008D2897">
        <w:rPr>
          <w:rStyle w:val="Guidance"/>
        </w:rPr>
        <w:t xml:space="preserve">. Audit outcomes </w:t>
      </w:r>
      <w:r w:rsidR="002F5BF5">
        <w:rPr>
          <w:rStyle w:val="Guidance"/>
        </w:rPr>
        <w:t>that</w:t>
      </w:r>
      <w:r w:rsidR="002F5BF5" w:rsidRPr="008D2897">
        <w:rPr>
          <w:rStyle w:val="Guidance"/>
        </w:rPr>
        <w:t xml:space="preserve"> </w:t>
      </w:r>
      <w:r w:rsidRPr="008D2897">
        <w:rPr>
          <w:rStyle w:val="Guidance"/>
        </w:rPr>
        <w:t xml:space="preserve">demonstrate non-compliance which may need to be considered when making statements relating to compliance with the building and maintenance provisions of the </w:t>
      </w:r>
      <w:r w:rsidRPr="008D2897">
        <w:rPr>
          <w:rStyle w:val="Guidance"/>
          <w:i/>
          <w:iCs/>
        </w:rPr>
        <w:t>Building Act 1993</w:t>
      </w:r>
      <w:r w:rsidRPr="008D2897">
        <w:rPr>
          <w:rStyle w:val="Guidance"/>
        </w:rPr>
        <w:t>.</w:t>
      </w:r>
    </w:p>
    <w:p w14:paraId="2DC5A3FF" w14:textId="77777777" w:rsidR="008D2897" w:rsidRDefault="008D2897" w:rsidP="008D2897">
      <w:pPr>
        <w:pStyle w:val="GuidanceHeading"/>
      </w:pPr>
      <w:r>
        <w:t>Guidance</w:t>
      </w:r>
    </w:p>
    <w:p w14:paraId="1231478E" w14:textId="77777777" w:rsidR="008D2897" w:rsidRPr="008D2897" w:rsidRDefault="008D2897" w:rsidP="008D2897">
      <w:pPr>
        <w:rPr>
          <w:rStyle w:val="Guidance"/>
        </w:rPr>
      </w:pPr>
      <w:r w:rsidRPr="008D2897">
        <w:rPr>
          <w:rStyle w:val="Guidance"/>
        </w:rPr>
        <w:t xml:space="preserve">If your department or entity does not own or control any government buildings, you still need to include a statement to that effect, identifying that it is exempt from notifying its compliance with the building and maintenance provisions of the Act. </w:t>
      </w:r>
    </w:p>
    <w:p w14:paraId="0792C4DE" w14:textId="7A2DF7C2" w:rsidR="008D2897" w:rsidRPr="008D2897" w:rsidRDefault="008D2897" w:rsidP="008D2897">
      <w:pPr>
        <w:rPr>
          <w:rStyle w:val="Guidance"/>
        </w:rPr>
      </w:pPr>
      <w:r w:rsidRPr="008D2897">
        <w:rPr>
          <w:rStyle w:val="Guidance"/>
        </w:rPr>
        <w:t>Where a department does own or control buildings, it should disclose</w:t>
      </w:r>
      <w:r w:rsidR="00210E0F">
        <w:rPr>
          <w:rStyle w:val="Guidance"/>
        </w:rPr>
        <w:t>:</w:t>
      </w:r>
      <w:r w:rsidRPr="008D2897">
        <w:rPr>
          <w:rStyle w:val="Guidance"/>
        </w:rPr>
        <w:t xml:space="preserve"> </w:t>
      </w:r>
    </w:p>
    <w:p w14:paraId="2497278E" w14:textId="4713039B" w:rsidR="008D2897" w:rsidRPr="008D2897" w:rsidRDefault="008D2897" w:rsidP="00310F12">
      <w:pPr>
        <w:pStyle w:val="ListBullet"/>
        <w:rPr>
          <w:rStyle w:val="Guidance"/>
        </w:rPr>
      </w:pPr>
      <w:r w:rsidRPr="008D2897">
        <w:rPr>
          <w:rStyle w:val="Guidance"/>
        </w:rPr>
        <w:t>mechanisms to ensure that buildings conform with the building standards</w:t>
      </w:r>
    </w:p>
    <w:p w14:paraId="55D5412F" w14:textId="1F7573DE" w:rsidR="008D2897" w:rsidRPr="008D2897" w:rsidRDefault="008D2897" w:rsidP="00310F12">
      <w:pPr>
        <w:pStyle w:val="ListBullet"/>
        <w:rPr>
          <w:rStyle w:val="Guidance"/>
        </w:rPr>
      </w:pPr>
      <w:r w:rsidRPr="008D2897">
        <w:rPr>
          <w:rStyle w:val="Guidance"/>
        </w:rPr>
        <w:t xml:space="preserve">major works </w:t>
      </w:r>
      <w:r w:rsidRPr="008E59DD">
        <w:rPr>
          <w:rStyle w:val="Guidance"/>
        </w:rPr>
        <w:t>projects (greater than $50 000</w:t>
      </w:r>
      <w:r w:rsidR="00DD23E6">
        <w:rPr>
          <w:rStyle w:val="Guidance"/>
        </w:rPr>
        <w:t xml:space="preserve"> as a guide</w:t>
      </w:r>
      <w:r w:rsidRPr="008E59DD">
        <w:rPr>
          <w:rStyle w:val="Guidance"/>
        </w:rPr>
        <w:t>)</w:t>
      </w:r>
    </w:p>
    <w:p w14:paraId="713296AA" w14:textId="35A1ADC3" w:rsidR="008D2897" w:rsidRPr="008D2897" w:rsidRDefault="00B813B9" w:rsidP="00310F12">
      <w:pPr>
        <w:pStyle w:val="ListBullet"/>
        <w:rPr>
          <w:rStyle w:val="Guidance"/>
        </w:rPr>
      </w:pPr>
      <w:r>
        <w:rPr>
          <w:rStyle w:val="Guidance"/>
        </w:rPr>
        <w:t xml:space="preserve">the </w:t>
      </w:r>
      <w:r w:rsidR="008D2897" w:rsidRPr="008D2897">
        <w:rPr>
          <w:rStyle w:val="Guidance"/>
        </w:rPr>
        <w:t>number of building permits, occupancy permits or certificate of final inspection issued in relation to buildings owned by the department or entity</w:t>
      </w:r>
    </w:p>
    <w:p w14:paraId="3CCAFBDB" w14:textId="1C8F4996" w:rsidR="008D2897" w:rsidRPr="008D2897" w:rsidRDefault="008D2897" w:rsidP="00310F12">
      <w:pPr>
        <w:pStyle w:val="ListBullet"/>
        <w:rPr>
          <w:rStyle w:val="Guidance"/>
        </w:rPr>
      </w:pPr>
      <w:r w:rsidRPr="008D2897">
        <w:rPr>
          <w:rStyle w:val="Guidance"/>
        </w:rPr>
        <w:t>mechanisms for inspection, reporting, scheduling and carrying out of maintenance works on existing buildings</w:t>
      </w:r>
    </w:p>
    <w:p w14:paraId="522CE363" w14:textId="7DDB353D" w:rsidR="008D2897" w:rsidRPr="008D2897" w:rsidRDefault="00B813B9" w:rsidP="00310F12">
      <w:pPr>
        <w:pStyle w:val="ListBullet"/>
        <w:rPr>
          <w:rStyle w:val="Guidance"/>
        </w:rPr>
      </w:pPr>
      <w:r>
        <w:rPr>
          <w:rStyle w:val="Guidance"/>
        </w:rPr>
        <w:t xml:space="preserve">the </w:t>
      </w:r>
      <w:r w:rsidR="008D2897" w:rsidRPr="008D2897">
        <w:rPr>
          <w:rStyle w:val="Guidance"/>
        </w:rPr>
        <w:t>number of emergency orders and building orders issued in relation to buildings</w:t>
      </w:r>
    </w:p>
    <w:p w14:paraId="5378F870" w14:textId="775D1C93" w:rsidR="008D2897" w:rsidRPr="008D2897" w:rsidRDefault="00B813B9" w:rsidP="00310F12">
      <w:pPr>
        <w:pStyle w:val="ListBullet"/>
        <w:rPr>
          <w:rStyle w:val="Guidance"/>
        </w:rPr>
      </w:pPr>
      <w:r>
        <w:rPr>
          <w:rStyle w:val="Guidance"/>
        </w:rPr>
        <w:t xml:space="preserve">the </w:t>
      </w:r>
      <w:r w:rsidR="008D2897" w:rsidRPr="008D2897">
        <w:rPr>
          <w:rStyle w:val="Guidance"/>
        </w:rPr>
        <w:t>number of buildings that have been brought into conformity with building standards during the reporting period.</w:t>
      </w:r>
    </w:p>
    <w:p w14:paraId="6C49C524" w14:textId="77777777" w:rsidR="008D2897" w:rsidRDefault="008D2897" w:rsidP="008D2897">
      <w:pPr>
        <w:pStyle w:val="GuidanceEnd"/>
      </w:pPr>
    </w:p>
    <w:p w14:paraId="59E826F7" w14:textId="77777777" w:rsidR="002E3231" w:rsidRDefault="002E3231">
      <w:pPr>
        <w:keepLines w:val="0"/>
        <w:rPr>
          <w:rFonts w:asciiTheme="majorHAnsi" w:eastAsiaTheme="majorEastAsia" w:hAnsiTheme="majorHAnsi" w:cstheme="majorBidi"/>
          <w:b/>
          <w:sz w:val="26"/>
          <w:szCs w:val="26"/>
        </w:rPr>
      </w:pPr>
      <w:r>
        <w:br w:type="page"/>
      </w:r>
    </w:p>
    <w:p w14:paraId="4C7CBFE3" w14:textId="0617145A" w:rsidR="00DC39DE" w:rsidRDefault="00DC39DE" w:rsidP="008D2897">
      <w:pPr>
        <w:pStyle w:val="Heading2"/>
      </w:pPr>
      <w:bookmarkStart w:id="155" w:name="INDEX_CompetitiveNeutralityPolicy"/>
      <w:bookmarkStart w:id="156" w:name="_Toc199156294"/>
      <w:bookmarkEnd w:id="155"/>
      <w:r>
        <w:lastRenderedPageBreak/>
        <w:t>Competitive neutrality policy</w:t>
      </w:r>
      <w:r w:rsidR="002D5AB1">
        <w:t xml:space="preserve"> </w:t>
      </w:r>
      <w:r w:rsidR="002D5AB1" w:rsidRPr="004E3458">
        <w:rPr>
          <w:rStyle w:val="Reference-Revised"/>
          <w:sz w:val="20"/>
          <w:szCs w:val="32"/>
        </w:rPr>
        <w:t>[REVISED]</w:t>
      </w:r>
      <w:bookmarkEnd w:id="156"/>
    </w:p>
    <w:p w14:paraId="19168F8C" w14:textId="27283D0B" w:rsidR="002D5AB1" w:rsidRDefault="002D5AB1" w:rsidP="002D5AB1">
      <w:r>
        <w:t xml:space="preserve">Competitive neutrality requires government businesses to ensure that where services compete, or potentially compete, with the private sector, any net advantage arising from </w:t>
      </w:r>
      <w:r w:rsidR="005B4F63">
        <w:t>g</w:t>
      </w:r>
      <w:r>
        <w:t xml:space="preserve">overnment ownership is accounted for if it is not in the public interest. Government businesses </w:t>
      </w:r>
      <w:r w:rsidR="00AC2DCA">
        <w:t xml:space="preserve">that undertake significant business activities </w:t>
      </w:r>
      <w:r>
        <w:t>are required to</w:t>
      </w:r>
      <w:r w:rsidR="00AC2DCA">
        <w:t xml:space="preserve"> implement</w:t>
      </w:r>
      <w:r>
        <w:t xml:space="preserve"> competitive neutral</w:t>
      </w:r>
      <w:r w:rsidR="006A57C3">
        <w:t>ity measures (such as setting competitive neutral</w:t>
      </w:r>
      <w:r>
        <w:t xml:space="preserve"> price</w:t>
      </w:r>
      <w:r w:rsidR="006A57C3">
        <w:t>s)</w:t>
      </w:r>
      <w:r>
        <w:t xml:space="preserve">, which accounts for any net advantage that comes from public ownership. Competitive neutrality policy supports fair competition between public and private businesses and provides government businesses with a tool to enhance decisions on resource allocation. This policy does not override other policy objectives of government and focuses on </w:t>
      </w:r>
      <w:r w:rsidR="009271ED">
        <w:t>removing resource allocation distortions</w:t>
      </w:r>
      <w:r>
        <w:t>.</w:t>
      </w:r>
    </w:p>
    <w:p w14:paraId="47B228F9" w14:textId="01DE76B6" w:rsidR="002D5AB1" w:rsidRDefault="002D5AB1" w:rsidP="00DC39DE">
      <w:r>
        <w:t xml:space="preserve">The Department ensures Victoria fulfils its requirements on competitive neutrality reporting as required under the </w:t>
      </w:r>
      <w:r w:rsidRPr="008D2897">
        <w:rPr>
          <w:b/>
          <w:bCs/>
        </w:rPr>
        <w:t xml:space="preserve">Competition Principles Agreement </w:t>
      </w:r>
      <w:r w:rsidRPr="008C2DE3">
        <w:t>and</w:t>
      </w:r>
      <w:r w:rsidRPr="008D2897">
        <w:rPr>
          <w:b/>
          <w:bCs/>
        </w:rPr>
        <w:t xml:space="preserve"> Competition </w:t>
      </w:r>
      <w:r w:rsidRPr="008C2DE3">
        <w:rPr>
          <w:b/>
          <w:bCs/>
        </w:rPr>
        <w:t>and</w:t>
      </w:r>
      <w:r w:rsidRPr="008D2897">
        <w:rPr>
          <w:b/>
          <w:bCs/>
        </w:rPr>
        <w:t xml:space="preserve"> Infrastructure Reform Agreement</w:t>
      </w:r>
      <w:r>
        <w:t>.</w:t>
      </w:r>
    </w:p>
    <w:p w14:paraId="49D50AA4" w14:textId="75E58E11" w:rsidR="008D2897" w:rsidRDefault="008D2897" w:rsidP="008D2897">
      <w:pPr>
        <w:pStyle w:val="GuidanceBlockHeading"/>
      </w:pPr>
      <w:r>
        <w:t>Guidance – National Competition Policy</w:t>
      </w:r>
      <w:r w:rsidR="00EE40CA">
        <w:t xml:space="preserve"> </w:t>
      </w:r>
      <w:r w:rsidR="00EE40CA" w:rsidRPr="00CF2CBD">
        <w:rPr>
          <w:rStyle w:val="Reference-Revised"/>
          <w:color w:val="FFF8FF"/>
          <w:sz w:val="20"/>
        </w:rPr>
        <w:t>[REVISED]</w:t>
      </w:r>
    </w:p>
    <w:p w14:paraId="0D060B99" w14:textId="53CBC27C" w:rsidR="008D2897" w:rsidRDefault="008D2897" w:rsidP="008D2897">
      <w:pPr>
        <w:pStyle w:val="GuidanceHeading"/>
      </w:pPr>
      <w:r>
        <w:t>Legislative and documented references</w:t>
      </w:r>
    </w:p>
    <w:p w14:paraId="3BF7B424" w14:textId="1A909EDD" w:rsidR="008D2897" w:rsidRDefault="008D2897" w:rsidP="008D2897">
      <w:pPr>
        <w:rPr>
          <w:rStyle w:val="Guidance"/>
        </w:rPr>
      </w:pPr>
      <w:r w:rsidRPr="008D2897">
        <w:rPr>
          <w:rStyle w:val="Guidance"/>
        </w:rPr>
        <w:t>FRD 22</w:t>
      </w:r>
      <w:r w:rsidR="00A36FE6">
        <w:rPr>
          <w:rStyle w:val="Guidance"/>
        </w:rPr>
        <w:t xml:space="preserve"> </w:t>
      </w:r>
      <w:r w:rsidRPr="008D2897">
        <w:rPr>
          <w:rStyle w:val="Guidance"/>
        </w:rPr>
        <w:t xml:space="preserve">states that a department’s annual report must include a ‘statement to the extent applicable, on the implementation and compliance with National Competition Policy (NCP), including compliance with the requirements of the policy statement, </w:t>
      </w:r>
      <w:r w:rsidRPr="008D2897">
        <w:rPr>
          <w:rStyle w:val="Guidance"/>
          <w:i/>
          <w:iCs/>
        </w:rPr>
        <w:t>Competitive Neutrality Policy Victoria</w:t>
      </w:r>
      <w:r w:rsidRPr="008D2897">
        <w:rPr>
          <w:rStyle w:val="Guidance"/>
        </w:rPr>
        <w:t xml:space="preserve"> and any subsequent reforms’. </w:t>
      </w:r>
    </w:p>
    <w:p w14:paraId="68C0BDB5" w14:textId="77777777" w:rsidR="00C23490" w:rsidRPr="004956CA" w:rsidRDefault="00C23490" w:rsidP="00C23490">
      <w:r>
        <w:rPr>
          <w:rStyle w:val="Guidance"/>
        </w:rPr>
        <w:t xml:space="preserve">The </w:t>
      </w:r>
      <w:r w:rsidRPr="008948B3">
        <w:rPr>
          <w:rStyle w:val="Guidance"/>
          <w:i/>
          <w:iCs/>
        </w:rPr>
        <w:t>Competitive Neutrality Policy</w:t>
      </w:r>
      <w:r>
        <w:rPr>
          <w:rStyle w:val="Guidance"/>
        </w:rPr>
        <w:t xml:space="preserve"> (2012) requires Government departments and agencies (including local governments) to demonstrate compliance with competitive neutrality policy. The Policy also states that Chief Executives or Department Secretaries are required to affirm compliance with the requirements under competitive neutrality policy.</w:t>
      </w:r>
    </w:p>
    <w:p w14:paraId="28C68E77" w14:textId="39E960A3" w:rsidR="008D2897" w:rsidRDefault="008D2897" w:rsidP="008D2897">
      <w:pPr>
        <w:pStyle w:val="GuidanceHeading"/>
      </w:pPr>
      <w:r>
        <w:t>Guidance</w:t>
      </w:r>
    </w:p>
    <w:p w14:paraId="64542659" w14:textId="5FB35D95" w:rsidR="008D2897" w:rsidRPr="008D2897" w:rsidRDefault="008D2897" w:rsidP="008D2897">
      <w:pPr>
        <w:rPr>
          <w:rStyle w:val="Guidance"/>
        </w:rPr>
      </w:pPr>
      <w:r w:rsidRPr="008D2897">
        <w:rPr>
          <w:rStyle w:val="Guidance"/>
        </w:rPr>
        <w:t xml:space="preserve">The Victorian Government requires that an assessment of </w:t>
      </w:r>
      <w:r w:rsidR="0096630C">
        <w:rPr>
          <w:rStyle w:val="Guidance"/>
        </w:rPr>
        <w:t xml:space="preserve">significant </w:t>
      </w:r>
      <w:r w:rsidRPr="008D2897">
        <w:rPr>
          <w:rStyle w:val="Guidance"/>
        </w:rPr>
        <w:t xml:space="preserve">proposed legislation or regulation against the NCP requirements be included in the Legislative Impact Assessments (LIA), which are prepared for primary legislation, and Regulatory Impact Statements (RIS), which are prepared for regulations and other instruments. </w:t>
      </w:r>
    </w:p>
    <w:p w14:paraId="0B500A3D" w14:textId="77777777" w:rsidR="008D2897" w:rsidRPr="008D2897" w:rsidRDefault="008D2897" w:rsidP="008D2897">
      <w:pPr>
        <w:rPr>
          <w:rStyle w:val="Guidance"/>
        </w:rPr>
      </w:pPr>
      <w:r w:rsidRPr="008D2897">
        <w:rPr>
          <w:rStyle w:val="Guidance"/>
        </w:rPr>
        <w:t xml:space="preserve">Departments may wish to include some background information in this section, outlining the basis upon which NCP was implemented and where relevant, subsequent reviews as part of the National Reform Agenda, most notably the preparation of LIA and RIS. </w:t>
      </w:r>
    </w:p>
    <w:p w14:paraId="18A57AD6" w14:textId="54BA3D49" w:rsidR="008D2897" w:rsidRPr="008D2897" w:rsidRDefault="008D2897" w:rsidP="008D2897">
      <w:pPr>
        <w:rPr>
          <w:rStyle w:val="Guidance"/>
        </w:rPr>
      </w:pPr>
      <w:r w:rsidRPr="008D2897">
        <w:rPr>
          <w:rStyle w:val="Guidance"/>
        </w:rPr>
        <w:t>This section should also include details of compliance with competitive neutrality policy and background information on the application of competitive neutrality to the extent that this has altered since the previous year. Where a competitive neutrality complaint has been made against a department, this section should also include a brief description of the complaint, the results of any investigation and steps taken to comply with the competitive neutrality policy</w:t>
      </w:r>
      <w:r w:rsidR="005E0F43">
        <w:rPr>
          <w:rStyle w:val="Guidance"/>
        </w:rPr>
        <w:t>.</w:t>
      </w:r>
      <w:r w:rsidRPr="008D2897">
        <w:rPr>
          <w:rStyle w:val="Guidance"/>
        </w:rPr>
        <w:t xml:space="preserve"> </w:t>
      </w:r>
      <w:r w:rsidR="005E0F43">
        <w:rPr>
          <w:rStyle w:val="Guidance"/>
        </w:rPr>
        <w:t xml:space="preserve">An </w:t>
      </w:r>
      <w:r w:rsidR="00CB6D6B" w:rsidRPr="00CB6D6B">
        <w:rPr>
          <w:rStyle w:val="Guidance"/>
        </w:rPr>
        <w:t xml:space="preserve">issue raised with a </w:t>
      </w:r>
      <w:r w:rsidR="00036C8B">
        <w:rPr>
          <w:rStyle w:val="Guidance"/>
        </w:rPr>
        <w:t>d</w:t>
      </w:r>
      <w:r w:rsidR="00CB6D6B" w:rsidRPr="00CB6D6B">
        <w:rPr>
          <w:rStyle w:val="Guidance"/>
        </w:rPr>
        <w:t xml:space="preserve">epartment is only recognised as a </w:t>
      </w:r>
      <w:r w:rsidR="00B81EB4">
        <w:rPr>
          <w:rStyle w:val="Guidance"/>
        </w:rPr>
        <w:t>‘</w:t>
      </w:r>
      <w:r w:rsidR="00CB6D6B" w:rsidRPr="00CB6D6B">
        <w:rPr>
          <w:rStyle w:val="Guidance"/>
        </w:rPr>
        <w:t>complaint</w:t>
      </w:r>
      <w:r w:rsidR="00B81EB4">
        <w:rPr>
          <w:rStyle w:val="Guidance"/>
        </w:rPr>
        <w:t>’</w:t>
      </w:r>
      <w:r w:rsidR="00CB6D6B" w:rsidRPr="00CB6D6B">
        <w:rPr>
          <w:rStyle w:val="Guidance"/>
        </w:rPr>
        <w:t xml:space="preserve"> once Better Regulation Victoria has formally advised it falls within scope of the Victorian competitive policy framework and warrants further investigation</w:t>
      </w:r>
      <w:r w:rsidR="00023D01">
        <w:rPr>
          <w:rStyle w:val="Guidance"/>
        </w:rPr>
        <w:t>.</w:t>
      </w:r>
    </w:p>
    <w:p w14:paraId="1F6631D2" w14:textId="0717C130" w:rsidR="008D2897" w:rsidRPr="008D2897" w:rsidRDefault="00CF5F15" w:rsidP="008D2897">
      <w:pPr>
        <w:rPr>
          <w:rStyle w:val="Guidance"/>
        </w:rPr>
      </w:pPr>
      <w:r>
        <w:rPr>
          <w:rStyle w:val="Guidance"/>
        </w:rPr>
        <w:t xml:space="preserve">The </w:t>
      </w:r>
      <w:hyperlink r:id="rId72" w:history="1">
        <w:r w:rsidR="0024679F" w:rsidRPr="00FC2689">
          <w:rPr>
            <w:rStyle w:val="Hyperlink"/>
          </w:rPr>
          <w:t>Better Regulation Victoria</w:t>
        </w:r>
        <w:r w:rsidR="00FC5CD0" w:rsidRPr="00FC2689">
          <w:rPr>
            <w:rStyle w:val="Hyperlink"/>
          </w:rPr>
          <w:t xml:space="preserve"> website</w:t>
        </w:r>
      </w:hyperlink>
      <w:r w:rsidR="00FC5CD0">
        <w:rPr>
          <w:rStyle w:val="Guidance"/>
        </w:rPr>
        <w:t xml:space="preserve"> </w:t>
      </w:r>
      <w:r>
        <w:rPr>
          <w:rStyle w:val="Guidance"/>
        </w:rPr>
        <w:t xml:space="preserve">provides further information </w:t>
      </w:r>
      <w:r w:rsidR="00FC5CD0">
        <w:rPr>
          <w:rStyle w:val="Guidance"/>
        </w:rPr>
        <w:t>on policy.</w:t>
      </w:r>
    </w:p>
    <w:p w14:paraId="1929A5FF" w14:textId="77777777" w:rsidR="008D2897" w:rsidRDefault="008D2897" w:rsidP="008D2897">
      <w:pPr>
        <w:pStyle w:val="GuidanceEnd"/>
      </w:pPr>
    </w:p>
    <w:p w14:paraId="164FE5F1" w14:textId="2E474BA7" w:rsidR="00DC39DE" w:rsidRDefault="00DC39DE" w:rsidP="008D2897">
      <w:pPr>
        <w:pStyle w:val="Heading2"/>
      </w:pPr>
      <w:bookmarkStart w:id="157" w:name="INDEX_ProtectedDisclosure"/>
      <w:bookmarkStart w:id="158" w:name="_Toc199156295"/>
      <w:bookmarkEnd w:id="157"/>
      <w:r w:rsidRPr="00642686">
        <w:t xml:space="preserve">Compliance with the </w:t>
      </w:r>
      <w:r w:rsidR="00BA5B23" w:rsidRPr="00642686">
        <w:rPr>
          <w:i/>
          <w:iCs/>
        </w:rPr>
        <w:t>Public Interest</w:t>
      </w:r>
      <w:r w:rsidRPr="00642686">
        <w:rPr>
          <w:i/>
          <w:iCs/>
        </w:rPr>
        <w:t xml:space="preserve"> Disclosure</w:t>
      </w:r>
      <w:r w:rsidR="00BA5B23" w:rsidRPr="00642686">
        <w:rPr>
          <w:i/>
          <w:iCs/>
        </w:rPr>
        <w:t>s</w:t>
      </w:r>
      <w:r w:rsidRPr="00642686">
        <w:rPr>
          <w:i/>
          <w:iCs/>
        </w:rPr>
        <w:t xml:space="preserve"> Act 2012</w:t>
      </w:r>
      <w:bookmarkEnd w:id="158"/>
    </w:p>
    <w:p w14:paraId="24D1AE22" w14:textId="306B7CE3" w:rsidR="008D2897" w:rsidRDefault="008D2897" w:rsidP="00DC39DE">
      <w:r w:rsidRPr="008D2897">
        <w:t xml:space="preserve">The </w:t>
      </w:r>
      <w:r w:rsidRPr="001F3237">
        <w:rPr>
          <w:i/>
          <w:iCs/>
        </w:rPr>
        <w:t>Public Interest Disclosures Act 2012</w:t>
      </w:r>
      <w:r w:rsidRPr="008D2897">
        <w:t xml:space="preserve"> encourages and assists people in making disclosures of improper conduct by public officers and public bodies. The Act provides protection to people who make disclosures in accordance with the Act and establishes a system for the matters disclosed to be investigated and rectifying action to be taken.</w:t>
      </w:r>
      <w:r>
        <w:t xml:space="preserve"> </w:t>
      </w:r>
      <w:r w:rsidRPr="001F3237">
        <w:rPr>
          <w:rStyle w:val="Reference"/>
        </w:rPr>
        <w:t>[FRD 22]</w:t>
      </w:r>
    </w:p>
    <w:p w14:paraId="12351117" w14:textId="1DA26AA7" w:rsidR="00DC39DE" w:rsidRDefault="00DC39DE" w:rsidP="00DC39DE">
      <w:r>
        <w:t>The Department does not tolerate improper conduct by employees, nor the taking of reprisals against those who come forward to disclose such conduct. It is committed to ensuring transparency and accountability in its administrative and management practices and supports the making of disclosures that reveal corrupt conduct, conduct involving a substantial mismanagement of public resources, or conduct involving a substantial risk to public health and safety or the environment.</w:t>
      </w:r>
    </w:p>
    <w:p w14:paraId="18DD5E39" w14:textId="77777777" w:rsidR="00DC39DE" w:rsidRDefault="00DC39DE" w:rsidP="00DC39DE">
      <w:r>
        <w:t>The Department will take all reasonable steps to protect people who make such disclosures from any detrimental action in reprisal for making the disclosure. It will also afford natural justice to the person who is the subject of the disclosure to the extent it is legally possible.</w:t>
      </w:r>
    </w:p>
    <w:p w14:paraId="7F747364" w14:textId="77777777" w:rsidR="00DC39DE" w:rsidRDefault="00DC39DE" w:rsidP="001F3237">
      <w:pPr>
        <w:pStyle w:val="Heading3"/>
      </w:pPr>
      <w:r>
        <w:lastRenderedPageBreak/>
        <w:t>Reporting procedures</w:t>
      </w:r>
    </w:p>
    <w:p w14:paraId="317BB67E" w14:textId="77777777" w:rsidR="00DC39DE" w:rsidRDefault="00DC39DE" w:rsidP="000E37DC">
      <w:pPr>
        <w:keepNext/>
      </w:pPr>
      <w:r>
        <w:t>Disclosures of improper conduct or detrimental action by the Department or any of its employees may be made to any of the following departmental personnel:</w:t>
      </w:r>
    </w:p>
    <w:p w14:paraId="7214E0A7" w14:textId="20E52A86" w:rsidR="00DC39DE" w:rsidRDefault="00DC39DE" w:rsidP="00310F12">
      <w:pPr>
        <w:pStyle w:val="ListBullet"/>
      </w:pPr>
      <w:r>
        <w:t>Secretary of the Department</w:t>
      </w:r>
    </w:p>
    <w:p w14:paraId="25FB618D" w14:textId="129D2356" w:rsidR="00DC39DE" w:rsidRDefault="00BA5B23" w:rsidP="00310F12">
      <w:pPr>
        <w:pStyle w:val="ListBullet"/>
      </w:pPr>
      <w:r>
        <w:t>Public Interest</w:t>
      </w:r>
      <w:r w:rsidR="00DC39DE">
        <w:t xml:space="preserve"> Disclosure Coordinator or </w:t>
      </w:r>
      <w:r>
        <w:t>Public Interest</w:t>
      </w:r>
      <w:r w:rsidR="00DC39DE">
        <w:t xml:space="preserve"> Disclosure Officer</w:t>
      </w:r>
    </w:p>
    <w:p w14:paraId="37DA33DE" w14:textId="7BE4098A" w:rsidR="00DC39DE" w:rsidRDefault="00DC39DE" w:rsidP="00310F12">
      <w:pPr>
        <w:pStyle w:val="ListBullet"/>
      </w:pPr>
      <w:r>
        <w:t>manager or supervisor of the disclose</w:t>
      </w:r>
      <w:r w:rsidR="00EF0952">
        <w:t>r</w:t>
      </w:r>
    </w:p>
    <w:p w14:paraId="490496BA" w14:textId="764EF282" w:rsidR="00DC39DE" w:rsidRDefault="00DC39DE" w:rsidP="00310F12">
      <w:pPr>
        <w:pStyle w:val="ListBullet"/>
      </w:pPr>
      <w:r>
        <w:t>manager or supervisor of the person who is the subject of the disclosure</w:t>
      </w:r>
    </w:p>
    <w:p w14:paraId="5017378F" w14:textId="71DE1A5C" w:rsidR="00DC39DE" w:rsidRDefault="00DC39DE" w:rsidP="00310F12">
      <w:pPr>
        <w:pStyle w:val="ListBullet"/>
      </w:pPr>
      <w:r>
        <w:t xml:space="preserve">a person acting in any of the above roles. </w:t>
      </w:r>
    </w:p>
    <w:p w14:paraId="0BA9AEA6" w14:textId="4DBA5D56" w:rsidR="001F3237" w:rsidRDefault="001F3237" w:rsidP="00DC39DE">
      <w:r w:rsidRPr="001F3237">
        <w:t>Alternatively, disclosures may also be made directly to the Independent Broad-based Anti-corruption Commission:</w:t>
      </w:r>
      <w:r>
        <w:t xml:space="preserve"> </w:t>
      </w:r>
      <w:r w:rsidRPr="001F3237">
        <w:rPr>
          <w:rStyle w:val="Reference"/>
        </w:rPr>
        <w:t>[FRD</w:t>
      </w:r>
      <w:r>
        <w:rPr>
          <w:rStyle w:val="Reference"/>
        </w:rPr>
        <w:t> </w:t>
      </w:r>
      <w:r w:rsidRPr="001F3237">
        <w:rPr>
          <w:rStyle w:val="Reference"/>
        </w:rPr>
        <w:t>22]</w:t>
      </w:r>
    </w:p>
    <w:p w14:paraId="1CDB6719" w14:textId="2098ADC5" w:rsidR="00DC39DE" w:rsidRDefault="00DC39DE" w:rsidP="00DC39DE">
      <w:r>
        <w:t>Level 1, North Tower, 459 Collins Street</w:t>
      </w:r>
      <w:r w:rsidR="001F3237">
        <w:br/>
      </w:r>
      <w:r>
        <w:t>Melbourne, VIC 3000</w:t>
      </w:r>
    </w:p>
    <w:p w14:paraId="61757928" w14:textId="11E4CD3C" w:rsidR="00DC39DE" w:rsidRDefault="00DC39DE" w:rsidP="001F3237">
      <w:pPr>
        <w:tabs>
          <w:tab w:val="left" w:pos="1134"/>
        </w:tabs>
      </w:pPr>
      <w:r>
        <w:t xml:space="preserve">Phone: </w:t>
      </w:r>
      <w:r>
        <w:tab/>
        <w:t>1300 735 135</w:t>
      </w:r>
      <w:r w:rsidR="001F3237">
        <w:br/>
      </w:r>
      <w:r>
        <w:t xml:space="preserve">Internet: </w:t>
      </w:r>
      <w:r>
        <w:tab/>
      </w:r>
      <w:hyperlink r:id="rId73" w:history="1">
        <w:r w:rsidRPr="001F3237">
          <w:rPr>
            <w:rStyle w:val="Hyperlink"/>
          </w:rPr>
          <w:t>www.ibac.vic.gov.au</w:t>
        </w:r>
      </w:hyperlink>
    </w:p>
    <w:p w14:paraId="72B5E306" w14:textId="7A2DEAF8" w:rsidR="00DC39DE" w:rsidRDefault="00DC39DE" w:rsidP="001F3237">
      <w:pPr>
        <w:tabs>
          <w:tab w:val="left" w:pos="1134"/>
        </w:tabs>
        <w:ind w:left="1134" w:hanging="1134"/>
      </w:pPr>
      <w:r>
        <w:t xml:space="preserve">Email: </w:t>
      </w:r>
      <w:r>
        <w:tab/>
      </w:r>
      <w:r w:rsidRPr="001F3237">
        <w:rPr>
          <w:rStyle w:val="Guidance"/>
        </w:rPr>
        <w:t>[see the website above for the secure email disclosure process, which also provides for anonymous disclosures]</w:t>
      </w:r>
    </w:p>
    <w:p w14:paraId="46D341CF" w14:textId="77777777" w:rsidR="00DC39DE" w:rsidRDefault="00DC39DE" w:rsidP="001F3237">
      <w:pPr>
        <w:pStyle w:val="Heading3"/>
      </w:pPr>
      <w:r>
        <w:t>Further information</w:t>
      </w:r>
    </w:p>
    <w:p w14:paraId="319079F1" w14:textId="22FDC04B" w:rsidR="00DC39DE" w:rsidRDefault="00DC39DE" w:rsidP="00DC39DE">
      <w:r>
        <w:t xml:space="preserve">The </w:t>
      </w:r>
      <w:r w:rsidR="00BA5B23">
        <w:t>Public Interest</w:t>
      </w:r>
      <w:r>
        <w:t xml:space="preserve"> Disclosure Policy and Procedures, which outline the system for reporting disclosures of improper conduct or detrimental action by the Department or any of its employees and/or officers, are available on the Department’s website. </w:t>
      </w:r>
    </w:p>
    <w:p w14:paraId="0EA2E0EE" w14:textId="4A7E3910" w:rsidR="00DC39DE" w:rsidRPr="00183623" w:rsidRDefault="00DC39DE" w:rsidP="001F3237">
      <w:pPr>
        <w:pStyle w:val="Caption"/>
        <w:rPr>
          <w:i/>
          <w:iCs w:val="0"/>
        </w:rPr>
      </w:pPr>
      <w:r w:rsidRPr="00183623">
        <w:rPr>
          <w:i/>
          <w:iCs w:val="0"/>
        </w:rPr>
        <w:t xml:space="preserve">Disclosures under the </w:t>
      </w:r>
      <w:r w:rsidR="00BA5B23" w:rsidRPr="00E52BB9">
        <w:t>Public Interest</w:t>
      </w:r>
      <w:r w:rsidRPr="00E52BB9">
        <w:t xml:space="preserve"> Disclosure</w:t>
      </w:r>
      <w:r w:rsidR="001F3237" w:rsidRPr="00E52BB9">
        <w:t>s</w:t>
      </w:r>
      <w:r w:rsidRPr="00E52BB9">
        <w:t xml:space="preserve"> Act 2012</w:t>
      </w:r>
    </w:p>
    <w:tbl>
      <w:tblPr>
        <w:tblStyle w:val="DTFFinancialTable"/>
        <w:tblW w:w="9639" w:type="dxa"/>
        <w:tblLayout w:type="fixed"/>
        <w:tblLook w:val="06A0" w:firstRow="1" w:lastRow="0" w:firstColumn="1" w:lastColumn="0" w:noHBand="1" w:noVBand="1"/>
      </w:tblPr>
      <w:tblGrid>
        <w:gridCol w:w="7560"/>
        <w:gridCol w:w="1039"/>
        <w:gridCol w:w="1040"/>
      </w:tblGrid>
      <w:tr w:rsidR="00504E7C" w:rsidRPr="00183623" w14:paraId="26EF9414" w14:textId="77777777" w:rsidTr="00E52BB9">
        <w:trPr>
          <w:cnfStyle w:val="100000000000" w:firstRow="1" w:lastRow="0" w:firstColumn="0" w:lastColumn="0" w:oddVBand="0" w:evenVBand="0" w:oddHBand="0" w:evenHBand="0" w:firstRowFirstColumn="0" w:firstRowLastColumn="0" w:lastRowFirstColumn="0" w:lastRowLastColumn="0"/>
          <w:trHeight w:val="123"/>
        </w:trPr>
        <w:tc>
          <w:tcPr>
            <w:cnfStyle w:val="001000000100" w:firstRow="0" w:lastRow="0" w:firstColumn="1" w:lastColumn="0" w:oddVBand="0" w:evenVBand="0" w:oddHBand="0" w:evenHBand="0" w:firstRowFirstColumn="1" w:firstRowLastColumn="0" w:lastRowFirstColumn="0" w:lastRowLastColumn="0"/>
            <w:tcW w:w="7560" w:type="dxa"/>
            <w:tcBorders>
              <w:bottom w:val="nil"/>
            </w:tcBorders>
          </w:tcPr>
          <w:p w14:paraId="1AE0F445" w14:textId="77777777" w:rsidR="00504E7C" w:rsidRPr="00183623" w:rsidRDefault="00504E7C" w:rsidP="00896AD0"/>
        </w:tc>
        <w:tc>
          <w:tcPr>
            <w:tcW w:w="1039" w:type="dxa"/>
            <w:tcBorders>
              <w:bottom w:val="nil"/>
            </w:tcBorders>
          </w:tcPr>
          <w:p w14:paraId="4307B609" w14:textId="575291CB" w:rsidR="00504E7C" w:rsidRPr="00183623" w:rsidRDefault="007D046C" w:rsidP="00896AD0">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sidRPr="007D046C">
                <w:rPr>
                  <w:rFonts w:ascii="Cambria Math" w:hAnsi="Cambria Math" w:cs="Cambria Math"/>
                </w:rPr>
                <w:t>‑</w:t>
              </w:r>
              <w:r>
                <w:t>X2</w:t>
              </w:r>
            </w:fldSimple>
          </w:p>
        </w:tc>
        <w:tc>
          <w:tcPr>
            <w:tcW w:w="1040" w:type="dxa"/>
            <w:tcBorders>
              <w:bottom w:val="nil"/>
            </w:tcBorders>
          </w:tcPr>
          <w:p w14:paraId="19DF4F3D" w14:textId="6C1D7D2A" w:rsidR="00504E7C" w:rsidRPr="00183623" w:rsidRDefault="00A545BA" w:rsidP="00896AD0">
            <w:pPr>
              <w:cnfStyle w:val="100000000000" w:firstRow="1" w:lastRow="0" w:firstColumn="0" w:lastColumn="0" w:oddVBand="0" w:evenVBand="0" w:oddHBand="0" w:evenHBand="0" w:firstRowFirstColumn="0" w:firstRowLastColumn="0" w:lastRowFirstColumn="0" w:lastRowLastColumn="0"/>
            </w:pPr>
            <w:fldSimple w:instr="DOCPROPERTY  FinYearPrevious  \* MERGEFORMAT">
              <w:r>
                <w:t>20X0</w:t>
              </w:r>
              <w:r w:rsidRPr="00A545BA">
                <w:rPr>
                  <w:rFonts w:ascii="Cambria Math" w:hAnsi="Cambria Math" w:cs="Cambria Math"/>
                </w:rPr>
                <w:t>‑</w:t>
              </w:r>
              <w:r>
                <w:t>X1</w:t>
              </w:r>
            </w:fldSimple>
          </w:p>
        </w:tc>
      </w:tr>
      <w:tr w:rsidR="00504E7C" w:rsidRPr="00183623" w14:paraId="7BB61343" w14:textId="77777777" w:rsidTr="00E52BB9">
        <w:trPr>
          <w:trHeight w:val="80"/>
        </w:trPr>
        <w:tc>
          <w:tcPr>
            <w:cnfStyle w:val="001000000000" w:firstRow="0" w:lastRow="0" w:firstColumn="1" w:lastColumn="0" w:oddVBand="0" w:evenVBand="0" w:oddHBand="0" w:evenHBand="0" w:firstRowFirstColumn="0" w:firstRowLastColumn="0" w:lastRowFirstColumn="0" w:lastRowLastColumn="0"/>
            <w:tcW w:w="7560" w:type="dxa"/>
            <w:tcBorders>
              <w:bottom w:val="nil"/>
            </w:tcBorders>
            <w:shd w:val="clear" w:color="auto" w:fill="000000" w:themeFill="text1"/>
          </w:tcPr>
          <w:p w14:paraId="50109097" w14:textId="77777777" w:rsidR="00504E7C" w:rsidRPr="00183623" w:rsidRDefault="00504E7C" w:rsidP="00896AD0">
            <w:pPr>
              <w:rPr>
                <w:i/>
              </w:rPr>
            </w:pPr>
          </w:p>
        </w:tc>
        <w:tc>
          <w:tcPr>
            <w:tcW w:w="1039" w:type="dxa"/>
            <w:tcBorders>
              <w:bottom w:val="nil"/>
            </w:tcBorders>
            <w:shd w:val="clear" w:color="auto" w:fill="000000" w:themeFill="text1"/>
          </w:tcPr>
          <w:p w14:paraId="2687DC14" w14:textId="77777777" w:rsidR="00504E7C" w:rsidRPr="00183623" w:rsidRDefault="00504E7C" w:rsidP="00896AD0">
            <w:pPr>
              <w:cnfStyle w:val="000000000000" w:firstRow="0" w:lastRow="0" w:firstColumn="0" w:lastColumn="0" w:oddVBand="0" w:evenVBand="0" w:oddHBand="0" w:evenHBand="0" w:firstRowFirstColumn="0" w:firstRowLastColumn="0" w:lastRowFirstColumn="0" w:lastRowLastColumn="0"/>
              <w:rPr>
                <w:i/>
              </w:rPr>
            </w:pPr>
            <w:r w:rsidRPr="00183623">
              <w:rPr>
                <w:i/>
              </w:rPr>
              <w:t>number</w:t>
            </w:r>
          </w:p>
        </w:tc>
        <w:tc>
          <w:tcPr>
            <w:tcW w:w="1040" w:type="dxa"/>
            <w:tcBorders>
              <w:bottom w:val="nil"/>
            </w:tcBorders>
            <w:shd w:val="clear" w:color="auto" w:fill="000000" w:themeFill="text1"/>
          </w:tcPr>
          <w:p w14:paraId="4512C255" w14:textId="77777777" w:rsidR="00504E7C" w:rsidRPr="00183623" w:rsidRDefault="00504E7C" w:rsidP="00896AD0">
            <w:pPr>
              <w:cnfStyle w:val="000000000000" w:firstRow="0" w:lastRow="0" w:firstColumn="0" w:lastColumn="0" w:oddVBand="0" w:evenVBand="0" w:oddHBand="0" w:evenHBand="0" w:firstRowFirstColumn="0" w:firstRowLastColumn="0" w:lastRowFirstColumn="0" w:lastRowLastColumn="0"/>
              <w:rPr>
                <w:i/>
              </w:rPr>
            </w:pPr>
            <w:r w:rsidRPr="00183623">
              <w:rPr>
                <w:i/>
              </w:rPr>
              <w:t>number</w:t>
            </w:r>
          </w:p>
        </w:tc>
      </w:tr>
      <w:tr w:rsidR="00504E7C" w:rsidRPr="008D7F20" w14:paraId="750E9776" w14:textId="77777777" w:rsidTr="00E52BB9">
        <w:trPr>
          <w:trHeight w:val="185"/>
        </w:trPr>
        <w:tc>
          <w:tcPr>
            <w:cnfStyle w:val="001000000000" w:firstRow="0" w:lastRow="0" w:firstColumn="1" w:lastColumn="0" w:oddVBand="0" w:evenVBand="0" w:oddHBand="0" w:evenHBand="0" w:firstRowFirstColumn="0" w:firstRowLastColumn="0" w:lastRowFirstColumn="0" w:lastRowLastColumn="0"/>
            <w:tcW w:w="7560" w:type="dxa"/>
            <w:tcBorders>
              <w:top w:val="nil"/>
            </w:tcBorders>
          </w:tcPr>
          <w:p w14:paraId="130DF01F" w14:textId="77777777" w:rsidR="00504E7C" w:rsidRPr="008D7F20" w:rsidRDefault="00504E7C" w:rsidP="00896AD0">
            <w:r w:rsidRPr="008D7F20">
              <w:t>The number of disclosures made by an individual to the Department and notified to the Independent Broad</w:t>
            </w:r>
            <w:r w:rsidRPr="008D7F20">
              <w:noBreakHyphen/>
              <w:t>based Anti</w:t>
            </w:r>
            <w:r w:rsidRPr="008D7F20">
              <w:noBreakHyphen/>
              <w:t xml:space="preserve">corruption Commission </w:t>
            </w:r>
          </w:p>
        </w:tc>
        <w:tc>
          <w:tcPr>
            <w:tcW w:w="1039" w:type="dxa"/>
            <w:tcBorders>
              <w:top w:val="nil"/>
            </w:tcBorders>
          </w:tcPr>
          <w:p w14:paraId="18C195A1" w14:textId="77777777" w:rsidR="00504E7C" w:rsidRPr="008D7F20" w:rsidRDefault="00504E7C" w:rsidP="00896AD0">
            <w:pPr>
              <w:cnfStyle w:val="000000000000" w:firstRow="0" w:lastRow="0" w:firstColumn="0" w:lastColumn="0" w:oddVBand="0" w:evenVBand="0" w:oddHBand="0" w:evenHBand="0" w:firstRowFirstColumn="0" w:firstRowLastColumn="0" w:lastRowFirstColumn="0" w:lastRowLastColumn="0"/>
            </w:pPr>
          </w:p>
        </w:tc>
        <w:tc>
          <w:tcPr>
            <w:tcW w:w="1040" w:type="dxa"/>
            <w:tcBorders>
              <w:top w:val="nil"/>
            </w:tcBorders>
          </w:tcPr>
          <w:p w14:paraId="5595F616" w14:textId="77777777" w:rsidR="00504E7C" w:rsidRPr="008D7F20" w:rsidRDefault="00504E7C" w:rsidP="00896AD0">
            <w:pPr>
              <w:cnfStyle w:val="000000000000" w:firstRow="0" w:lastRow="0" w:firstColumn="0" w:lastColumn="0" w:oddVBand="0" w:evenVBand="0" w:oddHBand="0" w:evenHBand="0" w:firstRowFirstColumn="0" w:firstRowLastColumn="0" w:lastRowFirstColumn="0" w:lastRowLastColumn="0"/>
            </w:pPr>
          </w:p>
        </w:tc>
      </w:tr>
      <w:tr w:rsidR="00504E7C" w:rsidRPr="008D7F20" w14:paraId="2DF50D45" w14:textId="77777777" w:rsidTr="00E52BB9">
        <w:trPr>
          <w:trHeight w:val="183"/>
        </w:trPr>
        <w:tc>
          <w:tcPr>
            <w:cnfStyle w:val="001000000000" w:firstRow="0" w:lastRow="0" w:firstColumn="1" w:lastColumn="0" w:oddVBand="0" w:evenVBand="0" w:oddHBand="0" w:evenHBand="0" w:firstRowFirstColumn="0" w:firstRowLastColumn="0" w:lastRowFirstColumn="0" w:lastRowLastColumn="0"/>
            <w:tcW w:w="7560" w:type="dxa"/>
          </w:tcPr>
          <w:p w14:paraId="4BD5722B" w14:textId="77777777" w:rsidR="00504E7C" w:rsidRPr="008D7F20" w:rsidRDefault="00504E7C" w:rsidP="00896AD0">
            <w:r w:rsidRPr="008D7F20">
              <w:t>Assessable disclosures</w:t>
            </w:r>
          </w:p>
        </w:tc>
        <w:tc>
          <w:tcPr>
            <w:tcW w:w="1039" w:type="dxa"/>
          </w:tcPr>
          <w:p w14:paraId="5689AF77" w14:textId="77777777" w:rsidR="00504E7C" w:rsidRPr="008D7F20" w:rsidRDefault="00504E7C" w:rsidP="00896AD0">
            <w:pPr>
              <w:cnfStyle w:val="000000000000" w:firstRow="0" w:lastRow="0" w:firstColumn="0" w:lastColumn="0" w:oddVBand="0" w:evenVBand="0" w:oddHBand="0" w:evenHBand="0" w:firstRowFirstColumn="0" w:firstRowLastColumn="0" w:lastRowFirstColumn="0" w:lastRowLastColumn="0"/>
            </w:pPr>
            <w:r w:rsidRPr="008D7F20">
              <w:t>0</w:t>
            </w:r>
          </w:p>
        </w:tc>
        <w:tc>
          <w:tcPr>
            <w:tcW w:w="1040" w:type="dxa"/>
          </w:tcPr>
          <w:p w14:paraId="7B1D4BE2" w14:textId="77777777" w:rsidR="00504E7C" w:rsidRPr="008D7F20" w:rsidRDefault="00504E7C" w:rsidP="00896AD0">
            <w:pPr>
              <w:cnfStyle w:val="000000000000" w:firstRow="0" w:lastRow="0" w:firstColumn="0" w:lastColumn="0" w:oddVBand="0" w:evenVBand="0" w:oddHBand="0" w:evenHBand="0" w:firstRowFirstColumn="0" w:firstRowLastColumn="0" w:lastRowFirstColumn="0" w:lastRowLastColumn="0"/>
            </w:pPr>
            <w:r w:rsidRPr="008D7F20">
              <w:t>n.a.</w:t>
            </w:r>
          </w:p>
        </w:tc>
      </w:tr>
    </w:tbl>
    <w:p w14:paraId="676000F0" w14:textId="77777777" w:rsidR="00504E7C" w:rsidRPr="00504E7C" w:rsidRDefault="00504E7C" w:rsidP="00504E7C"/>
    <w:p w14:paraId="219EDEDE" w14:textId="37898857" w:rsidR="001F3237" w:rsidRDefault="001F3237" w:rsidP="001F3237">
      <w:pPr>
        <w:pStyle w:val="GuidanceBlockHeading"/>
      </w:pPr>
      <w:r>
        <w:t xml:space="preserve">Guidance – Compliance with </w:t>
      </w:r>
      <w:r w:rsidRPr="00306DFD">
        <w:rPr>
          <w:i/>
          <w:iCs w:val="0"/>
        </w:rPr>
        <w:t>Public Interest Disclosures Act 2012</w:t>
      </w:r>
      <w:r>
        <w:br/>
        <w:t xml:space="preserve">(formerly the </w:t>
      </w:r>
      <w:r w:rsidRPr="001F3237">
        <w:rPr>
          <w:i/>
          <w:iCs w:val="0"/>
        </w:rPr>
        <w:t>Protected Disclosure Act 2012</w:t>
      </w:r>
      <w:r>
        <w:t xml:space="preserve">, </w:t>
      </w:r>
      <w:r w:rsidRPr="001F3237">
        <w:rPr>
          <w:i/>
          <w:iCs w:val="0"/>
        </w:rPr>
        <w:t>Whistleblowers Protection Act 2001</w:t>
      </w:r>
      <w:r>
        <w:t>)</w:t>
      </w:r>
    </w:p>
    <w:p w14:paraId="66D8ADA2" w14:textId="2DCFADEB" w:rsidR="001F3237" w:rsidRPr="001F3237" w:rsidRDefault="001F3237" w:rsidP="001F3237">
      <w:pPr>
        <w:pStyle w:val="GuidanceHeading"/>
        <w:rPr>
          <w:rStyle w:val="Guidance"/>
        </w:rPr>
      </w:pPr>
      <w:r w:rsidRPr="001F3237">
        <w:rPr>
          <w:rStyle w:val="Guidance"/>
        </w:rPr>
        <w:t>Legislative and documented references</w:t>
      </w:r>
    </w:p>
    <w:p w14:paraId="218A0887" w14:textId="687D82C9" w:rsidR="001F3237" w:rsidRPr="001F3237" w:rsidRDefault="001F3237" w:rsidP="001F3237">
      <w:pPr>
        <w:rPr>
          <w:rStyle w:val="Guidance"/>
        </w:rPr>
      </w:pPr>
      <w:r w:rsidRPr="001F3237">
        <w:rPr>
          <w:rStyle w:val="Guidance"/>
        </w:rPr>
        <w:t>FRD 22</w:t>
      </w:r>
      <w:r w:rsidR="00970F95">
        <w:rPr>
          <w:rStyle w:val="Guidance"/>
        </w:rPr>
        <w:t xml:space="preserve"> </w:t>
      </w:r>
      <w:r w:rsidRPr="001F3237">
        <w:rPr>
          <w:rStyle w:val="Guidance"/>
        </w:rPr>
        <w:t xml:space="preserve">states that a </w:t>
      </w:r>
      <w:r w:rsidR="00C911D7">
        <w:rPr>
          <w:rStyle w:val="Guidance"/>
        </w:rPr>
        <w:t>d</w:t>
      </w:r>
      <w:r w:rsidRPr="001F3237">
        <w:rPr>
          <w:rStyle w:val="Guidance"/>
        </w:rPr>
        <w:t xml:space="preserve">epartment’s annual report should include a ‘summary of the application and operation of the </w:t>
      </w:r>
      <w:r w:rsidRPr="001F3237">
        <w:rPr>
          <w:rStyle w:val="Guidance"/>
          <w:i/>
          <w:iCs/>
        </w:rPr>
        <w:t>Public Interest Disclosures Act 2012</w:t>
      </w:r>
      <w:r w:rsidRPr="001F3237">
        <w:rPr>
          <w:rStyle w:val="Guidance"/>
        </w:rPr>
        <w:t xml:space="preserve"> (the Act), including disclosures required by the Act’.</w:t>
      </w:r>
    </w:p>
    <w:p w14:paraId="4775F35E" w14:textId="77777777" w:rsidR="001F3237" w:rsidRPr="001F3237" w:rsidRDefault="001F3237" w:rsidP="001F3237">
      <w:pPr>
        <w:rPr>
          <w:rStyle w:val="Guidance"/>
        </w:rPr>
      </w:pPr>
      <w:r w:rsidRPr="001F3237">
        <w:rPr>
          <w:rStyle w:val="Guidance"/>
        </w:rPr>
        <w:t xml:space="preserve">The Act commenced operation on 10 February 2013 and replaced the former </w:t>
      </w:r>
      <w:r w:rsidRPr="001F3237">
        <w:rPr>
          <w:rStyle w:val="Guidance"/>
          <w:i/>
          <w:iCs/>
        </w:rPr>
        <w:t>Whistleblowers Protection Act 2001</w:t>
      </w:r>
      <w:r w:rsidRPr="001F3237">
        <w:rPr>
          <w:rStyle w:val="Guidance"/>
        </w:rPr>
        <w:t xml:space="preserve">. </w:t>
      </w:r>
    </w:p>
    <w:p w14:paraId="13062C33" w14:textId="77777777" w:rsidR="001F3237" w:rsidRPr="001F3237" w:rsidRDefault="001F3237" w:rsidP="001F3237">
      <w:pPr>
        <w:pStyle w:val="GuidanceHeading"/>
        <w:rPr>
          <w:rStyle w:val="Guidance"/>
        </w:rPr>
      </w:pPr>
      <w:r w:rsidRPr="001F3237">
        <w:rPr>
          <w:rStyle w:val="Guidance"/>
        </w:rPr>
        <w:t>Guidance</w:t>
      </w:r>
    </w:p>
    <w:p w14:paraId="6EDA6C34" w14:textId="77777777" w:rsidR="001F3237" w:rsidRPr="001F3237" w:rsidRDefault="001F3237" w:rsidP="001F3237">
      <w:pPr>
        <w:rPr>
          <w:rStyle w:val="Guidance"/>
        </w:rPr>
      </w:pPr>
      <w:r w:rsidRPr="001F3237">
        <w:rPr>
          <w:rStyle w:val="Guidance"/>
        </w:rPr>
        <w:t xml:space="preserve">Similar to the former legislation, the applicable disclosures of the current Act may be presented in a table format. </w:t>
      </w:r>
    </w:p>
    <w:p w14:paraId="4C75F243" w14:textId="168CD8CF" w:rsidR="001F3237" w:rsidRPr="001F3237" w:rsidRDefault="001F3237" w:rsidP="001F3237">
      <w:pPr>
        <w:rPr>
          <w:rStyle w:val="Guidance"/>
        </w:rPr>
      </w:pPr>
      <w:r w:rsidRPr="001F3237">
        <w:rPr>
          <w:rStyle w:val="Guidance"/>
        </w:rPr>
        <w:t xml:space="preserve">Illustration under the Act has been prepared for </w:t>
      </w:r>
      <w:r w:rsidR="00C911D7">
        <w:rPr>
          <w:rStyle w:val="Guidance"/>
        </w:rPr>
        <w:t>d</w:t>
      </w:r>
      <w:r w:rsidRPr="001F3237">
        <w:rPr>
          <w:rStyle w:val="Guidance"/>
        </w:rPr>
        <w:t>epartments only</w:t>
      </w:r>
      <w:r w:rsidR="000D484E">
        <w:rPr>
          <w:rStyle w:val="Guidance"/>
        </w:rPr>
        <w:t xml:space="preserve">. </w:t>
      </w:r>
      <w:r w:rsidR="000D484E">
        <w:rPr>
          <w:rStyle w:val="Guidance"/>
          <w:b/>
          <w:bCs/>
        </w:rPr>
        <w:t>A</w:t>
      </w:r>
      <w:r w:rsidRPr="001F3237">
        <w:rPr>
          <w:rStyle w:val="Guidance"/>
          <w:b/>
          <w:bCs/>
        </w:rPr>
        <w:t>gencies should seek their own advice regarding reporting requirements that may apply to them</w:t>
      </w:r>
      <w:r w:rsidRPr="001F3237">
        <w:rPr>
          <w:rStyle w:val="Guidance"/>
        </w:rPr>
        <w:t>.</w:t>
      </w:r>
    </w:p>
    <w:p w14:paraId="06CCB21F" w14:textId="52FB2544" w:rsidR="00DC39DE" w:rsidRDefault="001F3237" w:rsidP="001F3237">
      <w:pPr>
        <w:rPr>
          <w:rStyle w:val="Guidance"/>
        </w:rPr>
      </w:pPr>
      <w:r w:rsidRPr="001F3237">
        <w:rPr>
          <w:rStyle w:val="Guidance"/>
        </w:rPr>
        <w:t xml:space="preserve">The application could be supported by a short message from a </w:t>
      </w:r>
      <w:r w:rsidR="000D484E">
        <w:rPr>
          <w:rStyle w:val="Guidance"/>
        </w:rPr>
        <w:t>d</w:t>
      </w:r>
      <w:r w:rsidRPr="001F3237">
        <w:rPr>
          <w:rStyle w:val="Guidance"/>
        </w:rPr>
        <w:t>epartment’s Secretary</w:t>
      </w:r>
      <w:r w:rsidR="000D484E">
        <w:rPr>
          <w:rStyle w:val="Guidance"/>
        </w:rPr>
        <w:t>,</w:t>
      </w:r>
      <w:r w:rsidRPr="001F3237">
        <w:rPr>
          <w:rStyle w:val="Guidance"/>
        </w:rPr>
        <w:t xml:space="preserve"> outlining the </w:t>
      </w:r>
      <w:r w:rsidR="000D484E">
        <w:rPr>
          <w:rStyle w:val="Guidance"/>
        </w:rPr>
        <w:t>d</w:t>
      </w:r>
      <w:r w:rsidRPr="001F3237">
        <w:rPr>
          <w:rStyle w:val="Guidance"/>
        </w:rPr>
        <w:t>epartment’s commitment to the aims and objectives of both Acts and its own process for applying the Acts.</w:t>
      </w:r>
    </w:p>
    <w:p w14:paraId="3B8B4828" w14:textId="77777777" w:rsidR="00FF4F58" w:rsidRPr="001F3237" w:rsidRDefault="00FF4F58" w:rsidP="00FF4F58">
      <w:pPr>
        <w:pStyle w:val="GuidanceEnd"/>
        <w:rPr>
          <w:rStyle w:val="Guidance"/>
        </w:rPr>
      </w:pPr>
    </w:p>
    <w:p w14:paraId="75DA0A87" w14:textId="77777777" w:rsidR="00DC39DE" w:rsidRDefault="00DC39DE" w:rsidP="001F3237">
      <w:pPr>
        <w:pStyle w:val="Heading2"/>
      </w:pPr>
      <w:bookmarkStart w:id="159" w:name="INDEX_CarersRecogAct"/>
      <w:bookmarkStart w:id="160" w:name="_Toc199156296"/>
      <w:bookmarkEnd w:id="159"/>
      <w:r>
        <w:lastRenderedPageBreak/>
        <w:t xml:space="preserve">Compliance with the </w:t>
      </w:r>
      <w:r w:rsidRPr="001F3237">
        <w:rPr>
          <w:i/>
          <w:iCs/>
        </w:rPr>
        <w:t>Carers Recognition Act 2012</w:t>
      </w:r>
      <w:bookmarkEnd w:id="160"/>
    </w:p>
    <w:p w14:paraId="48D2D0E2" w14:textId="77777777" w:rsidR="00DC39DE" w:rsidRDefault="00DC39DE" w:rsidP="000E37DC">
      <w:pPr>
        <w:keepNext/>
      </w:pPr>
      <w:r>
        <w:t xml:space="preserve">The Department has taken all practical measures to comply with its obligations under the Act. These include </w:t>
      </w:r>
      <w:r w:rsidRPr="001F3237">
        <w:rPr>
          <w:rStyle w:val="Guidance"/>
        </w:rPr>
        <w:t>[insert or remove whatever is applicable]</w:t>
      </w:r>
      <w:r>
        <w:t>:</w:t>
      </w:r>
    </w:p>
    <w:p w14:paraId="5AA4410C" w14:textId="07D170D5" w:rsidR="00DC39DE" w:rsidRDefault="00DC39DE" w:rsidP="00310F12">
      <w:pPr>
        <w:pStyle w:val="ListBullet"/>
      </w:pPr>
      <w:r>
        <w:t xml:space="preserve">promoting the principles of the Act to people in care relationships who receive our services and to the wider community </w:t>
      </w:r>
      <w:r w:rsidRPr="001F3237">
        <w:rPr>
          <w:rStyle w:val="Guidance"/>
        </w:rPr>
        <w:t>[e.g. distributing printed material about the Act at community events or service points; providing links to state government resource materials on our website; providing digital and/or printed information about the Act to our partner organisations]</w:t>
      </w:r>
    </w:p>
    <w:p w14:paraId="6A60461E" w14:textId="08E247AA" w:rsidR="00DC39DE" w:rsidRDefault="00DC39DE" w:rsidP="00310F12">
      <w:pPr>
        <w:pStyle w:val="ListBullet"/>
      </w:pPr>
      <w:r>
        <w:t xml:space="preserve">ensuring our staff have an awareness and understanding of the care relationship principles set out in the Act </w:t>
      </w:r>
      <w:r w:rsidRPr="001F3237">
        <w:rPr>
          <w:rStyle w:val="Guidance"/>
        </w:rPr>
        <w:t>[e.g. developing and implementing a staff awareness strategy about the principles in the Act and what they mean for staff; induction and training programs offered by the organisation include discussion of the Act and the statement of principles therein]</w:t>
      </w:r>
    </w:p>
    <w:p w14:paraId="0A6EE829" w14:textId="6BE405A5" w:rsidR="00DC39DE" w:rsidRDefault="00DC39DE" w:rsidP="00310F12">
      <w:pPr>
        <w:pStyle w:val="ListBullet"/>
      </w:pPr>
      <w:r>
        <w:t xml:space="preserve">considering the care relationships principles set out in the Act when setting policies and providing services </w:t>
      </w:r>
      <w:r w:rsidRPr="001F3237">
        <w:rPr>
          <w:rStyle w:val="Guidance"/>
        </w:rPr>
        <w:t>[e.g. reviewing our employment policies such as flexible working arrangements and leave provisions to ensure that these comply with the statement of principles in the Act; developing a satisfaction survey for distribution at assessment and review meetings between workers, carers and those receiving care]</w:t>
      </w:r>
    </w:p>
    <w:p w14:paraId="5BCD18A7" w14:textId="4F999A19" w:rsidR="00DC39DE" w:rsidRDefault="00DC39DE" w:rsidP="00310F12">
      <w:pPr>
        <w:pStyle w:val="ListBullet"/>
      </w:pPr>
      <w:r>
        <w:t xml:space="preserve">implementing priority actions in </w:t>
      </w:r>
      <w:r w:rsidRPr="001F3237">
        <w:t>Recognising and supporting Victoria’s carers: Victorian carer strategy 2018-22</w:t>
      </w:r>
      <w:r>
        <w:t>.</w:t>
      </w:r>
    </w:p>
    <w:p w14:paraId="66379B81" w14:textId="77777777" w:rsidR="00DC39DE" w:rsidRDefault="00DC39DE" w:rsidP="001F3237">
      <w:pPr>
        <w:pStyle w:val="Heading2"/>
      </w:pPr>
      <w:bookmarkStart w:id="161" w:name="INDEX_CompliianceDisabilityAct"/>
      <w:bookmarkStart w:id="162" w:name="_Toc199156297"/>
      <w:bookmarkEnd w:id="161"/>
      <w:r>
        <w:t xml:space="preserve">Compliance with the </w:t>
      </w:r>
      <w:r w:rsidRPr="001F3237">
        <w:rPr>
          <w:i/>
          <w:iCs/>
        </w:rPr>
        <w:t>Disability Act 2006</w:t>
      </w:r>
      <w:bookmarkEnd w:id="162"/>
    </w:p>
    <w:p w14:paraId="7E557FB9" w14:textId="6A47DD8F" w:rsidR="00DC39DE" w:rsidRDefault="00DC39DE" w:rsidP="00DC39DE">
      <w:r>
        <w:t xml:space="preserve">The </w:t>
      </w:r>
      <w:r w:rsidRPr="001F3237">
        <w:rPr>
          <w:i/>
          <w:iCs/>
        </w:rPr>
        <w:t xml:space="preserve">Disability Act 2006 </w:t>
      </w:r>
      <w:r>
        <w:t xml:space="preserve">reaffirms and strengthens the rights of people with a disability and recognises that this requires support across the government sector and within the community. </w:t>
      </w:r>
    </w:p>
    <w:p w14:paraId="620BB3A1" w14:textId="448F1CA0" w:rsidR="00042B51" w:rsidRDefault="00042B51" w:rsidP="00DC39DE">
      <w:r>
        <w:t xml:space="preserve">The Department has complied with its obligations under </w:t>
      </w:r>
      <w:r w:rsidRPr="00042B51">
        <w:t>the Disability Act</w:t>
      </w:r>
      <w:r>
        <w:t xml:space="preserve"> </w:t>
      </w:r>
      <w:r w:rsidRPr="00042B51">
        <w:t>to prepare a Disability Action Plan for the purpose of reducing barriers to access goods, services and facilities</w:t>
      </w:r>
      <w:r w:rsidR="00AC132A">
        <w:t>;</w:t>
      </w:r>
      <w:r w:rsidRPr="00042B51">
        <w:t xml:space="preserve"> reducing barriers to </w:t>
      </w:r>
      <w:r w:rsidR="00AC132A">
        <w:t>a</w:t>
      </w:r>
      <w:r w:rsidRPr="00042B51">
        <w:t xml:space="preserve"> person with a disability obtaining and maintaining employment</w:t>
      </w:r>
      <w:r w:rsidR="00AC132A">
        <w:t>;</w:t>
      </w:r>
      <w:r w:rsidRPr="00042B51">
        <w:t xml:space="preserve"> </w:t>
      </w:r>
      <w:r w:rsidR="00AC132A">
        <w:t xml:space="preserve">and </w:t>
      </w:r>
      <w:r w:rsidRPr="00042B51">
        <w:t xml:space="preserve">promoting inclusion and participation in </w:t>
      </w:r>
      <w:r w:rsidR="00AC132A">
        <w:t xml:space="preserve">the </w:t>
      </w:r>
      <w:r w:rsidRPr="00042B51">
        <w:t>community and achieving tangible changes in attitudes and practices that discriminate against people with a disability as outlined below</w:t>
      </w:r>
      <w:r w:rsidR="00AC132A">
        <w:t>.</w:t>
      </w:r>
    </w:p>
    <w:p w14:paraId="137B4E54" w14:textId="77777777" w:rsidR="00DC39DE" w:rsidRDefault="00DC39DE" w:rsidP="001F3237">
      <w:pPr>
        <w:pStyle w:val="Heading3"/>
      </w:pPr>
      <w:r>
        <w:t>Reducing barriers to accessing goods, services and facilities</w:t>
      </w:r>
    </w:p>
    <w:p w14:paraId="7C78A575" w14:textId="77777777" w:rsidR="00DC39DE" w:rsidRPr="001F3237" w:rsidRDefault="00DC39DE" w:rsidP="00DC39DE">
      <w:pPr>
        <w:rPr>
          <w:rStyle w:val="Guidance"/>
        </w:rPr>
      </w:pPr>
      <w:r w:rsidRPr="001F3237">
        <w:rPr>
          <w:rStyle w:val="Guidance"/>
        </w:rPr>
        <w:t>[An example of a relevant initiative could be the implementation of an asset management strategy that builds accessibility into core business and includes detailed audits to assess disability access for customers and staff across all office locations, with clear documentation of the works required to fix identified access issues.]</w:t>
      </w:r>
    </w:p>
    <w:p w14:paraId="3B707B81" w14:textId="77777777" w:rsidR="00DC39DE" w:rsidRDefault="00DC39DE" w:rsidP="001F3237">
      <w:pPr>
        <w:pStyle w:val="Heading3"/>
      </w:pPr>
      <w:r>
        <w:t>Reducing barriers to persons with a disability obtaining and maintaining employment</w:t>
      </w:r>
    </w:p>
    <w:p w14:paraId="653EE365" w14:textId="77777777" w:rsidR="00DC39DE" w:rsidRPr="001F3237" w:rsidRDefault="00DC39DE" w:rsidP="00DC39DE">
      <w:pPr>
        <w:rPr>
          <w:rStyle w:val="Guidance"/>
        </w:rPr>
      </w:pPr>
      <w:r w:rsidRPr="001F3237">
        <w:rPr>
          <w:rStyle w:val="Guidance"/>
        </w:rPr>
        <w:t>[An example of a relevant initiative could be the development of an organisational disability employment strategy, developed in partnership with employees with disability, including actions to ensure an inclusive and disability equitable workplace, increased career pathways, and access to development and advancement opportunities.]</w:t>
      </w:r>
    </w:p>
    <w:p w14:paraId="38A68A3C" w14:textId="77777777" w:rsidR="00DC39DE" w:rsidRDefault="00DC39DE" w:rsidP="001F3237">
      <w:pPr>
        <w:pStyle w:val="Heading3"/>
      </w:pPr>
      <w:r>
        <w:t>Promoting inclusion and participation in the community</w:t>
      </w:r>
    </w:p>
    <w:p w14:paraId="6811F2E4" w14:textId="77777777" w:rsidR="00DC39DE" w:rsidRPr="001F3237" w:rsidRDefault="00DC39DE" w:rsidP="00DC39DE">
      <w:pPr>
        <w:rPr>
          <w:rStyle w:val="Guidance"/>
        </w:rPr>
      </w:pPr>
      <w:r w:rsidRPr="001F3237">
        <w:rPr>
          <w:rStyle w:val="Guidance"/>
        </w:rPr>
        <w:t>[An example of a relevant initiative could be establishing a partnership with a user-led organisation to work on a joint communications campaign to change attitudes and perceptions about people with disability in leadership positions.]</w:t>
      </w:r>
    </w:p>
    <w:p w14:paraId="139FFF87" w14:textId="77777777" w:rsidR="00DC39DE" w:rsidRDefault="00DC39DE" w:rsidP="001F3237">
      <w:pPr>
        <w:pStyle w:val="Heading3"/>
      </w:pPr>
      <w:r>
        <w:t>Achieving tangible changes in attitudes and practices that discriminate against people with a disability</w:t>
      </w:r>
    </w:p>
    <w:p w14:paraId="7C1AAAB1" w14:textId="4FA00B5D" w:rsidR="00DC39DE" w:rsidRDefault="00DC39DE" w:rsidP="00DC39DE">
      <w:pPr>
        <w:rPr>
          <w:rStyle w:val="Guidance"/>
        </w:rPr>
      </w:pPr>
      <w:r w:rsidRPr="001F3237">
        <w:rPr>
          <w:rStyle w:val="Guidance"/>
        </w:rPr>
        <w:t>[An example of a relevant initiative could be having a senior disability champion within the organisation who is active in promoting access and inclusion and removing barriers.]</w:t>
      </w:r>
    </w:p>
    <w:p w14:paraId="6074B992" w14:textId="2B5685F8" w:rsidR="00042B51" w:rsidRDefault="00042B51" w:rsidP="00DC39DE">
      <w:r w:rsidRPr="00B661DB">
        <w:t>As required by the Disability Act, the Department reports annually on the implementation of its Disability Action Plan in its annual report.</w:t>
      </w:r>
    </w:p>
    <w:p w14:paraId="2E011B34" w14:textId="0C36E7A6" w:rsidR="001F3237" w:rsidRDefault="001F3237" w:rsidP="000E37DC">
      <w:pPr>
        <w:pStyle w:val="GuidanceBlockHeading"/>
        <w:pageBreakBefore/>
      </w:pPr>
      <w:r>
        <w:lastRenderedPageBreak/>
        <w:t>Guidance – Additional departmental information available on request</w:t>
      </w:r>
      <w:r w:rsidR="0099418E">
        <w:t xml:space="preserve"> </w:t>
      </w:r>
      <w:r w:rsidR="0099418E" w:rsidRPr="1E15437E">
        <w:t>[UPDATED]</w:t>
      </w:r>
    </w:p>
    <w:p w14:paraId="7B7D6B69" w14:textId="37708F10" w:rsidR="001F3237" w:rsidRPr="008A4638" w:rsidRDefault="001F3237" w:rsidP="001F3237">
      <w:pPr>
        <w:pStyle w:val="GuidanceHeading"/>
        <w:rPr>
          <w:rStyle w:val="Guidance"/>
        </w:rPr>
      </w:pPr>
      <w:r w:rsidRPr="008A4638">
        <w:rPr>
          <w:rStyle w:val="Guidance"/>
        </w:rPr>
        <w:t>Legislative and documented references</w:t>
      </w:r>
    </w:p>
    <w:p w14:paraId="158E8CF7" w14:textId="77777777" w:rsidR="001F3237" w:rsidRPr="008A4638" w:rsidRDefault="001F3237" w:rsidP="001F3237">
      <w:pPr>
        <w:rPr>
          <w:rStyle w:val="Guidance"/>
        </w:rPr>
      </w:pPr>
      <w:r w:rsidRPr="008A4638">
        <w:rPr>
          <w:rStyle w:val="Guidance"/>
        </w:rPr>
        <w:t xml:space="preserve">Section 38 of the </w:t>
      </w:r>
      <w:r w:rsidRPr="008A4638">
        <w:rPr>
          <w:rStyle w:val="Guidance"/>
          <w:i/>
          <w:iCs/>
        </w:rPr>
        <w:t>Disability Act 2006</w:t>
      </w:r>
      <w:r w:rsidRPr="008A4638">
        <w:rPr>
          <w:rStyle w:val="Guidance"/>
        </w:rPr>
        <w:t xml:space="preserve"> requires that public sector bodies (including all government departments) develop and implement a disability action plan under four outcomes and report annually on their progress:</w:t>
      </w:r>
    </w:p>
    <w:p w14:paraId="18C28FE9" w14:textId="4149ED02" w:rsidR="001F3237" w:rsidRPr="008A4638" w:rsidRDefault="001F3237" w:rsidP="00310F12">
      <w:pPr>
        <w:pStyle w:val="ListBullet"/>
        <w:rPr>
          <w:rStyle w:val="Guidance"/>
        </w:rPr>
      </w:pPr>
      <w:r w:rsidRPr="008A4638">
        <w:rPr>
          <w:rStyle w:val="Guidance"/>
        </w:rPr>
        <w:t>reducing barriers to people with a disability accessing goods, services and facilities</w:t>
      </w:r>
    </w:p>
    <w:p w14:paraId="7B17AF9D" w14:textId="4C16391F" w:rsidR="001F3237" w:rsidRPr="008A4638" w:rsidRDefault="001F3237" w:rsidP="00310F12">
      <w:pPr>
        <w:pStyle w:val="ListBullet"/>
        <w:rPr>
          <w:rStyle w:val="Guidance"/>
        </w:rPr>
      </w:pPr>
      <w:r w:rsidRPr="008A4638">
        <w:rPr>
          <w:rStyle w:val="Guidance"/>
        </w:rPr>
        <w:t>reducing barriers to persons with a disability obtaining and maintaining employment</w:t>
      </w:r>
    </w:p>
    <w:p w14:paraId="56B90F4C" w14:textId="0B9A3A79" w:rsidR="001F3237" w:rsidRPr="008A4638" w:rsidRDefault="001F3237" w:rsidP="00310F12">
      <w:pPr>
        <w:pStyle w:val="ListBullet"/>
        <w:rPr>
          <w:rStyle w:val="Guidance"/>
        </w:rPr>
      </w:pPr>
      <w:r w:rsidRPr="008A4638">
        <w:rPr>
          <w:rStyle w:val="Guidance"/>
        </w:rPr>
        <w:t>promoting inclusion and participation in the community of people with a disability</w:t>
      </w:r>
    </w:p>
    <w:p w14:paraId="148CBACB" w14:textId="5916819C" w:rsidR="001F3237" w:rsidRPr="008A4638" w:rsidRDefault="001F3237" w:rsidP="00310F12">
      <w:pPr>
        <w:pStyle w:val="ListBullet"/>
        <w:rPr>
          <w:rStyle w:val="Guidance"/>
        </w:rPr>
      </w:pPr>
      <w:r w:rsidRPr="008A4638">
        <w:rPr>
          <w:rStyle w:val="Guidance"/>
        </w:rPr>
        <w:t>achieving tangible changes in attitudes and practices which discriminate against people with a disability.</w:t>
      </w:r>
    </w:p>
    <w:p w14:paraId="75E6AB99" w14:textId="77777777" w:rsidR="001F3237" w:rsidRPr="008A4638" w:rsidRDefault="001F3237" w:rsidP="008A4638">
      <w:pPr>
        <w:pStyle w:val="GuidanceHeading"/>
        <w:rPr>
          <w:rStyle w:val="Guidance"/>
        </w:rPr>
      </w:pPr>
      <w:r w:rsidRPr="008A4638">
        <w:rPr>
          <w:rStyle w:val="Guidance"/>
        </w:rPr>
        <w:t>Guidance</w:t>
      </w:r>
    </w:p>
    <w:p w14:paraId="2D521314" w14:textId="3271ABFE" w:rsidR="001F3237" w:rsidRPr="008A4638" w:rsidRDefault="001F3237" w:rsidP="001F3237">
      <w:pPr>
        <w:rPr>
          <w:rStyle w:val="Guidance"/>
        </w:rPr>
      </w:pPr>
      <w:r w:rsidRPr="008A4638">
        <w:rPr>
          <w:rStyle w:val="Guidance"/>
        </w:rPr>
        <w:t xml:space="preserve">Public sector bodies are required to provide an update on their disability action plan in their annual report. This could take the form of a summary of achievements to demonstrate progress against the actions in their plan. A summary of achievements should profile practical examples of relevant initiatives and related outcomes for people with disability and other stakeholders. Examples provided should demonstrate delivery against the four outcomes areas of the </w:t>
      </w:r>
      <w:r w:rsidRPr="008A4638">
        <w:rPr>
          <w:rStyle w:val="Guidance"/>
          <w:i/>
          <w:iCs/>
        </w:rPr>
        <w:t>Disability Act</w:t>
      </w:r>
      <w:r w:rsidR="000E37DC">
        <w:rPr>
          <w:rStyle w:val="Guidance"/>
          <w:i/>
          <w:iCs/>
        </w:rPr>
        <w:t> </w:t>
      </w:r>
      <w:r w:rsidRPr="008A4638">
        <w:rPr>
          <w:rStyle w:val="Guidance"/>
          <w:i/>
          <w:iCs/>
        </w:rPr>
        <w:t>2006</w:t>
      </w:r>
      <w:r w:rsidRPr="008A4638">
        <w:rPr>
          <w:rStyle w:val="Guidance"/>
        </w:rPr>
        <w:t xml:space="preserve">. </w:t>
      </w:r>
    </w:p>
    <w:p w14:paraId="40B2C1E7" w14:textId="77777777" w:rsidR="001F3237" w:rsidRPr="008A4638" w:rsidRDefault="001F3237" w:rsidP="001F3237">
      <w:pPr>
        <w:rPr>
          <w:rStyle w:val="Guidance"/>
        </w:rPr>
      </w:pPr>
      <w:r w:rsidRPr="008A4638">
        <w:rPr>
          <w:rStyle w:val="Guidance"/>
        </w:rPr>
        <w:t>Disability action plans are an important tool to reduce barriers, promote inclusion and change attitudes and practices. Disability action plans are a mechanism to take a planned approach to addressing discrimination and to set a broader agenda of inclusion and participation for people with disability in the community. Disability action plans build the capacity of organisations to be accessible and responsive to people with disability.</w:t>
      </w:r>
    </w:p>
    <w:p w14:paraId="24C59A61" w14:textId="77777777" w:rsidR="001F3237" w:rsidRPr="008A4638" w:rsidRDefault="001F3237" w:rsidP="001F3237">
      <w:pPr>
        <w:rPr>
          <w:rStyle w:val="Guidance"/>
        </w:rPr>
      </w:pPr>
      <w:r w:rsidRPr="008A4638">
        <w:rPr>
          <w:rStyle w:val="Guidance"/>
        </w:rPr>
        <w:t>Public sector bodies have continuing responsibility to prepare and implement disability action plans to ensure their organisations are accessible and responsive to the 1.1 million people with disability in Victoria.</w:t>
      </w:r>
    </w:p>
    <w:p w14:paraId="3EDBE7C1" w14:textId="48DA49B9" w:rsidR="001F3237" w:rsidRPr="008A4638" w:rsidRDefault="004120E5" w:rsidP="001F3237">
      <w:pPr>
        <w:rPr>
          <w:rStyle w:val="Guidance"/>
        </w:rPr>
      </w:pPr>
      <w:r>
        <w:rPr>
          <w:rStyle w:val="Guidance"/>
          <w:i/>
          <w:iCs/>
        </w:rPr>
        <w:t xml:space="preserve">Inclusive Victoria: </w:t>
      </w:r>
      <w:r w:rsidR="344A24B2" w:rsidRPr="2A8F773C">
        <w:rPr>
          <w:rStyle w:val="Guidance"/>
          <w:i/>
          <w:iCs/>
        </w:rPr>
        <w:t>s</w:t>
      </w:r>
      <w:r w:rsidR="7C922F45" w:rsidRPr="2A8F773C">
        <w:rPr>
          <w:rStyle w:val="Guidance"/>
          <w:i/>
          <w:iCs/>
        </w:rPr>
        <w:t>tate</w:t>
      </w:r>
      <w:r>
        <w:rPr>
          <w:rStyle w:val="Guidance"/>
          <w:i/>
          <w:iCs/>
        </w:rPr>
        <w:t xml:space="preserve"> disability plan 2022-2026</w:t>
      </w:r>
      <w:r w:rsidR="001F3237" w:rsidRPr="008A4638">
        <w:rPr>
          <w:rStyle w:val="Guidance"/>
        </w:rPr>
        <w:t xml:space="preserve"> provides a commitment to reinvigorate disability action plans across the public sector including in all Victorian government departments. </w:t>
      </w:r>
      <w:r w:rsidR="001F3237" w:rsidRPr="1C5DAB0C">
        <w:rPr>
          <w:rStyle w:val="Guidance"/>
        </w:rPr>
        <w:t xml:space="preserve">For </w:t>
      </w:r>
      <w:r w:rsidR="3CD284A3" w:rsidRPr="1C5DAB0C">
        <w:rPr>
          <w:rStyle w:val="Guidance"/>
        </w:rPr>
        <w:t xml:space="preserve">guidance on preparing a </w:t>
      </w:r>
      <w:r w:rsidR="5F467E77" w:rsidRPr="1C5DAB0C">
        <w:rPr>
          <w:rStyle w:val="Guidance"/>
        </w:rPr>
        <w:t>d</w:t>
      </w:r>
      <w:r w:rsidR="001F3237" w:rsidRPr="008A4638">
        <w:rPr>
          <w:rStyle w:val="Guidance"/>
        </w:rPr>
        <w:t xml:space="preserve">isability action plan </w:t>
      </w:r>
      <w:r w:rsidR="03107E21" w:rsidRPr="1C5DAB0C">
        <w:rPr>
          <w:rStyle w:val="Guidance"/>
        </w:rPr>
        <w:t xml:space="preserve">and annual reporting requirements, </w:t>
      </w:r>
      <w:r w:rsidR="001F3237" w:rsidRPr="008A4638">
        <w:rPr>
          <w:rStyle w:val="Guidance"/>
        </w:rPr>
        <w:t>please contact the Office for Disability</w:t>
      </w:r>
      <w:r w:rsidR="31DFA791" w:rsidRPr="1C5DAB0C">
        <w:rPr>
          <w:rStyle w:val="Guidance"/>
        </w:rPr>
        <w:t xml:space="preserve"> by email: </w:t>
      </w:r>
      <w:hyperlink r:id="rId74" w:history="1">
        <w:r w:rsidR="31DFA791" w:rsidRPr="1C5DAB0C">
          <w:rPr>
            <w:rStyle w:val="Hyperlink"/>
          </w:rPr>
          <w:t>ofd@dffh.vic.gov.au</w:t>
        </w:r>
      </w:hyperlink>
      <w:r w:rsidR="005568E0" w:rsidRPr="1C5DAB0C">
        <w:rPr>
          <w:rStyle w:val="Guidance"/>
        </w:rPr>
        <w:t>.</w:t>
      </w:r>
    </w:p>
    <w:p w14:paraId="1556BE98" w14:textId="26082C12" w:rsidR="001F3237" w:rsidRPr="008A4638" w:rsidRDefault="001F3237" w:rsidP="001F3237">
      <w:pPr>
        <w:rPr>
          <w:rStyle w:val="Guidance"/>
        </w:rPr>
      </w:pPr>
      <w:r w:rsidRPr="008A4638">
        <w:rPr>
          <w:rStyle w:val="Guidance"/>
        </w:rPr>
        <w:t xml:space="preserve">Further information on </w:t>
      </w:r>
      <w:r w:rsidR="00B15989">
        <w:rPr>
          <w:rStyle w:val="Guidance"/>
          <w:i/>
          <w:iCs/>
        </w:rPr>
        <w:t xml:space="preserve">Inclusive Victoria: </w:t>
      </w:r>
      <w:r w:rsidR="59280E44" w:rsidRPr="2A8F773C">
        <w:rPr>
          <w:rStyle w:val="Guidance"/>
          <w:i/>
          <w:iCs/>
        </w:rPr>
        <w:t>s</w:t>
      </w:r>
      <w:r w:rsidR="63D6FE7A" w:rsidRPr="2A8F773C">
        <w:rPr>
          <w:rStyle w:val="Guidance"/>
          <w:i/>
          <w:iCs/>
        </w:rPr>
        <w:t>tate</w:t>
      </w:r>
      <w:r w:rsidR="00B15989">
        <w:rPr>
          <w:rStyle w:val="Guidance"/>
          <w:i/>
          <w:iCs/>
        </w:rPr>
        <w:t xml:space="preserve"> disability plan 2022-2026</w:t>
      </w:r>
      <w:r w:rsidRPr="008A4638">
        <w:rPr>
          <w:rStyle w:val="Guidance"/>
        </w:rPr>
        <w:t xml:space="preserve"> is available </w:t>
      </w:r>
      <w:r w:rsidR="002C7DE2">
        <w:rPr>
          <w:rStyle w:val="Guidance"/>
        </w:rPr>
        <w:t xml:space="preserve">on the </w:t>
      </w:r>
      <w:hyperlink r:id="rId75" w:history="1">
        <w:r w:rsidR="002C7DE2" w:rsidRPr="00243F15">
          <w:rPr>
            <w:rStyle w:val="Hyperlink"/>
          </w:rPr>
          <w:t>Victorian Government website</w:t>
        </w:r>
      </w:hyperlink>
      <w:r w:rsidR="002C7DE2">
        <w:rPr>
          <w:rStyle w:val="Guidance"/>
        </w:rPr>
        <w:t>.</w:t>
      </w:r>
      <w:hyperlink w:history="1"/>
    </w:p>
    <w:p w14:paraId="15480FB8" w14:textId="77777777" w:rsidR="00FF4F58" w:rsidRDefault="00FF4F58" w:rsidP="00FF4F58">
      <w:pPr>
        <w:pStyle w:val="GuidanceEnd"/>
      </w:pPr>
    </w:p>
    <w:p w14:paraId="3A983DE9" w14:textId="3AD793C9" w:rsidR="001F3237" w:rsidRDefault="008A4638" w:rsidP="008A4638">
      <w:pPr>
        <w:pStyle w:val="Heading2"/>
      </w:pPr>
      <w:bookmarkStart w:id="163" w:name="_Toc199156298"/>
      <w:r>
        <w:t>C</w:t>
      </w:r>
      <w:r w:rsidR="001F3237">
        <w:t>ompliance with other legislation</w:t>
      </w:r>
      <w:r>
        <w:t xml:space="preserve"> </w:t>
      </w:r>
      <w:r w:rsidRPr="008A4638">
        <w:rPr>
          <w:rStyle w:val="Reference"/>
        </w:rPr>
        <w:t>[FRD 22]</w:t>
      </w:r>
      <w:bookmarkEnd w:id="163"/>
    </w:p>
    <w:p w14:paraId="7F08CA1A" w14:textId="762680E8" w:rsidR="00DC39DE" w:rsidRDefault="00DC39DE" w:rsidP="00FF4F58">
      <w:pPr>
        <w:pStyle w:val="Heading3"/>
      </w:pPr>
      <w:r>
        <w:t xml:space="preserve">Compliance with </w:t>
      </w:r>
      <w:r w:rsidRPr="008A4638">
        <w:rPr>
          <w:i/>
          <w:iCs/>
        </w:rPr>
        <w:t>Technology Act 1991</w:t>
      </w:r>
      <w:r>
        <w:t xml:space="preserve"> </w:t>
      </w:r>
      <w:r w:rsidRPr="008A4638">
        <w:rPr>
          <w:rStyle w:val="Guidance"/>
        </w:rPr>
        <w:t>[</w:t>
      </w:r>
      <w:r w:rsidR="00712142" w:rsidRPr="008A4638">
        <w:rPr>
          <w:rStyle w:val="Guidance"/>
        </w:rPr>
        <w:t xml:space="preserve">Fictitious </w:t>
      </w:r>
      <w:r w:rsidRPr="008A4638">
        <w:rPr>
          <w:rStyle w:val="Guidance"/>
        </w:rPr>
        <w:t>act]</w:t>
      </w:r>
    </w:p>
    <w:p w14:paraId="0F3E30DF" w14:textId="4F65485B" w:rsidR="00DC39DE" w:rsidRDefault="00DC39DE" w:rsidP="00DC39DE">
      <w:r>
        <w:t xml:space="preserve">Under section 4(a) of the </w:t>
      </w:r>
      <w:r w:rsidRPr="008A4638">
        <w:rPr>
          <w:i/>
          <w:iCs/>
        </w:rPr>
        <w:t>Technology Act 1991</w:t>
      </w:r>
      <w:r>
        <w:t xml:space="preserve">, the Minister of Technology is required to ensure a continuous assessment of technology research programs in relation to the use of animal tissues. As per section 16(c) of the Act, the following disclosures were made in respect of research activities undertaken in </w:t>
      </w:r>
      <w:fldSimple w:instr="DOCPROPERTY  FinYearCurrent  \* MERGEFORMAT">
        <w:r w:rsidR="000E6299">
          <w:t>20X1</w:t>
        </w:r>
        <w:r w:rsidR="000E6299" w:rsidRPr="000E6299">
          <w:rPr>
            <w:rFonts w:ascii="Cambria Math" w:hAnsi="Cambria Math" w:cs="Cambria Math"/>
          </w:rPr>
          <w:t>‑</w:t>
        </w:r>
        <w:r w:rsidR="000E6299">
          <w:t>X2</w:t>
        </w:r>
      </w:fldSimple>
      <w:r>
        <w:t>:</w:t>
      </w:r>
    </w:p>
    <w:p w14:paraId="5FE5A45D" w14:textId="4925CFFE" w:rsidR="00DC39DE" w:rsidRDefault="00DC39DE" w:rsidP="00310F12">
      <w:pPr>
        <w:pStyle w:val="ListBullet"/>
      </w:pPr>
      <w:r>
        <w:t>the technology research register indicates that 42 research programs during the financial year involve the use of animal tissues</w:t>
      </w:r>
    </w:p>
    <w:p w14:paraId="07DF7D53" w14:textId="4AA93158" w:rsidR="00DC39DE" w:rsidRDefault="00DC39DE" w:rsidP="00310F12">
      <w:pPr>
        <w:pStyle w:val="ListBullet"/>
      </w:pPr>
      <w:r>
        <w:t>three out of the 42 research programs were completed during the year</w:t>
      </w:r>
    </w:p>
    <w:p w14:paraId="23D77E18" w14:textId="2DED7611" w:rsidR="00DC39DE" w:rsidRDefault="00DC39DE" w:rsidP="00310F12">
      <w:pPr>
        <w:pStyle w:val="ListBullet"/>
      </w:pPr>
      <w:r>
        <w:t xml:space="preserve">no new research programs involving the use of animal tissues commenced. </w:t>
      </w:r>
    </w:p>
    <w:p w14:paraId="51550A89" w14:textId="07E0229D" w:rsidR="008A4638" w:rsidRDefault="008A4638" w:rsidP="008A4638">
      <w:pPr>
        <w:pStyle w:val="GuidanceBlockHeading"/>
      </w:pPr>
      <w:r>
        <w:t>Guidance – Compliance with other legislation</w:t>
      </w:r>
    </w:p>
    <w:p w14:paraId="4681FCCA" w14:textId="76730399" w:rsidR="008A4638" w:rsidRDefault="008A4638" w:rsidP="008A4638">
      <w:pPr>
        <w:pStyle w:val="GuidanceHeading"/>
      </w:pPr>
      <w:r>
        <w:t>Legislative and documented references</w:t>
      </w:r>
    </w:p>
    <w:p w14:paraId="03CBB51E" w14:textId="77777777" w:rsidR="008A4638" w:rsidRPr="008A4638" w:rsidRDefault="008A4638" w:rsidP="008A4638">
      <w:pPr>
        <w:rPr>
          <w:rStyle w:val="Guidance"/>
        </w:rPr>
      </w:pPr>
      <w:r w:rsidRPr="008A4638">
        <w:rPr>
          <w:rStyle w:val="Guidance"/>
        </w:rPr>
        <w:t xml:space="preserve">There may be other legislative disclosures that entities are required to disclose that are not covered by the Model. </w:t>
      </w:r>
    </w:p>
    <w:p w14:paraId="38EFEA4F" w14:textId="77777777" w:rsidR="008A4638" w:rsidRDefault="008A4638" w:rsidP="008A4638">
      <w:pPr>
        <w:pStyle w:val="GuidanceHeading"/>
      </w:pPr>
      <w:r>
        <w:t>Guidance</w:t>
      </w:r>
    </w:p>
    <w:p w14:paraId="66FCAB31" w14:textId="77777777" w:rsidR="008A4638" w:rsidRPr="008A4638" w:rsidRDefault="008A4638" w:rsidP="008A4638">
      <w:pPr>
        <w:rPr>
          <w:rStyle w:val="Guidance"/>
        </w:rPr>
      </w:pPr>
      <w:r w:rsidRPr="008A4638">
        <w:rPr>
          <w:rStyle w:val="Guidance"/>
        </w:rPr>
        <w:t xml:space="preserve">Entities may wish to include some background information in this section, outlining the basis upon which the legislation was implemented. </w:t>
      </w:r>
    </w:p>
    <w:p w14:paraId="0640767C" w14:textId="77777777" w:rsidR="008A4638" w:rsidRPr="008A4638" w:rsidRDefault="008A4638" w:rsidP="008A4638">
      <w:pPr>
        <w:rPr>
          <w:rStyle w:val="Guidance"/>
        </w:rPr>
      </w:pPr>
      <w:r w:rsidRPr="008A4638">
        <w:rPr>
          <w:rStyle w:val="Guidance"/>
        </w:rPr>
        <w:t>This section should include details of compliance with the relevant Act and any reporting required as outlined in that Act.</w:t>
      </w:r>
    </w:p>
    <w:p w14:paraId="77AA047F" w14:textId="37246AC7" w:rsidR="00ED585E" w:rsidRPr="007C4690" w:rsidRDefault="00ED585E" w:rsidP="00FF61C4">
      <w:pPr>
        <w:pStyle w:val="Heading2"/>
      </w:pPr>
      <w:bookmarkStart w:id="164" w:name="INDEX_EmergencyProcurement"/>
      <w:bookmarkStart w:id="165" w:name="_Toc199156299"/>
      <w:r w:rsidRPr="007C4690">
        <w:lastRenderedPageBreak/>
        <w:t>Disclosure of Emergency Procurement</w:t>
      </w:r>
      <w:bookmarkEnd w:id="164"/>
      <w:r w:rsidR="007C4690">
        <w:t xml:space="preserve"> </w:t>
      </w:r>
      <w:r w:rsidR="007C4690" w:rsidRPr="008A4638">
        <w:rPr>
          <w:rStyle w:val="Reference"/>
        </w:rPr>
        <w:t>[FRD 22]</w:t>
      </w:r>
      <w:bookmarkEnd w:id="165"/>
    </w:p>
    <w:p w14:paraId="507B7BAA" w14:textId="0CEB3771" w:rsidR="00ED585E" w:rsidRPr="00CF2CBD" w:rsidRDefault="00ED585E" w:rsidP="00ED585E">
      <w:pPr>
        <w:rPr>
          <w:color w:val="C00000"/>
        </w:rPr>
      </w:pPr>
      <w:r>
        <w:t>In 20X1- 20X2 the Department activated Emergency Procurement on one occasion in accordance with the requirements of government policy and accompanying guidelines. Three new contracts, each valued at or more than $100</w:t>
      </w:r>
      <w:r w:rsidR="007E79BF">
        <w:t xml:space="preserve"> </w:t>
      </w:r>
      <w:r>
        <w:t>000 (GST</w:t>
      </w:r>
      <w:r w:rsidR="00CC1C25">
        <w:t> </w:t>
      </w:r>
      <w:r w:rsidRPr="000426CB">
        <w:t>inclusive</w:t>
      </w:r>
      <w:r>
        <w:t xml:space="preserve">), were awarded in connection with the emergency. Details of the Department’s emergency procurements are shown below. </w:t>
      </w:r>
      <w:r w:rsidRPr="00CF2CBD">
        <w:rPr>
          <w:color w:val="C00000"/>
        </w:rPr>
        <w:t>[FRD 22]</w:t>
      </w:r>
    </w:p>
    <w:tbl>
      <w:tblPr>
        <w:tblStyle w:val="DTFTextTable"/>
        <w:tblW w:w="9792" w:type="dxa"/>
        <w:tblLook w:val="0620" w:firstRow="1" w:lastRow="0" w:firstColumn="0" w:lastColumn="0" w:noHBand="1" w:noVBand="1"/>
      </w:tblPr>
      <w:tblGrid>
        <w:gridCol w:w="1528"/>
        <w:gridCol w:w="1527"/>
        <w:gridCol w:w="3466"/>
        <w:gridCol w:w="1701"/>
        <w:gridCol w:w="1570"/>
      </w:tblGrid>
      <w:tr w:rsidR="007951E1" w:rsidRPr="005A1ACA" w14:paraId="5C91B51F" w14:textId="77777777" w:rsidTr="00CC1C25">
        <w:trPr>
          <w:cnfStyle w:val="100000000000" w:firstRow="1" w:lastRow="0" w:firstColumn="0" w:lastColumn="0" w:oddVBand="0" w:evenVBand="0" w:oddHBand="0" w:evenHBand="0" w:firstRowFirstColumn="0" w:firstRowLastColumn="0" w:lastRowFirstColumn="0" w:lastRowLastColumn="0"/>
        </w:trPr>
        <w:tc>
          <w:tcPr>
            <w:tcW w:w="1528" w:type="dxa"/>
          </w:tcPr>
          <w:p w14:paraId="2C440898" w14:textId="4155F716" w:rsidR="00ED585E" w:rsidRPr="00B05C62" w:rsidRDefault="00ED585E">
            <w:pPr>
              <w:rPr>
                <w:sz w:val="17"/>
              </w:rPr>
            </w:pPr>
            <w:r w:rsidRPr="00B05C62">
              <w:rPr>
                <w:sz w:val="17"/>
              </w:rPr>
              <w:t xml:space="preserve">Nature of </w:t>
            </w:r>
            <w:r w:rsidR="005A1ACA" w:rsidRPr="00B05C62">
              <w:rPr>
                <w:sz w:val="17"/>
              </w:rPr>
              <w:t>emergency</w:t>
            </w:r>
          </w:p>
        </w:tc>
        <w:tc>
          <w:tcPr>
            <w:tcW w:w="1527" w:type="dxa"/>
          </w:tcPr>
          <w:p w14:paraId="490A6EE8" w14:textId="77777777" w:rsidR="00ED585E" w:rsidRPr="00B05C62" w:rsidRDefault="00ED585E">
            <w:pPr>
              <w:rPr>
                <w:sz w:val="17"/>
              </w:rPr>
            </w:pPr>
            <w:r w:rsidRPr="00B05C62">
              <w:rPr>
                <w:sz w:val="17"/>
              </w:rPr>
              <w:t>Date of activation</w:t>
            </w:r>
          </w:p>
        </w:tc>
        <w:tc>
          <w:tcPr>
            <w:tcW w:w="3466" w:type="dxa"/>
          </w:tcPr>
          <w:p w14:paraId="304DA342" w14:textId="77777777" w:rsidR="00ED585E" w:rsidRPr="00B05C62" w:rsidRDefault="00ED585E">
            <w:pPr>
              <w:rPr>
                <w:sz w:val="17"/>
              </w:rPr>
            </w:pPr>
            <w:r w:rsidRPr="00B05C62">
              <w:rPr>
                <w:sz w:val="17"/>
              </w:rPr>
              <w:t>Summary of goods and services procured under new contracts</w:t>
            </w:r>
          </w:p>
        </w:tc>
        <w:tc>
          <w:tcPr>
            <w:tcW w:w="1701" w:type="dxa"/>
          </w:tcPr>
          <w:p w14:paraId="2D7CE0D0" w14:textId="77777777" w:rsidR="00ED585E" w:rsidRPr="00B05C62" w:rsidRDefault="00ED585E">
            <w:pPr>
              <w:rPr>
                <w:sz w:val="17"/>
              </w:rPr>
            </w:pPr>
            <w:r w:rsidRPr="00B05C62">
              <w:rPr>
                <w:sz w:val="17"/>
              </w:rPr>
              <w:t>Total spend on goods and services in response to the emergency</w:t>
            </w:r>
          </w:p>
        </w:tc>
        <w:tc>
          <w:tcPr>
            <w:tcW w:w="1570" w:type="dxa"/>
          </w:tcPr>
          <w:p w14:paraId="2AC94A21" w14:textId="547139FF" w:rsidR="00ED585E" w:rsidRPr="00B05C62" w:rsidRDefault="00ED585E">
            <w:pPr>
              <w:rPr>
                <w:sz w:val="17"/>
              </w:rPr>
            </w:pPr>
            <w:r w:rsidRPr="00B05C62">
              <w:rPr>
                <w:sz w:val="17"/>
              </w:rPr>
              <w:t>Number of new contracts awarded valued at $100</w:t>
            </w:r>
            <w:r w:rsidR="00712142" w:rsidRPr="00B05C62">
              <w:rPr>
                <w:sz w:val="17"/>
              </w:rPr>
              <w:t> </w:t>
            </w:r>
            <w:r w:rsidRPr="00B05C62">
              <w:rPr>
                <w:sz w:val="17"/>
              </w:rPr>
              <w:t>000 (incl. GST) or more.</w:t>
            </w:r>
          </w:p>
        </w:tc>
      </w:tr>
      <w:tr w:rsidR="000022F7" w:rsidRPr="005A1ACA" w14:paraId="22D6F273" w14:textId="77777777" w:rsidTr="00CC1C25">
        <w:trPr>
          <w:trHeight w:val="95"/>
        </w:trPr>
        <w:tc>
          <w:tcPr>
            <w:tcW w:w="1528" w:type="dxa"/>
          </w:tcPr>
          <w:p w14:paraId="7C8CA58A" w14:textId="072369DF" w:rsidR="00ED585E" w:rsidRPr="00B05C62" w:rsidRDefault="004D5D14" w:rsidP="00712142">
            <w:pPr>
              <w:rPr>
                <w:sz w:val="17"/>
              </w:rPr>
            </w:pPr>
            <w:r w:rsidRPr="00B05C62">
              <w:rPr>
                <w:sz w:val="17"/>
              </w:rPr>
              <w:t>COVID</w:t>
            </w:r>
            <w:r w:rsidR="007B4075" w:rsidRPr="00B05C62">
              <w:rPr>
                <w:sz w:val="17"/>
              </w:rPr>
              <w:t xml:space="preserve">-19 </w:t>
            </w:r>
            <w:r w:rsidR="008B55FD" w:rsidRPr="00B05C62">
              <w:rPr>
                <w:sz w:val="17"/>
              </w:rPr>
              <w:t>p</w:t>
            </w:r>
            <w:r w:rsidR="00ED585E" w:rsidRPr="00B05C62">
              <w:rPr>
                <w:sz w:val="17"/>
              </w:rPr>
              <w:t xml:space="preserve">andemic </w:t>
            </w:r>
          </w:p>
        </w:tc>
        <w:tc>
          <w:tcPr>
            <w:tcW w:w="1527" w:type="dxa"/>
          </w:tcPr>
          <w:p w14:paraId="3AB7A4CE" w14:textId="57C46BF3" w:rsidR="00ED585E" w:rsidRPr="00B05C62" w:rsidRDefault="00ED585E" w:rsidP="00712142">
            <w:pPr>
              <w:rPr>
                <w:sz w:val="17"/>
              </w:rPr>
            </w:pPr>
            <w:r w:rsidRPr="00B05C62">
              <w:rPr>
                <w:sz w:val="17"/>
              </w:rPr>
              <w:t>1 July 2021</w:t>
            </w:r>
          </w:p>
        </w:tc>
        <w:tc>
          <w:tcPr>
            <w:tcW w:w="3466" w:type="dxa"/>
          </w:tcPr>
          <w:p w14:paraId="323A4E79" w14:textId="5D097740" w:rsidR="00ED585E" w:rsidRPr="00B05C62" w:rsidRDefault="00ED585E" w:rsidP="00712142">
            <w:pPr>
              <w:pStyle w:val="ListBullet"/>
              <w:rPr>
                <w:sz w:val="17"/>
              </w:rPr>
            </w:pPr>
            <w:r w:rsidRPr="00B05C62">
              <w:rPr>
                <w:sz w:val="17"/>
              </w:rPr>
              <w:t>Call centre services for pandemic support</w:t>
            </w:r>
            <w:r w:rsidR="00D12538" w:rsidRPr="00B05C62">
              <w:rPr>
                <w:sz w:val="17"/>
              </w:rPr>
              <w:t>/</w:t>
            </w:r>
            <w:r w:rsidRPr="00B05C62">
              <w:rPr>
                <w:sz w:val="17"/>
              </w:rPr>
              <w:t>information line</w:t>
            </w:r>
          </w:p>
          <w:p w14:paraId="01E1576B" w14:textId="77777777" w:rsidR="00ED585E" w:rsidRPr="00B05C62" w:rsidRDefault="00ED585E" w:rsidP="00712142">
            <w:pPr>
              <w:pStyle w:val="ListBullet"/>
              <w:rPr>
                <w:sz w:val="17"/>
              </w:rPr>
            </w:pPr>
            <w:r w:rsidRPr="00B05C62">
              <w:rPr>
                <w:sz w:val="17"/>
              </w:rPr>
              <w:t>Laptop supplies to set up working from home for employees</w:t>
            </w:r>
          </w:p>
          <w:p w14:paraId="3CE36715" w14:textId="77777777" w:rsidR="00ED585E" w:rsidRPr="00B05C62" w:rsidRDefault="00ED585E" w:rsidP="00712142">
            <w:pPr>
              <w:pStyle w:val="ListBullet"/>
              <w:rPr>
                <w:sz w:val="17"/>
              </w:rPr>
            </w:pPr>
            <w:r w:rsidRPr="00B05C62">
              <w:rPr>
                <w:sz w:val="17"/>
              </w:rPr>
              <w:t xml:space="preserve">Increased remote server security for online document storage (content manager)  </w:t>
            </w:r>
          </w:p>
        </w:tc>
        <w:tc>
          <w:tcPr>
            <w:tcW w:w="1701" w:type="dxa"/>
          </w:tcPr>
          <w:p w14:paraId="5C6B12C8" w14:textId="21FA19EE" w:rsidR="00ED585E" w:rsidRPr="00B05C62" w:rsidRDefault="00ED585E" w:rsidP="00712142">
            <w:pPr>
              <w:rPr>
                <w:sz w:val="17"/>
              </w:rPr>
            </w:pPr>
            <w:r w:rsidRPr="00B05C62">
              <w:rPr>
                <w:sz w:val="17"/>
              </w:rPr>
              <w:t>$750</w:t>
            </w:r>
            <w:r w:rsidR="008D5A12" w:rsidRPr="00B05C62">
              <w:rPr>
                <w:sz w:val="17"/>
              </w:rPr>
              <w:t xml:space="preserve"> </w:t>
            </w:r>
            <w:r w:rsidRPr="00B05C62">
              <w:rPr>
                <w:sz w:val="17"/>
              </w:rPr>
              <w:t>000</w:t>
            </w:r>
            <w:r w:rsidR="00712142" w:rsidRPr="00B05C62">
              <w:rPr>
                <w:sz w:val="17"/>
              </w:rPr>
              <w:t xml:space="preserve"> </w:t>
            </w:r>
            <w:r w:rsidR="00712142" w:rsidRPr="00B05C62">
              <w:rPr>
                <w:sz w:val="17"/>
                <w:vertAlign w:val="superscript"/>
              </w:rPr>
              <w:t>(a)</w:t>
            </w:r>
            <w:r w:rsidRPr="00B05C62">
              <w:rPr>
                <w:sz w:val="17"/>
              </w:rPr>
              <w:t xml:space="preserve"> </w:t>
            </w:r>
          </w:p>
        </w:tc>
        <w:tc>
          <w:tcPr>
            <w:tcW w:w="1570" w:type="dxa"/>
          </w:tcPr>
          <w:p w14:paraId="12BC6723" w14:textId="29AE46A1" w:rsidR="00ED585E" w:rsidRPr="00B05C62" w:rsidRDefault="00ED585E" w:rsidP="00712142">
            <w:pPr>
              <w:rPr>
                <w:sz w:val="17"/>
              </w:rPr>
            </w:pPr>
            <w:r w:rsidRPr="00B05C62">
              <w:rPr>
                <w:sz w:val="17"/>
              </w:rPr>
              <w:t>3</w:t>
            </w:r>
          </w:p>
        </w:tc>
      </w:tr>
    </w:tbl>
    <w:p w14:paraId="54AE9B62" w14:textId="178D399F" w:rsidR="00712142" w:rsidRDefault="0058409A" w:rsidP="00712142">
      <w:pPr>
        <w:pStyle w:val="Note"/>
      </w:pPr>
      <w:r>
        <w:t>Note:</w:t>
      </w:r>
    </w:p>
    <w:p w14:paraId="44D2AC10" w14:textId="5A00ADCE" w:rsidR="00ED585E" w:rsidRDefault="00712142" w:rsidP="00712142">
      <w:pPr>
        <w:pStyle w:val="Note"/>
      </w:pPr>
      <w:r>
        <w:t>(a)</w:t>
      </w:r>
      <w:r>
        <w:tab/>
        <w:t>T</w:t>
      </w:r>
      <w:r w:rsidR="0058409A" w:rsidRPr="0058409A">
        <w:t>his is the total of all expenditure, including contracts under and over $100</w:t>
      </w:r>
      <w:r w:rsidR="00AE3D46">
        <w:t xml:space="preserve"> </w:t>
      </w:r>
      <w:r w:rsidR="0058409A" w:rsidRPr="0058409A">
        <w:t>000</w:t>
      </w:r>
      <w:r w:rsidR="0058409A">
        <w:t>.</w:t>
      </w:r>
    </w:p>
    <w:p w14:paraId="611FBEDF" w14:textId="35E2E5B0" w:rsidR="00ED585E" w:rsidRPr="00DA3B47" w:rsidRDefault="00ED585E" w:rsidP="00D0288F">
      <w:pPr>
        <w:pStyle w:val="GuidanceBlockHeading"/>
      </w:pPr>
      <w:r w:rsidRPr="00D0288F">
        <w:t xml:space="preserve">Guidance – </w:t>
      </w:r>
      <w:r w:rsidR="00A63194" w:rsidRPr="007C4690">
        <w:t>Disclosure of Emergency Procurement</w:t>
      </w:r>
    </w:p>
    <w:p w14:paraId="19EA61C8" w14:textId="77777777" w:rsidR="00ED585E" w:rsidRPr="001D0803" w:rsidRDefault="00ED585E" w:rsidP="00ED585E">
      <w:pPr>
        <w:rPr>
          <w:b/>
          <w:bCs/>
          <w:color w:val="4472C4" w:themeColor="accent1"/>
          <w:sz w:val="24"/>
          <w:szCs w:val="24"/>
        </w:rPr>
      </w:pPr>
      <w:r w:rsidRPr="001D0803">
        <w:rPr>
          <w:b/>
          <w:bCs/>
          <w:color w:val="4472C4" w:themeColor="accent1"/>
          <w:sz w:val="24"/>
          <w:szCs w:val="24"/>
        </w:rPr>
        <w:t xml:space="preserve">Legislative and documented references </w:t>
      </w:r>
    </w:p>
    <w:p w14:paraId="4FB5F74B" w14:textId="52D6481B" w:rsidR="00ED585E" w:rsidRPr="00AB5741" w:rsidRDefault="00ED585E" w:rsidP="00AB5741">
      <w:pPr>
        <w:rPr>
          <w:rStyle w:val="Guidance"/>
        </w:rPr>
      </w:pPr>
      <w:r w:rsidRPr="00AB5741">
        <w:rPr>
          <w:rStyle w:val="Guidance"/>
        </w:rPr>
        <w:t>FRD</w:t>
      </w:r>
      <w:r w:rsidR="00E6728C">
        <w:rPr>
          <w:rStyle w:val="Guidance"/>
        </w:rPr>
        <w:t xml:space="preserve"> </w:t>
      </w:r>
      <w:r w:rsidRPr="00AB5741">
        <w:rPr>
          <w:rStyle w:val="Guidance"/>
        </w:rPr>
        <w:t>22</w:t>
      </w:r>
      <w:r w:rsidR="00E6728C">
        <w:rPr>
          <w:rStyle w:val="Guidance"/>
        </w:rPr>
        <w:t xml:space="preserve"> </w:t>
      </w:r>
      <w:r w:rsidRPr="008217BC">
        <w:rPr>
          <w:rStyle w:val="Guidance"/>
        </w:rPr>
        <w:t>applies</w:t>
      </w:r>
      <w:r w:rsidRPr="00AB5741">
        <w:rPr>
          <w:rStyle w:val="Guidance"/>
        </w:rPr>
        <w:t xml:space="preserve"> to entities </w:t>
      </w:r>
      <w:r w:rsidR="00096639" w:rsidRPr="00AB5741">
        <w:rPr>
          <w:rStyle w:val="Guidance"/>
        </w:rPr>
        <w:t>that are</w:t>
      </w:r>
      <w:r w:rsidRPr="00AB5741">
        <w:rPr>
          <w:rStyle w:val="Guidance"/>
        </w:rPr>
        <w:t xml:space="preserve"> with</w:t>
      </w:r>
      <w:r w:rsidR="00096639" w:rsidRPr="00AB5741">
        <w:rPr>
          <w:rStyle w:val="Guidance"/>
        </w:rPr>
        <w:t>in the scope of</w:t>
      </w:r>
      <w:r w:rsidRPr="00AB5741">
        <w:rPr>
          <w:rStyle w:val="Guidance"/>
        </w:rPr>
        <w:t xml:space="preserve"> the Victorian Government Purchasing Board (VGPB) </w:t>
      </w:r>
      <w:r w:rsidR="00414A41" w:rsidRPr="00AB5741">
        <w:rPr>
          <w:rStyle w:val="Guidance"/>
        </w:rPr>
        <w:t>g</w:t>
      </w:r>
      <w:r w:rsidRPr="00AB5741">
        <w:rPr>
          <w:rStyle w:val="Guidance"/>
        </w:rPr>
        <w:t xml:space="preserve">oods and </w:t>
      </w:r>
      <w:r w:rsidR="00414A41" w:rsidRPr="00AB5741">
        <w:rPr>
          <w:rStyle w:val="Guidance"/>
        </w:rPr>
        <w:t>s</w:t>
      </w:r>
      <w:r w:rsidRPr="00AB5741">
        <w:rPr>
          <w:rStyle w:val="Guidance"/>
        </w:rPr>
        <w:t xml:space="preserve">ervices </w:t>
      </w:r>
      <w:r w:rsidR="00414A41" w:rsidRPr="00AB5741">
        <w:rPr>
          <w:rStyle w:val="Guidance"/>
        </w:rPr>
        <w:t>s</w:t>
      </w:r>
      <w:r w:rsidRPr="00AB5741">
        <w:rPr>
          <w:rStyle w:val="Guidance"/>
        </w:rPr>
        <w:t xml:space="preserve">upply </w:t>
      </w:r>
      <w:r w:rsidR="00414A41" w:rsidRPr="00AB5741">
        <w:rPr>
          <w:rStyle w:val="Guidance"/>
        </w:rPr>
        <w:t>p</w:t>
      </w:r>
      <w:r w:rsidRPr="00AB5741">
        <w:rPr>
          <w:rStyle w:val="Guidance"/>
        </w:rPr>
        <w:t xml:space="preserve">olicies. </w:t>
      </w:r>
    </w:p>
    <w:p w14:paraId="12DCD695" w14:textId="2461AF6D" w:rsidR="00ED585E" w:rsidRPr="00AB5741" w:rsidRDefault="00ED585E" w:rsidP="00AB5741">
      <w:pPr>
        <w:rPr>
          <w:rStyle w:val="Guidance"/>
        </w:rPr>
      </w:pPr>
      <w:r w:rsidRPr="00AB5741">
        <w:rPr>
          <w:rStyle w:val="Guidance"/>
        </w:rPr>
        <w:t xml:space="preserve">Entities must report activation of </w:t>
      </w:r>
      <w:r w:rsidR="00E6728C">
        <w:rPr>
          <w:rStyle w:val="Guidance"/>
        </w:rPr>
        <w:t>e</w:t>
      </w:r>
      <w:r w:rsidRPr="00AB5741">
        <w:rPr>
          <w:rStyle w:val="Guidance"/>
        </w:rPr>
        <w:t xml:space="preserve">mergency </w:t>
      </w:r>
      <w:r w:rsidR="00E6728C">
        <w:rPr>
          <w:rStyle w:val="Guidance"/>
        </w:rPr>
        <w:t>p</w:t>
      </w:r>
      <w:r w:rsidRPr="00AB5741">
        <w:rPr>
          <w:rStyle w:val="Guidance"/>
        </w:rPr>
        <w:t>rocurement in their annual report including details related to each activation.</w:t>
      </w:r>
    </w:p>
    <w:p w14:paraId="3D20DFE8" w14:textId="77777777" w:rsidR="00ED585E" w:rsidRDefault="00ED585E" w:rsidP="00ED585E">
      <w:pPr>
        <w:rPr>
          <w:b/>
          <w:bCs/>
          <w:color w:val="4472C4" w:themeColor="accent1"/>
          <w:sz w:val="24"/>
          <w:szCs w:val="24"/>
        </w:rPr>
      </w:pPr>
      <w:r w:rsidRPr="001D0803">
        <w:rPr>
          <w:b/>
          <w:bCs/>
          <w:color w:val="4472C4" w:themeColor="accent1"/>
          <w:sz w:val="24"/>
          <w:szCs w:val="24"/>
        </w:rPr>
        <w:t xml:space="preserve">Guidance </w:t>
      </w:r>
    </w:p>
    <w:p w14:paraId="313A8F97" w14:textId="77777777" w:rsidR="00ED585E" w:rsidRPr="00AB5741" w:rsidRDefault="00ED585E" w:rsidP="00AB5741">
      <w:pPr>
        <w:rPr>
          <w:rStyle w:val="Guidance"/>
        </w:rPr>
      </w:pPr>
      <w:r w:rsidRPr="00AB5741">
        <w:rPr>
          <w:rStyle w:val="Guidance"/>
        </w:rPr>
        <w:t>Details to be disclosed are:</w:t>
      </w:r>
    </w:p>
    <w:p w14:paraId="2EA35232" w14:textId="198BC2A9" w:rsidR="00ED585E" w:rsidRPr="00D31BEA" w:rsidRDefault="00ED585E" w:rsidP="00B05C62">
      <w:pPr>
        <w:pStyle w:val="ListBullet"/>
        <w:contextualSpacing/>
        <w:rPr>
          <w:rStyle w:val="Guidance"/>
        </w:rPr>
      </w:pPr>
      <w:r w:rsidRPr="00D31BEA">
        <w:rPr>
          <w:rStyle w:val="Guidance"/>
        </w:rPr>
        <w:t xml:space="preserve">the nature of the emergency </w:t>
      </w:r>
    </w:p>
    <w:p w14:paraId="4A9526CC" w14:textId="36D0B20D" w:rsidR="00ED585E" w:rsidRPr="00D31BEA" w:rsidRDefault="00ED585E" w:rsidP="00B05C62">
      <w:pPr>
        <w:pStyle w:val="ListBullet"/>
        <w:contextualSpacing/>
        <w:rPr>
          <w:rStyle w:val="Guidance"/>
        </w:rPr>
      </w:pPr>
      <w:r w:rsidRPr="00D31BEA">
        <w:rPr>
          <w:rStyle w:val="Guidance"/>
        </w:rPr>
        <w:t>the date the emergency procurement policy was activated</w:t>
      </w:r>
    </w:p>
    <w:p w14:paraId="56FE49C2" w14:textId="1945030B" w:rsidR="00ED585E" w:rsidRPr="00D31BEA" w:rsidRDefault="00ED585E" w:rsidP="00B05C62">
      <w:pPr>
        <w:pStyle w:val="ListBullet"/>
        <w:contextualSpacing/>
        <w:rPr>
          <w:rStyle w:val="Guidance"/>
        </w:rPr>
      </w:pPr>
      <w:r w:rsidRPr="00D31BEA">
        <w:rPr>
          <w:rStyle w:val="Guidance"/>
        </w:rPr>
        <w:t>a summary of the goods and services procured under the new contracts</w:t>
      </w:r>
    </w:p>
    <w:p w14:paraId="6451F0E2" w14:textId="65430AD0" w:rsidR="005A1ACA" w:rsidRPr="00FD4461" w:rsidRDefault="00ED585E" w:rsidP="00B05C62">
      <w:pPr>
        <w:pStyle w:val="ListBullet"/>
        <w:contextualSpacing/>
        <w:rPr>
          <w:rStyle w:val="Guidance"/>
        </w:rPr>
      </w:pPr>
      <w:r w:rsidRPr="00D31BEA">
        <w:rPr>
          <w:rStyle w:val="Guidance"/>
        </w:rPr>
        <w:t>total spend on goods and services</w:t>
      </w:r>
      <w:r w:rsidR="00760F7B" w:rsidRPr="00D31BEA">
        <w:rPr>
          <w:rStyle w:val="Guidance"/>
          <w:vertAlign w:val="superscript"/>
        </w:rPr>
        <w:t>(</w:t>
      </w:r>
      <w:r w:rsidR="001E4ADD" w:rsidRPr="00D31BEA">
        <w:rPr>
          <w:rStyle w:val="Guidance"/>
          <w:vertAlign w:val="superscript"/>
        </w:rPr>
        <w:t>a</w:t>
      </w:r>
      <w:r w:rsidR="00760F7B" w:rsidRPr="00D31BEA">
        <w:rPr>
          <w:rStyle w:val="Guidance"/>
          <w:vertAlign w:val="superscript"/>
        </w:rPr>
        <w:t>)</w:t>
      </w:r>
    </w:p>
    <w:p w14:paraId="19A8D454" w14:textId="77777777" w:rsidR="005A1ACA" w:rsidRPr="00FD4461" w:rsidRDefault="00ED585E" w:rsidP="00B05C62">
      <w:pPr>
        <w:pStyle w:val="ListBullet"/>
        <w:contextualSpacing/>
        <w:rPr>
          <w:rStyle w:val="Guidance"/>
        </w:rPr>
      </w:pPr>
      <w:r w:rsidRPr="00FD4461">
        <w:rPr>
          <w:rStyle w:val="Guidance"/>
        </w:rPr>
        <w:t>the number of new contracts awarded valued at $100</w:t>
      </w:r>
      <w:r w:rsidR="009C255C">
        <w:rPr>
          <w:rStyle w:val="Guidance"/>
        </w:rPr>
        <w:t xml:space="preserve"> </w:t>
      </w:r>
      <w:r w:rsidRPr="00D31BEA">
        <w:rPr>
          <w:rStyle w:val="Guidance"/>
        </w:rPr>
        <w:t>000 (GST inclusive) or more</w:t>
      </w:r>
      <w:r w:rsidR="005B4F63">
        <w:rPr>
          <w:rStyle w:val="Guidance"/>
        </w:rPr>
        <w:t>.</w:t>
      </w:r>
      <w:r w:rsidR="005B2742" w:rsidRPr="005A1ACA">
        <w:rPr>
          <w:rStyle w:val="Guidance"/>
          <w:vertAlign w:val="superscript"/>
        </w:rPr>
        <w:t>(</w:t>
      </w:r>
      <w:r w:rsidR="001E4ADD" w:rsidRPr="005A1ACA">
        <w:rPr>
          <w:rStyle w:val="Guidance"/>
          <w:vertAlign w:val="superscript"/>
        </w:rPr>
        <w:t>b</w:t>
      </w:r>
      <w:r w:rsidR="005B2742" w:rsidRPr="005A1ACA">
        <w:rPr>
          <w:rStyle w:val="Guidance"/>
          <w:vertAlign w:val="superscript"/>
        </w:rPr>
        <w:t>)</w:t>
      </w:r>
    </w:p>
    <w:p w14:paraId="5E8BEFCF" w14:textId="3FEF6EC3" w:rsidR="009C255C" w:rsidRPr="00D31BEA" w:rsidRDefault="00D31BEA" w:rsidP="00D31BEA">
      <w:pPr>
        <w:pStyle w:val="Note"/>
        <w:rPr>
          <w:rStyle w:val="Guidance"/>
        </w:rPr>
      </w:pPr>
      <w:r w:rsidRPr="00D31BEA">
        <w:rPr>
          <w:rStyle w:val="Guidance"/>
        </w:rPr>
        <w:t>Notes:</w:t>
      </w:r>
    </w:p>
    <w:p w14:paraId="5BBA367C" w14:textId="5DBC5CB0" w:rsidR="005B2742" w:rsidRPr="00D31BEA" w:rsidRDefault="00D31BEA" w:rsidP="00D31BEA">
      <w:pPr>
        <w:pStyle w:val="Note"/>
        <w:rPr>
          <w:rStyle w:val="Guidance"/>
        </w:rPr>
      </w:pPr>
      <w:r w:rsidRPr="00D31BEA">
        <w:rPr>
          <w:rStyle w:val="Guidance"/>
        </w:rPr>
        <w:t>(a)</w:t>
      </w:r>
      <w:r w:rsidRPr="00D31BEA">
        <w:rPr>
          <w:rStyle w:val="Guidance"/>
        </w:rPr>
        <w:tab/>
      </w:r>
      <w:r w:rsidR="00ED585E" w:rsidRPr="00D31BEA">
        <w:rPr>
          <w:rStyle w:val="Guidance"/>
          <w:b/>
          <w:bCs/>
        </w:rPr>
        <w:t>Total spend on goods and services</w:t>
      </w:r>
      <w:r w:rsidR="00ED585E" w:rsidRPr="00D31BEA">
        <w:rPr>
          <w:rStyle w:val="Guidance"/>
        </w:rPr>
        <w:t xml:space="preserve"> refers to all expenditures incurred by an entity in response to the emergency, following activation of emergency procurement. This includes new procurements, variations and purchases made under pre-existing contractual arrangements. </w:t>
      </w:r>
    </w:p>
    <w:p w14:paraId="65A3E5F1" w14:textId="55027DA2" w:rsidR="00ED585E" w:rsidRPr="00D31BEA" w:rsidRDefault="00D31BEA" w:rsidP="00D31BEA">
      <w:pPr>
        <w:pStyle w:val="Note"/>
        <w:rPr>
          <w:rStyle w:val="Guidance"/>
        </w:rPr>
      </w:pPr>
      <w:r w:rsidRPr="00D31BEA">
        <w:rPr>
          <w:rStyle w:val="Guidance"/>
        </w:rPr>
        <w:t>(b)</w:t>
      </w:r>
      <w:r w:rsidRPr="00D31BEA">
        <w:rPr>
          <w:rStyle w:val="Guidance"/>
        </w:rPr>
        <w:tab/>
      </w:r>
      <w:r w:rsidR="00ED585E" w:rsidRPr="00D31BEA">
        <w:rPr>
          <w:rStyle w:val="Guidance"/>
          <w:b/>
          <w:bCs/>
        </w:rPr>
        <w:t>The number of new contracts</w:t>
      </w:r>
      <w:r w:rsidR="00ED585E" w:rsidRPr="00D31BEA">
        <w:rPr>
          <w:rStyle w:val="Guidance"/>
        </w:rPr>
        <w:t xml:space="preserve"> valued at $100</w:t>
      </w:r>
      <w:r w:rsidR="007B75F1" w:rsidRPr="00D31BEA">
        <w:rPr>
          <w:rStyle w:val="Guidance"/>
        </w:rPr>
        <w:t xml:space="preserve"> </w:t>
      </w:r>
      <w:r w:rsidR="00ED585E" w:rsidRPr="00D31BEA">
        <w:rPr>
          <w:rStyle w:val="Guidance"/>
        </w:rPr>
        <w:t xml:space="preserve">000 or more (GST inclusive) includes those new contracts entered into by the entity to respond to an emergency during the emergency procurement activation period. A summary description of the goods and services procured under each of these new contracts is to be provided. </w:t>
      </w:r>
    </w:p>
    <w:p w14:paraId="5BB9343A" w14:textId="77777777" w:rsidR="00ED585E" w:rsidRPr="00D31BEA" w:rsidRDefault="00ED585E" w:rsidP="00D31BEA">
      <w:pPr>
        <w:rPr>
          <w:rStyle w:val="Guidance"/>
        </w:rPr>
      </w:pPr>
      <w:r w:rsidRPr="00D31BEA">
        <w:rPr>
          <w:rStyle w:val="Guidance"/>
        </w:rPr>
        <w:t>Contracts awarded by the entity that are not in response to the emergency (routine procurements) are excluded. </w:t>
      </w:r>
    </w:p>
    <w:p w14:paraId="6B158190" w14:textId="7E72C98E" w:rsidR="00ED585E" w:rsidRPr="00D31BEA" w:rsidRDefault="00ED585E" w:rsidP="00D31BEA">
      <w:pPr>
        <w:rPr>
          <w:rStyle w:val="Guidance"/>
        </w:rPr>
      </w:pPr>
      <w:r w:rsidRPr="00D31BEA">
        <w:rPr>
          <w:rStyle w:val="Guidance"/>
        </w:rPr>
        <w:t>If an entity’s activation of emergency procurement spans more than one financial year, the entity must report emergency procurement activities for the year in which they occur. Entities should note in their reporting if activation of emergency procurement did not cease by the end of the financial year or continued from activation in the previous financial year.</w:t>
      </w:r>
    </w:p>
    <w:p w14:paraId="3318721E" w14:textId="77777777" w:rsidR="00ED585E" w:rsidRPr="00AB5741" w:rsidRDefault="00ED585E" w:rsidP="00AB5741">
      <w:pPr>
        <w:rPr>
          <w:rStyle w:val="Guidance"/>
        </w:rPr>
      </w:pPr>
      <w:r w:rsidRPr="00AB5741">
        <w:rPr>
          <w:rStyle w:val="Guidance"/>
        </w:rPr>
        <w:t xml:space="preserve">The reporting requirements above are the minimum required to be included in the entity’s annual report. Entities may include additional details, as appropriate, to assist with transparency in their reporting of emergency procurement. </w:t>
      </w:r>
    </w:p>
    <w:p w14:paraId="4BDEA5AA" w14:textId="77777777" w:rsidR="00ED585E" w:rsidRPr="00AB5741" w:rsidRDefault="00ED585E" w:rsidP="00AB5741">
      <w:pPr>
        <w:rPr>
          <w:rStyle w:val="Guidance"/>
        </w:rPr>
      </w:pPr>
      <w:r w:rsidRPr="00AB5741">
        <w:rPr>
          <w:rStyle w:val="Guidance"/>
        </w:rPr>
        <w:t>In complying with these requirements, the Accountable Officer should have regard to the following documents and other relevant material:</w:t>
      </w:r>
    </w:p>
    <w:p w14:paraId="37865083" w14:textId="0B1501F8" w:rsidR="00ED585E" w:rsidRPr="00AB5741" w:rsidRDefault="00AE5B86" w:rsidP="00E62AD2">
      <w:pPr>
        <w:pStyle w:val="ListBullet"/>
        <w:contextualSpacing/>
        <w:rPr>
          <w:rStyle w:val="Guidance"/>
        </w:rPr>
      </w:pPr>
      <w:r w:rsidRPr="00AB5741">
        <w:rPr>
          <w:rStyle w:val="Guidance"/>
        </w:rPr>
        <w:t>VGPB</w:t>
      </w:r>
      <w:r w:rsidR="00ED585E" w:rsidRPr="00AB5741">
        <w:rPr>
          <w:rStyle w:val="Guidance"/>
        </w:rPr>
        <w:t xml:space="preserve"> Governance Policy</w:t>
      </w:r>
      <w:r w:rsidR="005A1ACA">
        <w:rPr>
          <w:rStyle w:val="Guidance"/>
        </w:rPr>
        <w:t xml:space="preserve"> – </w:t>
      </w:r>
      <w:r w:rsidR="00ED585E" w:rsidRPr="00AB5741">
        <w:rPr>
          <w:rStyle w:val="Guidance"/>
        </w:rPr>
        <w:t>Emergency Procurement</w:t>
      </w:r>
    </w:p>
    <w:p w14:paraId="36CB7EB1" w14:textId="3503792C" w:rsidR="00ED585E" w:rsidRPr="00AB5741" w:rsidRDefault="00AE5B86" w:rsidP="00E62AD2">
      <w:pPr>
        <w:pStyle w:val="ListBullet"/>
        <w:contextualSpacing/>
        <w:rPr>
          <w:rStyle w:val="Guidance"/>
        </w:rPr>
      </w:pPr>
      <w:r w:rsidRPr="00AB5741">
        <w:rPr>
          <w:rStyle w:val="Guidance"/>
        </w:rPr>
        <w:t>VGPB</w:t>
      </w:r>
      <w:r w:rsidR="00ED585E" w:rsidRPr="00AB5741">
        <w:rPr>
          <w:rStyle w:val="Guidance"/>
        </w:rPr>
        <w:t xml:space="preserve"> Develop an emergency procurement plan – Goods and services guide.</w:t>
      </w:r>
    </w:p>
    <w:p w14:paraId="37C8229E" w14:textId="77777777" w:rsidR="00ED585E" w:rsidRPr="001D0803" w:rsidRDefault="00ED585E" w:rsidP="00D76632">
      <w:pPr>
        <w:pStyle w:val="GuidanceHeading"/>
      </w:pPr>
      <w:r w:rsidRPr="001D0803">
        <w:t xml:space="preserve">Nil report statement </w:t>
      </w:r>
    </w:p>
    <w:p w14:paraId="13E4EAD5" w14:textId="326DBC18" w:rsidR="00ED585E" w:rsidRPr="00AB5741" w:rsidRDefault="00ED585E" w:rsidP="00AB5741">
      <w:pPr>
        <w:rPr>
          <w:rStyle w:val="Guidance"/>
        </w:rPr>
      </w:pPr>
      <w:r w:rsidRPr="00AB5741">
        <w:rPr>
          <w:rStyle w:val="Guidance"/>
        </w:rPr>
        <w:t>An explicit statement of ‘nil reports’ is required where emergency procurement was not activated, resulting in nil spending for emergency procurements. The ‘nil reports’ statement is to be included in the same section as activation of emergency procurement would be reported in the model report.</w:t>
      </w:r>
    </w:p>
    <w:p w14:paraId="720E13F0" w14:textId="77777777" w:rsidR="008A4638" w:rsidRDefault="008A4638" w:rsidP="008A4638">
      <w:pPr>
        <w:pStyle w:val="GuidanceEnd"/>
      </w:pPr>
    </w:p>
    <w:p w14:paraId="420E3DBE" w14:textId="21F1645B" w:rsidR="00023FAB" w:rsidRPr="00B17E72" w:rsidRDefault="00023FAB" w:rsidP="00023FAB">
      <w:pPr>
        <w:pStyle w:val="Heading2"/>
      </w:pPr>
      <w:bookmarkStart w:id="166" w:name="_Disclosure_of_social"/>
      <w:bookmarkStart w:id="167" w:name="INDEX_Disclosureofsocialprocurement"/>
      <w:bookmarkStart w:id="168" w:name="_Toc199156300"/>
      <w:bookmarkStart w:id="169" w:name="ReportOfOperations"/>
      <w:bookmarkEnd w:id="166"/>
      <w:r>
        <w:t xml:space="preserve">Disclosure of social procurement activities under the Social Procurement Framework </w:t>
      </w:r>
      <w:bookmarkEnd w:id="167"/>
      <w:r w:rsidR="00D40F3F">
        <w:t xml:space="preserve"> </w:t>
      </w:r>
      <w:r w:rsidR="00AE2207" w:rsidRPr="00CF2CBD">
        <w:rPr>
          <w:color w:val="538135" w:themeColor="accent6" w:themeShade="BF"/>
        </w:rPr>
        <w:t>[NEW]</w:t>
      </w:r>
      <w:r w:rsidR="00AE2207" w:rsidRPr="00B374DB">
        <w:rPr>
          <w:rStyle w:val="Reference"/>
        </w:rPr>
        <w:t xml:space="preserve"> </w:t>
      </w:r>
      <w:r w:rsidRPr="008A4638">
        <w:rPr>
          <w:rStyle w:val="Reference"/>
        </w:rPr>
        <w:t>[FRD 22</w:t>
      </w:r>
      <w:r>
        <w:rPr>
          <w:rStyle w:val="Reference"/>
        </w:rPr>
        <w:t xml:space="preserve"> </w:t>
      </w:r>
      <w:r w:rsidR="005011C3">
        <w:rPr>
          <w:rStyle w:val="Reference"/>
        </w:rPr>
        <w:t xml:space="preserve">Revised </w:t>
      </w:r>
      <w:r>
        <w:rPr>
          <w:rStyle w:val="Reference"/>
        </w:rPr>
        <w:t>Paragraph 5.</w:t>
      </w:r>
      <w:r w:rsidR="007127EC">
        <w:rPr>
          <w:rStyle w:val="Reference"/>
        </w:rPr>
        <w:t>19</w:t>
      </w:r>
      <w:r w:rsidRPr="008A4638">
        <w:rPr>
          <w:rStyle w:val="Reference"/>
        </w:rPr>
        <w:t>]</w:t>
      </w:r>
      <w:bookmarkEnd w:id="168"/>
    </w:p>
    <w:bookmarkEnd w:id="169"/>
    <w:p w14:paraId="1B57AB47" w14:textId="738A37E0" w:rsidR="00607093" w:rsidRDefault="00607093" w:rsidP="00023FAB">
      <w:r w:rsidRPr="00607093">
        <w:t xml:space="preserve">The Social Procurement Framework governs how </w:t>
      </w:r>
      <w:r w:rsidR="00CB3284">
        <w:t xml:space="preserve">the </w:t>
      </w:r>
      <w:r w:rsidRPr="00607093">
        <w:t xml:space="preserve">Victorian Government undertakes social procurement. The framework applies to the procurement of all goods, services and construction undertaken by, or on behalf of, entities subject to the </w:t>
      </w:r>
      <w:r w:rsidRPr="00D71721">
        <w:t>Standing Directions 2018</w:t>
      </w:r>
      <w:r w:rsidRPr="00607093">
        <w:t xml:space="preserve"> under the </w:t>
      </w:r>
      <w:r w:rsidRPr="006001BA">
        <w:rPr>
          <w:i/>
          <w:iCs/>
        </w:rPr>
        <w:t>Financial Management Act 1994</w:t>
      </w:r>
      <w:r w:rsidRPr="00607093">
        <w:t>.</w:t>
      </w:r>
    </w:p>
    <w:p w14:paraId="5C638FC6" w14:textId="3F21C841" w:rsidR="008721D4" w:rsidRDefault="00CB7F41" w:rsidP="00023FAB">
      <w:r w:rsidRPr="00ED534D">
        <w:t>The Department leverages its buying power to deliver social, economic and environmental outcomes benefiting the Victorian community, the economy and the environment — above and beyond the goods, services and construction works procured</w:t>
      </w:r>
      <w:r>
        <w:t>.</w:t>
      </w:r>
    </w:p>
    <w:p w14:paraId="637B6AEB" w14:textId="7E8C8437" w:rsidR="00FC2BF2" w:rsidRPr="00680705" w:rsidRDefault="00C2522B" w:rsidP="00C2522B">
      <w:pPr>
        <w:pStyle w:val="Heading3"/>
      </w:pPr>
      <w:r w:rsidRPr="00374BFA">
        <w:t xml:space="preserve">Social Procurement </w:t>
      </w:r>
      <w:r>
        <w:t>Framework</w:t>
      </w:r>
    </w:p>
    <w:p w14:paraId="7A2D897F" w14:textId="77777777" w:rsidR="00FE6066" w:rsidRPr="00ED534D" w:rsidRDefault="00FE6066" w:rsidP="00FE6066">
      <w:r w:rsidRPr="00ED534D">
        <w:t>The Department’s Social Procurement Strategy prioritises the following Social Procurement objectives:</w:t>
      </w:r>
    </w:p>
    <w:p w14:paraId="4000C014" w14:textId="77777777" w:rsidR="00FE6066" w:rsidRPr="00ED534D" w:rsidRDefault="00FE6066" w:rsidP="00DD0C25">
      <w:pPr>
        <w:pStyle w:val="ListBullet"/>
      </w:pPr>
      <w:r w:rsidRPr="00ED534D">
        <w:t>Opportunities for Victorian Aboriginal people</w:t>
      </w:r>
    </w:p>
    <w:p w14:paraId="77D58B51" w14:textId="77777777" w:rsidR="00FE6066" w:rsidRPr="00ED534D" w:rsidRDefault="00FE6066" w:rsidP="00DD0C25">
      <w:pPr>
        <w:pStyle w:val="ListBullet"/>
      </w:pPr>
      <w:r w:rsidRPr="00ED534D">
        <w:t>Opportunities for Victorians with disability</w:t>
      </w:r>
    </w:p>
    <w:p w14:paraId="564E8A46" w14:textId="77777777" w:rsidR="00FE6066" w:rsidRPr="00ED534D" w:rsidRDefault="00FE6066" w:rsidP="00DD0C25">
      <w:pPr>
        <w:pStyle w:val="ListBullet"/>
      </w:pPr>
      <w:r w:rsidRPr="00ED534D">
        <w:t>Opportunities for Victorian priority jobseekers</w:t>
      </w:r>
    </w:p>
    <w:p w14:paraId="1E1B9658" w14:textId="77777777" w:rsidR="00FE6066" w:rsidRPr="00ED534D" w:rsidRDefault="00FE6066" w:rsidP="00DD0C25">
      <w:pPr>
        <w:pStyle w:val="ListBullet"/>
      </w:pPr>
      <w:r w:rsidRPr="00ED534D">
        <w:t>Sustainable Victorian regions</w:t>
      </w:r>
    </w:p>
    <w:p w14:paraId="23636B90" w14:textId="0322967B" w:rsidR="00FE6066" w:rsidRPr="002E3465" w:rsidRDefault="00FE6066" w:rsidP="00DD0C25">
      <w:pPr>
        <w:pStyle w:val="ListBullet"/>
      </w:pPr>
      <w:r w:rsidRPr="00ED534D">
        <w:t>Sustainable Victorian social enterprises and Aboriginal business sectors</w:t>
      </w:r>
      <w:r w:rsidR="008B4AD2">
        <w:t>.</w:t>
      </w:r>
    </w:p>
    <w:p w14:paraId="5FA0811E" w14:textId="3DC91F77" w:rsidR="00151088" w:rsidRPr="007F46C5" w:rsidRDefault="00C2522B" w:rsidP="00C2522B">
      <w:pPr>
        <w:pStyle w:val="Heading3"/>
      </w:pPr>
      <w:r w:rsidRPr="002E3465">
        <w:t xml:space="preserve">Social procurement </w:t>
      </w:r>
      <w:r w:rsidRPr="007F46C5">
        <w:t xml:space="preserve">achievements </w:t>
      </w:r>
    </w:p>
    <w:p w14:paraId="063AB106" w14:textId="53F4206F" w:rsidR="00413002" w:rsidRPr="00ED534D" w:rsidRDefault="00F535CC" w:rsidP="00413002">
      <w:r w:rsidRPr="00413002">
        <w:t xml:space="preserve">During </w:t>
      </w:r>
      <w:fldSimple w:instr="DOCPROPERTY  FinYearCurrent  \* MERGEFORMAT">
        <w:r w:rsidR="00D40F3F">
          <w:t>20X1</w:t>
        </w:r>
        <w:r w:rsidR="00D40F3F" w:rsidRPr="000E6299">
          <w:rPr>
            <w:rFonts w:ascii="Cambria Math" w:hAnsi="Cambria Math" w:cs="Cambria Math"/>
          </w:rPr>
          <w:t>‑</w:t>
        </w:r>
        <w:r w:rsidR="00D40F3F">
          <w:t>X2</w:t>
        </w:r>
      </w:fldSimple>
      <w:r w:rsidRPr="00413002">
        <w:t>, t</w:t>
      </w:r>
      <w:r w:rsidR="00002D19" w:rsidRPr="00413002">
        <w:t xml:space="preserve">he </w:t>
      </w:r>
      <w:r w:rsidR="00574882" w:rsidRPr="00413002">
        <w:t>Department</w:t>
      </w:r>
      <w:r w:rsidR="00850E75" w:rsidRPr="00413002">
        <w:t>:</w:t>
      </w:r>
    </w:p>
    <w:p w14:paraId="0609F58F" w14:textId="2113FDD3" w:rsidR="001378C9" w:rsidRPr="00413002" w:rsidRDefault="00E202D8" w:rsidP="00413002">
      <w:pPr>
        <w:pStyle w:val="ListBullet"/>
        <w:rPr>
          <w:rStyle w:val="Guidance"/>
          <w:color w:val="auto"/>
        </w:rPr>
      </w:pPr>
      <w:r>
        <w:rPr>
          <w:rStyle w:val="Guidance"/>
          <w:rFonts w:ascii="Arial" w:hAnsi="Arial" w:cs="Arial"/>
          <w:color w:val="auto"/>
        </w:rPr>
        <w:t>e</w:t>
      </w:r>
      <w:r w:rsidR="00FB6E30">
        <w:rPr>
          <w:rStyle w:val="Guidance"/>
          <w:rFonts w:ascii="Arial" w:hAnsi="Arial" w:cs="Arial"/>
          <w:color w:val="auto"/>
        </w:rPr>
        <w:t>ngaged</w:t>
      </w:r>
      <w:r w:rsidR="00574882" w:rsidRPr="006A3245">
        <w:rPr>
          <w:rStyle w:val="Guidance"/>
          <w:rFonts w:ascii="Arial" w:hAnsi="Arial" w:cs="Arial"/>
          <w:color w:val="auto"/>
        </w:rPr>
        <w:t xml:space="preserve"> 67 social benefit suppliers with a total spend of $1.86 million </w:t>
      </w:r>
      <w:r w:rsidR="00574882" w:rsidRPr="006A3245" w:rsidDel="007E5EC0">
        <w:rPr>
          <w:rStyle w:val="Guidance"/>
          <w:rFonts w:ascii="Arial" w:hAnsi="Arial" w:cs="Arial"/>
          <w:color w:val="auto"/>
        </w:rPr>
        <w:t>with</w:t>
      </w:r>
      <w:r w:rsidR="00574882" w:rsidRPr="006A3245">
        <w:rPr>
          <w:rStyle w:val="Guidance"/>
          <w:rFonts w:ascii="Arial" w:hAnsi="Arial" w:cs="Arial"/>
          <w:color w:val="auto"/>
        </w:rPr>
        <w:t xml:space="preserve"> </w:t>
      </w:r>
      <w:r w:rsidR="00574882" w:rsidRPr="00374BFA">
        <w:rPr>
          <w:rStyle w:val="Guidance"/>
          <w:color w:val="auto"/>
        </w:rPr>
        <w:t xml:space="preserve">certified social enterprises, Aboriginal </w:t>
      </w:r>
      <w:r w:rsidR="00574882" w:rsidRPr="00413002">
        <w:rPr>
          <w:rStyle w:val="Guidance"/>
          <w:color w:val="auto"/>
        </w:rPr>
        <w:t>businesses and disability enterprises</w:t>
      </w:r>
    </w:p>
    <w:p w14:paraId="21185344" w14:textId="7EEFC322" w:rsidR="00146523" w:rsidRPr="00413002" w:rsidRDefault="00E202D8" w:rsidP="00413002">
      <w:pPr>
        <w:pStyle w:val="ListBullet"/>
        <w:rPr>
          <w:rStyle w:val="Guidance"/>
          <w:color w:val="auto"/>
        </w:rPr>
      </w:pPr>
      <w:r w:rsidRPr="00413002">
        <w:t>i</w:t>
      </w:r>
      <w:r w:rsidR="00146523" w:rsidRPr="00413002">
        <w:t>ncreased the proportion of suppliers that are Victorian Aboriginal businesses from 0.85</w:t>
      </w:r>
      <w:r w:rsidR="00C30E96" w:rsidRPr="00413002">
        <w:t xml:space="preserve"> per cent</w:t>
      </w:r>
      <w:r w:rsidR="00146523" w:rsidRPr="00413002">
        <w:t xml:space="preserve"> in</w:t>
      </w:r>
      <w:r w:rsidR="00146523" w:rsidRPr="00D40F3F">
        <w:rPr>
          <w:b/>
          <w:bCs/>
        </w:rPr>
        <w:t xml:space="preserve"> </w:t>
      </w:r>
      <w:fldSimple w:instr="DOCPROPERTY  YearPrevious  \* MERGEFORMAT">
        <w:r w:rsidR="00D40F3F" w:rsidRPr="00D40F3F">
          <w:rPr>
            <w:lang w:val="en-US"/>
          </w:rPr>
          <w:t>20X1</w:t>
        </w:r>
      </w:fldSimple>
      <w:r w:rsidR="00146523" w:rsidRPr="00413002">
        <w:t xml:space="preserve"> to 1.05</w:t>
      </w:r>
      <w:r w:rsidR="00C30E96" w:rsidRPr="00413002">
        <w:t xml:space="preserve"> per cent</w:t>
      </w:r>
      <w:r w:rsidR="002B7F93" w:rsidRPr="00413002">
        <w:t xml:space="preserve"> in </w:t>
      </w:r>
      <w:fldSimple w:instr="DOCPROPERTY  YearCurrent  \* MERGEFORMAT">
        <w:r w:rsidR="00D40F3F">
          <w:t>20X2</w:t>
        </w:r>
      </w:fldSimple>
      <w:r w:rsidR="00146523" w:rsidRPr="00413002">
        <w:t>, engaging 13 Aboriginal businesses</w:t>
      </w:r>
    </w:p>
    <w:p w14:paraId="28864DBC" w14:textId="320AAA27" w:rsidR="00574882" w:rsidRPr="00374BFA" w:rsidRDefault="00E202D8" w:rsidP="00413002">
      <w:pPr>
        <w:pStyle w:val="ListBullet"/>
        <w:rPr>
          <w:rStyle w:val="Guidance"/>
          <w:rFonts w:ascii="Arial" w:hAnsi="Arial" w:cs="Arial"/>
          <w:color w:val="auto"/>
        </w:rPr>
      </w:pPr>
      <w:r w:rsidRPr="00413002">
        <w:rPr>
          <w:rStyle w:val="Guidance"/>
          <w:color w:val="auto"/>
        </w:rPr>
        <w:t>e</w:t>
      </w:r>
      <w:r w:rsidR="00574882" w:rsidRPr="00413002" w:rsidDel="00287216">
        <w:rPr>
          <w:rStyle w:val="Guidance"/>
          <w:color w:val="auto"/>
        </w:rPr>
        <w:t>stablished</w:t>
      </w:r>
      <w:r w:rsidR="00574882" w:rsidRPr="006A3245" w:rsidDel="00287216">
        <w:rPr>
          <w:rStyle w:val="Guidance"/>
          <w:rFonts w:ascii="Arial" w:hAnsi="Arial" w:cs="Arial"/>
          <w:color w:val="auto"/>
        </w:rPr>
        <w:t xml:space="preserve"> </w:t>
      </w:r>
      <w:r w:rsidR="00574882" w:rsidRPr="006A3245">
        <w:rPr>
          <w:rStyle w:val="Guidance"/>
          <w:rFonts w:ascii="Arial" w:hAnsi="Arial" w:cs="Arial"/>
          <w:color w:val="auto"/>
        </w:rPr>
        <w:t xml:space="preserve">17 contracts with Victorian Government suppliers </w:t>
      </w:r>
      <w:r w:rsidR="00B429F3">
        <w:rPr>
          <w:rStyle w:val="Guidance"/>
          <w:rFonts w:ascii="Arial" w:hAnsi="Arial" w:cs="Arial"/>
          <w:color w:val="auto"/>
        </w:rPr>
        <w:t>that include</w:t>
      </w:r>
      <w:r w:rsidR="00574882" w:rsidRPr="006A3245">
        <w:rPr>
          <w:rStyle w:val="Guidance"/>
          <w:rFonts w:ascii="Arial" w:hAnsi="Arial" w:cs="Arial"/>
          <w:color w:val="auto"/>
        </w:rPr>
        <w:t xml:space="preserve"> </w:t>
      </w:r>
      <w:r w:rsidR="002A566D">
        <w:rPr>
          <w:rStyle w:val="Guidance"/>
          <w:rFonts w:ascii="Arial" w:hAnsi="Arial" w:cs="Arial"/>
          <w:color w:val="auto"/>
        </w:rPr>
        <w:t>social procurement commitments</w:t>
      </w:r>
      <w:r w:rsidR="008B4AD2">
        <w:rPr>
          <w:rStyle w:val="Guidance"/>
          <w:rFonts w:ascii="Arial" w:hAnsi="Arial" w:cs="Arial"/>
          <w:color w:val="auto"/>
        </w:rPr>
        <w:t>.</w:t>
      </w:r>
    </w:p>
    <w:p w14:paraId="7451E7F3" w14:textId="69A441B9" w:rsidR="00413002" w:rsidRDefault="00ED40CD" w:rsidP="00413002">
      <w:r w:rsidRPr="00413002">
        <w:t xml:space="preserve">During </w:t>
      </w:r>
      <w:fldSimple w:instr="DOCPROPERTY  FinYearCurrent  \* MERGEFORMAT">
        <w:r w:rsidR="00D40F3F">
          <w:t>20X1</w:t>
        </w:r>
        <w:r w:rsidR="00D40F3F" w:rsidRPr="000E6299">
          <w:rPr>
            <w:rFonts w:ascii="Cambria Math" w:hAnsi="Cambria Math" w:cs="Cambria Math"/>
          </w:rPr>
          <w:t>‑</w:t>
        </w:r>
        <w:r w:rsidR="00D40F3F">
          <w:t>X2</w:t>
        </w:r>
      </w:fldSimple>
      <w:r w:rsidRPr="00413002">
        <w:t>, t</w:t>
      </w:r>
      <w:r w:rsidR="00574882" w:rsidRPr="00413002">
        <w:t xml:space="preserve">he Department </w:t>
      </w:r>
      <w:r w:rsidR="003F3584" w:rsidRPr="00413002">
        <w:t xml:space="preserve">also </w:t>
      </w:r>
      <w:r w:rsidR="00574882" w:rsidRPr="00413002">
        <w:t xml:space="preserve">implemented several initiatives to support its Social Procurement Strategy </w:t>
      </w:r>
      <w:r w:rsidR="00057BA5" w:rsidRPr="00413002">
        <w:t>which included</w:t>
      </w:r>
      <w:r w:rsidR="00574882" w:rsidRPr="00413002">
        <w:t>:</w:t>
      </w:r>
    </w:p>
    <w:p w14:paraId="34A08EC5" w14:textId="518F46FA" w:rsidR="008A2189" w:rsidRPr="003745E5" w:rsidRDefault="00E202D8" w:rsidP="003745E5">
      <w:pPr>
        <w:pStyle w:val="ListBullet"/>
        <w:rPr>
          <w:rStyle w:val="Guidance"/>
          <w:color w:val="auto"/>
        </w:rPr>
      </w:pPr>
      <w:r w:rsidRPr="003745E5">
        <w:rPr>
          <w:rStyle w:val="Guidance"/>
          <w:color w:val="auto"/>
        </w:rPr>
        <w:t>i</w:t>
      </w:r>
      <w:r w:rsidR="008A2189" w:rsidRPr="003745E5">
        <w:rPr>
          <w:rStyle w:val="Guidance"/>
          <w:color w:val="auto"/>
        </w:rPr>
        <w:t>ntroducing a requirement in the Department’s internal procurement policy and process to search available databases for social benefit suppliers</w:t>
      </w:r>
    </w:p>
    <w:p w14:paraId="5188517A" w14:textId="51ED39BB" w:rsidR="00292E42" w:rsidRPr="003745E5" w:rsidRDefault="00E202D8" w:rsidP="003745E5">
      <w:pPr>
        <w:pStyle w:val="ListBullet"/>
        <w:rPr>
          <w:rStyle w:val="Guidance"/>
          <w:color w:val="auto"/>
        </w:rPr>
      </w:pPr>
      <w:r w:rsidRPr="003745E5">
        <w:rPr>
          <w:rStyle w:val="Guidance"/>
          <w:color w:val="auto"/>
        </w:rPr>
        <w:t>i</w:t>
      </w:r>
      <w:r w:rsidR="00574882" w:rsidRPr="003745E5">
        <w:rPr>
          <w:rStyle w:val="Guidance"/>
          <w:color w:val="auto"/>
        </w:rPr>
        <w:t xml:space="preserve">ncorporating social and sustainable </w:t>
      </w:r>
      <w:r w:rsidR="003B3252" w:rsidRPr="003745E5">
        <w:rPr>
          <w:rStyle w:val="Guidance"/>
          <w:color w:val="auto"/>
        </w:rPr>
        <w:t xml:space="preserve">evaluation </w:t>
      </w:r>
      <w:r w:rsidR="00574882" w:rsidRPr="003745E5">
        <w:rPr>
          <w:rStyle w:val="Guidance"/>
          <w:color w:val="auto"/>
        </w:rPr>
        <w:t xml:space="preserve">criteria into procurement </w:t>
      </w:r>
      <w:r w:rsidR="003B3252" w:rsidRPr="003745E5">
        <w:rPr>
          <w:rStyle w:val="Guidance"/>
          <w:color w:val="auto"/>
        </w:rPr>
        <w:t>documentation (e.g. Requests for Tender)</w:t>
      </w:r>
      <w:r w:rsidR="00574882" w:rsidRPr="003745E5">
        <w:rPr>
          <w:rStyle w:val="Guidance"/>
          <w:color w:val="auto"/>
        </w:rPr>
        <w:t xml:space="preserve"> to ensure purchases align with the Department</w:t>
      </w:r>
      <w:r w:rsidR="004A7002" w:rsidRPr="003745E5">
        <w:rPr>
          <w:rStyle w:val="Guidance"/>
          <w:color w:val="auto"/>
        </w:rPr>
        <w:t>’</w:t>
      </w:r>
      <w:r w:rsidR="00574882" w:rsidRPr="003745E5">
        <w:rPr>
          <w:rStyle w:val="Guidance"/>
          <w:color w:val="auto"/>
        </w:rPr>
        <w:t>s Social Procurement Strategy</w:t>
      </w:r>
    </w:p>
    <w:p w14:paraId="535047FC" w14:textId="1D6B2727" w:rsidR="00574882" w:rsidRPr="003745E5" w:rsidRDefault="00E202D8" w:rsidP="003745E5">
      <w:pPr>
        <w:pStyle w:val="ListBullet"/>
        <w:rPr>
          <w:rStyle w:val="Guidance"/>
          <w:color w:val="auto"/>
        </w:rPr>
      </w:pPr>
      <w:r w:rsidRPr="003745E5">
        <w:rPr>
          <w:rStyle w:val="Guidance"/>
          <w:color w:val="auto"/>
        </w:rPr>
        <w:t>p</w:t>
      </w:r>
      <w:r w:rsidR="00292E42" w:rsidRPr="003745E5">
        <w:rPr>
          <w:rStyle w:val="Guidance"/>
          <w:color w:val="auto"/>
        </w:rPr>
        <w:t>roviding education and training to procurement staff to increase awareness of social procurement.</w:t>
      </w:r>
      <w:r w:rsidR="00574882" w:rsidRPr="003745E5">
        <w:rPr>
          <w:rStyle w:val="Guidance"/>
          <w:color w:val="auto"/>
        </w:rPr>
        <w:t xml:space="preserve">  </w:t>
      </w:r>
    </w:p>
    <w:p w14:paraId="000415DC" w14:textId="77777777" w:rsidR="00FE0A15" w:rsidRPr="00374BFA" w:rsidRDefault="00FE0A15" w:rsidP="00B3089F">
      <w:pPr>
        <w:pStyle w:val="ListBullet"/>
        <w:numPr>
          <w:ilvl w:val="0"/>
          <w:numId w:val="0"/>
        </w:numPr>
        <w:rPr>
          <w:rStyle w:val="Guidance"/>
          <w:rFonts w:ascii="Arial" w:hAnsi="Arial" w:cs="Arial"/>
          <w:color w:val="auto"/>
        </w:rPr>
      </w:pPr>
    </w:p>
    <w:p w14:paraId="72F5B9F2" w14:textId="55C02A38" w:rsidR="00023FAB" w:rsidRPr="00DA3B47" w:rsidRDefault="00023FAB" w:rsidP="00DD0C25">
      <w:pPr>
        <w:pStyle w:val="GuidanceBlockHeading"/>
      </w:pPr>
      <w:r w:rsidRPr="00D0288F">
        <w:t xml:space="preserve">Guidance – </w:t>
      </w:r>
      <w:r w:rsidRPr="007C4690">
        <w:t xml:space="preserve">Disclosure of </w:t>
      </w:r>
      <w:r w:rsidR="00903A30">
        <w:t xml:space="preserve">social procurement activities under the </w:t>
      </w:r>
      <w:r w:rsidR="00903A30" w:rsidRPr="00431169">
        <w:t>Social Procurement Framework</w:t>
      </w:r>
    </w:p>
    <w:p w14:paraId="57EB5BE5" w14:textId="77777777" w:rsidR="00023FAB" w:rsidRPr="001D0803" w:rsidRDefault="00023FAB" w:rsidP="00DD0C25">
      <w:pPr>
        <w:keepNext/>
        <w:rPr>
          <w:b/>
          <w:bCs/>
          <w:color w:val="4472C4" w:themeColor="accent1"/>
          <w:sz w:val="24"/>
          <w:szCs w:val="24"/>
        </w:rPr>
      </w:pPr>
      <w:r w:rsidRPr="001D0803">
        <w:rPr>
          <w:b/>
          <w:bCs/>
          <w:color w:val="4472C4" w:themeColor="accent1"/>
          <w:sz w:val="24"/>
          <w:szCs w:val="24"/>
        </w:rPr>
        <w:t xml:space="preserve">Legislative and documented references </w:t>
      </w:r>
    </w:p>
    <w:p w14:paraId="2A4159F1" w14:textId="14767903" w:rsidR="00023FAB" w:rsidRPr="00AB5741" w:rsidRDefault="00023FAB" w:rsidP="00D76632">
      <w:pPr>
        <w:rPr>
          <w:rStyle w:val="Guidance"/>
        </w:rPr>
      </w:pPr>
      <w:r w:rsidRPr="00AB5741">
        <w:rPr>
          <w:rStyle w:val="Guidance"/>
        </w:rPr>
        <w:t>FRD</w:t>
      </w:r>
      <w:r>
        <w:rPr>
          <w:rStyle w:val="Guidance"/>
        </w:rPr>
        <w:t xml:space="preserve"> </w:t>
      </w:r>
      <w:r w:rsidRPr="00AB5741">
        <w:rPr>
          <w:rStyle w:val="Guidance"/>
        </w:rPr>
        <w:t>22</w:t>
      </w:r>
      <w:r>
        <w:rPr>
          <w:rStyle w:val="Guidance"/>
        </w:rPr>
        <w:t xml:space="preserve"> </w:t>
      </w:r>
      <w:r w:rsidR="00C1365F" w:rsidRPr="00C1365F">
        <w:rPr>
          <w:rStyle w:val="Guidance"/>
        </w:rPr>
        <w:t xml:space="preserve">requires all entities subject to the Standing Directions 2018 under the </w:t>
      </w:r>
      <w:r w:rsidR="00C1365F" w:rsidRPr="006001BA">
        <w:rPr>
          <w:rStyle w:val="Guidance"/>
          <w:i/>
          <w:iCs/>
        </w:rPr>
        <w:t>Financial Management Act 1994</w:t>
      </w:r>
      <w:r w:rsidR="00C1365F" w:rsidRPr="00C1365F">
        <w:rPr>
          <w:rStyle w:val="Guidance"/>
        </w:rPr>
        <w:t xml:space="preserve"> to report their </w:t>
      </w:r>
      <w:r w:rsidR="00E91EA3">
        <w:rPr>
          <w:rStyle w:val="Guidance"/>
        </w:rPr>
        <w:t>activities</w:t>
      </w:r>
      <w:r w:rsidR="00C1365F" w:rsidRPr="00C1365F">
        <w:rPr>
          <w:rStyle w:val="Guidance"/>
        </w:rPr>
        <w:t xml:space="preserve"> under </w:t>
      </w:r>
      <w:r w:rsidR="00C1365F" w:rsidRPr="00D76632">
        <w:rPr>
          <w:rStyle w:val="Guidance"/>
        </w:rPr>
        <w:t>the</w:t>
      </w:r>
      <w:r w:rsidR="00C1365F" w:rsidRPr="00C1365F">
        <w:rPr>
          <w:rStyle w:val="Guidance"/>
        </w:rPr>
        <w:t xml:space="preserve"> Social Procurement Framework</w:t>
      </w:r>
      <w:r w:rsidR="00C1365F">
        <w:rPr>
          <w:rStyle w:val="Guidance"/>
        </w:rPr>
        <w:t>.</w:t>
      </w:r>
    </w:p>
    <w:p w14:paraId="28244400" w14:textId="77777777" w:rsidR="00023FAB" w:rsidRDefault="00023FAB" w:rsidP="00D76632">
      <w:pPr>
        <w:keepNext/>
        <w:rPr>
          <w:b/>
          <w:bCs/>
          <w:color w:val="4472C4" w:themeColor="accent1"/>
          <w:sz w:val="24"/>
          <w:szCs w:val="24"/>
        </w:rPr>
      </w:pPr>
      <w:r w:rsidRPr="001D0803">
        <w:rPr>
          <w:b/>
          <w:bCs/>
          <w:color w:val="4472C4" w:themeColor="accent1"/>
          <w:sz w:val="24"/>
          <w:szCs w:val="24"/>
        </w:rPr>
        <w:t xml:space="preserve">Guidance </w:t>
      </w:r>
    </w:p>
    <w:p w14:paraId="469AEF1F" w14:textId="77777777" w:rsidR="00B159B2" w:rsidRPr="001F53CC" w:rsidRDefault="00B159B2" w:rsidP="00D76632">
      <w:pPr>
        <w:keepNext/>
        <w:rPr>
          <w:rStyle w:val="Guidance"/>
          <w:rFonts w:ascii="Arial" w:hAnsi="Arial" w:cs="Arial"/>
        </w:rPr>
      </w:pPr>
      <w:r w:rsidRPr="001F53CC">
        <w:rPr>
          <w:rStyle w:val="Guidance"/>
          <w:rFonts w:ascii="Arial" w:hAnsi="Arial" w:cs="Arial"/>
        </w:rPr>
        <w:t>The following information is to be disclosed:</w:t>
      </w:r>
    </w:p>
    <w:p w14:paraId="40D44178" w14:textId="22BC393C" w:rsidR="00B159B2" w:rsidRPr="001F53CC" w:rsidRDefault="00E202D8" w:rsidP="00D76632">
      <w:pPr>
        <w:pStyle w:val="ListBullet"/>
        <w:keepNext/>
        <w:rPr>
          <w:rStyle w:val="Guidance"/>
          <w:rFonts w:ascii="Arial" w:hAnsi="Arial" w:cs="Arial"/>
        </w:rPr>
      </w:pPr>
      <w:r>
        <w:rPr>
          <w:rStyle w:val="Guidance"/>
          <w:rFonts w:ascii="Arial" w:hAnsi="Arial" w:cs="Arial"/>
        </w:rPr>
        <w:t>T</w:t>
      </w:r>
      <w:r w:rsidR="00B159B2" w:rsidRPr="001F53CC">
        <w:rPr>
          <w:rStyle w:val="Guidance"/>
          <w:rFonts w:ascii="Arial" w:hAnsi="Arial" w:cs="Arial"/>
        </w:rPr>
        <w:t xml:space="preserve">he </w:t>
      </w:r>
      <w:hyperlink r:id="rId76" w:history="1">
        <w:r w:rsidR="002515D2" w:rsidRPr="00EC6252">
          <w:rPr>
            <w:rStyle w:val="Hyperlink"/>
            <w:rFonts w:ascii="Arial" w:hAnsi="Arial" w:cs="Arial"/>
          </w:rPr>
          <w:t>Social Procurement Framework</w:t>
        </w:r>
      </w:hyperlink>
      <w:r w:rsidR="002515D2" w:rsidRPr="001F53CC">
        <w:rPr>
          <w:rStyle w:val="Guidance"/>
          <w:rFonts w:ascii="Arial" w:hAnsi="Arial" w:cs="Arial"/>
        </w:rPr>
        <w:t xml:space="preserve"> </w:t>
      </w:r>
      <w:r w:rsidR="00B159B2" w:rsidRPr="001F53CC">
        <w:rPr>
          <w:rStyle w:val="Guidance"/>
          <w:rFonts w:ascii="Arial" w:hAnsi="Arial" w:cs="Arial"/>
        </w:rPr>
        <w:t xml:space="preserve">objectives </w:t>
      </w:r>
      <w:r w:rsidR="00EE0335">
        <w:rPr>
          <w:rStyle w:val="Guidance"/>
          <w:rFonts w:ascii="Arial" w:hAnsi="Arial" w:cs="Arial"/>
        </w:rPr>
        <w:t>and</w:t>
      </w:r>
      <w:r w:rsidR="00B159B2" w:rsidRPr="001F53CC">
        <w:rPr>
          <w:rStyle w:val="Guidance"/>
          <w:rFonts w:ascii="Arial" w:hAnsi="Arial" w:cs="Arial"/>
        </w:rPr>
        <w:t xml:space="preserve"> outcomes prioritised in the </w:t>
      </w:r>
      <w:r w:rsidR="007610F2">
        <w:rPr>
          <w:rStyle w:val="Guidance"/>
          <w:rFonts w:ascii="Arial" w:hAnsi="Arial" w:cs="Arial"/>
        </w:rPr>
        <w:t>entity’s</w:t>
      </w:r>
      <w:r w:rsidR="00B159B2" w:rsidRPr="001F53CC">
        <w:rPr>
          <w:rStyle w:val="Guidance"/>
          <w:rFonts w:ascii="Arial" w:hAnsi="Arial" w:cs="Arial"/>
        </w:rPr>
        <w:t xml:space="preserve"> Social Procurement Strategy</w:t>
      </w:r>
    </w:p>
    <w:p w14:paraId="29E05DD4" w14:textId="543EF7C5" w:rsidR="00B159B2" w:rsidRPr="00431169" w:rsidRDefault="003E69E8" w:rsidP="00B159B2">
      <w:pPr>
        <w:pStyle w:val="ListBullet"/>
        <w:rPr>
          <w:rStyle w:val="Guidance"/>
          <w:rFonts w:ascii="Arial" w:hAnsi="Arial" w:cs="Arial"/>
        </w:rPr>
      </w:pPr>
      <w:r>
        <w:rPr>
          <w:rStyle w:val="Guidance"/>
          <w:rFonts w:ascii="Arial" w:hAnsi="Arial" w:cs="Arial"/>
        </w:rPr>
        <w:t>A</w:t>
      </w:r>
      <w:r w:rsidR="00B159B2" w:rsidRPr="001F53CC">
        <w:rPr>
          <w:rStyle w:val="Guidance"/>
          <w:rFonts w:ascii="Arial" w:hAnsi="Arial" w:cs="Arial"/>
        </w:rPr>
        <w:t xml:space="preserve"> summary of activities to support the </w:t>
      </w:r>
      <w:r w:rsidR="007610F2">
        <w:rPr>
          <w:rStyle w:val="Guidance"/>
          <w:rFonts w:ascii="Arial" w:hAnsi="Arial" w:cs="Arial"/>
        </w:rPr>
        <w:t>entity’s</w:t>
      </w:r>
      <w:r w:rsidR="00B159B2" w:rsidRPr="001F53CC">
        <w:rPr>
          <w:rStyle w:val="Guidance"/>
          <w:rFonts w:ascii="Arial" w:hAnsi="Arial" w:cs="Arial"/>
        </w:rPr>
        <w:t xml:space="preserve"> Social Procurement Strategy during the reporting period (e.g.</w:t>
      </w:r>
      <w:r w:rsidR="0027551E">
        <w:rPr>
          <w:rStyle w:val="Guidance"/>
          <w:rFonts w:ascii="Arial" w:hAnsi="Arial" w:cs="Arial"/>
        </w:rPr>
        <w:t> </w:t>
      </w:r>
      <w:r w:rsidR="00B159B2" w:rsidRPr="001F53CC">
        <w:rPr>
          <w:rStyle w:val="Guidance"/>
          <w:rFonts w:ascii="Arial" w:hAnsi="Arial" w:cs="Arial"/>
        </w:rPr>
        <w:t>capability building, changes to processes or systems to support social procurement, supplier engagement</w:t>
      </w:r>
      <w:r w:rsidR="0027551E">
        <w:rPr>
          <w:rStyle w:val="Guidance"/>
          <w:rFonts w:ascii="Arial" w:hAnsi="Arial" w:cs="Arial"/>
        </w:rPr>
        <w:t> </w:t>
      </w:r>
      <w:r w:rsidR="00B159B2" w:rsidRPr="001F53CC">
        <w:rPr>
          <w:rStyle w:val="Guidance"/>
          <w:rFonts w:ascii="Arial" w:hAnsi="Arial" w:cs="Arial"/>
        </w:rPr>
        <w:t>activities)</w:t>
      </w:r>
    </w:p>
    <w:p w14:paraId="37A1A639" w14:textId="7A5EEC7D" w:rsidR="00023FAB" w:rsidRPr="006001BA" w:rsidRDefault="003E69E8" w:rsidP="006001BA">
      <w:pPr>
        <w:pStyle w:val="ListBullet"/>
        <w:rPr>
          <w:rStyle w:val="Guidance"/>
          <w:rFonts w:ascii="Arial" w:hAnsi="Arial" w:cs="Arial"/>
        </w:rPr>
      </w:pPr>
      <w:bookmarkStart w:id="170" w:name="_Hlk187912807"/>
      <w:r>
        <w:rPr>
          <w:rStyle w:val="Guidance"/>
          <w:rFonts w:ascii="Arial" w:hAnsi="Arial" w:cs="Arial"/>
        </w:rPr>
        <w:t>A</w:t>
      </w:r>
      <w:r w:rsidR="00B159B2" w:rsidRPr="00431169">
        <w:rPr>
          <w:rStyle w:val="Guidance"/>
          <w:rFonts w:ascii="Arial" w:hAnsi="Arial" w:cs="Arial"/>
        </w:rPr>
        <w:t xml:space="preserve"> summary of key achievements in delivering </w:t>
      </w:r>
      <w:r w:rsidR="00C21CD0">
        <w:rPr>
          <w:rStyle w:val="Guidance"/>
          <w:rFonts w:ascii="Arial" w:hAnsi="Arial" w:cs="Arial"/>
        </w:rPr>
        <w:t xml:space="preserve">the </w:t>
      </w:r>
      <w:r w:rsidR="00B159B2" w:rsidRPr="00431169">
        <w:rPr>
          <w:rStyle w:val="Guidance"/>
          <w:rFonts w:ascii="Arial" w:hAnsi="Arial" w:cs="Arial"/>
        </w:rPr>
        <w:t>Social Procurement Framework</w:t>
      </w:r>
      <w:r w:rsidR="00B159B2" w:rsidRPr="001F53CC">
        <w:rPr>
          <w:rStyle w:val="Guidance"/>
          <w:rFonts w:ascii="Arial" w:hAnsi="Arial" w:cs="Arial"/>
        </w:rPr>
        <w:t xml:space="preserve"> outcomes during the reporting period, including social procurement direct spend </w:t>
      </w:r>
      <w:r w:rsidR="00B159B2" w:rsidRPr="0021003C">
        <w:rPr>
          <w:rStyle w:val="Guidance"/>
          <w:rFonts w:ascii="Arial" w:hAnsi="Arial" w:cs="Arial"/>
        </w:rPr>
        <w:t>(excl. GST)</w:t>
      </w:r>
      <w:r w:rsidR="00B518E6">
        <w:rPr>
          <w:rStyle w:val="Guidance"/>
          <w:rFonts w:ascii="Arial" w:hAnsi="Arial" w:cs="Arial"/>
        </w:rPr>
        <w:t>.</w:t>
      </w:r>
      <w:bookmarkEnd w:id="170"/>
      <w:r w:rsidR="00F00B3E">
        <w:rPr>
          <w:rStyle w:val="Guidance"/>
          <w:rFonts w:ascii="Arial" w:hAnsi="Arial" w:cs="Arial"/>
        </w:rPr>
        <w:t xml:space="preserve"> </w:t>
      </w:r>
      <w:r w:rsidR="00F00B3E" w:rsidRPr="008A4638">
        <w:rPr>
          <w:rStyle w:val="Reference"/>
        </w:rPr>
        <w:t>[FRD 22</w:t>
      </w:r>
      <w:r w:rsidR="00F00B3E">
        <w:rPr>
          <w:rStyle w:val="Reference"/>
        </w:rPr>
        <w:t xml:space="preserve"> Revised Paragraph 5.19</w:t>
      </w:r>
      <w:r w:rsidR="00F00B3E" w:rsidRPr="008A4638">
        <w:rPr>
          <w:rStyle w:val="Reference"/>
        </w:rPr>
        <w:t>]</w:t>
      </w:r>
      <w:r>
        <w:rPr>
          <w:rStyle w:val="Reference"/>
        </w:rPr>
        <w:t>.</w:t>
      </w:r>
    </w:p>
    <w:p w14:paraId="59B3FA52" w14:textId="5DBFAC91" w:rsidR="00084876" w:rsidRPr="005E289E" w:rsidRDefault="00084876" w:rsidP="005E289E">
      <w:pPr>
        <w:rPr>
          <w:rStyle w:val="Guidance"/>
        </w:rPr>
      </w:pPr>
      <w:r w:rsidRPr="005E289E">
        <w:rPr>
          <w:rStyle w:val="Guidance"/>
        </w:rPr>
        <w:lastRenderedPageBreak/>
        <w:t>Reporting on achievements under the Social Procurement Framework is intended to be broad and flexible, rather than prescriptive. This reflects that the Social Procurement Framework does not establish prescriptive whole</w:t>
      </w:r>
      <w:r w:rsidR="003E69E8">
        <w:rPr>
          <w:rStyle w:val="Guidance"/>
        </w:rPr>
        <w:t xml:space="preserve"> </w:t>
      </w:r>
      <w:r w:rsidRPr="005E289E">
        <w:rPr>
          <w:rStyle w:val="Guidance"/>
        </w:rPr>
        <w:t>of</w:t>
      </w:r>
      <w:r w:rsidR="003E69E8">
        <w:rPr>
          <w:rStyle w:val="Guidance"/>
        </w:rPr>
        <w:t xml:space="preserve"> </w:t>
      </w:r>
      <w:r w:rsidRPr="005E289E">
        <w:rPr>
          <w:rStyle w:val="Guidance"/>
        </w:rPr>
        <w:t xml:space="preserve">government targets, benchmarks, or other performance measures. </w:t>
      </w:r>
    </w:p>
    <w:p w14:paraId="055C5081" w14:textId="77777777" w:rsidR="00084876" w:rsidRPr="005E289E" w:rsidRDefault="00084876" w:rsidP="005E289E">
      <w:pPr>
        <w:rPr>
          <w:rStyle w:val="Guidance"/>
        </w:rPr>
      </w:pPr>
      <w:r w:rsidRPr="005E289E">
        <w:rPr>
          <w:rStyle w:val="Guidance"/>
        </w:rPr>
        <w:t>The Social Procurement Framework requires entities to develop a Social Procurement Strategy that, among other things, outlines which social and sustainable objectives they prioritise. The Social Procurement Framework requires entities to report on their achievements for the reporting period, focusing on the social procurement objectives prioritised in their social procurement strategy. This includes a high-level summary of activities that support implementation of the Social Procurement Strategy (e.g. initiatives that build social procurement capability) and key achievements in delivering social and sustainable outcomes (e.g. spend with social benefit suppliers). </w:t>
      </w:r>
    </w:p>
    <w:p w14:paraId="0CA7397A" w14:textId="53554672" w:rsidR="00ED1BD6" w:rsidRPr="005E289E" w:rsidRDefault="00084876" w:rsidP="00966C0B">
      <w:pPr>
        <w:rPr>
          <w:rStyle w:val="Guidance"/>
        </w:rPr>
      </w:pPr>
      <w:r w:rsidRPr="005E289E">
        <w:rPr>
          <w:rStyle w:val="Guidance"/>
        </w:rPr>
        <w:t>Entities may set their own targets, benchmarks and performance measures in their Social Procurement Strategy, based on their priorities, capability, and procurement profile. Developing a baseline and a target or standard for performance in the entity’s Social Procurement Strategy facilitates the communication of performance progress. In some cases, the ability to quantify and provide data may not be possible or relevant</w:t>
      </w:r>
      <w:r w:rsidR="007C201E" w:rsidRPr="007C5418">
        <w:rPr>
          <w:rStyle w:val="Guidance"/>
        </w:rPr>
        <w:t>;</w:t>
      </w:r>
      <w:r w:rsidRPr="005E289E">
        <w:rPr>
          <w:rStyle w:val="Guidance"/>
        </w:rPr>
        <w:t xml:space="preserve"> and </w:t>
      </w:r>
      <w:r w:rsidR="007C5418" w:rsidRPr="007C5418">
        <w:rPr>
          <w:rStyle w:val="Guidance"/>
        </w:rPr>
        <w:t>therefore,</w:t>
      </w:r>
      <w:r w:rsidRPr="005E289E">
        <w:rPr>
          <w:rStyle w:val="Guidance"/>
        </w:rPr>
        <w:t xml:space="preserve"> entities </w:t>
      </w:r>
      <w:r w:rsidR="007C201E" w:rsidRPr="005E289E">
        <w:rPr>
          <w:rStyle w:val="Guidance"/>
        </w:rPr>
        <w:t>may</w:t>
      </w:r>
      <w:r w:rsidRPr="005E289E">
        <w:rPr>
          <w:rStyle w:val="Guidance"/>
        </w:rPr>
        <w:t xml:space="preserve"> </w:t>
      </w:r>
      <w:r w:rsidR="007C201E" w:rsidRPr="005E289E">
        <w:rPr>
          <w:rStyle w:val="Guidance"/>
        </w:rPr>
        <w:t>need to disclose</w:t>
      </w:r>
      <w:r w:rsidRPr="005E289E">
        <w:rPr>
          <w:rStyle w:val="Guidance"/>
        </w:rPr>
        <w:t xml:space="preserve"> any </w:t>
      </w:r>
      <w:r w:rsidR="006F3CC0" w:rsidRPr="005E289E">
        <w:rPr>
          <w:rStyle w:val="Guidance"/>
        </w:rPr>
        <w:t xml:space="preserve">other </w:t>
      </w:r>
      <w:r w:rsidRPr="005E289E">
        <w:rPr>
          <w:rStyle w:val="Guidance"/>
        </w:rPr>
        <w:t>relevant information or supporting evidence</w:t>
      </w:r>
      <w:r w:rsidR="006F3CC0" w:rsidRPr="005E289E">
        <w:rPr>
          <w:rStyle w:val="Guidance"/>
        </w:rPr>
        <w:t xml:space="preserve"> where applicable</w:t>
      </w:r>
      <w:r w:rsidRPr="00966C0B">
        <w:rPr>
          <w:rStyle w:val="Guidance"/>
        </w:rPr>
        <w:t>.</w:t>
      </w:r>
    </w:p>
    <w:p w14:paraId="04A4B07C" w14:textId="536D2450" w:rsidR="00B321D7" w:rsidRPr="006001BA" w:rsidRDefault="00B321D7" w:rsidP="00B321D7">
      <w:pPr>
        <w:pStyle w:val="ListBullet"/>
        <w:numPr>
          <w:ilvl w:val="0"/>
          <w:numId w:val="0"/>
        </w:numPr>
        <w:rPr>
          <w:rStyle w:val="Guidance"/>
          <w:i/>
          <w:iCs/>
        </w:rPr>
      </w:pPr>
      <w:r w:rsidRPr="006001BA">
        <w:rPr>
          <w:rStyle w:val="Guidance"/>
          <w:b/>
          <w:bCs/>
          <w:i/>
          <w:iCs/>
        </w:rPr>
        <w:t>Notes</w:t>
      </w:r>
      <w:r w:rsidRPr="006001BA">
        <w:rPr>
          <w:rStyle w:val="Guidance"/>
          <w:i/>
          <w:iCs/>
        </w:rPr>
        <w:t>:</w:t>
      </w:r>
    </w:p>
    <w:p w14:paraId="251BC1FA" w14:textId="6AA37A65" w:rsidR="00B321D7" w:rsidRPr="0082522E" w:rsidRDefault="00B321D7" w:rsidP="00B321D7">
      <w:pPr>
        <w:pStyle w:val="ListBullet"/>
        <w:numPr>
          <w:ilvl w:val="0"/>
          <w:numId w:val="65"/>
        </w:numPr>
        <w:rPr>
          <w:rStyle w:val="Guidance"/>
        </w:rPr>
      </w:pPr>
      <w:r w:rsidRPr="006001BA">
        <w:rPr>
          <w:color w:val="4472C4" w:themeColor="accent1"/>
        </w:rPr>
        <w:t>The</w:t>
      </w:r>
      <w:r w:rsidR="0027551E">
        <w:rPr>
          <w:i/>
          <w:iCs/>
          <w:color w:val="4472C4" w:themeColor="accent1"/>
        </w:rPr>
        <w:t xml:space="preserve"> </w:t>
      </w:r>
      <w:r w:rsidRPr="006001BA">
        <w:rPr>
          <w:color w:val="4472C4" w:themeColor="accent1"/>
        </w:rPr>
        <w:t>Social Procurement Framework</w:t>
      </w:r>
      <w:r w:rsidR="0027551E">
        <w:rPr>
          <w:color w:val="4472C4" w:themeColor="accent1"/>
        </w:rPr>
        <w:t xml:space="preserve"> </w:t>
      </w:r>
      <w:r w:rsidRPr="005E289E">
        <w:rPr>
          <w:color w:val="4472C4" w:themeColor="accent1"/>
        </w:rPr>
        <w:t>requires</w:t>
      </w:r>
      <w:r w:rsidRPr="0082522E">
        <w:rPr>
          <w:i/>
          <w:iCs/>
          <w:color w:val="4472C4" w:themeColor="accent1"/>
        </w:rPr>
        <w:t xml:space="preserve"> </w:t>
      </w:r>
      <w:r w:rsidRPr="0082522E">
        <w:rPr>
          <w:color w:val="4472C4" w:themeColor="accent1"/>
        </w:rPr>
        <w:t xml:space="preserve">all entities to develop a Social Procurement Strategy. </w:t>
      </w:r>
      <w:r w:rsidRPr="0082522E">
        <w:rPr>
          <w:rStyle w:val="Guidance"/>
        </w:rPr>
        <w:t xml:space="preserve">An </w:t>
      </w:r>
      <w:r>
        <w:rPr>
          <w:rStyle w:val="Guidance"/>
        </w:rPr>
        <w:t>entity</w:t>
      </w:r>
      <w:r w:rsidRPr="0082522E">
        <w:rPr>
          <w:rStyle w:val="Guidance"/>
        </w:rPr>
        <w:t xml:space="preserve"> is not required to develop a Social Procurement Strategy if:</w:t>
      </w:r>
    </w:p>
    <w:p w14:paraId="34ED4726" w14:textId="1B67F330" w:rsidR="00B321D7" w:rsidRPr="0082522E" w:rsidRDefault="00B321D7" w:rsidP="00B321D7">
      <w:pPr>
        <w:pStyle w:val="ListBullet"/>
        <w:numPr>
          <w:ilvl w:val="1"/>
          <w:numId w:val="65"/>
        </w:numPr>
        <w:rPr>
          <w:rStyle w:val="Guidance"/>
        </w:rPr>
      </w:pPr>
      <w:r w:rsidRPr="0082522E">
        <w:rPr>
          <w:rStyle w:val="Guidance"/>
        </w:rPr>
        <w:t>its total annual procurement spend is less than $10 million</w:t>
      </w:r>
    </w:p>
    <w:p w14:paraId="0DCF408B" w14:textId="11FD28A8" w:rsidR="00B321D7" w:rsidRPr="0082522E" w:rsidRDefault="00B321D7" w:rsidP="00B321D7">
      <w:pPr>
        <w:pStyle w:val="ListBullet"/>
        <w:numPr>
          <w:ilvl w:val="1"/>
          <w:numId w:val="65"/>
        </w:numPr>
        <w:rPr>
          <w:rStyle w:val="Guidance"/>
        </w:rPr>
      </w:pPr>
      <w:r w:rsidRPr="0082522E">
        <w:rPr>
          <w:rStyle w:val="Guidance"/>
        </w:rPr>
        <w:t>all procurement activities are valued less than $</w:t>
      </w:r>
      <w:r w:rsidR="00A76371" w:rsidRPr="0082522E">
        <w:rPr>
          <w:rStyle w:val="Guidance"/>
        </w:rPr>
        <w:t>50</w:t>
      </w:r>
      <w:r w:rsidRPr="0082522E">
        <w:rPr>
          <w:rStyle w:val="Guidance"/>
        </w:rPr>
        <w:t>,000</w:t>
      </w:r>
    </w:p>
    <w:p w14:paraId="62EBCFC3" w14:textId="58CC1D77" w:rsidR="00B321D7" w:rsidRPr="0082522E" w:rsidRDefault="00B321D7" w:rsidP="00B321D7">
      <w:pPr>
        <w:pStyle w:val="ListBullet"/>
        <w:numPr>
          <w:ilvl w:val="1"/>
          <w:numId w:val="65"/>
        </w:numPr>
        <w:rPr>
          <w:rStyle w:val="Guidance"/>
        </w:rPr>
      </w:pPr>
      <w:r w:rsidRPr="0082522E">
        <w:rPr>
          <w:rStyle w:val="Guidance"/>
        </w:rPr>
        <w:t>it follows its lead department’s procurement policies and practices</w:t>
      </w:r>
      <w:r w:rsidR="00F85C59">
        <w:rPr>
          <w:rStyle w:val="Guidance"/>
        </w:rPr>
        <w:t>.</w:t>
      </w:r>
    </w:p>
    <w:p w14:paraId="0B8E5FAF" w14:textId="77777777" w:rsidR="00B321D7" w:rsidRDefault="00B321D7" w:rsidP="00F85C59">
      <w:pPr>
        <w:pStyle w:val="ListBullet"/>
        <w:numPr>
          <w:ilvl w:val="0"/>
          <w:numId w:val="0"/>
        </w:numPr>
        <w:ind w:left="360"/>
        <w:rPr>
          <w:rStyle w:val="Guidance"/>
        </w:rPr>
      </w:pPr>
      <w:r w:rsidRPr="0082522E">
        <w:rPr>
          <w:rStyle w:val="Guidance"/>
        </w:rPr>
        <w:t>These Agencies must complete a social procurement commitment instead</w:t>
      </w:r>
      <w:r>
        <w:rPr>
          <w:rStyle w:val="Guidance"/>
        </w:rPr>
        <w:t xml:space="preserve"> and report </w:t>
      </w:r>
      <w:r w:rsidRPr="00024ACC">
        <w:rPr>
          <w:rStyle w:val="Guidance"/>
        </w:rPr>
        <w:t>a summary of key achievements in delivering Social Procurement Framework outcomes during the reporting period, including social procurement direct spend</w:t>
      </w:r>
      <w:r>
        <w:rPr>
          <w:rStyle w:val="Guidance"/>
        </w:rPr>
        <w:t>.</w:t>
      </w:r>
    </w:p>
    <w:p w14:paraId="65BD7A8F" w14:textId="11B9851E" w:rsidR="002F1E07" w:rsidRPr="006001BA" w:rsidRDefault="002F1E07" w:rsidP="002F1E07">
      <w:pPr>
        <w:pStyle w:val="ListBullet"/>
        <w:numPr>
          <w:ilvl w:val="0"/>
          <w:numId w:val="65"/>
        </w:numPr>
        <w:rPr>
          <w:color w:val="4472C4" w:themeColor="accent1"/>
        </w:rPr>
      </w:pPr>
      <w:r w:rsidRPr="006001BA">
        <w:rPr>
          <w:color w:val="4472C4" w:themeColor="accent1"/>
        </w:rPr>
        <w:t>Refer to the</w:t>
      </w:r>
      <w:r w:rsidRPr="003B511F">
        <w:rPr>
          <w:i/>
          <w:iCs/>
          <w:color w:val="4472C4" w:themeColor="accent1"/>
        </w:rPr>
        <w:t xml:space="preserve"> ‘SPF Measurement and Reporting Guidelines’ </w:t>
      </w:r>
      <w:r w:rsidRPr="006001BA">
        <w:rPr>
          <w:color w:val="4472C4" w:themeColor="accent1"/>
        </w:rPr>
        <w:t xml:space="preserve">for additional guidance on how to prepare your </w:t>
      </w:r>
      <w:r w:rsidR="00C64F2C">
        <w:rPr>
          <w:color w:val="4472C4" w:themeColor="accent1"/>
        </w:rPr>
        <w:t>entity’s</w:t>
      </w:r>
      <w:r w:rsidRPr="006001BA">
        <w:rPr>
          <w:color w:val="4472C4" w:themeColor="accent1"/>
        </w:rPr>
        <w:t xml:space="preserve"> social procurement reporting, including definitions and complete reporting templates. Contact </w:t>
      </w:r>
      <w:hyperlink r:id="rId77" w:history="1">
        <w:r w:rsidRPr="006001BA">
          <w:rPr>
            <w:rStyle w:val="Hyperlink"/>
          </w:rPr>
          <w:t>social.procurement@dgs.vic.gov.au</w:t>
        </w:r>
      </w:hyperlink>
      <w:r>
        <w:rPr>
          <w:color w:val="4472C4" w:themeColor="accent1"/>
        </w:rPr>
        <w:t xml:space="preserve"> </w:t>
      </w:r>
      <w:hyperlink r:id="rId78" w:history="1"/>
      <w:r w:rsidRPr="006001BA">
        <w:rPr>
          <w:color w:val="4472C4" w:themeColor="accent1"/>
        </w:rPr>
        <w:t>for these guidelines.</w:t>
      </w:r>
    </w:p>
    <w:p w14:paraId="64DB69F9" w14:textId="535DDF16" w:rsidR="0016685F" w:rsidRPr="00B17E72" w:rsidRDefault="0016685F" w:rsidP="0016685F">
      <w:pPr>
        <w:pStyle w:val="Heading2"/>
      </w:pPr>
      <w:bookmarkStart w:id="171" w:name="_Disclosure_of_procurement"/>
      <w:bookmarkStart w:id="172" w:name="INDEX_ProcurementComplaints"/>
      <w:bookmarkStart w:id="173" w:name="_Toc199156301"/>
      <w:bookmarkEnd w:id="171"/>
      <w:r w:rsidRPr="003E7A4D">
        <w:t>Disclosure of procurement complaints</w:t>
      </w:r>
      <w:bookmarkEnd w:id="172"/>
      <w:r>
        <w:t xml:space="preserve"> </w:t>
      </w:r>
      <w:r w:rsidRPr="008A4638">
        <w:rPr>
          <w:rStyle w:val="Reference"/>
        </w:rPr>
        <w:t>[FRD 22</w:t>
      </w:r>
      <w:r>
        <w:rPr>
          <w:rStyle w:val="Reference"/>
        </w:rPr>
        <w:t xml:space="preserve"> </w:t>
      </w:r>
      <w:r w:rsidR="00334EE3">
        <w:rPr>
          <w:rStyle w:val="Reference"/>
        </w:rPr>
        <w:t xml:space="preserve">Revised </w:t>
      </w:r>
      <w:r>
        <w:rPr>
          <w:rStyle w:val="Reference"/>
        </w:rPr>
        <w:t>Paragraph 5</w:t>
      </w:r>
      <w:r w:rsidR="00D41419">
        <w:rPr>
          <w:rStyle w:val="Reference"/>
        </w:rPr>
        <w:t>.</w:t>
      </w:r>
      <w:r w:rsidR="002E276B">
        <w:rPr>
          <w:rStyle w:val="Reference"/>
        </w:rPr>
        <w:t>20</w:t>
      </w:r>
      <w:r w:rsidRPr="008A4638">
        <w:rPr>
          <w:rStyle w:val="Reference"/>
        </w:rPr>
        <w:t>]</w:t>
      </w:r>
      <w:bookmarkEnd w:id="173"/>
    </w:p>
    <w:p w14:paraId="507D555D" w14:textId="77777777" w:rsidR="0016685F" w:rsidRDefault="0016685F" w:rsidP="0016685F">
      <w:r>
        <w:t xml:space="preserve">Under the Governance Policy of the Victorian Government Purchasing Board (VGPB), the Department must disclose any formal complaints relating to the procurement of goods and services received through its procurement complaints management system. </w:t>
      </w:r>
    </w:p>
    <w:p w14:paraId="7340BDCE" w14:textId="1A103E4A" w:rsidR="0016685F" w:rsidRPr="0006403A" w:rsidRDefault="0016685F" w:rsidP="0016685F">
      <w:pPr>
        <w:rPr>
          <w:color w:val="FF0000"/>
        </w:rPr>
      </w:pPr>
      <w:r w:rsidRPr="00367602">
        <w:t xml:space="preserve">The </w:t>
      </w:r>
      <w:r>
        <w:t>D</w:t>
      </w:r>
      <w:r w:rsidRPr="00367602">
        <w:t xml:space="preserve">epartment received one formal complaint through its procurement complaints management system in </w:t>
      </w:r>
      <w:fldSimple w:instr="DOCPROPERTY  FinYearCurrent  \* MERGEFORMAT">
        <w:r w:rsidR="00AA4D1C">
          <w:t>20X1</w:t>
        </w:r>
        <w:r w:rsidR="00AA4D1C" w:rsidRPr="000E6299">
          <w:rPr>
            <w:rFonts w:ascii="Cambria Math" w:hAnsi="Cambria Math" w:cs="Cambria Math"/>
          </w:rPr>
          <w:t>‑</w:t>
        </w:r>
        <w:r w:rsidR="00AA4D1C">
          <w:t>X2</w:t>
        </w:r>
      </w:fldSimple>
      <w:r w:rsidRPr="00367602">
        <w:t xml:space="preserve">, relating to an open market procurement in which the supplier queried the </w:t>
      </w:r>
      <w:r>
        <w:t>D</w:t>
      </w:r>
      <w:r w:rsidRPr="00367602">
        <w:t>epartment’s adherence to its advertised evaluation process. A departmental review found that all procurement policies and processes had been adhered to and the complaint has been resolved</w:t>
      </w:r>
      <w:r>
        <w:t xml:space="preserve">. </w:t>
      </w:r>
      <w:r w:rsidRPr="00F545A1">
        <w:rPr>
          <w:color w:val="C00000"/>
        </w:rPr>
        <w:t xml:space="preserve">[FRD 22 </w:t>
      </w:r>
      <w:r w:rsidR="004E73DC">
        <w:rPr>
          <w:color w:val="C00000"/>
        </w:rPr>
        <w:t xml:space="preserve">Revised </w:t>
      </w:r>
      <w:r w:rsidRPr="00F545A1">
        <w:rPr>
          <w:color w:val="C00000"/>
        </w:rPr>
        <w:t>Paragraph 5.</w:t>
      </w:r>
      <w:r w:rsidR="002E276B">
        <w:rPr>
          <w:color w:val="C00000"/>
        </w:rPr>
        <w:t>20</w:t>
      </w:r>
      <w:r w:rsidRPr="00F545A1">
        <w:rPr>
          <w:color w:val="C00000"/>
        </w:rPr>
        <w:t>]</w:t>
      </w:r>
    </w:p>
    <w:p w14:paraId="15BE6CB1" w14:textId="77777777" w:rsidR="0016685F" w:rsidRPr="00DA3B47" w:rsidRDefault="0016685F" w:rsidP="00AC7A65">
      <w:pPr>
        <w:pStyle w:val="GuidanceBlockHeading"/>
      </w:pPr>
      <w:r w:rsidRPr="00D0288F">
        <w:t xml:space="preserve">Guidance – </w:t>
      </w:r>
      <w:r w:rsidRPr="007C4690">
        <w:t xml:space="preserve">Disclosure of </w:t>
      </w:r>
      <w:r>
        <w:t>p</w:t>
      </w:r>
      <w:r w:rsidRPr="007C4690">
        <w:t>rocurement</w:t>
      </w:r>
      <w:r>
        <w:t xml:space="preserve"> complaints</w:t>
      </w:r>
    </w:p>
    <w:p w14:paraId="455C88A9" w14:textId="77777777" w:rsidR="0016685F" w:rsidRPr="001D0803" w:rsidRDefault="0016685F" w:rsidP="00AC7A65">
      <w:pPr>
        <w:pStyle w:val="GuidanceHeading"/>
      </w:pPr>
      <w:r w:rsidRPr="001D0803">
        <w:t xml:space="preserve">Legislative and documented references </w:t>
      </w:r>
    </w:p>
    <w:p w14:paraId="09F38461" w14:textId="77777777" w:rsidR="0016685F" w:rsidRPr="00AB5741" w:rsidRDefault="0016685F" w:rsidP="0016685F">
      <w:pPr>
        <w:rPr>
          <w:rStyle w:val="Guidance"/>
        </w:rPr>
      </w:pPr>
      <w:r w:rsidRPr="00AB5741">
        <w:rPr>
          <w:rStyle w:val="Guidance"/>
        </w:rPr>
        <w:t>FRD</w:t>
      </w:r>
      <w:r>
        <w:rPr>
          <w:rStyle w:val="Guidance"/>
        </w:rPr>
        <w:t xml:space="preserve"> </w:t>
      </w:r>
      <w:r w:rsidRPr="00AB5741">
        <w:rPr>
          <w:rStyle w:val="Guidance"/>
        </w:rPr>
        <w:t>22</w:t>
      </w:r>
      <w:r>
        <w:rPr>
          <w:rStyle w:val="Guidance"/>
        </w:rPr>
        <w:t xml:space="preserve"> </w:t>
      </w:r>
      <w:r w:rsidRPr="008217BC">
        <w:rPr>
          <w:rStyle w:val="Guidance"/>
        </w:rPr>
        <w:t>applies</w:t>
      </w:r>
      <w:r w:rsidRPr="00AB5741">
        <w:rPr>
          <w:rStyle w:val="Guidance"/>
        </w:rPr>
        <w:t xml:space="preserve"> to</w:t>
      </w:r>
      <w:r>
        <w:rPr>
          <w:rStyle w:val="Guidance"/>
        </w:rPr>
        <w:t xml:space="preserve"> all entities that are within the scope of the </w:t>
      </w:r>
      <w:r w:rsidRPr="00496808">
        <w:rPr>
          <w:rStyle w:val="Guidance"/>
        </w:rPr>
        <w:t xml:space="preserve">Victorian Government Purchasing Board (VGPB) </w:t>
      </w:r>
      <w:r>
        <w:rPr>
          <w:rStyle w:val="Guidance"/>
        </w:rPr>
        <w:t>g</w:t>
      </w:r>
      <w:r w:rsidRPr="00496808">
        <w:rPr>
          <w:rStyle w:val="Guidance"/>
        </w:rPr>
        <w:t xml:space="preserve">oods and </w:t>
      </w:r>
      <w:r>
        <w:rPr>
          <w:rStyle w:val="Guidance"/>
        </w:rPr>
        <w:t>s</w:t>
      </w:r>
      <w:r w:rsidRPr="00496808">
        <w:rPr>
          <w:rStyle w:val="Guidance"/>
        </w:rPr>
        <w:t xml:space="preserve">ervices </w:t>
      </w:r>
      <w:r>
        <w:rPr>
          <w:rStyle w:val="Guidance"/>
        </w:rPr>
        <w:t>s</w:t>
      </w:r>
      <w:r w:rsidRPr="00496808">
        <w:rPr>
          <w:rStyle w:val="Guidance"/>
        </w:rPr>
        <w:t xml:space="preserve">upply </w:t>
      </w:r>
      <w:r>
        <w:rPr>
          <w:rStyle w:val="Guidance"/>
        </w:rPr>
        <w:t>p</w:t>
      </w:r>
      <w:r w:rsidRPr="00496808">
        <w:rPr>
          <w:rStyle w:val="Guidance"/>
        </w:rPr>
        <w:t>olicies</w:t>
      </w:r>
      <w:r w:rsidRPr="00496808" w:rsidDel="00496808">
        <w:rPr>
          <w:rStyle w:val="Guidance"/>
        </w:rPr>
        <w:t>.</w:t>
      </w:r>
      <w:r w:rsidRPr="00AB5741">
        <w:rPr>
          <w:rStyle w:val="Guidance"/>
        </w:rPr>
        <w:t xml:space="preserve"> </w:t>
      </w:r>
    </w:p>
    <w:p w14:paraId="5E2A2D91" w14:textId="77777777" w:rsidR="0016685F" w:rsidRPr="00AB5741" w:rsidRDefault="0016685F" w:rsidP="0016685F">
      <w:pPr>
        <w:rPr>
          <w:rStyle w:val="Guidance"/>
        </w:rPr>
      </w:pPr>
      <w:r w:rsidRPr="00654E40">
        <w:rPr>
          <w:rStyle w:val="Guidance"/>
        </w:rPr>
        <w:t xml:space="preserve">Under the </w:t>
      </w:r>
      <w:r>
        <w:rPr>
          <w:rStyle w:val="Guidance"/>
        </w:rPr>
        <w:t xml:space="preserve">VGPB </w:t>
      </w:r>
      <w:r w:rsidRPr="00654E40">
        <w:rPr>
          <w:rStyle w:val="Guidance"/>
        </w:rPr>
        <w:t xml:space="preserve">Governance </w:t>
      </w:r>
      <w:r>
        <w:rPr>
          <w:rStyle w:val="Guidance"/>
        </w:rPr>
        <w:t>Policy</w:t>
      </w:r>
      <w:r w:rsidRPr="00654E40">
        <w:rPr>
          <w:rStyle w:val="Guidance"/>
        </w:rPr>
        <w:t>,</w:t>
      </w:r>
      <w:r>
        <w:rPr>
          <w:rStyle w:val="Guidance"/>
        </w:rPr>
        <w:t xml:space="preserve"> entities must </w:t>
      </w:r>
      <w:r w:rsidRPr="00654E40">
        <w:rPr>
          <w:rStyle w:val="Guidance"/>
        </w:rPr>
        <w:t xml:space="preserve">disclose </w:t>
      </w:r>
      <w:r>
        <w:rPr>
          <w:rStyle w:val="Guidance"/>
        </w:rPr>
        <w:t>in their annual report key details in relation to each complaint received</w:t>
      </w:r>
      <w:r w:rsidRPr="00AB5741">
        <w:rPr>
          <w:rStyle w:val="Guidance"/>
        </w:rPr>
        <w:t>.</w:t>
      </w:r>
    </w:p>
    <w:p w14:paraId="1322F396" w14:textId="77777777" w:rsidR="0016685F" w:rsidRDefault="0016685F" w:rsidP="00AC7A65">
      <w:pPr>
        <w:pStyle w:val="GuidanceHeading"/>
      </w:pPr>
      <w:r w:rsidRPr="001D0803">
        <w:t xml:space="preserve">Guidance </w:t>
      </w:r>
    </w:p>
    <w:p w14:paraId="3EE78826" w14:textId="77777777" w:rsidR="0016685F" w:rsidRPr="00AB5741" w:rsidRDefault="0016685F" w:rsidP="0016685F">
      <w:pPr>
        <w:rPr>
          <w:rStyle w:val="Guidance"/>
        </w:rPr>
      </w:pPr>
      <w:r>
        <w:rPr>
          <w:rStyle w:val="Guidance"/>
        </w:rPr>
        <w:t>The d</w:t>
      </w:r>
      <w:r w:rsidRPr="00AB5741">
        <w:rPr>
          <w:rStyle w:val="Guidance"/>
        </w:rPr>
        <w:t xml:space="preserve">etails to be disclosed </w:t>
      </w:r>
      <w:r>
        <w:rPr>
          <w:rStyle w:val="Guidance"/>
        </w:rPr>
        <w:t>in relation to each complaint received are</w:t>
      </w:r>
      <w:r w:rsidRPr="00AB5741">
        <w:rPr>
          <w:rStyle w:val="Guidance"/>
        </w:rPr>
        <w:t>:</w:t>
      </w:r>
    </w:p>
    <w:p w14:paraId="535EFEA8" w14:textId="54F0DEF7" w:rsidR="0016685F" w:rsidRDefault="0016685F" w:rsidP="0016685F">
      <w:pPr>
        <w:pStyle w:val="ListBullet"/>
        <w:rPr>
          <w:rStyle w:val="Guidance"/>
        </w:rPr>
      </w:pPr>
      <w:r>
        <w:rPr>
          <w:rStyle w:val="Guidance"/>
        </w:rPr>
        <w:t>t</w:t>
      </w:r>
      <w:r w:rsidRPr="00B36476">
        <w:rPr>
          <w:rStyle w:val="Guidance"/>
        </w:rPr>
        <w:t>he procurement activity to which the complaint relates</w:t>
      </w:r>
      <w:r>
        <w:rPr>
          <w:rStyle w:val="Guidance"/>
        </w:rPr>
        <w:t xml:space="preserve"> to</w:t>
      </w:r>
      <w:r w:rsidR="00852DFF">
        <w:rPr>
          <w:rStyle w:val="Guidance"/>
        </w:rPr>
        <w:t>; and</w:t>
      </w:r>
    </w:p>
    <w:p w14:paraId="7E5C5F99" w14:textId="77777777" w:rsidR="0016685F" w:rsidRPr="00B36476" w:rsidRDefault="0016685F" w:rsidP="00AC7A65">
      <w:pPr>
        <w:pStyle w:val="ListBullet"/>
        <w:keepNext/>
        <w:rPr>
          <w:rStyle w:val="Guidance"/>
        </w:rPr>
      </w:pPr>
      <w:r w:rsidRPr="00D31BEA">
        <w:rPr>
          <w:rStyle w:val="Guidance"/>
        </w:rPr>
        <w:t xml:space="preserve">the </w:t>
      </w:r>
      <w:r w:rsidRPr="00B36476">
        <w:rPr>
          <w:rStyle w:val="Guidance"/>
        </w:rPr>
        <w:t>status of the complaint confirming whether it:</w:t>
      </w:r>
    </w:p>
    <w:p w14:paraId="38CC785A" w14:textId="05CBB0B9" w:rsidR="0016685F" w:rsidRPr="00B36476" w:rsidRDefault="0016685F" w:rsidP="00AC7A65">
      <w:pPr>
        <w:pStyle w:val="ListBullet2"/>
        <w:numPr>
          <w:ilvl w:val="1"/>
          <w:numId w:val="56"/>
        </w:numPr>
        <w:ind w:left="648"/>
        <w:contextualSpacing/>
        <w:rPr>
          <w:rStyle w:val="Guidance"/>
        </w:rPr>
      </w:pPr>
      <w:r w:rsidRPr="00B36476">
        <w:rPr>
          <w:rStyle w:val="Guidance"/>
        </w:rPr>
        <w:t>was resolved</w:t>
      </w:r>
    </w:p>
    <w:p w14:paraId="1731F3A2" w14:textId="3109D843" w:rsidR="0016685F" w:rsidRPr="00B36476" w:rsidRDefault="0016685F" w:rsidP="00AC7A65">
      <w:pPr>
        <w:pStyle w:val="ListBullet2"/>
        <w:numPr>
          <w:ilvl w:val="1"/>
          <w:numId w:val="56"/>
        </w:numPr>
        <w:ind w:left="648"/>
        <w:contextualSpacing/>
        <w:rPr>
          <w:rStyle w:val="Guidance"/>
        </w:rPr>
      </w:pPr>
      <w:r w:rsidRPr="00B36476">
        <w:rPr>
          <w:rStyle w:val="Guidance"/>
        </w:rPr>
        <w:t>is still under investigation</w:t>
      </w:r>
    </w:p>
    <w:p w14:paraId="725C46A5" w14:textId="77777777" w:rsidR="0016685F" w:rsidRDefault="0016685F" w:rsidP="00AC7A65">
      <w:pPr>
        <w:pStyle w:val="ListBullet2"/>
        <w:numPr>
          <w:ilvl w:val="1"/>
          <w:numId w:val="56"/>
        </w:numPr>
        <w:ind w:left="648"/>
        <w:contextualSpacing/>
        <w:rPr>
          <w:rStyle w:val="Guidance"/>
        </w:rPr>
      </w:pPr>
      <w:r w:rsidRPr="00B36476">
        <w:rPr>
          <w:rStyle w:val="Guidance"/>
        </w:rPr>
        <w:t>could not be resolved</w:t>
      </w:r>
      <w:r>
        <w:rPr>
          <w:rStyle w:val="Guidance"/>
        </w:rPr>
        <w:t>.</w:t>
      </w:r>
    </w:p>
    <w:p w14:paraId="33B23A24" w14:textId="77777777" w:rsidR="0016685F" w:rsidRPr="00AC7A65" w:rsidRDefault="0016685F" w:rsidP="00AC7A65">
      <w:pPr>
        <w:pStyle w:val="GuidanceHeading"/>
        <w:rPr>
          <w:rStyle w:val="Guidance"/>
        </w:rPr>
      </w:pPr>
      <w:r w:rsidRPr="00AC7A65">
        <w:rPr>
          <w:rStyle w:val="Guidance"/>
        </w:rPr>
        <w:lastRenderedPageBreak/>
        <w:t xml:space="preserve">Nil report statement </w:t>
      </w:r>
    </w:p>
    <w:p w14:paraId="146312E0" w14:textId="59A6BE65" w:rsidR="00301F45" w:rsidRDefault="0016685F" w:rsidP="00AA4D1C">
      <w:pPr>
        <w:ind w:right="-170"/>
        <w:rPr>
          <w:rStyle w:val="Guidance"/>
        </w:rPr>
      </w:pPr>
      <w:r w:rsidRPr="0002023D">
        <w:rPr>
          <w:rStyle w:val="Guidance"/>
        </w:rPr>
        <w:t xml:space="preserve">An explicit statement of ‘nil reports’ is required where no procurement complaints were received. The ‘nil reports’ statement is to be included in the same section as </w:t>
      </w:r>
      <w:r>
        <w:rPr>
          <w:rStyle w:val="Guidance"/>
        </w:rPr>
        <w:t xml:space="preserve">the </w:t>
      </w:r>
      <w:r w:rsidRPr="0002023D">
        <w:rPr>
          <w:rStyle w:val="Guidance"/>
        </w:rPr>
        <w:t xml:space="preserve">disclosure of procurement complaints would be reported in the </w:t>
      </w:r>
      <w:r>
        <w:rPr>
          <w:rStyle w:val="Guidance"/>
        </w:rPr>
        <w:t xml:space="preserve">annual </w:t>
      </w:r>
      <w:r w:rsidRPr="0002023D">
        <w:rPr>
          <w:rStyle w:val="Guidance"/>
        </w:rPr>
        <w:t>report</w:t>
      </w:r>
      <w:r>
        <w:rPr>
          <w:rStyle w:val="Guidance"/>
        </w:rPr>
        <w:t>.</w:t>
      </w:r>
    </w:p>
    <w:p w14:paraId="4B9DE30D" w14:textId="052D39F0" w:rsidR="00FE1C72" w:rsidRPr="00B17E72" w:rsidRDefault="00FE1C72" w:rsidP="00FE1C72">
      <w:pPr>
        <w:pStyle w:val="Heading2"/>
      </w:pPr>
      <w:bookmarkStart w:id="174" w:name="INDEX_EnvironmentalReporting"/>
      <w:bookmarkStart w:id="175" w:name="_Toc199156302"/>
      <w:bookmarkEnd w:id="174"/>
      <w:r>
        <w:t>Reporting</w:t>
      </w:r>
      <w:r w:rsidR="00D56107">
        <w:t xml:space="preserve"> of </w:t>
      </w:r>
      <w:r w:rsidR="00745AD4">
        <w:t>environmental</w:t>
      </w:r>
      <w:r w:rsidR="00D56107">
        <w:t xml:space="preserve"> </w:t>
      </w:r>
      <w:r w:rsidR="00C30CA8">
        <w:t xml:space="preserve">data </w:t>
      </w:r>
      <w:r w:rsidR="0055308C" w:rsidRPr="004E3458">
        <w:rPr>
          <w:rStyle w:val="Reference-Revised"/>
          <w:sz w:val="20"/>
        </w:rPr>
        <w:t>[REVISED]</w:t>
      </w:r>
      <w:r w:rsidR="0055308C" w:rsidRPr="008A4638">
        <w:rPr>
          <w:rStyle w:val="Reference"/>
        </w:rPr>
        <w:t xml:space="preserve"> </w:t>
      </w:r>
      <w:r w:rsidRPr="008A4638">
        <w:rPr>
          <w:rStyle w:val="Reference"/>
        </w:rPr>
        <w:t>[FRD 2</w:t>
      </w:r>
      <w:r w:rsidR="009E4B21">
        <w:rPr>
          <w:rStyle w:val="Reference"/>
        </w:rPr>
        <w:t>4</w:t>
      </w:r>
      <w:r w:rsidRPr="008A4638">
        <w:rPr>
          <w:rStyle w:val="Reference"/>
        </w:rPr>
        <w:t>]</w:t>
      </w:r>
      <w:bookmarkEnd w:id="175"/>
    </w:p>
    <w:p w14:paraId="5A23A62B" w14:textId="2DBDA0E6" w:rsidR="004330DD" w:rsidRDefault="004330DD" w:rsidP="004330DD">
      <w:r w:rsidRPr="678B3C75">
        <w:rPr>
          <w:color w:val="000000" w:themeColor="text1"/>
        </w:rPr>
        <w:t xml:space="preserve">The </w:t>
      </w:r>
      <w:r>
        <w:t>Department is committed to environmental sustainability in its operations. Sustainability and greenhouse gas emissions reduction form core parts of the Department’s corporate strategy</w:t>
      </w:r>
      <w:r w:rsidR="00F556A5">
        <w:t xml:space="preserve"> </w:t>
      </w:r>
      <w:r w:rsidR="00F556A5" w:rsidRPr="001F3237">
        <w:rPr>
          <w:rStyle w:val="Reference"/>
        </w:rPr>
        <w:t>[FRD</w:t>
      </w:r>
      <w:r w:rsidR="00F556A5">
        <w:rPr>
          <w:rStyle w:val="Reference"/>
        </w:rPr>
        <w:t> </w:t>
      </w:r>
      <w:r w:rsidR="00F556A5" w:rsidRPr="001F3237">
        <w:rPr>
          <w:rStyle w:val="Reference"/>
        </w:rPr>
        <w:t>2</w:t>
      </w:r>
      <w:r w:rsidR="00F556A5">
        <w:rPr>
          <w:rStyle w:val="Reference"/>
        </w:rPr>
        <w:t>4.4.1</w:t>
      </w:r>
      <w:r w:rsidR="00F556A5" w:rsidRPr="001F3237">
        <w:rPr>
          <w:rStyle w:val="Reference"/>
        </w:rPr>
        <w:t>]</w:t>
      </w:r>
      <w:r>
        <w:t>. The Department</w:t>
      </w:r>
      <w:r w:rsidRPr="678B3C75">
        <w:t xml:space="preserve"> supports the Victorian public sector in adopting new technology that </w:t>
      </w:r>
      <w:r w:rsidR="00B94E73">
        <w:t>reduces</w:t>
      </w:r>
      <w:r w:rsidR="00B94E73" w:rsidRPr="678B3C75">
        <w:t xml:space="preserve"> </w:t>
      </w:r>
      <w:r w:rsidRPr="678B3C75">
        <w:t xml:space="preserve">emissions and </w:t>
      </w:r>
      <w:r w:rsidR="00B94E73">
        <w:t>delivers</w:t>
      </w:r>
      <w:r w:rsidR="00B94E73" w:rsidRPr="678B3C75">
        <w:t xml:space="preserve"> </w:t>
      </w:r>
      <w:r w:rsidRPr="678B3C75">
        <w:t>environmental sustainability</w:t>
      </w:r>
      <w:r>
        <w:t>.</w:t>
      </w:r>
    </w:p>
    <w:p w14:paraId="24AAB316" w14:textId="42FCCB4A" w:rsidR="004330DD" w:rsidRPr="00C32143" w:rsidRDefault="004330DD" w:rsidP="004330DD">
      <w:pPr>
        <w:pStyle w:val="GuidanceBlockHeading"/>
      </w:pPr>
      <w:r w:rsidRPr="001662B0">
        <w:t xml:space="preserve">Guidance – </w:t>
      </w:r>
      <w:r w:rsidR="00F811CB">
        <w:t xml:space="preserve">Reporting of environmental data </w:t>
      </w:r>
    </w:p>
    <w:p w14:paraId="322E9F21" w14:textId="2B746577" w:rsidR="004330DD" w:rsidRPr="00C32143" w:rsidRDefault="59B1310C" w:rsidP="004330DD">
      <w:pPr>
        <w:rPr>
          <w:rStyle w:val="Guidance"/>
        </w:rPr>
      </w:pPr>
      <w:r w:rsidRPr="1F574F39">
        <w:rPr>
          <w:rStyle w:val="Guidance"/>
        </w:rPr>
        <w:t xml:space="preserve">The Victorian Government’s commitment to sustainability in its own operations is reflected in legislation, policies, and strategies, including the </w:t>
      </w:r>
      <w:hyperlink r:id="rId79">
        <w:r w:rsidRPr="1F574F39">
          <w:rPr>
            <w:rStyle w:val="Hyperlink"/>
            <w:i/>
            <w:iCs/>
          </w:rPr>
          <w:t>Climate Change Act 2017</w:t>
        </w:r>
      </w:hyperlink>
      <w:r w:rsidRPr="1F574F39">
        <w:rPr>
          <w:rStyle w:val="Guidance"/>
        </w:rPr>
        <w:t xml:space="preserve">, </w:t>
      </w:r>
      <w:hyperlink r:id="rId80">
        <w:r w:rsidRPr="1F574F39">
          <w:rPr>
            <w:rStyle w:val="Hyperlink"/>
          </w:rPr>
          <w:t>Victoria’s Climate Change Strategy</w:t>
        </w:r>
      </w:hyperlink>
      <w:r w:rsidRPr="1F574F39">
        <w:rPr>
          <w:rStyle w:val="Guidance"/>
        </w:rPr>
        <w:t xml:space="preserve">, </w:t>
      </w:r>
      <w:hyperlink r:id="rId81">
        <w:r w:rsidRPr="1F574F39">
          <w:rPr>
            <w:rStyle w:val="Hyperlink"/>
          </w:rPr>
          <w:t>Whole of Victorian Government emissions reduction pledge</w:t>
        </w:r>
      </w:hyperlink>
      <w:r w:rsidRPr="1F574F39">
        <w:rPr>
          <w:rStyle w:val="Guidance"/>
        </w:rPr>
        <w:t xml:space="preserve">, </w:t>
      </w:r>
      <w:hyperlink r:id="rId82">
        <w:r w:rsidRPr="1F574F39">
          <w:rPr>
            <w:rStyle w:val="Hyperlink"/>
          </w:rPr>
          <w:t>Victorian Renewable Energy Target</w:t>
        </w:r>
      </w:hyperlink>
      <w:r w:rsidRPr="1F574F39">
        <w:rPr>
          <w:rStyle w:val="Guidance"/>
        </w:rPr>
        <w:t xml:space="preserve">, </w:t>
      </w:r>
      <w:hyperlink r:id="rId83">
        <w:r w:rsidRPr="1F574F39">
          <w:rPr>
            <w:rStyle w:val="Hyperlink"/>
          </w:rPr>
          <w:t>Recycling Victoria</w:t>
        </w:r>
      </w:hyperlink>
      <w:r w:rsidRPr="1F574F39">
        <w:rPr>
          <w:rStyle w:val="Guidance"/>
        </w:rPr>
        <w:t xml:space="preserve">, and the </w:t>
      </w:r>
      <w:hyperlink r:id="rId84">
        <w:r w:rsidRPr="1F574F39">
          <w:rPr>
            <w:rStyle w:val="Hyperlink"/>
          </w:rPr>
          <w:t>Sustainable Investment Guidelines</w:t>
        </w:r>
      </w:hyperlink>
      <w:r w:rsidRPr="1F574F39">
        <w:rPr>
          <w:rStyle w:val="Guidance"/>
        </w:rPr>
        <w:t xml:space="preserve">. In addition, the General Environmental Duty under the </w:t>
      </w:r>
      <w:r w:rsidRPr="1F574F39">
        <w:rPr>
          <w:rStyle w:val="Guidance"/>
          <w:i/>
          <w:iCs/>
        </w:rPr>
        <w:t>Environment Protection Act 2017</w:t>
      </w:r>
      <w:r w:rsidRPr="1F574F39">
        <w:rPr>
          <w:rStyle w:val="Guidance"/>
        </w:rPr>
        <w:t xml:space="preserve"> requires all Victorian Government entities to minimise risks of harm to human health or the environment from pollution or waste, so far as is reasonably practicable.</w:t>
      </w:r>
    </w:p>
    <w:p w14:paraId="419B9040" w14:textId="3049EDE8" w:rsidR="004330DD" w:rsidRDefault="004330DD" w:rsidP="004330DD">
      <w:pPr>
        <w:rPr>
          <w:rStyle w:val="Guidance"/>
        </w:rPr>
      </w:pPr>
      <w:r w:rsidRPr="387AB74A">
        <w:rPr>
          <w:rStyle w:val="Guidance"/>
        </w:rPr>
        <w:t>FRD 24</w:t>
      </w:r>
      <w:r w:rsidR="00970F95">
        <w:rPr>
          <w:rStyle w:val="Guidance"/>
        </w:rPr>
        <w:t xml:space="preserve"> </w:t>
      </w:r>
      <w:r w:rsidR="00970F95" w:rsidRPr="00CD6499">
        <w:rPr>
          <w:rStyle w:val="Guidance"/>
          <w:i/>
          <w:iCs/>
        </w:rPr>
        <w:t>Reporting of environmental data by government entities</w:t>
      </w:r>
      <w:r w:rsidR="00970F95" w:rsidRPr="00970F95">
        <w:rPr>
          <w:rStyle w:val="Guidance"/>
        </w:rPr>
        <w:t xml:space="preserve"> </w:t>
      </w:r>
      <w:r w:rsidRPr="387AB74A">
        <w:rPr>
          <w:rStyle w:val="Guidance"/>
        </w:rPr>
        <w:t>specifies the environmental performance indicators that must be reported by relevant entities across the Victorian Government</w:t>
      </w:r>
      <w:r>
        <w:rPr>
          <w:rStyle w:val="Guidance"/>
        </w:rPr>
        <w:t xml:space="preserve"> in annual reports</w:t>
      </w:r>
      <w:r w:rsidRPr="387AB74A">
        <w:rPr>
          <w:rStyle w:val="Guidance"/>
        </w:rPr>
        <w:t>. FRD 24 establishes</w:t>
      </w:r>
      <w:r>
        <w:rPr>
          <w:rStyle w:val="Guidance"/>
        </w:rPr>
        <w:t xml:space="preserve"> reporting tiers, which have different reporting requirements</w:t>
      </w:r>
      <w:r w:rsidR="003F4506">
        <w:rPr>
          <w:rStyle w:val="Guidance"/>
        </w:rPr>
        <w:t>. P</w:t>
      </w:r>
      <w:r>
        <w:rPr>
          <w:rStyle w:val="Guidance"/>
        </w:rPr>
        <w:t xml:space="preserve">ublic sector entities within each tier are </w:t>
      </w:r>
      <w:r w:rsidRPr="387AB74A">
        <w:rPr>
          <w:rStyle w:val="Guidance"/>
        </w:rPr>
        <w:t xml:space="preserve">listed in the </w:t>
      </w:r>
      <w:bookmarkStart w:id="176" w:name="_Hlk110330916"/>
      <w:r w:rsidRPr="387AB74A">
        <w:rPr>
          <w:rStyle w:val="Guidance"/>
          <w:i/>
        </w:rPr>
        <w:t>Guidance on the application of reporting tiers under FRD 24</w:t>
      </w:r>
      <w:bookmarkEnd w:id="176"/>
      <w:r>
        <w:rPr>
          <w:rStyle w:val="Guidance"/>
          <w:iCs/>
        </w:rPr>
        <w:t xml:space="preserve">, </w:t>
      </w:r>
      <w:r w:rsidRPr="0086045F">
        <w:rPr>
          <w:rStyle w:val="Guidance"/>
          <w:iCs/>
        </w:rPr>
        <w:t xml:space="preserve">available on the </w:t>
      </w:r>
      <w:hyperlink r:id="rId85" w:history="1">
        <w:r w:rsidRPr="0086045F">
          <w:rPr>
            <w:rStyle w:val="Hyperlink"/>
            <w:iCs/>
          </w:rPr>
          <w:t>DTF website</w:t>
        </w:r>
      </w:hyperlink>
      <w:r w:rsidRPr="0086045F">
        <w:rPr>
          <w:rStyle w:val="Guidance"/>
          <w:iCs/>
        </w:rPr>
        <w:t xml:space="preserve">. </w:t>
      </w:r>
      <w:r>
        <w:rPr>
          <w:rStyle w:val="Guidance"/>
        </w:rPr>
        <w:t>A</w:t>
      </w:r>
      <w:r w:rsidRPr="387AB74A">
        <w:rPr>
          <w:rStyle w:val="Guidance"/>
        </w:rPr>
        <w:t xml:space="preserve"> department is required to report on Tier 1 indicators as specified in Appendix 2 of FRD</w:t>
      </w:r>
      <w:r w:rsidR="00422692">
        <w:rPr>
          <w:rStyle w:val="Guidance"/>
        </w:rPr>
        <w:t> </w:t>
      </w:r>
      <w:r w:rsidRPr="387AB74A">
        <w:rPr>
          <w:rStyle w:val="Guidance"/>
        </w:rPr>
        <w:t xml:space="preserve">24. Other public entities have different reporting requirements and should refer to FRD 24 </w:t>
      </w:r>
      <w:r>
        <w:rPr>
          <w:rStyle w:val="Guidance"/>
        </w:rPr>
        <w:t xml:space="preserve">Appendix 2 and the </w:t>
      </w:r>
      <w:r w:rsidR="00EF1B68">
        <w:rPr>
          <w:rStyle w:val="Guidance"/>
        </w:rPr>
        <w:t xml:space="preserve">accompanying </w:t>
      </w:r>
      <w:r w:rsidRPr="008D4576">
        <w:rPr>
          <w:color w:val="4472C4" w:themeColor="accent1"/>
        </w:rPr>
        <w:t>Guidance</w:t>
      </w:r>
      <w:r w:rsidRPr="00E6348E">
        <w:rPr>
          <w:i/>
          <w:color w:val="4472C4" w:themeColor="accent1"/>
        </w:rPr>
        <w:t xml:space="preserve"> </w:t>
      </w:r>
      <w:r w:rsidRPr="387AB74A">
        <w:rPr>
          <w:rStyle w:val="Guidance"/>
        </w:rPr>
        <w:t xml:space="preserve">to understand their </w:t>
      </w:r>
      <w:r>
        <w:rPr>
          <w:rStyle w:val="Guidance"/>
        </w:rPr>
        <w:t>own obligations.</w:t>
      </w:r>
    </w:p>
    <w:p w14:paraId="07F9CA3C" w14:textId="77777777" w:rsidR="004330DD" w:rsidRDefault="004330DD" w:rsidP="004330DD">
      <w:pPr>
        <w:pStyle w:val="GuidanceHeading"/>
        <w:rPr>
          <w:rStyle w:val="Guidance"/>
        </w:rPr>
      </w:pPr>
      <w:r w:rsidRPr="387AB74A">
        <w:t>Guidance</w:t>
      </w:r>
    </w:p>
    <w:p w14:paraId="65A32890" w14:textId="77777777" w:rsidR="00385C9B" w:rsidRDefault="004330DD" w:rsidP="004330DD">
      <w:pPr>
        <w:rPr>
          <w:rStyle w:val="Guidance"/>
        </w:rPr>
      </w:pPr>
      <w:r w:rsidRPr="387AB74A">
        <w:rPr>
          <w:rStyle w:val="Guidance"/>
        </w:rPr>
        <w:t>The following illustrative disclosure is a mix of narrative</w:t>
      </w:r>
      <w:r>
        <w:rPr>
          <w:rStyle w:val="Guidance"/>
        </w:rPr>
        <w:t xml:space="preserve"> and</w:t>
      </w:r>
      <w:r w:rsidRPr="387AB74A">
        <w:rPr>
          <w:rStyle w:val="Guidance"/>
        </w:rPr>
        <w:t xml:space="preserve"> </w:t>
      </w:r>
      <w:r>
        <w:rPr>
          <w:rStyle w:val="Guidance"/>
        </w:rPr>
        <w:t>quantitative data tables presenting</w:t>
      </w:r>
      <w:r w:rsidRPr="387AB74A">
        <w:rPr>
          <w:rStyle w:val="Guidance"/>
        </w:rPr>
        <w:t xml:space="preserve"> the Department of Technology’s environmental performance</w:t>
      </w:r>
      <w:r>
        <w:rPr>
          <w:rStyle w:val="Guidance"/>
        </w:rPr>
        <w:t>,</w:t>
      </w:r>
      <w:r w:rsidRPr="387AB74A">
        <w:rPr>
          <w:rStyle w:val="Guidance"/>
        </w:rPr>
        <w:t xml:space="preserve"> achievements</w:t>
      </w:r>
      <w:r>
        <w:rPr>
          <w:rStyle w:val="Guidance"/>
        </w:rPr>
        <w:t xml:space="preserve"> </w:t>
      </w:r>
      <w:r w:rsidRPr="387AB74A">
        <w:rPr>
          <w:rStyle w:val="Guidance"/>
        </w:rPr>
        <w:t xml:space="preserve">and targets. </w:t>
      </w:r>
      <w:r>
        <w:rPr>
          <w:rStyle w:val="Guidance"/>
        </w:rPr>
        <w:t xml:space="preserve">It includes </w:t>
      </w:r>
      <w:r w:rsidRPr="54856E42">
        <w:rPr>
          <w:rStyle w:val="Guidance"/>
        </w:rPr>
        <w:t>commentary on</w:t>
      </w:r>
      <w:r w:rsidRPr="387AB74A">
        <w:rPr>
          <w:rStyle w:val="Guidance"/>
        </w:rPr>
        <w:t xml:space="preserve"> the progress towards achieving departmental objectives, performance measures and concrete initiatives</w:t>
      </w:r>
      <w:r w:rsidRPr="54856E42">
        <w:rPr>
          <w:rStyle w:val="Guidance"/>
        </w:rPr>
        <w:t>.</w:t>
      </w:r>
      <w:r w:rsidRPr="387AB74A">
        <w:rPr>
          <w:rStyle w:val="Guidance"/>
        </w:rPr>
        <w:t xml:space="preserve"> The disclosure also contains examples </w:t>
      </w:r>
      <w:r w:rsidRPr="54856E42">
        <w:rPr>
          <w:rStyle w:val="Guidance"/>
        </w:rPr>
        <w:t>where</w:t>
      </w:r>
      <w:r w:rsidRPr="387AB74A">
        <w:rPr>
          <w:rStyle w:val="Guidance"/>
        </w:rPr>
        <w:t xml:space="preserve"> the data availability requirements of FRD 24</w:t>
      </w:r>
      <w:r>
        <w:rPr>
          <w:rStyle w:val="Guidance"/>
        </w:rPr>
        <w:t xml:space="preserve"> are applied</w:t>
      </w:r>
      <w:r w:rsidRPr="387AB74A">
        <w:rPr>
          <w:rStyle w:val="Guidance"/>
        </w:rPr>
        <w:t>, including the use of estimates and explanatory note</w:t>
      </w:r>
      <w:r>
        <w:rPr>
          <w:rStyle w:val="Guidance"/>
        </w:rPr>
        <w:t>s</w:t>
      </w:r>
      <w:r w:rsidRPr="387AB74A">
        <w:rPr>
          <w:rStyle w:val="Guidance"/>
        </w:rPr>
        <w:t xml:space="preserve"> on planned activities to improve data collection for future </w:t>
      </w:r>
      <w:r>
        <w:rPr>
          <w:rStyle w:val="Guidance"/>
        </w:rPr>
        <w:t>periods.</w:t>
      </w:r>
      <w:r w:rsidRPr="003628C0">
        <w:rPr>
          <w:rStyle w:val="Guidance"/>
        </w:rPr>
        <w:t xml:space="preserve"> </w:t>
      </w:r>
    </w:p>
    <w:p w14:paraId="14D01141" w14:textId="1B3F4768" w:rsidR="004330DD" w:rsidRDefault="004330DD" w:rsidP="004330DD">
      <w:pPr>
        <w:rPr>
          <w:rStyle w:val="Guidance"/>
        </w:rPr>
      </w:pPr>
      <w:r>
        <w:rPr>
          <w:rStyle w:val="Guidance"/>
        </w:rPr>
        <w:t>Public sector entities must report data for all indicators and include all indicator segmentation where there is non-zero data. Reports do not need to include segments where the value is zero, especially where this may result in the inclusion of a large number of rows or zero values, such as with vehicle fleet.</w:t>
      </w:r>
      <w:r w:rsidRPr="387AB74A">
        <w:rPr>
          <w:rStyle w:val="Guidance"/>
        </w:rPr>
        <w:t xml:space="preserve"> Guidance </w:t>
      </w:r>
      <w:r>
        <w:rPr>
          <w:rStyle w:val="Guidance"/>
        </w:rPr>
        <w:t>to</w:t>
      </w:r>
      <w:r w:rsidRPr="387AB74A">
        <w:rPr>
          <w:rStyle w:val="Guidance"/>
        </w:rPr>
        <w:t xml:space="preserve"> FRD 24 </w:t>
      </w:r>
      <w:r>
        <w:rPr>
          <w:rStyle w:val="Guidance"/>
        </w:rPr>
        <w:t>provides information on</w:t>
      </w:r>
      <w:r w:rsidRPr="387AB74A">
        <w:rPr>
          <w:rStyle w:val="Guidance"/>
        </w:rPr>
        <w:t xml:space="preserve"> the </w:t>
      </w:r>
      <w:r>
        <w:rPr>
          <w:rStyle w:val="Guidance"/>
        </w:rPr>
        <w:t>full</w:t>
      </w:r>
      <w:r w:rsidRPr="387AB74A">
        <w:rPr>
          <w:rStyle w:val="Guidance"/>
        </w:rPr>
        <w:t xml:space="preserve"> segmentation for the reporting </w:t>
      </w:r>
      <w:r w:rsidRPr="54856E42">
        <w:rPr>
          <w:rStyle w:val="Guidance"/>
        </w:rPr>
        <w:t>department</w:t>
      </w:r>
      <w:r>
        <w:rPr>
          <w:rStyle w:val="Guidance"/>
        </w:rPr>
        <w:t xml:space="preserve"> or entity</w:t>
      </w:r>
      <w:r w:rsidRPr="387AB74A">
        <w:rPr>
          <w:rStyle w:val="Guidance"/>
        </w:rPr>
        <w:t>.</w:t>
      </w:r>
    </w:p>
    <w:p w14:paraId="0D329999" w14:textId="77777777" w:rsidR="004330DD" w:rsidRDefault="004330DD" w:rsidP="004330DD">
      <w:pPr>
        <w:rPr>
          <w:rStyle w:val="Guidance"/>
        </w:rPr>
      </w:pPr>
      <w:r>
        <w:rPr>
          <w:rStyle w:val="Guidance"/>
        </w:rPr>
        <w:t>In general, accompanying context (see paragraph 4.6 in FRD 24) should be</w:t>
      </w:r>
      <w:r w:rsidDel="0000305F">
        <w:rPr>
          <w:rStyle w:val="Guidance"/>
        </w:rPr>
        <w:t xml:space="preserve"> </w:t>
      </w:r>
      <w:r>
        <w:rPr>
          <w:rStyle w:val="Guidance"/>
        </w:rPr>
        <w:t>in prose ahead of each relevant table. Contextual information that relates to specific data including</w:t>
      </w:r>
      <w:r w:rsidRPr="54856E42">
        <w:rPr>
          <w:rStyle w:val="Guidance"/>
        </w:rPr>
        <w:t xml:space="preserve"> where data is included from other entities within</w:t>
      </w:r>
      <w:r>
        <w:rPr>
          <w:rStyle w:val="Guidance"/>
        </w:rPr>
        <w:t xml:space="preserve"> the organisational boundary (see paragraph 4.3 in FRD 24) and commentary in relation to the data availability requirements (see paragraph 4.4 in FRD 24), should be included in the table footnotes.</w:t>
      </w:r>
    </w:p>
    <w:p w14:paraId="693B31C9" w14:textId="77777777" w:rsidR="004330DD" w:rsidRDefault="004330DD" w:rsidP="004330DD">
      <w:pPr>
        <w:rPr>
          <w:rStyle w:val="Guidance"/>
        </w:rPr>
      </w:pPr>
      <w:r>
        <w:rPr>
          <w:rStyle w:val="Guidance"/>
        </w:rPr>
        <w:t xml:space="preserve">This section contains </w:t>
      </w:r>
      <w:r w:rsidRPr="00025674">
        <w:rPr>
          <w:rStyle w:val="Reference"/>
        </w:rPr>
        <w:t>[references</w:t>
      </w:r>
      <w:r>
        <w:rPr>
          <w:rStyle w:val="Reference"/>
        </w:rPr>
        <w:t>]</w:t>
      </w:r>
      <w:r>
        <w:rPr>
          <w:rStyle w:val="Guidance"/>
        </w:rPr>
        <w:t xml:space="preserve"> to paragraphs of FRD 24 and the indicator designations to identify which elements of the illustrative disclosure correspond to the FRD 24 requirements.</w:t>
      </w:r>
    </w:p>
    <w:p w14:paraId="1EF1D67F" w14:textId="77777777" w:rsidR="004330DD" w:rsidRPr="00383005" w:rsidRDefault="004330DD" w:rsidP="004330DD">
      <w:pPr>
        <w:pStyle w:val="GuidanceEnd"/>
      </w:pPr>
    </w:p>
    <w:p w14:paraId="3EBE7DE2" w14:textId="184CFDEF" w:rsidR="004330DD" w:rsidRPr="009241DC" w:rsidRDefault="004330DD" w:rsidP="00AA4D1C">
      <w:pPr>
        <w:pStyle w:val="Heading3"/>
        <w:spacing w:before="60"/>
      </w:pPr>
      <w:r>
        <w:t xml:space="preserve">The Department’s Environmental Management System </w:t>
      </w:r>
      <w:r w:rsidRPr="00300CA3">
        <w:rPr>
          <w:rStyle w:val="Reference"/>
          <w:szCs w:val="16"/>
        </w:rPr>
        <w:t>[FRD 24 paragraph 4.6]</w:t>
      </w:r>
    </w:p>
    <w:p w14:paraId="2CF02656" w14:textId="77777777" w:rsidR="004330DD" w:rsidRDefault="004330DD" w:rsidP="005B1557">
      <w:pPr>
        <w:spacing w:before="80"/>
      </w:pPr>
      <w:r>
        <w:t xml:space="preserve">The Department’s Environmental Management System (EMS) is a structured approach to managing the Department’s environmental impacts and improving its environmental performance. It is based on the national standard </w:t>
      </w:r>
      <w:r w:rsidRPr="689A2D3F">
        <w:rPr>
          <w:i/>
          <w:iCs/>
        </w:rPr>
        <w:t>AS/NZS ISO 14001:2016: Environmental Management Systems</w:t>
      </w:r>
      <w:r>
        <w:t xml:space="preserve"> and provides a framework for the Department to improve its environmental sustainability. </w:t>
      </w:r>
    </w:p>
    <w:p w14:paraId="13FB85EA" w14:textId="77777777" w:rsidR="004330DD" w:rsidRPr="00C32143" w:rsidRDefault="004330DD" w:rsidP="004330DD">
      <w:r w:rsidRPr="77D25D40">
        <w:t>The EMS objectives include:</w:t>
      </w:r>
    </w:p>
    <w:p w14:paraId="334D1F3A" w14:textId="77777777" w:rsidR="004330DD" w:rsidRPr="00C32143" w:rsidRDefault="004330DD" w:rsidP="00E85BA5">
      <w:pPr>
        <w:pStyle w:val="ListBullet"/>
        <w:spacing w:after="60"/>
      </w:pPr>
      <w:r w:rsidRPr="54856E42">
        <w:t>reduc</w:t>
      </w:r>
      <w:r>
        <w:t>ing</w:t>
      </w:r>
      <w:r w:rsidRPr="00C32143">
        <w:t xml:space="preserve"> </w:t>
      </w:r>
      <w:r>
        <w:t>greenhouse gas</w:t>
      </w:r>
      <w:r w:rsidRPr="00C32143">
        <w:t xml:space="preserve"> emissions</w:t>
      </w:r>
      <w:r>
        <w:t xml:space="preserve"> resulting from the Department’s operational activities</w:t>
      </w:r>
    </w:p>
    <w:p w14:paraId="30B3B6E8" w14:textId="77777777" w:rsidR="004330DD" w:rsidRDefault="004330DD" w:rsidP="00E85BA5">
      <w:pPr>
        <w:pStyle w:val="ListBullet"/>
        <w:spacing w:after="60"/>
      </w:pPr>
      <w:r w:rsidRPr="54856E42">
        <w:t>reduc</w:t>
      </w:r>
      <w:r>
        <w:t>ing</w:t>
      </w:r>
      <w:r w:rsidRPr="00C32143">
        <w:t xml:space="preserve"> the amount of waste and </w:t>
      </w:r>
      <w:r>
        <w:t>maximising</w:t>
      </w:r>
      <w:r w:rsidRPr="00C32143">
        <w:t xml:space="preserve"> the amount of reused and recycled resources</w:t>
      </w:r>
      <w:r>
        <w:t xml:space="preserve"> in procurement</w:t>
      </w:r>
    </w:p>
    <w:p w14:paraId="797CBD04" w14:textId="70E24D28" w:rsidR="004330DD" w:rsidRDefault="004330DD" w:rsidP="00E85BA5">
      <w:pPr>
        <w:pStyle w:val="ListBullet"/>
        <w:spacing w:after="60"/>
      </w:pPr>
      <w:r>
        <w:t xml:space="preserve">ensuring new capital works </w:t>
      </w:r>
      <w:r w:rsidR="00831D64">
        <w:t xml:space="preserve">are built as all-electric and </w:t>
      </w:r>
      <w:r>
        <w:t>incorporate environmentally sustainable principles in design, construction and operation</w:t>
      </w:r>
    </w:p>
    <w:p w14:paraId="32D15D58" w14:textId="5652B6B4" w:rsidR="00831D64" w:rsidRPr="00C32143" w:rsidRDefault="00831D64" w:rsidP="00831D64">
      <w:pPr>
        <w:pStyle w:val="ListBullet"/>
        <w:spacing w:after="60"/>
      </w:pPr>
      <w:r>
        <w:t>improving the energy performance of existing assets and facilities</w:t>
      </w:r>
    </w:p>
    <w:p w14:paraId="416C4162" w14:textId="4D3B89E1" w:rsidR="004330DD" w:rsidRPr="00C32143" w:rsidRDefault="004330DD" w:rsidP="00E85BA5">
      <w:pPr>
        <w:pStyle w:val="ListBullet"/>
        <w:spacing w:after="60"/>
      </w:pPr>
      <w:r w:rsidRPr="54856E42">
        <w:t>encourag</w:t>
      </w:r>
      <w:r>
        <w:t>ing</w:t>
      </w:r>
      <w:r w:rsidRPr="00C32143">
        <w:t xml:space="preserve"> staff to reduce environmental impacts through behaviour</w:t>
      </w:r>
      <w:r>
        <w:t xml:space="preserve"> </w:t>
      </w:r>
      <w:r w:rsidRPr="00C32143">
        <w:t>change</w:t>
      </w:r>
    </w:p>
    <w:p w14:paraId="71151B0C" w14:textId="77777777" w:rsidR="004330DD" w:rsidRPr="00C32143" w:rsidRDefault="004330DD" w:rsidP="00E85BA5">
      <w:pPr>
        <w:pStyle w:val="ListBullet"/>
        <w:spacing w:after="60"/>
      </w:pPr>
      <w:r w:rsidRPr="54856E42">
        <w:t>communicat</w:t>
      </w:r>
      <w:r>
        <w:t>ing</w:t>
      </w:r>
      <w:r w:rsidRPr="00C32143">
        <w:t xml:space="preserve"> environmental performance through regular </w:t>
      </w:r>
      <w:r>
        <w:t xml:space="preserve">internal and public </w:t>
      </w:r>
      <w:r w:rsidRPr="00C32143">
        <w:t>reporting</w:t>
      </w:r>
      <w:r>
        <w:t>.</w:t>
      </w:r>
    </w:p>
    <w:p w14:paraId="51BBA261" w14:textId="67362532" w:rsidR="004330DD" w:rsidRDefault="004330DD" w:rsidP="003F1FBE">
      <w:pPr>
        <w:keepNext/>
      </w:pPr>
      <w:r w:rsidRPr="77D25D40">
        <w:lastRenderedPageBreak/>
        <w:t xml:space="preserve">The EMS was last audited in </w:t>
      </w:r>
      <w:r>
        <w:t>[year]</w:t>
      </w:r>
      <w:r w:rsidRPr="77D25D40">
        <w:t xml:space="preserve"> and was reported to have no significant findings. The </w:t>
      </w:r>
      <w:r>
        <w:t>Department</w:t>
      </w:r>
      <w:r w:rsidRPr="77D25D40">
        <w:t xml:space="preserve"> has established and maintained procedures to conform with </w:t>
      </w:r>
      <w:r w:rsidRPr="001C5594">
        <w:rPr>
          <w:i/>
        </w:rPr>
        <w:t>AS/NZS ISO</w:t>
      </w:r>
      <w:r>
        <w:rPr>
          <w:i/>
        </w:rPr>
        <w:t xml:space="preserve"> </w:t>
      </w:r>
      <w:r w:rsidRPr="001C5594">
        <w:rPr>
          <w:i/>
        </w:rPr>
        <w:t>14001:2016</w:t>
      </w:r>
      <w:r>
        <w:rPr>
          <w:i/>
        </w:rPr>
        <w:t xml:space="preserve"> </w:t>
      </w:r>
      <w:r w:rsidRPr="77D25D40">
        <w:t>which included:</w:t>
      </w:r>
    </w:p>
    <w:p w14:paraId="2651495E" w14:textId="77777777" w:rsidR="004330DD" w:rsidRDefault="004330DD" w:rsidP="003F1FBE">
      <w:pPr>
        <w:pStyle w:val="ListBullet"/>
        <w:keepNext/>
        <w:spacing w:after="60"/>
      </w:pPr>
      <w:r w:rsidRPr="002719AC">
        <w:t>identify</w:t>
      </w:r>
      <w:r>
        <w:t>ing</w:t>
      </w:r>
      <w:r w:rsidRPr="002719AC">
        <w:t xml:space="preserve"> the environmental aspects of its activities and operations</w:t>
      </w:r>
    </w:p>
    <w:p w14:paraId="177864BB" w14:textId="77777777" w:rsidR="004330DD" w:rsidRDefault="004330DD" w:rsidP="00E85BA5">
      <w:pPr>
        <w:pStyle w:val="ListBullet"/>
        <w:spacing w:after="60"/>
      </w:pPr>
      <w:r w:rsidRPr="002719AC">
        <w:t>defin</w:t>
      </w:r>
      <w:r>
        <w:t>ing</w:t>
      </w:r>
      <w:r w:rsidRPr="002719AC">
        <w:t xml:space="preserve"> and document</w:t>
      </w:r>
      <w:r>
        <w:t>ing</w:t>
      </w:r>
      <w:r w:rsidRPr="002719AC">
        <w:t xml:space="preserve"> roles and responsibilities to facilitate effective environmental </w:t>
      </w:r>
      <w:r w:rsidRPr="00B46C00">
        <w:t>management</w:t>
      </w:r>
    </w:p>
    <w:p w14:paraId="00BD1BA6" w14:textId="77777777" w:rsidR="004330DD" w:rsidRDefault="004330DD" w:rsidP="00E85BA5">
      <w:pPr>
        <w:pStyle w:val="ListBullet"/>
        <w:spacing w:after="60"/>
      </w:pPr>
      <w:r>
        <w:t>identifying training needs and establishing a training program to equip personnel with environmental management knowledge</w:t>
      </w:r>
    </w:p>
    <w:p w14:paraId="71DA6E3E" w14:textId="77777777" w:rsidR="004330DD" w:rsidRDefault="004330DD" w:rsidP="00E85BA5">
      <w:pPr>
        <w:pStyle w:val="ListBullet"/>
        <w:spacing w:after="60"/>
      </w:pPr>
      <w:r>
        <w:t>monitoring and measuring the key operations and activities that can have a significant impact on the environment</w:t>
      </w:r>
    </w:p>
    <w:p w14:paraId="63C4308A" w14:textId="13C986D1" w:rsidR="004330DD" w:rsidRDefault="004330DD" w:rsidP="00E85BA5">
      <w:pPr>
        <w:pStyle w:val="ListBullet"/>
        <w:spacing w:after="60"/>
      </w:pPr>
      <w:r>
        <w:t>establishing and maintaining procedures for defining responsibility and authority for handling non-conformance in relation to environmental management</w:t>
      </w:r>
    </w:p>
    <w:p w14:paraId="788718CA" w14:textId="77777777" w:rsidR="004330DD" w:rsidRPr="00D31BEA" w:rsidRDefault="004330DD" w:rsidP="00E85BA5">
      <w:pPr>
        <w:pStyle w:val="ListBullet"/>
        <w:spacing w:after="60"/>
        <w:rPr>
          <w:rStyle w:val="ListBulletChar"/>
        </w:rPr>
      </w:pPr>
      <w:r>
        <w:t xml:space="preserve">having regular and documented management review over the EMS to ensure its continuing sustainability and </w:t>
      </w:r>
      <w:r w:rsidRPr="00D31BEA">
        <w:rPr>
          <w:rStyle w:val="ListBulletChar"/>
        </w:rPr>
        <w:t>effectiveness.</w:t>
      </w:r>
    </w:p>
    <w:p w14:paraId="71CEE47B" w14:textId="399F834D" w:rsidR="004330DD" w:rsidRPr="009241DC" w:rsidRDefault="004330DD" w:rsidP="004330DD">
      <w:pPr>
        <w:pStyle w:val="Heading3"/>
      </w:pPr>
      <w:r>
        <w:t xml:space="preserve">Reporting boundary for environmental data </w:t>
      </w:r>
      <w:r w:rsidRPr="00300CA3">
        <w:rPr>
          <w:rStyle w:val="Reference"/>
          <w:szCs w:val="16"/>
        </w:rPr>
        <w:t>[FRD 24 paragraph 4.3]</w:t>
      </w:r>
    </w:p>
    <w:p w14:paraId="2920407D" w14:textId="77777777" w:rsidR="004330DD" w:rsidRPr="00C32143" w:rsidRDefault="004330DD" w:rsidP="004330DD">
      <w:r>
        <w:t>All the operations and activities of the Department are included within the organisational boundary for this reporting period. Select data are included for the three entities which are consolidated into the Department’s financial statements. Where consolidated data of the following entities have been included, this is noted in the footnotes of the corresponding tables:</w:t>
      </w:r>
    </w:p>
    <w:p w14:paraId="5556D459" w14:textId="77777777" w:rsidR="004330DD" w:rsidRPr="00C32143" w:rsidRDefault="004330DD" w:rsidP="00E85BA5">
      <w:pPr>
        <w:pStyle w:val="ListBullet"/>
        <w:spacing w:after="60"/>
      </w:pPr>
      <w:r w:rsidRPr="00C32143">
        <w:t>Gene Sciences Victoria</w:t>
      </w:r>
    </w:p>
    <w:p w14:paraId="7F1D4B78" w14:textId="77777777" w:rsidR="004330DD" w:rsidRPr="00C32143" w:rsidRDefault="004330DD" w:rsidP="00E85BA5">
      <w:pPr>
        <w:pStyle w:val="ListBullet"/>
        <w:spacing w:after="60"/>
      </w:pPr>
      <w:r w:rsidRPr="00C32143">
        <w:t>The Office of the Commissioner of New Technology</w:t>
      </w:r>
    </w:p>
    <w:p w14:paraId="21E54570" w14:textId="77777777" w:rsidR="004330DD" w:rsidRPr="00C32143" w:rsidRDefault="004330DD" w:rsidP="00E85BA5">
      <w:pPr>
        <w:pStyle w:val="ListBullet"/>
        <w:spacing w:after="60"/>
      </w:pPr>
      <w:r w:rsidRPr="00C32143">
        <w:t>Innovation Victoria</w:t>
      </w:r>
    </w:p>
    <w:p w14:paraId="73A5A37D" w14:textId="0A3512AD" w:rsidR="004330DD" w:rsidRPr="001662B0" w:rsidRDefault="004330DD" w:rsidP="004330DD">
      <w:pPr>
        <w:pStyle w:val="GuidanceBlockHeading"/>
        <w:rPr>
          <w:sz w:val="18"/>
          <w:szCs w:val="18"/>
        </w:rPr>
      </w:pPr>
      <w:r w:rsidRPr="001662B0">
        <w:t>Guidance – Reporting boundary</w:t>
      </w:r>
    </w:p>
    <w:p w14:paraId="347DEF64" w14:textId="77777777" w:rsidR="004330DD" w:rsidRPr="00D31BEA" w:rsidRDefault="004330DD" w:rsidP="00D31BEA">
      <w:pPr>
        <w:pStyle w:val="GuidanceHeading"/>
        <w:rPr>
          <w:rStyle w:val="Guidance"/>
          <w:b w:val="0"/>
          <w:bCs/>
          <w:i/>
          <w:iCs/>
        </w:rPr>
      </w:pPr>
      <w:r w:rsidRPr="00054BDD">
        <w:t>Organisational boundary</w:t>
      </w:r>
    </w:p>
    <w:p w14:paraId="5E55A844" w14:textId="77777777" w:rsidR="004330DD" w:rsidRDefault="004330DD" w:rsidP="004330DD">
      <w:pPr>
        <w:rPr>
          <w:rStyle w:val="Guidance"/>
        </w:rPr>
      </w:pPr>
      <w:r>
        <w:rPr>
          <w:rStyle w:val="Guidance"/>
        </w:rPr>
        <w:t>The organisational boundary of the reporting entity must be documented including</w:t>
      </w:r>
      <w:r w:rsidRPr="00551CDF">
        <w:rPr>
          <w:rStyle w:val="Guidance"/>
        </w:rPr>
        <w:t xml:space="preserve"> any other entities, leases and service concessions that are included within the entity’s reporting.</w:t>
      </w:r>
      <w:r>
        <w:rPr>
          <w:rStyle w:val="Guidance"/>
        </w:rPr>
        <w:t xml:space="preserve"> Where consolidated entities</w:t>
      </w:r>
      <w:r w:rsidRPr="00EA6223">
        <w:rPr>
          <w:rStyle w:val="Guidance"/>
        </w:rPr>
        <w:t xml:space="preserve"> </w:t>
      </w:r>
      <w:r>
        <w:rPr>
          <w:rStyle w:val="Guidance"/>
        </w:rPr>
        <w:t xml:space="preserve">are included in an organisation’s annual report, for example under section 53 of the </w:t>
      </w:r>
      <w:r w:rsidRPr="00367605">
        <w:rPr>
          <w:rStyle w:val="Guidance"/>
          <w:i/>
        </w:rPr>
        <w:t>Financial Management Act 1994</w:t>
      </w:r>
      <w:r>
        <w:rPr>
          <w:rStyle w:val="Guidance"/>
        </w:rPr>
        <w:t xml:space="preserve">, these should be noted in this section. Consolidated entities will belong to a different reporting tier than the reporting department and thus have reduced reporting requirements. Only those indicators required for the relevant tier of the consolidated entity need to be included in the department’s reporting. </w:t>
      </w:r>
    </w:p>
    <w:p w14:paraId="172529D9" w14:textId="77777777" w:rsidR="004330DD" w:rsidRPr="00D31BEA" w:rsidRDefault="004330DD" w:rsidP="00D31BEA">
      <w:pPr>
        <w:pStyle w:val="GuidanceHeading"/>
        <w:rPr>
          <w:rStyle w:val="Guidance"/>
          <w:bCs/>
          <w:i/>
          <w:iCs/>
        </w:rPr>
      </w:pPr>
      <w:r w:rsidRPr="00054BDD">
        <w:t>Reporting period</w:t>
      </w:r>
    </w:p>
    <w:p w14:paraId="07C327F4" w14:textId="77777777" w:rsidR="004330DD" w:rsidRDefault="004330DD" w:rsidP="004330DD">
      <w:pPr>
        <w:rPr>
          <w:rStyle w:val="Guidance"/>
        </w:rPr>
      </w:pPr>
      <w:r w:rsidRPr="689A2D3F">
        <w:rPr>
          <w:rStyle w:val="Guidance"/>
        </w:rPr>
        <w:t xml:space="preserve">The reporting period for environmental data should follow the </w:t>
      </w:r>
      <w:r>
        <w:rPr>
          <w:rStyle w:val="Guidance"/>
        </w:rPr>
        <w:t>f</w:t>
      </w:r>
      <w:r w:rsidRPr="689A2D3F">
        <w:rPr>
          <w:rStyle w:val="Guidance"/>
        </w:rPr>
        <w:t xml:space="preserve">inancial </w:t>
      </w:r>
      <w:r>
        <w:rPr>
          <w:rStyle w:val="Guidance"/>
        </w:rPr>
        <w:t>y</w:t>
      </w:r>
      <w:r w:rsidRPr="689A2D3F">
        <w:rPr>
          <w:rStyle w:val="Guidance"/>
        </w:rPr>
        <w:t>ear (1 July to 30 June). If this is not possible due to data availability, alternative reporting periods can be implemented. If an alternative reporting period is adopted, it should be noted in this section.</w:t>
      </w:r>
    </w:p>
    <w:p w14:paraId="64E05F01" w14:textId="77777777" w:rsidR="004330DD" w:rsidRPr="00054BDD" w:rsidRDefault="004330DD" w:rsidP="00D76632">
      <w:pPr>
        <w:pStyle w:val="GuidanceHeading"/>
        <w:rPr>
          <w:szCs w:val="20"/>
        </w:rPr>
      </w:pPr>
      <w:r w:rsidRPr="00D76632">
        <w:t>Normalisation</w:t>
      </w:r>
      <w:r w:rsidRPr="00054BDD">
        <w:rPr>
          <w:szCs w:val="20"/>
        </w:rPr>
        <w:t xml:space="preserve"> </w:t>
      </w:r>
    </w:p>
    <w:p w14:paraId="0EA99F61" w14:textId="75CB9B32" w:rsidR="004330DD" w:rsidRDefault="004330DD" w:rsidP="004330DD">
      <w:pPr>
        <w:rPr>
          <w:rStyle w:val="Guidance"/>
        </w:rPr>
      </w:pPr>
      <w:r>
        <w:rPr>
          <w:rStyle w:val="Guidance"/>
        </w:rPr>
        <w:t xml:space="preserve">Certain indicators require data to be normalised to generate an average figure for analysis of trends over multiple reporting </w:t>
      </w:r>
      <w:r w:rsidRPr="54856E42">
        <w:rPr>
          <w:rStyle w:val="Guidance"/>
        </w:rPr>
        <w:t>periods.</w:t>
      </w:r>
      <w:r>
        <w:rPr>
          <w:rStyle w:val="Guidance"/>
        </w:rPr>
        <w:t xml:space="preserve"> Where a reporting entity chooses to use FTE or another quantity disclosed elsewhere in this report, no</w:t>
      </w:r>
      <w:r w:rsidR="00AA4D1C">
        <w:rPr>
          <w:rStyle w:val="Guidance"/>
        </w:rPr>
        <w:t> </w:t>
      </w:r>
      <w:r>
        <w:rPr>
          <w:rStyle w:val="Guidance"/>
        </w:rPr>
        <w:t>further disclosure is necessary. If a different normalisation factor is used, it should be disclosed in this section.</w:t>
      </w:r>
    </w:p>
    <w:p w14:paraId="1C5402F0" w14:textId="77777777" w:rsidR="004330DD" w:rsidRDefault="004330DD" w:rsidP="004330DD">
      <w:pPr>
        <w:rPr>
          <w:rStyle w:val="Guidance"/>
        </w:rPr>
      </w:pPr>
      <w:r w:rsidRPr="689A2D3F">
        <w:rPr>
          <w:rStyle w:val="Guidance"/>
        </w:rPr>
        <w:t>For illustration, FTE is the normalisation used in this disclosure.</w:t>
      </w:r>
    </w:p>
    <w:p w14:paraId="5E017B97" w14:textId="77777777" w:rsidR="004330DD" w:rsidRPr="00E85BA5" w:rsidRDefault="004330DD" w:rsidP="004330DD">
      <w:pPr>
        <w:pStyle w:val="GuidanceEnd"/>
        <w:rPr>
          <w:rStyle w:val="Guidance"/>
          <w:sz w:val="14"/>
          <w:szCs w:val="14"/>
        </w:rPr>
      </w:pPr>
    </w:p>
    <w:p w14:paraId="79EF37DA" w14:textId="5D949441" w:rsidR="004330DD" w:rsidRPr="00D84E2B" w:rsidRDefault="004330DD" w:rsidP="004330DD">
      <w:pPr>
        <w:pStyle w:val="Heading3"/>
        <w:rPr>
          <w:b w:val="0"/>
          <w:bCs/>
        </w:rPr>
      </w:pPr>
      <w:r>
        <w:t xml:space="preserve">Climate-related risk disclosure statement </w:t>
      </w:r>
      <w:r w:rsidRPr="00300CA3">
        <w:rPr>
          <w:rStyle w:val="Reference"/>
          <w:szCs w:val="16"/>
        </w:rPr>
        <w:t>[FRD 24 paragraph 4.6]</w:t>
      </w:r>
    </w:p>
    <w:p w14:paraId="693EAAE4" w14:textId="77777777" w:rsidR="004330DD" w:rsidRPr="003A172B" w:rsidRDefault="004330DD" w:rsidP="004330DD">
      <w:r w:rsidRPr="00907FF6">
        <w:t xml:space="preserve">Climate change has </w:t>
      </w:r>
      <w:r>
        <w:t xml:space="preserve">the potential to </w:t>
      </w:r>
      <w:r w:rsidRPr="00907FF6">
        <w:t>direct</w:t>
      </w:r>
      <w:r>
        <w:t xml:space="preserve">ly and </w:t>
      </w:r>
      <w:r w:rsidRPr="00907FF6">
        <w:t>indirectly</w:t>
      </w:r>
      <w:r w:rsidRPr="00907FF6">
        <w:rPr>
          <w:color w:val="000000" w:themeColor="text1"/>
        </w:rPr>
        <w:t xml:space="preserve"> impact the</w:t>
      </w:r>
      <w:r w:rsidRPr="00907FF6">
        <w:t xml:space="preserve"> services and programs that the Department delivers on behalf of the Victorian Government</w:t>
      </w:r>
      <w:r>
        <w:t>. This requires ongoing effort to understand and respond to</w:t>
      </w:r>
      <w:r w:rsidRPr="00907FF6">
        <w:t xml:space="preserve"> risks, </w:t>
      </w:r>
      <w:r>
        <w:t>develop</w:t>
      </w:r>
      <w:r w:rsidRPr="00907FF6">
        <w:t xml:space="preserve"> opportunities, and </w:t>
      </w:r>
      <w:r>
        <w:t>build resilience to climate impacts.</w:t>
      </w:r>
    </w:p>
    <w:p w14:paraId="242EE10B" w14:textId="77777777" w:rsidR="004330DD" w:rsidRPr="00F14A5B" w:rsidRDefault="004330DD" w:rsidP="004330DD">
      <w:r>
        <w:t>T</w:t>
      </w:r>
      <w:r w:rsidRPr="002D18E0">
        <w:t>he Department</w:t>
      </w:r>
      <w:r>
        <w:t xml:space="preserve"> seeks to</w:t>
      </w:r>
      <w:r w:rsidRPr="002D18E0">
        <w:t xml:space="preserve"> </w:t>
      </w:r>
      <w:r>
        <w:t>lead the Victorian public sector in adopting new technology to deliver services to the community i</w:t>
      </w:r>
      <w:r w:rsidRPr="006C7331">
        <w:t xml:space="preserve">n </w:t>
      </w:r>
      <w:r>
        <w:t xml:space="preserve">ways that support </w:t>
      </w:r>
      <w:r w:rsidRPr="006C7331">
        <w:t xml:space="preserve">Victoria’s transition to net zero emissions and </w:t>
      </w:r>
      <w:r>
        <w:t xml:space="preserve">a </w:t>
      </w:r>
      <w:r w:rsidRPr="006C7331">
        <w:t xml:space="preserve">climate resilient </w:t>
      </w:r>
      <w:r>
        <w:t>state.</w:t>
      </w:r>
      <w:r w:rsidRPr="00B14DCF">
        <w:t xml:space="preserve"> </w:t>
      </w:r>
      <w:r w:rsidRPr="00F14A5B">
        <w:t>Through this statement, the Department aims to:</w:t>
      </w:r>
    </w:p>
    <w:p w14:paraId="357C3245" w14:textId="77777777" w:rsidR="004330DD" w:rsidRPr="00F14A5B" w:rsidRDefault="004330DD" w:rsidP="00D31BEA">
      <w:pPr>
        <w:pStyle w:val="ListBullet"/>
      </w:pPr>
      <w:r>
        <w:t>c</w:t>
      </w:r>
      <w:r w:rsidRPr="00F14A5B">
        <w:t xml:space="preserve">ommunicate its actions to understand the impact of climate change on its assets, </w:t>
      </w:r>
      <w:r>
        <w:t>operations and services</w:t>
      </w:r>
    </w:p>
    <w:p w14:paraId="78A161A5" w14:textId="77777777" w:rsidR="004330DD" w:rsidRPr="00F14A5B" w:rsidRDefault="004330DD" w:rsidP="00D31BEA">
      <w:pPr>
        <w:pStyle w:val="ListBullet"/>
      </w:pPr>
      <w:r>
        <w:t>d</w:t>
      </w:r>
      <w:r w:rsidRPr="00F14A5B">
        <w:t>emonstrate that its environmental impacts are responsibly managed and mitigated</w:t>
      </w:r>
    </w:p>
    <w:p w14:paraId="622BFC50" w14:textId="77777777" w:rsidR="004330DD" w:rsidRDefault="004330DD" w:rsidP="00D31BEA">
      <w:pPr>
        <w:pStyle w:val="ListBullet"/>
      </w:pPr>
      <w:r>
        <w:t>s</w:t>
      </w:r>
      <w:r w:rsidRPr="00F14A5B">
        <w:t>upport the efficient allocation of resources to transition operations to net zero emissions and improve environmental performance</w:t>
      </w:r>
      <w:r>
        <w:t xml:space="preserve"> over time.</w:t>
      </w:r>
    </w:p>
    <w:p w14:paraId="4C7B6F30" w14:textId="77777777" w:rsidR="004330DD" w:rsidRDefault="004330DD" w:rsidP="004330DD">
      <w:pPr>
        <w:pStyle w:val="Heading4"/>
      </w:pPr>
      <w:r>
        <w:lastRenderedPageBreak/>
        <w:t>Climate-related risk governance</w:t>
      </w:r>
    </w:p>
    <w:p w14:paraId="36657462" w14:textId="77777777" w:rsidR="004330DD" w:rsidRDefault="004330DD" w:rsidP="004330DD">
      <w:r w:rsidRPr="008467B7">
        <w:t xml:space="preserve">The </w:t>
      </w:r>
      <w:r>
        <w:t>Department’s</w:t>
      </w:r>
      <w:r w:rsidRPr="008467B7">
        <w:t xml:space="preserve"> Executive Board leads </w:t>
      </w:r>
      <w:r>
        <w:t xml:space="preserve">its </w:t>
      </w:r>
      <w:r w:rsidRPr="008467B7">
        <w:t xml:space="preserve">risk management framework and is the collective owner of </w:t>
      </w:r>
      <w:r>
        <w:t xml:space="preserve">the Department’s </w:t>
      </w:r>
      <w:r w:rsidRPr="008467B7">
        <w:t>strategic risks</w:t>
      </w:r>
      <w:r>
        <w:t xml:space="preserve">. </w:t>
      </w:r>
      <w:r w:rsidRPr="009255F4">
        <w:t>The Board monitors risk mitigation activities through quarterly executive risk management reporting.</w:t>
      </w:r>
    </w:p>
    <w:p w14:paraId="6D2E9550" w14:textId="7A9381BF" w:rsidR="004330DD" w:rsidRDefault="004330DD" w:rsidP="004330DD">
      <w:pPr>
        <w:rPr>
          <w:rFonts w:eastAsiaTheme="minorEastAsia"/>
          <w:sz w:val="22"/>
          <w:szCs w:val="22"/>
        </w:rPr>
      </w:pPr>
      <w:r>
        <w:t xml:space="preserve">The Executive Board established the Climate Risk Management Committee, a senior executive committee, in </w:t>
      </w:r>
      <w:fldSimple w:instr="DOCPROPERTY  YearCurrent  \* MERGEFORMAT">
        <w:r w:rsidR="00053C8A">
          <w:t>20X2</w:t>
        </w:r>
      </w:fldSimple>
      <w:r>
        <w:t xml:space="preserve"> to integrate consideration of climate risks and opportunities across the Department’s operations and activities. The Committee is responsible for:</w:t>
      </w:r>
    </w:p>
    <w:p w14:paraId="2F23035E" w14:textId="77777777" w:rsidR="004330DD" w:rsidRDefault="004330DD" w:rsidP="00D31BEA">
      <w:pPr>
        <w:pStyle w:val="ListBullet"/>
      </w:pPr>
      <w:r>
        <w:t>commissioning a whole of Department climate-related risks assessment</w:t>
      </w:r>
    </w:p>
    <w:p w14:paraId="6D44F6CD" w14:textId="77777777" w:rsidR="004330DD" w:rsidRDefault="004330DD" w:rsidP="00D31BEA">
      <w:pPr>
        <w:pStyle w:val="ListBullet"/>
      </w:pPr>
      <w:r>
        <w:t>overseeing the development and delivery of a climate change strategy for the Department</w:t>
      </w:r>
    </w:p>
    <w:p w14:paraId="09BD0585" w14:textId="664BAF74" w:rsidR="004330DD" w:rsidRDefault="004330DD" w:rsidP="00D31BEA">
      <w:pPr>
        <w:pStyle w:val="ListBullet"/>
      </w:pPr>
      <w:r>
        <w:t>increasing capability to identify and respond to climate risks and opportunities across the Department</w:t>
      </w:r>
      <w:r w:rsidR="006D73E8">
        <w:t>, including undertaking a risk assessment</w:t>
      </w:r>
    </w:p>
    <w:p w14:paraId="6F729C92" w14:textId="22A96F84" w:rsidR="0072159F" w:rsidRDefault="0072159F" w:rsidP="0072159F">
      <w:pPr>
        <w:pStyle w:val="ListBullet"/>
      </w:pPr>
      <w:r>
        <w:t>overseeing capacity and capability of the Department to deliver on portfolio responsibilities with respect to climate action, including delivery of Adaptation Action Plans, and emissions reductions</w:t>
      </w:r>
    </w:p>
    <w:p w14:paraId="1AED7FD5" w14:textId="20EB8B3D" w:rsidR="0072159F" w:rsidRDefault="00C84FA0" w:rsidP="0072159F">
      <w:pPr>
        <w:pStyle w:val="ListBullet"/>
      </w:pPr>
      <w:r>
        <w:t>o</w:t>
      </w:r>
      <w:r w:rsidR="0072159F">
        <w:t xml:space="preserve">verseeing progress on climate action commitments relating to the </w:t>
      </w:r>
      <w:r w:rsidR="005B3C23">
        <w:t>D</w:t>
      </w:r>
      <w:r w:rsidR="0072159F">
        <w:t>epartment's own operations including portfolio emissions reduction planning and actions to build resilience of its assets and operations</w:t>
      </w:r>
    </w:p>
    <w:p w14:paraId="244DCC59" w14:textId="113C8CE9" w:rsidR="0072159F" w:rsidRDefault="00C84FA0" w:rsidP="0072159F">
      <w:pPr>
        <w:pStyle w:val="ListBullet"/>
      </w:pPr>
      <w:r>
        <w:t>m</w:t>
      </w:r>
      <w:r w:rsidR="0072159F">
        <w:t>onitoring the Department’s overall climate risk maturity, integrating effective management of climate risk as part of operations</w:t>
      </w:r>
    </w:p>
    <w:p w14:paraId="57A52E20" w14:textId="5533E8D1" w:rsidR="0072159F" w:rsidRDefault="00C84FA0" w:rsidP="0072159F">
      <w:pPr>
        <w:pStyle w:val="ListBullet"/>
      </w:pPr>
      <w:r>
        <w:t>m</w:t>
      </w:r>
      <w:r w:rsidR="0072159F">
        <w:t>onitoring the regulatory environment with respect to climate risk management, ensuring evolving standards with respect to reporting and disclosure are reflected and maintained as part of the overall management approach.</w:t>
      </w:r>
    </w:p>
    <w:p w14:paraId="3C251A7C" w14:textId="77777777" w:rsidR="004330DD" w:rsidRDefault="004330DD" w:rsidP="004330DD">
      <w:r w:rsidRPr="009255F4">
        <w:t xml:space="preserve">The </w:t>
      </w:r>
      <w:r>
        <w:t>Department’s</w:t>
      </w:r>
      <w:r w:rsidRPr="009255F4">
        <w:t xml:space="preserve"> Risk and Audit Committee provides independent assurance to the Secretary that the </w:t>
      </w:r>
      <w:r>
        <w:t>D</w:t>
      </w:r>
      <w:r w:rsidRPr="009255F4">
        <w:t>epartment's risk and control environment is operating effectively and efficiently. Th</w:t>
      </w:r>
      <w:r>
        <w:t>e</w:t>
      </w:r>
      <w:r w:rsidRPr="009255F4">
        <w:t xml:space="preserve"> committee actively monitors the </w:t>
      </w:r>
      <w:r>
        <w:t>D</w:t>
      </w:r>
      <w:r w:rsidRPr="009255F4">
        <w:t>epartment’s risk profile, including climate-related risks, and assesses the risk management strategies adopted.</w:t>
      </w:r>
    </w:p>
    <w:p w14:paraId="7675EA53" w14:textId="77777777" w:rsidR="004330DD" w:rsidRDefault="004330DD" w:rsidP="004330DD">
      <w:pPr>
        <w:pStyle w:val="Heading4"/>
      </w:pPr>
      <w:r>
        <w:t>Climate-related risk strategy</w:t>
      </w:r>
    </w:p>
    <w:p w14:paraId="5E6ED454" w14:textId="3511CC3C" w:rsidR="004330DD" w:rsidRDefault="004330DD" w:rsidP="004330DD">
      <w:pPr>
        <w:rPr>
          <w:rFonts w:eastAsiaTheme="minorEastAsia"/>
          <w:sz w:val="22"/>
          <w:szCs w:val="22"/>
          <w:lang w:eastAsia="en-AU"/>
        </w:rPr>
      </w:pPr>
      <w:r>
        <w:t>The Department is continuing to build on its understanding of climate-related risks and opportunities</w:t>
      </w:r>
      <w:r w:rsidR="00471A23">
        <w:t>,</w:t>
      </w:r>
      <w:r>
        <w:t xml:space="preserve"> and assess and monitor their relative potential impacts. To support this, the Department </w:t>
      </w:r>
      <w:r w:rsidR="005833C7">
        <w:t>has established a climate risk management committee and completed its first whole of Department climate-related risk assessment.</w:t>
      </w:r>
      <w:r>
        <w:rPr>
          <w:lang w:eastAsia="en-AU"/>
        </w:rPr>
        <w:t xml:space="preserve">The Department is currently monitoring and managing several key strategic climate-related physical and transition risks and opportunities including: </w:t>
      </w:r>
    </w:p>
    <w:p w14:paraId="5CD47195" w14:textId="77777777" w:rsidR="004330DD" w:rsidRDefault="004330DD" w:rsidP="00D31BEA">
      <w:pPr>
        <w:pStyle w:val="ListBullet"/>
        <w:rPr>
          <w:lang w:eastAsia="en-AU"/>
        </w:rPr>
      </w:pPr>
      <w:r>
        <w:rPr>
          <w:lang w:eastAsia="en-AU"/>
        </w:rPr>
        <w:t>impact of increased temperatures and extreme heat on Department operations, including the health and safety of staff operating outdoors</w:t>
      </w:r>
    </w:p>
    <w:p w14:paraId="5D163D84" w14:textId="77777777" w:rsidR="004330DD" w:rsidRDefault="004330DD" w:rsidP="00D31BEA">
      <w:pPr>
        <w:pStyle w:val="ListBullet"/>
      </w:pPr>
      <w:r>
        <w:t>impact of bushfires and extreme weather events on exposed Departmental assets</w:t>
      </w:r>
    </w:p>
    <w:p w14:paraId="3942C95F" w14:textId="77777777" w:rsidR="004330DD" w:rsidRDefault="004330DD" w:rsidP="00D31BEA">
      <w:pPr>
        <w:pStyle w:val="ListBullet"/>
      </w:pPr>
      <w:r>
        <w:t>reducing greenhouse gas emissions resulting from the Department’s operations in line with Victorian Government commitments</w:t>
      </w:r>
    </w:p>
    <w:p w14:paraId="523401E0" w14:textId="77777777" w:rsidR="004330DD" w:rsidRDefault="004330DD" w:rsidP="00D31BEA">
      <w:pPr>
        <w:pStyle w:val="ListBullet"/>
      </w:pPr>
      <w:r>
        <w:t>increasing energy efficiency and demand management capabilities of the Department’s data centres</w:t>
      </w:r>
    </w:p>
    <w:p w14:paraId="3038C957" w14:textId="77777777" w:rsidR="004330DD" w:rsidRDefault="004330DD" w:rsidP="00D31BEA">
      <w:pPr>
        <w:pStyle w:val="ListBullet"/>
      </w:pPr>
      <w:r>
        <w:t>aligning procurement to circular economy principles</w:t>
      </w:r>
    </w:p>
    <w:p w14:paraId="0D90D5B7" w14:textId="77777777" w:rsidR="004330DD" w:rsidRDefault="004330DD" w:rsidP="00D31BEA">
      <w:pPr>
        <w:pStyle w:val="ListBullet"/>
      </w:pPr>
      <w:r>
        <w:t>improving environmental performance monitoring, evaluation</w:t>
      </w:r>
      <w:r w:rsidRPr="00354F25">
        <w:t xml:space="preserve"> </w:t>
      </w:r>
      <w:r>
        <w:t>and reporting</w:t>
      </w:r>
    </w:p>
    <w:p w14:paraId="519C7185" w14:textId="77777777" w:rsidR="00EB1D68" w:rsidRDefault="004330DD" w:rsidP="00D31BEA">
      <w:pPr>
        <w:pStyle w:val="ListBullet"/>
      </w:pPr>
      <w:r>
        <w:t>supporting the continuing uptake of renewable energy and other low emissions technologies across Victoria</w:t>
      </w:r>
    </w:p>
    <w:p w14:paraId="08638F6C" w14:textId="4ABAD427" w:rsidR="004330DD" w:rsidRDefault="00EB1D68" w:rsidP="00D31BEA">
      <w:pPr>
        <w:pStyle w:val="ListBullet"/>
      </w:pPr>
      <w:r>
        <w:t>increasing climate risk maturity across the department, supporting effective management of climate-related risks</w:t>
      </w:r>
      <w:r w:rsidR="006A7DEB">
        <w:t>.</w:t>
      </w:r>
      <w:r w:rsidR="004330DD">
        <w:t xml:space="preserve"> </w:t>
      </w:r>
    </w:p>
    <w:p w14:paraId="6E81CFB7" w14:textId="77777777" w:rsidR="004330DD" w:rsidRDefault="004330DD" w:rsidP="004330DD">
      <w:r>
        <w:t>The Department is leading the investigation of advanced energy management systems across the Victorian Government’s asset portfolio. This will improve energy performance, support the uptake of electric vehicles, and strengthen the resilience of Victoria’s electricity grid through on-site battery storage and flexible demand management. This initiative is designed to complement the Victorian Government’s transition to 100 per cent renewable electricity by 2025 under the Whole of Victorian Government emissions reduction pledge for 2021-25.</w:t>
      </w:r>
    </w:p>
    <w:p w14:paraId="58D3689F" w14:textId="77777777" w:rsidR="002E4AFA" w:rsidRPr="006A390B" w:rsidRDefault="002E4AFA" w:rsidP="002E4AFA">
      <w:r>
        <w:t xml:space="preserve">Consistent with Victorian Government policy, the Department has developed a first Technology portfolio emissions reduction plan in consultation with its portfolio agencies this year. This plan includes identifying key emissions sources, opportunities and challenges for emissions reduction and an initial prioritisation of actions for emissions reduction. The plan will be further refined in the coming years to assist the portfolio’s transition to net zero emissions. The portfolio emission reduction plan will also be used to develop portfolio contributions to the 2026-30 Whole of Victorian Government emissions reduction pledge under the </w:t>
      </w:r>
      <w:r>
        <w:rPr>
          <w:i/>
          <w:iCs/>
        </w:rPr>
        <w:t>Climate Change Act 2017</w:t>
      </w:r>
      <w:r>
        <w:t>.</w:t>
      </w:r>
    </w:p>
    <w:p w14:paraId="7F559FAA" w14:textId="77777777" w:rsidR="004330DD" w:rsidRPr="00A92AD2" w:rsidRDefault="004330DD" w:rsidP="004330DD">
      <w:pPr>
        <w:pStyle w:val="Heading4"/>
      </w:pPr>
      <w:r w:rsidRPr="00A92AD2">
        <w:lastRenderedPageBreak/>
        <w:t>Climate-related risk management</w:t>
      </w:r>
    </w:p>
    <w:p w14:paraId="12DB47AE" w14:textId="77777777" w:rsidR="004330DD" w:rsidRDefault="004330DD" w:rsidP="004330DD">
      <w:r w:rsidRPr="0053170F">
        <w:t>The Department’s risk management framework requires the Department to consider its operating context, including climate change, and identify</w:t>
      </w:r>
      <w:r>
        <w:t>,</w:t>
      </w:r>
      <w:r w:rsidRPr="0053170F">
        <w:t xml:space="preserve"> assess </w:t>
      </w:r>
      <w:r>
        <w:t xml:space="preserve">and manage </w:t>
      </w:r>
      <w:r w:rsidRPr="0053170F">
        <w:t>risks and opportunities</w:t>
      </w:r>
      <w:r>
        <w:t xml:space="preserve">. </w:t>
      </w:r>
      <w:r w:rsidRPr="0053170F">
        <w:t>The framework is aligned to the Victorian Government Risk Management Framework and provides guidance for designing, implementing, monitoring, reviewing and continually improving risk management throughout the Department.</w:t>
      </w:r>
      <w:r>
        <w:t xml:space="preserve"> </w:t>
      </w:r>
    </w:p>
    <w:p w14:paraId="015988B3" w14:textId="77777777" w:rsidR="004330DD" w:rsidRDefault="004330DD" w:rsidP="004330DD">
      <w:r>
        <w:t>C</w:t>
      </w:r>
      <w:r w:rsidRPr="0053170F">
        <w:t xml:space="preserve">limate-related risks </w:t>
      </w:r>
      <w:r>
        <w:t xml:space="preserve">are assessed and managed </w:t>
      </w:r>
      <w:r w:rsidRPr="0053170F">
        <w:t xml:space="preserve">at </w:t>
      </w:r>
      <w:r>
        <w:t xml:space="preserve">the strategic, </w:t>
      </w:r>
      <w:r w:rsidRPr="0053170F">
        <w:t>operational and program/project levels</w:t>
      </w:r>
      <w:r>
        <w:t xml:space="preserve">, including through </w:t>
      </w:r>
      <w:r w:rsidRPr="0053170F">
        <w:t>operational risk management activities</w:t>
      </w:r>
      <w:r>
        <w:t xml:space="preserve"> and the</w:t>
      </w:r>
      <w:r w:rsidRPr="0053170F">
        <w:t xml:space="preserve"> delivery of climate-related programs.</w:t>
      </w:r>
    </w:p>
    <w:p w14:paraId="62DDEE20" w14:textId="77777777" w:rsidR="004330DD" w:rsidRPr="008467B7" w:rsidRDefault="004330DD" w:rsidP="004330DD">
      <w:pPr>
        <w:pStyle w:val="Heading4"/>
      </w:pPr>
      <w:r>
        <w:t>Climate-related metrics and targets</w:t>
      </w:r>
    </w:p>
    <w:p w14:paraId="77053D2E" w14:textId="43D8E7E4" w:rsidR="004330DD" w:rsidRDefault="004330DD" w:rsidP="004330DD">
      <w:r w:rsidRPr="008467B7">
        <w:t xml:space="preserve">The Department reports climate-related metrics in line with </w:t>
      </w:r>
      <w:r>
        <w:t>requirements under Financial Reporting Direction 24</w:t>
      </w:r>
      <w:r w:rsidR="00436E90">
        <w:t>.</w:t>
      </w:r>
      <w:r>
        <w:t xml:space="preserve"> </w:t>
      </w:r>
      <w:r w:rsidRPr="00907FF6">
        <w:t>The</w:t>
      </w:r>
      <w:r w:rsidR="00C30CA8">
        <w:t> </w:t>
      </w:r>
      <w:r>
        <w:t>environmental data</w:t>
      </w:r>
      <w:r w:rsidRPr="00907FF6">
        <w:t xml:space="preserve"> captured in 2019-20 are mostly used as baseline for reporting of these indicators</w:t>
      </w:r>
      <w:r>
        <w:t>.</w:t>
      </w:r>
    </w:p>
    <w:p w14:paraId="60A3FD4D" w14:textId="2C3F5628" w:rsidR="00932BC8" w:rsidRDefault="00C82FEB" w:rsidP="004330DD">
      <w:r>
        <w:t>T</w:t>
      </w:r>
      <w:r w:rsidRPr="008467B7">
        <w:t xml:space="preserve">he Department formed a Climate and Sustainability Working Group </w:t>
      </w:r>
      <w:r>
        <w:t>to identify opportunities to</w:t>
      </w:r>
      <w:r w:rsidRPr="008467B7">
        <w:t xml:space="preserve"> </w:t>
      </w:r>
      <w:r>
        <w:t xml:space="preserve">improve the Department’s environmental performance for operations and asset management and to </w:t>
      </w:r>
      <w:r w:rsidRPr="008467B7">
        <w:t>coordinat</w:t>
      </w:r>
      <w:r>
        <w:t>e</w:t>
      </w:r>
      <w:r w:rsidRPr="008467B7">
        <w:t xml:space="preserve"> environmental reporting</w:t>
      </w:r>
      <w:r>
        <w:t xml:space="preserve">. The working group is comprised of managers and team leaders across the Department and portfolio entities, reporting </w:t>
      </w:r>
      <w:r w:rsidRPr="008467B7">
        <w:t xml:space="preserve">quarterly to the </w:t>
      </w:r>
      <w:r>
        <w:t xml:space="preserve">Climate </w:t>
      </w:r>
      <w:r w:rsidRPr="008467B7">
        <w:t>Risk Management Committee</w:t>
      </w:r>
      <w:r>
        <w:t xml:space="preserve">. </w:t>
      </w:r>
      <w:r w:rsidR="004330DD" w:rsidRPr="008467B7">
        <w:t xml:space="preserve">Environmental data for this report is captured </w:t>
      </w:r>
      <w:r w:rsidR="004330DD">
        <w:t xml:space="preserve">in </w:t>
      </w:r>
      <w:r w:rsidR="004330DD" w:rsidRPr="000B2545">
        <w:t>the Department’s Environmental Data Management System</w:t>
      </w:r>
      <w:r w:rsidR="004330DD" w:rsidRPr="00B14DCF" w:rsidDel="006A28BE">
        <w:t xml:space="preserve"> </w:t>
      </w:r>
      <w:r w:rsidR="004330DD">
        <w:t>(EDMS) from</w:t>
      </w:r>
      <w:r w:rsidR="004330DD" w:rsidRPr="000743EA">
        <w:t xml:space="preserve"> suppliers, </w:t>
      </w:r>
      <w:r w:rsidR="004330DD">
        <w:t xml:space="preserve">equipment </w:t>
      </w:r>
      <w:r w:rsidR="004330DD" w:rsidRPr="000743EA">
        <w:t>metering</w:t>
      </w:r>
      <w:r w:rsidR="004330DD">
        <w:t>, reports and surveys</w:t>
      </w:r>
      <w:r w:rsidR="004330DD" w:rsidRPr="00FB1187">
        <w:t>. Environmental data</w:t>
      </w:r>
      <w:r w:rsidR="004330DD">
        <w:t xml:space="preserve"> </w:t>
      </w:r>
      <w:r w:rsidR="004330DD" w:rsidRPr="00FB1187">
        <w:t>is reported to the Climate and Sustainability Working Group on a quarterly basis</w:t>
      </w:r>
      <w:r w:rsidR="004330DD">
        <w:t>, to support the evaluation of environmental performance initiatives,</w:t>
      </w:r>
      <w:r w:rsidR="004330DD" w:rsidRPr="00FB1187">
        <w:t xml:space="preserve"> and </w:t>
      </w:r>
      <w:r w:rsidR="004330DD">
        <w:t>reported to</w:t>
      </w:r>
      <w:r w:rsidR="004330DD" w:rsidRPr="00FB1187">
        <w:t xml:space="preserve"> the </w:t>
      </w:r>
      <w:r w:rsidR="004330DD">
        <w:t>Risk Management Committee</w:t>
      </w:r>
      <w:r w:rsidR="004330DD" w:rsidRPr="00FF261C">
        <w:t xml:space="preserve">. </w:t>
      </w:r>
    </w:p>
    <w:p w14:paraId="3864E765" w14:textId="1D4DC6FB" w:rsidR="004330DD" w:rsidRDefault="004330DD" w:rsidP="004330DD">
      <w:r>
        <w:t>The Department has achieved its target to double renewable energy generation capacity on its sites with the installation of a 100kW solar system at its data centre</w:t>
      </w:r>
      <w:r w:rsidR="002412FB">
        <w:t xml:space="preserve"> and completed a whole of Department climate risk assessment</w:t>
      </w:r>
      <w:r>
        <w:t>.</w:t>
      </w:r>
      <w:r w:rsidRPr="005E07F7">
        <w:t xml:space="preserve"> </w:t>
      </w:r>
      <w:r>
        <w:t>The Department has established the following targets to drive improvements to its understanding and management of climate-related risks and support better environmental performance across its portfolio:</w:t>
      </w:r>
    </w:p>
    <w:p w14:paraId="1A537ED9" w14:textId="77777777" w:rsidR="000365C6" w:rsidRDefault="000365C6" w:rsidP="000365C6">
      <w:pPr>
        <w:pStyle w:val="ListBullet"/>
      </w:pPr>
      <w:r>
        <w:t>complete a feasibility assessment within two years for the transition of key department assets to low emissions or net zero technologies on replacement or renewal</w:t>
      </w:r>
    </w:p>
    <w:p w14:paraId="398988D0" w14:textId="7ABCBE6D" w:rsidR="004330DD" w:rsidRDefault="004330DD" w:rsidP="00D31BEA">
      <w:pPr>
        <w:pStyle w:val="ListBullet"/>
      </w:pPr>
      <w:r>
        <w:t xml:space="preserve">install efficient LED lighting and water-efficient taps at all sites within </w:t>
      </w:r>
      <w:r w:rsidR="00F96463">
        <w:t xml:space="preserve">two </w:t>
      </w:r>
      <w:r>
        <w:t>years</w:t>
      </w:r>
    </w:p>
    <w:p w14:paraId="6C5269BA" w14:textId="77777777" w:rsidR="004330DD" w:rsidRDefault="004330DD" w:rsidP="00D31BEA">
      <w:pPr>
        <w:pStyle w:val="ListBullet"/>
      </w:pPr>
      <w:r>
        <w:t>r</w:t>
      </w:r>
      <w:r w:rsidRPr="77D25D40">
        <w:t xml:space="preserve">educe </w:t>
      </w:r>
      <w:r>
        <w:t>by half</w:t>
      </w:r>
      <w:r w:rsidRPr="77D25D40">
        <w:t xml:space="preserve"> </w:t>
      </w:r>
      <w:r>
        <w:t xml:space="preserve">total energy use per FTE within three years compared to </w:t>
      </w:r>
      <w:r w:rsidRPr="77D25D40">
        <w:t>2019-20</w:t>
      </w:r>
    </w:p>
    <w:p w14:paraId="30AF006E" w14:textId="2E850EE6" w:rsidR="004330DD" w:rsidRDefault="004330DD" w:rsidP="00D31BEA">
      <w:pPr>
        <w:pStyle w:val="ListBullet"/>
      </w:pPr>
      <w:r>
        <w:t>r</w:t>
      </w:r>
      <w:r w:rsidRPr="005A5A6F">
        <w:t xml:space="preserve">eplace at least 50 per cent of natural gas heating systems with efficient electric systems </w:t>
      </w:r>
      <w:r>
        <w:t xml:space="preserve">within </w:t>
      </w:r>
      <w:r w:rsidR="00F96463">
        <w:t xml:space="preserve">six </w:t>
      </w:r>
      <w:r>
        <w:t>years</w:t>
      </w:r>
    </w:p>
    <w:p w14:paraId="44B0392D" w14:textId="694A6183" w:rsidR="004330DD" w:rsidRDefault="004330DD" w:rsidP="00D31BEA">
      <w:pPr>
        <w:pStyle w:val="ListBullet"/>
      </w:pPr>
      <w:r>
        <w:t xml:space="preserve">increase the recycling rate to 85 per cent within </w:t>
      </w:r>
      <w:r w:rsidR="00F96463">
        <w:t xml:space="preserve">six </w:t>
      </w:r>
      <w:r>
        <w:t>years</w:t>
      </w:r>
    </w:p>
    <w:p w14:paraId="378E5C8C" w14:textId="223DF870" w:rsidR="004330DD" w:rsidRDefault="004330DD" w:rsidP="00D31BEA">
      <w:pPr>
        <w:pStyle w:val="ListBullet"/>
      </w:pPr>
      <w:r>
        <w:t xml:space="preserve">transition 100 per cent of the Department’s car and van fleet to zero emissions vehicles within </w:t>
      </w:r>
      <w:r w:rsidR="001D2536">
        <w:t xml:space="preserve">ten </w:t>
      </w:r>
      <w:r>
        <w:t>years</w:t>
      </w:r>
      <w:r w:rsidR="00CF4BE6">
        <w:t>.</w:t>
      </w:r>
    </w:p>
    <w:p w14:paraId="1AE7E872" w14:textId="1A874CC8" w:rsidR="00585DAC" w:rsidRPr="00BF2540" w:rsidRDefault="00585DAC" w:rsidP="00DD0C25">
      <w:r w:rsidRPr="00BF2540">
        <w:rPr>
          <w:rFonts w:ascii="Arial" w:hAnsi="Arial" w:cs="Arial"/>
        </w:rPr>
        <w:t>The Department monitors its climate risk maturity, reporting to the Victorian Secretaries Board (VSB) on its approach and key activities with respect to climate risk management. The Department has continued to build maturity in management of climate-related risk, through development and implementation of key climate initiatives. These initiatives have included establishment of the Climate Risk Management Committee, implementation of programs to build the capacity and capability of staff to identify and respond to climate-related risks, and completion of the first whole</w:t>
      </w:r>
      <w:r w:rsidR="009A2B0C">
        <w:rPr>
          <w:rFonts w:ascii="Arial" w:hAnsi="Arial" w:cs="Arial"/>
        </w:rPr>
        <w:t xml:space="preserve"> </w:t>
      </w:r>
      <w:r w:rsidRPr="00BF2540">
        <w:rPr>
          <w:rFonts w:ascii="Arial" w:hAnsi="Arial" w:cs="Arial"/>
        </w:rPr>
        <w:t>of</w:t>
      </w:r>
      <w:r w:rsidR="009A2B0C">
        <w:rPr>
          <w:rFonts w:ascii="Arial" w:hAnsi="Arial" w:cs="Arial"/>
        </w:rPr>
        <w:t xml:space="preserve"> D</w:t>
      </w:r>
      <w:r w:rsidRPr="00BF2540">
        <w:rPr>
          <w:rFonts w:ascii="Arial" w:hAnsi="Arial" w:cs="Arial"/>
        </w:rPr>
        <w:t>epartment climate risk assessment.</w:t>
      </w:r>
    </w:p>
    <w:p w14:paraId="6B814198" w14:textId="311A278E" w:rsidR="004330DD" w:rsidRPr="001662B0" w:rsidRDefault="004330DD" w:rsidP="009E53A6">
      <w:pPr>
        <w:pStyle w:val="GuidanceBlockHeading"/>
        <w:pageBreakBefore/>
        <w:rPr>
          <w:sz w:val="18"/>
          <w:szCs w:val="18"/>
        </w:rPr>
      </w:pPr>
      <w:r w:rsidRPr="001662B0">
        <w:lastRenderedPageBreak/>
        <w:t>Guidance – Climate-related risk disclosure</w:t>
      </w:r>
    </w:p>
    <w:p w14:paraId="58BE6325" w14:textId="0D8F08F1" w:rsidR="004330DD" w:rsidRPr="00177A6B" w:rsidRDefault="004330DD" w:rsidP="004330DD">
      <w:pPr>
        <w:rPr>
          <w:rStyle w:val="Guidance"/>
        </w:rPr>
      </w:pPr>
      <w:r w:rsidRPr="00177A6B">
        <w:rPr>
          <w:rStyle w:val="Guidance"/>
        </w:rPr>
        <w:t>Tier 1 entities are to illustrate the organisations approach to understanding and managing climate-related risks and opportunities, drawing on information and examples across the four key areas</w:t>
      </w:r>
      <w:r>
        <w:rPr>
          <w:rStyle w:val="Guidance"/>
        </w:rPr>
        <w:t xml:space="preserve"> of</w:t>
      </w:r>
      <w:r w:rsidRPr="00177A6B">
        <w:rPr>
          <w:rStyle w:val="Guidance"/>
        </w:rPr>
        <w:t xml:space="preserve"> – Governance, Strategy, Risk Management, Metrics and Targets. Across these four areas, entities should</w:t>
      </w:r>
      <w:r w:rsidR="007A3D59">
        <w:rPr>
          <w:rStyle w:val="Guidance"/>
        </w:rPr>
        <w:t xml:space="preserve"> </w:t>
      </w:r>
      <w:r w:rsidR="007B3A73">
        <w:rPr>
          <w:rStyle w:val="Guidance"/>
        </w:rPr>
        <w:t>describe</w:t>
      </w:r>
      <w:r w:rsidRPr="00177A6B">
        <w:rPr>
          <w:rStyle w:val="Guidance"/>
        </w:rPr>
        <w:t xml:space="preserve">: </w:t>
      </w:r>
    </w:p>
    <w:p w14:paraId="1AEE7742" w14:textId="61001CCD" w:rsidR="004330DD" w:rsidRPr="00177A6B" w:rsidRDefault="004330DD" w:rsidP="00D31BEA">
      <w:pPr>
        <w:pStyle w:val="ListBullet"/>
        <w:rPr>
          <w:rStyle w:val="Guidance"/>
        </w:rPr>
      </w:pPr>
      <w:r w:rsidRPr="3BF5C69B">
        <w:rPr>
          <w:rStyle w:val="Guidance"/>
        </w:rPr>
        <w:t xml:space="preserve">Governance: describe the organisations governance structures in place relating to climate-related risks and opportunities. This should include reference to the Board and/or executives’ and their role in relation to risks, as well as any specific groups, committees or individuals with responsibilities for climate-related risks and opportunities </w:t>
      </w:r>
    </w:p>
    <w:p w14:paraId="4961D945" w14:textId="7CF02A34" w:rsidR="004330DD" w:rsidRDefault="004330DD" w:rsidP="00D31BEA">
      <w:pPr>
        <w:pStyle w:val="ListBullet"/>
        <w:rPr>
          <w:rStyle w:val="Guidance"/>
        </w:rPr>
      </w:pPr>
      <w:r w:rsidRPr="3BF5C69B">
        <w:rPr>
          <w:rStyle w:val="Guidance"/>
        </w:rPr>
        <w:t xml:space="preserve">Strategy: describe activities and/or structures in places to consider the actual and potential impacts of climate-related risks and opportunities on the organisation’s businesses, strategy and financial planning. This should include a description of any key climate-related risks and opportunities the organisation has identified for its strategic objectives, work undertaken to assess the impacts of these risks and opportunities, as well as the resilience of the organisation to them </w:t>
      </w:r>
    </w:p>
    <w:p w14:paraId="49D9120B" w14:textId="0A9765EB" w:rsidR="004330DD" w:rsidRDefault="004330DD" w:rsidP="00D31BEA">
      <w:pPr>
        <w:pStyle w:val="ListBullet"/>
        <w:rPr>
          <w:rStyle w:val="Guidance"/>
        </w:rPr>
      </w:pPr>
      <w:r>
        <w:rPr>
          <w:rStyle w:val="Guidance"/>
        </w:rPr>
        <w:t xml:space="preserve">Risk Management: describe the processes the organisation uses to identify, assess, and manage climate-related risks. This may include frameworks, systems, processes, and policies in place to support risk management, and should include a description as to how any specific processes for climate-related risk identification, are integrated with broader risk management practices </w:t>
      </w:r>
    </w:p>
    <w:p w14:paraId="27961201" w14:textId="77777777" w:rsidR="004330DD" w:rsidRPr="00177A6B" w:rsidRDefault="004330DD" w:rsidP="00D31BEA">
      <w:pPr>
        <w:pStyle w:val="ListBullet"/>
        <w:rPr>
          <w:rStyle w:val="Guidance"/>
        </w:rPr>
      </w:pPr>
      <w:r>
        <w:rPr>
          <w:rStyle w:val="Guidance"/>
        </w:rPr>
        <w:t xml:space="preserve">Metrics and Targets: Describe metrics and targets used by the organisation to assess and manage relevant climate-related risks and opportunities. This should include a description of the relevant metrics used, targets in place, and any information as to how the organisation is tracking in relation to those targets. </w:t>
      </w:r>
    </w:p>
    <w:p w14:paraId="433D7A51" w14:textId="77777777" w:rsidR="004330DD" w:rsidRPr="00C32143" w:rsidRDefault="004330DD" w:rsidP="004330DD">
      <w:pPr>
        <w:pStyle w:val="GuidanceEnd"/>
      </w:pPr>
    </w:p>
    <w:p w14:paraId="288A59FB" w14:textId="77777777" w:rsidR="004330DD" w:rsidRDefault="004330DD" w:rsidP="004330DD">
      <w:pPr>
        <w:pStyle w:val="Heading3"/>
      </w:pPr>
      <w:r>
        <w:t>Greenhouse gas emissions</w:t>
      </w:r>
    </w:p>
    <w:p w14:paraId="5EAAC2E1" w14:textId="358785C9" w:rsidR="004330DD" w:rsidRDefault="004330DD" w:rsidP="004330DD">
      <w:r>
        <w:t xml:space="preserve">The Department reports its greenhouse gas emissions broken down into emissions ‘scopes’ consistent with national and international reporting standards. Scope 1 emissions are from sources that the </w:t>
      </w:r>
      <w:r w:rsidR="00A126C0">
        <w:t>D</w:t>
      </w:r>
      <w:r>
        <w:t>epartment owns or controls, such as burning fossil fuels in its vehicles or machinery. Scope 2 emissions are indirect emissions from the Department’s use of electricity from the grid, which still uses coal and gas-fired power generation. Scope 3 emissions are indirect emissions from sources the Department does not control but does influence. The Department reports only scope 3 emissions from corporate air travel and waste disposal.</w:t>
      </w:r>
    </w:p>
    <w:p w14:paraId="580323A1" w14:textId="2951E5F9" w:rsidR="004330DD" w:rsidRDefault="004330DD" w:rsidP="004330DD">
      <w:r>
        <w:t xml:space="preserve">The Department’s scope 1 greenhouse gas emissions </w:t>
      </w:r>
      <w:r w:rsidR="00E9447D">
        <w:t xml:space="preserve">decreased </w:t>
      </w:r>
      <w:r>
        <w:t>by 1.</w:t>
      </w:r>
      <w:r w:rsidR="00E9447D">
        <w:t>2</w:t>
      </w:r>
      <w:r>
        <w:t xml:space="preserve"> per cent f</w:t>
      </w:r>
      <w:r w:rsidRPr="001508DA">
        <w:t xml:space="preserve">rom </w:t>
      </w:r>
      <w:r>
        <w:t xml:space="preserve">20XX-X0 to </w:t>
      </w:r>
      <w:fldSimple w:instr="DOCPROPERTY  FinYearPrevious  \* MERGEFORMAT">
        <w:r w:rsidR="00892DDD">
          <w:t>20X0</w:t>
        </w:r>
        <w:r w:rsidR="00892DDD">
          <w:rPr>
            <w:rFonts w:ascii="Cambria Math" w:hAnsi="Cambria Math" w:cs="Cambria Math"/>
          </w:rPr>
          <w:t>‑</w:t>
        </w:r>
        <w:r w:rsidR="00892DDD">
          <w:t>X1</w:t>
        </w:r>
      </w:fldSimple>
      <w:r>
        <w:t xml:space="preserve"> and by 2.8</w:t>
      </w:r>
      <w:r w:rsidR="00FB129A">
        <w:t> </w:t>
      </w:r>
      <w:r>
        <w:t xml:space="preserve">per cent from </w:t>
      </w:r>
      <w:fldSimple w:instr="DOCPROPERTY  FinYearPrevious  \* MERGEFORMAT">
        <w:r w:rsidR="00892DDD">
          <w:t>20X0</w:t>
        </w:r>
        <w:r w:rsidR="00892DDD">
          <w:rPr>
            <w:rFonts w:ascii="Cambria Math" w:hAnsi="Cambria Math" w:cs="Cambria Math"/>
          </w:rPr>
          <w:t>‑</w:t>
        </w:r>
        <w:r w:rsidR="00892DDD">
          <w:t>X1</w:t>
        </w:r>
      </w:fldSimple>
      <w:r w:rsidR="00892DDD">
        <w:t xml:space="preserve"> </w:t>
      </w:r>
      <w:r>
        <w:t xml:space="preserve">to </w:t>
      </w:r>
      <w:fldSimple w:instr="DOCPROPERTY  FinYearCurrent  \* MERGEFORMAT">
        <w:r w:rsidR="00301845">
          <w:t>20X1</w:t>
        </w:r>
        <w:r w:rsidR="00301845">
          <w:rPr>
            <w:rFonts w:ascii="Cambria Math" w:hAnsi="Cambria Math" w:cs="Cambria Math"/>
          </w:rPr>
          <w:noBreakHyphen/>
        </w:r>
        <w:r w:rsidR="00301845">
          <w:t>X2</w:t>
        </w:r>
      </w:fldSimple>
      <w:r>
        <w:t xml:space="preserve">. This </w:t>
      </w:r>
      <w:r w:rsidR="008F27AD">
        <w:t xml:space="preserve">decrease </w:t>
      </w:r>
      <w:r>
        <w:t xml:space="preserve">has largely been driven by </w:t>
      </w:r>
      <w:r w:rsidR="008F27AD">
        <w:t>replacement of gas consuming boilers with electric heat pumps</w:t>
      </w:r>
      <w:r>
        <w:t xml:space="preserve">. </w:t>
      </w:r>
    </w:p>
    <w:p w14:paraId="0B7AB4ED" w14:textId="42E63EDE" w:rsidR="004330DD" w:rsidRDefault="004330DD" w:rsidP="004330DD">
      <w:r>
        <w:t xml:space="preserve">The Department’s scope 2 greenhouse gas emissions </w:t>
      </w:r>
      <w:r w:rsidR="002F4414">
        <w:t>decreased</w:t>
      </w:r>
      <w:r w:rsidR="002F4414" w:rsidRPr="2F067E1F">
        <w:t xml:space="preserve"> </w:t>
      </w:r>
      <w:r w:rsidRPr="2F067E1F">
        <w:t>by 1.</w:t>
      </w:r>
      <w:r w:rsidR="002F4414">
        <w:t>8</w:t>
      </w:r>
      <w:r>
        <w:t xml:space="preserve"> per cent</w:t>
      </w:r>
      <w:r w:rsidRPr="77D25D40">
        <w:t xml:space="preserve"> from </w:t>
      </w:r>
      <w:r>
        <w:t>20XX-X0</w:t>
      </w:r>
      <w:r w:rsidRPr="77D25D40">
        <w:t xml:space="preserve"> to </w:t>
      </w:r>
      <w:fldSimple w:instr="DOCPROPERTY  FinYearPrevious  \* MERGEFORMAT">
        <w:r w:rsidR="00892DDD">
          <w:t>20X0</w:t>
        </w:r>
        <w:r w:rsidR="00892DDD">
          <w:rPr>
            <w:rFonts w:ascii="Cambria Math" w:hAnsi="Cambria Math" w:cs="Cambria Math"/>
          </w:rPr>
          <w:t>‑</w:t>
        </w:r>
        <w:r w:rsidR="00892DDD">
          <w:t>X1</w:t>
        </w:r>
      </w:fldSimple>
      <w:r w:rsidR="00892DDD">
        <w:t xml:space="preserve"> </w:t>
      </w:r>
      <w:r>
        <w:t xml:space="preserve">and </w:t>
      </w:r>
      <w:r w:rsidRPr="2F067E1F">
        <w:t>decreased by 2</w:t>
      </w:r>
      <w:r w:rsidR="002F4414">
        <w:t>5</w:t>
      </w:r>
      <w:r w:rsidRPr="2F067E1F">
        <w:t>.3</w:t>
      </w:r>
      <w:r>
        <w:t xml:space="preserve"> per cent</w:t>
      </w:r>
      <w:r w:rsidRPr="2F067E1F">
        <w:t xml:space="preserve"> from</w:t>
      </w:r>
      <w:r w:rsidRPr="77D25D40">
        <w:t xml:space="preserve"> </w:t>
      </w:r>
      <w:fldSimple w:instr="DOCPROPERTY  FinYearPrevious  \* MERGEFORMAT">
        <w:r w:rsidR="00892DDD">
          <w:t>20X0</w:t>
        </w:r>
        <w:r w:rsidR="00892DDD">
          <w:rPr>
            <w:rFonts w:ascii="Cambria Math" w:hAnsi="Cambria Math" w:cs="Cambria Math"/>
          </w:rPr>
          <w:t>‑</w:t>
        </w:r>
        <w:r w:rsidR="00892DDD">
          <w:t>X1</w:t>
        </w:r>
      </w:fldSimple>
      <w:r w:rsidR="00892DDD">
        <w:t xml:space="preserve"> to </w:t>
      </w:r>
      <w:fldSimple w:instr="DOCPROPERTY  FinYearCurrent  \* MERGEFORMAT">
        <w:r w:rsidR="00892DDD">
          <w:t>20X1</w:t>
        </w:r>
        <w:r w:rsidR="00892DDD">
          <w:rPr>
            <w:rFonts w:ascii="Cambria Math" w:hAnsi="Cambria Math" w:cs="Cambria Math"/>
          </w:rPr>
          <w:noBreakHyphen/>
        </w:r>
        <w:r w:rsidR="00892DDD">
          <w:t>X2</w:t>
        </w:r>
      </w:fldSimple>
      <w:r w:rsidRPr="2F067E1F">
        <w:t>. These decreases have been driven through the installation of 100kW of rooftop solar at the Department’s data centre, decreasing</w:t>
      </w:r>
      <w:r w:rsidR="002F4414">
        <w:t xml:space="preserve"> grid sourced</w:t>
      </w:r>
      <w:r w:rsidRPr="2F067E1F">
        <w:t xml:space="preserve"> electricity consumption in this facility</w:t>
      </w:r>
      <w:r w:rsidR="002F4414">
        <w:t xml:space="preserve"> and energy efficiency improvements across the Department’s sites</w:t>
      </w:r>
      <w:r w:rsidRPr="2F067E1F">
        <w:t>.</w:t>
      </w:r>
    </w:p>
    <w:p w14:paraId="7D7BAEFA" w14:textId="77AF3A13" w:rsidR="004330DD" w:rsidRDefault="004330DD" w:rsidP="004330DD">
      <w:r w:rsidRPr="77D25D40">
        <w:t xml:space="preserve">The </w:t>
      </w:r>
      <w:r>
        <w:t xml:space="preserve">Department’s </w:t>
      </w:r>
      <w:r w:rsidRPr="77D25D40">
        <w:t xml:space="preserve">scope 3 </w:t>
      </w:r>
      <w:r>
        <w:t xml:space="preserve">greenhouse gas </w:t>
      </w:r>
      <w:r w:rsidRPr="77D25D40">
        <w:t xml:space="preserve">emissions from </w:t>
      </w:r>
      <w:r w:rsidRPr="2F067E1F">
        <w:t>corporate air travel and waste disposal</w:t>
      </w:r>
      <w:r w:rsidRPr="008429FA">
        <w:t xml:space="preserve"> </w:t>
      </w:r>
      <w:r w:rsidR="00056DFB">
        <w:t xml:space="preserve">decreased </w:t>
      </w:r>
      <w:r w:rsidRPr="77D25D40">
        <w:t>an average of 3.2</w:t>
      </w:r>
      <w:r>
        <w:t xml:space="preserve"> per cent</w:t>
      </w:r>
      <w:r w:rsidRPr="77D25D40">
        <w:t xml:space="preserve"> </w:t>
      </w:r>
      <w:r>
        <w:t>per annum from</w:t>
      </w:r>
      <w:r w:rsidRPr="77D25D40">
        <w:t xml:space="preserve"> </w:t>
      </w:r>
      <w:r>
        <w:t>20XX-X0</w:t>
      </w:r>
      <w:r w:rsidRPr="77D25D40">
        <w:t xml:space="preserve"> to </w:t>
      </w:r>
      <w:fldSimple w:instr="DOCPROPERTY  FinYearCurrent  \* MERGEFORMAT">
        <w:r w:rsidR="00892DDD">
          <w:t>20X1</w:t>
        </w:r>
        <w:r w:rsidR="00892DDD">
          <w:rPr>
            <w:rFonts w:ascii="Cambria Math" w:hAnsi="Cambria Math" w:cs="Cambria Math"/>
          </w:rPr>
          <w:noBreakHyphen/>
        </w:r>
        <w:r w:rsidR="00892DDD">
          <w:t>X2</w:t>
        </w:r>
      </w:fldSimple>
      <w:r w:rsidRPr="77D25D40">
        <w:t xml:space="preserve"> </w:t>
      </w:r>
      <w:r w:rsidR="002D726A">
        <w:t>due to decreases in air travel and reductions in waste to landfill</w:t>
      </w:r>
      <w:r w:rsidRPr="77D25D40">
        <w:t>.</w:t>
      </w:r>
      <w:r w:rsidRPr="00305719">
        <w:rPr>
          <w:rStyle w:val="Reference"/>
        </w:rPr>
        <w:t xml:space="preserve"> </w:t>
      </w:r>
      <w:r>
        <w:rPr>
          <w:rStyle w:val="Reference"/>
        </w:rPr>
        <w:t xml:space="preserve"> </w:t>
      </w:r>
    </w:p>
    <w:p w14:paraId="0CF4A695" w14:textId="6B48E896" w:rsidR="004330DD" w:rsidRDefault="004330DD" w:rsidP="000E5049">
      <w:pPr>
        <w:keepNext/>
      </w:pPr>
      <w:r>
        <w:t>T</w:t>
      </w:r>
      <w:r w:rsidRPr="77D25D40">
        <w:t xml:space="preserve">he </w:t>
      </w:r>
      <w:r>
        <w:t>Department</w:t>
      </w:r>
      <w:r w:rsidRPr="008429FA">
        <w:t xml:space="preserve"> </w:t>
      </w:r>
      <w:r w:rsidRPr="77D25D40">
        <w:t xml:space="preserve">is aiming to </w:t>
      </w:r>
      <w:r>
        <w:t>reduce</w:t>
      </w:r>
      <w:r w:rsidRPr="77D25D40">
        <w:t xml:space="preserve"> its </w:t>
      </w:r>
      <w:r>
        <w:t>greenhouse gas</w:t>
      </w:r>
      <w:r w:rsidRPr="77D25D40">
        <w:t xml:space="preserve"> emissions through energy efficiency </w:t>
      </w:r>
      <w:r w:rsidR="00405F9E">
        <w:t xml:space="preserve">and renewable energy </w:t>
      </w:r>
      <w:r w:rsidRPr="77D25D40">
        <w:t>projects. These include the installation of efficient</w:t>
      </w:r>
      <w:r>
        <w:t xml:space="preserve"> electric</w:t>
      </w:r>
      <w:r w:rsidRPr="77D25D40">
        <w:t xml:space="preserve"> heating and cooling systems, LED lights, solar panels, and waste reduction program across all </w:t>
      </w:r>
      <w:r>
        <w:t>sites</w:t>
      </w:r>
      <w:r w:rsidRPr="77D25D40">
        <w:t xml:space="preserve">. </w:t>
      </w:r>
    </w:p>
    <w:tbl>
      <w:tblPr>
        <w:tblW w:w="9639" w:type="dxa"/>
        <w:tblLook w:val="04A0" w:firstRow="1" w:lastRow="0" w:firstColumn="1" w:lastColumn="0" w:noHBand="0" w:noVBand="1"/>
      </w:tblPr>
      <w:tblGrid>
        <w:gridCol w:w="6061"/>
        <w:gridCol w:w="1176"/>
        <w:gridCol w:w="1190"/>
        <w:gridCol w:w="1212"/>
      </w:tblGrid>
      <w:tr w:rsidR="004330DD" w:rsidRPr="000707A9" w14:paraId="5F4AE91F" w14:textId="77777777" w:rsidTr="007A6675">
        <w:trPr>
          <w:trHeight w:val="238"/>
          <w:tblHeader/>
        </w:trPr>
        <w:tc>
          <w:tcPr>
            <w:tcW w:w="6061" w:type="dxa"/>
            <w:tcBorders>
              <w:top w:val="nil"/>
              <w:left w:val="nil"/>
              <w:bottom w:val="nil"/>
              <w:right w:val="nil"/>
            </w:tcBorders>
            <w:shd w:val="clear" w:color="auto" w:fill="000000" w:themeFill="text1"/>
            <w:noWrap/>
            <w:vAlign w:val="bottom"/>
            <w:hideMark/>
          </w:tcPr>
          <w:p w14:paraId="20A75C0D" w14:textId="77777777" w:rsidR="004330DD" w:rsidRPr="009C70EE" w:rsidRDefault="004330DD" w:rsidP="000E5049">
            <w:pPr>
              <w:keepNext/>
              <w:spacing w:before="40" w:after="40" w:line="240" w:lineRule="auto"/>
              <w:rPr>
                <w:bCs/>
                <w:i/>
                <w:sz w:val="17"/>
              </w:rPr>
            </w:pPr>
            <w:r w:rsidRPr="009C70EE">
              <w:rPr>
                <w:bCs/>
                <w:i/>
                <w:sz w:val="17"/>
              </w:rPr>
              <w:t xml:space="preserve">Indicator </w:t>
            </w:r>
          </w:p>
        </w:tc>
        <w:tc>
          <w:tcPr>
            <w:tcW w:w="1176" w:type="dxa"/>
            <w:tcBorders>
              <w:top w:val="nil"/>
              <w:left w:val="nil"/>
              <w:bottom w:val="nil"/>
              <w:right w:val="nil"/>
            </w:tcBorders>
            <w:shd w:val="clear" w:color="auto" w:fill="000000" w:themeFill="text1"/>
            <w:noWrap/>
            <w:vAlign w:val="bottom"/>
            <w:hideMark/>
          </w:tcPr>
          <w:p w14:paraId="4F8321DC" w14:textId="4573C12B" w:rsidR="004330DD" w:rsidRPr="00301845" w:rsidRDefault="004330DD" w:rsidP="000E5049">
            <w:pPr>
              <w:keepNext/>
              <w:spacing w:before="40" w:after="40" w:line="240" w:lineRule="auto"/>
              <w:jc w:val="right"/>
              <w:rPr>
                <w:i/>
                <w:iCs/>
              </w:rPr>
            </w:pPr>
            <w:r w:rsidRPr="00301845">
              <w:rPr>
                <w:i/>
                <w:iCs/>
              </w:rPr>
              <w:t xml:space="preserve"> </w:t>
            </w:r>
            <w:r w:rsidR="00301845" w:rsidRPr="00301845">
              <w:rPr>
                <w:i/>
                <w:iCs/>
              </w:rPr>
              <w:fldChar w:fldCharType="begin"/>
            </w:r>
            <w:r w:rsidR="00301845" w:rsidRPr="00301845">
              <w:rPr>
                <w:i/>
                <w:iCs/>
              </w:rPr>
              <w:instrText>DOCPROPERTY  FinYearCurrent  \* MERGEFORMAT</w:instrText>
            </w:r>
            <w:r w:rsidR="00301845" w:rsidRPr="00301845">
              <w:rPr>
                <w:i/>
                <w:iCs/>
              </w:rPr>
              <w:fldChar w:fldCharType="separate"/>
            </w:r>
            <w:r w:rsidR="00301845" w:rsidRPr="00301845">
              <w:rPr>
                <w:i/>
                <w:iCs/>
              </w:rPr>
              <w:t>20X1</w:t>
            </w:r>
            <w:r w:rsidR="00301845" w:rsidRPr="00301845">
              <w:rPr>
                <w:i/>
                <w:iCs/>
              </w:rPr>
              <w:noBreakHyphen/>
              <w:t>X2</w:t>
            </w:r>
            <w:r w:rsidR="00301845" w:rsidRPr="00301845">
              <w:rPr>
                <w:i/>
                <w:iCs/>
              </w:rPr>
              <w:fldChar w:fldCharType="end"/>
            </w:r>
            <w:r w:rsidRPr="00301845">
              <w:rPr>
                <w:i/>
                <w:iCs/>
              </w:rPr>
              <w:t xml:space="preserve"> </w:t>
            </w:r>
          </w:p>
        </w:tc>
        <w:tc>
          <w:tcPr>
            <w:tcW w:w="1190" w:type="dxa"/>
            <w:tcBorders>
              <w:top w:val="nil"/>
              <w:left w:val="nil"/>
              <w:bottom w:val="nil"/>
              <w:right w:val="nil"/>
            </w:tcBorders>
            <w:shd w:val="clear" w:color="auto" w:fill="000000" w:themeFill="text1"/>
            <w:noWrap/>
            <w:vAlign w:val="bottom"/>
            <w:hideMark/>
          </w:tcPr>
          <w:p w14:paraId="74B6C52B" w14:textId="0124EB4D" w:rsidR="004330DD" w:rsidRPr="00892DDD" w:rsidRDefault="00892DDD" w:rsidP="000E5049">
            <w:pPr>
              <w:keepNext/>
              <w:spacing w:before="40" w:after="40" w:line="240" w:lineRule="auto"/>
              <w:jc w:val="right"/>
              <w:rPr>
                <w:bCs/>
                <w:i/>
                <w:iCs/>
                <w:sz w:val="17"/>
              </w:rPr>
            </w:pPr>
            <w:r w:rsidRPr="00892DDD">
              <w:rPr>
                <w:i/>
                <w:iCs/>
              </w:rPr>
              <w:fldChar w:fldCharType="begin"/>
            </w:r>
            <w:r w:rsidRPr="00892DDD">
              <w:rPr>
                <w:i/>
                <w:iCs/>
              </w:rPr>
              <w:instrText>DOCPROPERTY  FinYearPrevious  \* MERGEFORMAT</w:instrText>
            </w:r>
            <w:r w:rsidRPr="00892DDD">
              <w:rPr>
                <w:i/>
                <w:iCs/>
              </w:rPr>
              <w:fldChar w:fldCharType="separate"/>
            </w:r>
            <w:r w:rsidRPr="00892DDD">
              <w:rPr>
                <w:i/>
                <w:iCs/>
              </w:rPr>
              <w:t>20X0</w:t>
            </w:r>
            <w:r w:rsidRPr="00892DDD">
              <w:rPr>
                <w:rFonts w:ascii="Cambria Math" w:hAnsi="Cambria Math" w:cs="Cambria Math"/>
                <w:i/>
                <w:iCs/>
              </w:rPr>
              <w:t>‑</w:t>
            </w:r>
            <w:r w:rsidRPr="00892DDD">
              <w:rPr>
                <w:i/>
                <w:iCs/>
              </w:rPr>
              <w:t>X1</w:t>
            </w:r>
            <w:r w:rsidRPr="00892DDD">
              <w:rPr>
                <w:i/>
                <w:iCs/>
              </w:rPr>
              <w:fldChar w:fldCharType="end"/>
            </w:r>
          </w:p>
        </w:tc>
        <w:tc>
          <w:tcPr>
            <w:tcW w:w="1212" w:type="dxa"/>
            <w:tcBorders>
              <w:top w:val="nil"/>
              <w:left w:val="nil"/>
              <w:bottom w:val="nil"/>
              <w:right w:val="nil"/>
            </w:tcBorders>
            <w:shd w:val="clear" w:color="auto" w:fill="000000" w:themeFill="text1"/>
            <w:noWrap/>
            <w:vAlign w:val="bottom"/>
            <w:hideMark/>
          </w:tcPr>
          <w:p w14:paraId="22B6F111" w14:textId="19DCCC04" w:rsidR="004330DD" w:rsidRPr="009C70EE" w:rsidRDefault="004330DD" w:rsidP="000E5049">
            <w:pPr>
              <w:keepNext/>
              <w:spacing w:before="40" w:after="40" w:line="240" w:lineRule="auto"/>
              <w:jc w:val="right"/>
              <w:rPr>
                <w:bCs/>
                <w:i/>
                <w:sz w:val="17"/>
              </w:rPr>
            </w:pPr>
            <w:r w:rsidRPr="009C70EE">
              <w:rPr>
                <w:bCs/>
                <w:i/>
                <w:sz w:val="17"/>
              </w:rPr>
              <w:t xml:space="preserve"> </w:t>
            </w:r>
            <w:r>
              <w:rPr>
                <w:bCs/>
                <w:i/>
                <w:sz w:val="17"/>
              </w:rPr>
              <w:t>20XX-X0</w:t>
            </w:r>
            <w:r w:rsidRPr="009C70EE">
              <w:rPr>
                <w:bCs/>
                <w:i/>
                <w:sz w:val="17"/>
              </w:rPr>
              <w:t xml:space="preserve"> </w:t>
            </w:r>
          </w:p>
        </w:tc>
      </w:tr>
      <w:tr w:rsidR="004330DD" w:rsidRPr="000707A9" w14:paraId="7C33600E" w14:textId="77777777" w:rsidTr="007A6675">
        <w:trPr>
          <w:trHeight w:val="187"/>
        </w:trPr>
        <w:tc>
          <w:tcPr>
            <w:tcW w:w="6061" w:type="dxa"/>
            <w:tcBorders>
              <w:top w:val="nil"/>
              <w:left w:val="nil"/>
              <w:bottom w:val="nil"/>
              <w:right w:val="nil"/>
            </w:tcBorders>
            <w:shd w:val="clear" w:color="auto" w:fill="auto"/>
            <w:noWrap/>
            <w:vAlign w:val="bottom"/>
            <w:hideMark/>
          </w:tcPr>
          <w:p w14:paraId="57DE4332" w14:textId="77777777" w:rsidR="004330DD" w:rsidRPr="00747B11" w:rsidRDefault="004330DD" w:rsidP="000E5049">
            <w:pPr>
              <w:keepNext/>
              <w:spacing w:before="20" w:after="20" w:line="240" w:lineRule="auto"/>
              <w:rPr>
                <w:bCs/>
                <w:sz w:val="17"/>
              </w:rPr>
            </w:pPr>
            <w:r w:rsidRPr="00747B11">
              <w:rPr>
                <w:bCs/>
                <w:sz w:val="17"/>
              </w:rPr>
              <w:t>Total Scope</w:t>
            </w:r>
            <w:r>
              <w:rPr>
                <w:bCs/>
                <w:sz w:val="17"/>
              </w:rPr>
              <w:t xml:space="preserve"> </w:t>
            </w:r>
            <w:r w:rsidRPr="00747B11">
              <w:rPr>
                <w:bCs/>
                <w:sz w:val="17"/>
              </w:rPr>
              <w:t xml:space="preserve">1 </w:t>
            </w:r>
            <w:r>
              <w:rPr>
                <w:bCs/>
                <w:sz w:val="17"/>
              </w:rPr>
              <w:t>greenhouse gas</w:t>
            </w:r>
            <w:r w:rsidRPr="00747B11">
              <w:rPr>
                <w:bCs/>
                <w:sz w:val="17"/>
              </w:rPr>
              <w:t xml:space="preserve"> emissions (Tonnes CO</w:t>
            </w:r>
            <w:r w:rsidRPr="001B009C">
              <w:rPr>
                <w:bCs/>
                <w:sz w:val="17"/>
                <w:vertAlign w:val="subscript"/>
              </w:rPr>
              <w:t>2</w:t>
            </w:r>
            <w:r w:rsidRPr="00747B11">
              <w:rPr>
                <w:bCs/>
                <w:sz w:val="17"/>
              </w:rPr>
              <w:t>-e)</w:t>
            </w:r>
            <w:r w:rsidRPr="003936F1">
              <w:rPr>
                <w:rStyle w:val="Reference"/>
              </w:rPr>
              <w:t xml:space="preserve"> [Indicator </w:t>
            </w:r>
            <w:r>
              <w:rPr>
                <w:rStyle w:val="Reference"/>
              </w:rPr>
              <w:t>G</w:t>
            </w:r>
            <w:r w:rsidRPr="003936F1">
              <w:rPr>
                <w:rStyle w:val="Reference"/>
              </w:rPr>
              <w:t>1]</w:t>
            </w:r>
          </w:p>
        </w:tc>
        <w:tc>
          <w:tcPr>
            <w:tcW w:w="1176" w:type="dxa"/>
            <w:tcBorders>
              <w:top w:val="nil"/>
              <w:left w:val="nil"/>
              <w:bottom w:val="nil"/>
              <w:right w:val="nil"/>
            </w:tcBorders>
            <w:shd w:val="clear" w:color="auto" w:fill="auto"/>
            <w:noWrap/>
            <w:hideMark/>
          </w:tcPr>
          <w:p w14:paraId="04C4B573" w14:textId="3394FE99" w:rsidR="004330DD" w:rsidRPr="00747B11" w:rsidRDefault="004330DD" w:rsidP="000E5049">
            <w:pPr>
              <w:keepNext/>
              <w:spacing w:before="20" w:after="20" w:line="240" w:lineRule="auto"/>
              <w:jc w:val="right"/>
              <w:rPr>
                <w:bCs/>
                <w:sz w:val="17"/>
              </w:rPr>
            </w:pPr>
            <w:r w:rsidRPr="00747B11">
              <w:rPr>
                <w:bCs/>
                <w:sz w:val="17"/>
              </w:rPr>
              <w:t>3</w:t>
            </w:r>
            <w:r w:rsidR="00E9447D">
              <w:rPr>
                <w:bCs/>
                <w:sz w:val="17"/>
              </w:rPr>
              <w:t>59.9</w:t>
            </w:r>
            <w:r w:rsidRPr="00747B11">
              <w:rPr>
                <w:bCs/>
                <w:sz w:val="17"/>
              </w:rPr>
              <w:t xml:space="preserve"> </w:t>
            </w:r>
          </w:p>
        </w:tc>
        <w:tc>
          <w:tcPr>
            <w:tcW w:w="1190" w:type="dxa"/>
            <w:tcBorders>
              <w:top w:val="nil"/>
              <w:left w:val="nil"/>
              <w:bottom w:val="nil"/>
              <w:right w:val="nil"/>
            </w:tcBorders>
            <w:shd w:val="clear" w:color="auto" w:fill="auto"/>
            <w:noWrap/>
            <w:hideMark/>
          </w:tcPr>
          <w:p w14:paraId="0971BFEB" w14:textId="647D8DB0" w:rsidR="004330DD" w:rsidRPr="00747B11" w:rsidRDefault="00E9447D" w:rsidP="000E5049">
            <w:pPr>
              <w:keepNext/>
              <w:spacing w:before="20" w:after="20" w:line="240" w:lineRule="auto"/>
              <w:jc w:val="right"/>
              <w:rPr>
                <w:bCs/>
                <w:sz w:val="17"/>
              </w:rPr>
            </w:pPr>
            <w:r>
              <w:rPr>
                <w:bCs/>
                <w:sz w:val="17"/>
              </w:rPr>
              <w:t>370.3</w:t>
            </w:r>
            <w:r w:rsidR="004330DD" w:rsidRPr="00747B11">
              <w:rPr>
                <w:bCs/>
                <w:sz w:val="17"/>
              </w:rPr>
              <w:t xml:space="preserve"> </w:t>
            </w:r>
          </w:p>
        </w:tc>
        <w:tc>
          <w:tcPr>
            <w:tcW w:w="1212" w:type="dxa"/>
            <w:tcBorders>
              <w:top w:val="nil"/>
              <w:left w:val="nil"/>
              <w:bottom w:val="nil"/>
              <w:right w:val="nil"/>
            </w:tcBorders>
            <w:shd w:val="clear" w:color="auto" w:fill="auto"/>
            <w:noWrap/>
            <w:hideMark/>
          </w:tcPr>
          <w:p w14:paraId="6BDC4441" w14:textId="4E453279" w:rsidR="004330DD" w:rsidRPr="00747B11" w:rsidRDefault="004330DD" w:rsidP="000E5049">
            <w:pPr>
              <w:keepNext/>
              <w:spacing w:before="20" w:after="20" w:line="240" w:lineRule="auto"/>
              <w:jc w:val="right"/>
              <w:rPr>
                <w:bCs/>
                <w:sz w:val="17"/>
              </w:rPr>
            </w:pPr>
            <w:r w:rsidRPr="00747B11">
              <w:rPr>
                <w:bCs/>
                <w:sz w:val="17"/>
              </w:rPr>
              <w:t xml:space="preserve">374.8 </w:t>
            </w:r>
          </w:p>
        </w:tc>
      </w:tr>
      <w:tr w:rsidR="004330DD" w:rsidRPr="000707A9" w14:paraId="1781DD9C" w14:textId="77777777" w:rsidTr="007A6675">
        <w:trPr>
          <w:trHeight w:val="187"/>
        </w:trPr>
        <w:tc>
          <w:tcPr>
            <w:tcW w:w="6061" w:type="dxa"/>
            <w:tcBorders>
              <w:top w:val="nil"/>
              <w:left w:val="nil"/>
              <w:right w:val="nil"/>
            </w:tcBorders>
            <w:shd w:val="clear" w:color="auto" w:fill="auto"/>
            <w:noWrap/>
            <w:vAlign w:val="bottom"/>
            <w:hideMark/>
          </w:tcPr>
          <w:p w14:paraId="59F8EF65" w14:textId="4B359435" w:rsidR="004330DD" w:rsidRPr="00747B11" w:rsidRDefault="004330DD" w:rsidP="000E5049">
            <w:pPr>
              <w:keepNext/>
              <w:spacing w:before="20" w:after="20" w:line="240" w:lineRule="auto"/>
              <w:rPr>
                <w:bCs/>
                <w:sz w:val="17"/>
              </w:rPr>
            </w:pPr>
            <w:r w:rsidRPr="00747B11">
              <w:rPr>
                <w:bCs/>
                <w:sz w:val="17"/>
              </w:rPr>
              <w:t xml:space="preserve">Total Scope 2 </w:t>
            </w:r>
            <w:r>
              <w:rPr>
                <w:bCs/>
                <w:sz w:val="17"/>
              </w:rPr>
              <w:t>greenhouse gas</w:t>
            </w:r>
            <w:r w:rsidRPr="00747B11">
              <w:rPr>
                <w:bCs/>
                <w:sz w:val="17"/>
              </w:rPr>
              <w:t xml:space="preserve"> emissions (Tonnes CO</w:t>
            </w:r>
            <w:r w:rsidRPr="001B009C">
              <w:rPr>
                <w:bCs/>
                <w:sz w:val="17"/>
                <w:vertAlign w:val="subscript"/>
              </w:rPr>
              <w:t>2</w:t>
            </w:r>
            <w:r w:rsidR="007A6675">
              <w:rPr>
                <w:bCs/>
                <w:sz w:val="17"/>
                <w:vertAlign w:val="subscript"/>
              </w:rPr>
              <w:noBreakHyphen/>
            </w:r>
            <w:r w:rsidRPr="00747B11">
              <w:rPr>
                <w:bCs/>
                <w:sz w:val="17"/>
              </w:rPr>
              <w:t>e) </w:t>
            </w:r>
            <w:r w:rsidRPr="003936F1">
              <w:rPr>
                <w:rStyle w:val="Reference"/>
              </w:rPr>
              <w:t xml:space="preserve">[Indicator </w:t>
            </w:r>
            <w:r>
              <w:rPr>
                <w:rStyle w:val="Reference"/>
              </w:rPr>
              <w:t>G2</w:t>
            </w:r>
            <w:r w:rsidRPr="003936F1">
              <w:rPr>
                <w:rStyle w:val="Reference"/>
              </w:rPr>
              <w:t>]</w:t>
            </w:r>
          </w:p>
        </w:tc>
        <w:tc>
          <w:tcPr>
            <w:tcW w:w="1176" w:type="dxa"/>
            <w:tcBorders>
              <w:top w:val="nil"/>
              <w:left w:val="nil"/>
              <w:right w:val="nil"/>
            </w:tcBorders>
            <w:shd w:val="clear" w:color="auto" w:fill="auto"/>
            <w:noWrap/>
            <w:hideMark/>
          </w:tcPr>
          <w:p w14:paraId="3E04EEB3" w14:textId="499F59E2" w:rsidR="004330DD" w:rsidRPr="00747B11" w:rsidRDefault="004330DD" w:rsidP="000E5049">
            <w:pPr>
              <w:keepNext/>
              <w:spacing w:before="20" w:after="20" w:line="240" w:lineRule="auto"/>
              <w:jc w:val="right"/>
              <w:rPr>
                <w:bCs/>
                <w:sz w:val="17"/>
              </w:rPr>
            </w:pPr>
            <w:r w:rsidRPr="00747B11">
              <w:rPr>
                <w:bCs/>
                <w:sz w:val="17"/>
              </w:rPr>
              <w:t>25</w:t>
            </w:r>
            <w:r w:rsidR="00E9447D">
              <w:rPr>
                <w:bCs/>
                <w:sz w:val="17"/>
              </w:rPr>
              <w:t>8</w:t>
            </w:r>
            <w:r w:rsidRPr="00747B11">
              <w:rPr>
                <w:bCs/>
                <w:sz w:val="17"/>
              </w:rPr>
              <w:t>.</w:t>
            </w:r>
            <w:r w:rsidR="00E9447D">
              <w:rPr>
                <w:bCs/>
                <w:sz w:val="17"/>
              </w:rPr>
              <w:t>9</w:t>
            </w:r>
            <w:r w:rsidRPr="00747B11">
              <w:rPr>
                <w:bCs/>
                <w:sz w:val="17"/>
              </w:rPr>
              <w:t xml:space="preserve"> </w:t>
            </w:r>
          </w:p>
        </w:tc>
        <w:tc>
          <w:tcPr>
            <w:tcW w:w="1190" w:type="dxa"/>
            <w:tcBorders>
              <w:top w:val="nil"/>
              <w:left w:val="nil"/>
              <w:right w:val="nil"/>
            </w:tcBorders>
            <w:shd w:val="clear" w:color="auto" w:fill="auto"/>
            <w:noWrap/>
            <w:hideMark/>
          </w:tcPr>
          <w:p w14:paraId="5E463047" w14:textId="7EEC0C9B" w:rsidR="004330DD" w:rsidRPr="00747B11" w:rsidRDefault="00E9447D" w:rsidP="000E5049">
            <w:pPr>
              <w:keepNext/>
              <w:spacing w:before="20" w:after="20" w:line="240" w:lineRule="auto"/>
              <w:jc w:val="right"/>
              <w:rPr>
                <w:bCs/>
                <w:sz w:val="17"/>
              </w:rPr>
            </w:pPr>
            <w:r>
              <w:rPr>
                <w:bCs/>
                <w:sz w:val="17"/>
              </w:rPr>
              <w:t>346.6</w:t>
            </w:r>
            <w:r w:rsidR="004330DD" w:rsidRPr="00747B11">
              <w:rPr>
                <w:bCs/>
                <w:sz w:val="17"/>
              </w:rPr>
              <w:t xml:space="preserve"> </w:t>
            </w:r>
          </w:p>
        </w:tc>
        <w:tc>
          <w:tcPr>
            <w:tcW w:w="1212" w:type="dxa"/>
            <w:tcBorders>
              <w:top w:val="nil"/>
              <w:left w:val="nil"/>
              <w:right w:val="nil"/>
            </w:tcBorders>
            <w:shd w:val="clear" w:color="auto" w:fill="auto"/>
            <w:noWrap/>
            <w:hideMark/>
          </w:tcPr>
          <w:p w14:paraId="45B6F92C" w14:textId="09FFC6CC" w:rsidR="004330DD" w:rsidRPr="00747B11" w:rsidRDefault="004330DD" w:rsidP="000E5049">
            <w:pPr>
              <w:keepNext/>
              <w:spacing w:before="20" w:after="20" w:line="240" w:lineRule="auto"/>
              <w:jc w:val="right"/>
              <w:rPr>
                <w:bCs/>
                <w:sz w:val="17"/>
              </w:rPr>
            </w:pPr>
            <w:r w:rsidRPr="00747B11">
              <w:rPr>
                <w:bCs/>
                <w:sz w:val="17"/>
              </w:rPr>
              <w:t xml:space="preserve">353.0 </w:t>
            </w:r>
          </w:p>
        </w:tc>
      </w:tr>
      <w:tr w:rsidR="004330DD" w:rsidRPr="000707A9" w14:paraId="0FF648A3" w14:textId="77777777" w:rsidTr="007A6675">
        <w:trPr>
          <w:trHeight w:val="187"/>
        </w:trPr>
        <w:tc>
          <w:tcPr>
            <w:tcW w:w="6061" w:type="dxa"/>
            <w:tcBorders>
              <w:top w:val="nil"/>
              <w:left w:val="nil"/>
              <w:bottom w:val="single" w:sz="4" w:space="0" w:color="auto"/>
              <w:right w:val="nil"/>
            </w:tcBorders>
            <w:shd w:val="clear" w:color="auto" w:fill="auto"/>
            <w:noWrap/>
            <w:vAlign w:val="bottom"/>
            <w:hideMark/>
          </w:tcPr>
          <w:p w14:paraId="6C1F6E3B" w14:textId="4A1FECCA" w:rsidR="004330DD" w:rsidRPr="00747B11" w:rsidRDefault="004330DD">
            <w:pPr>
              <w:spacing w:before="20" w:after="20" w:line="240" w:lineRule="auto"/>
              <w:rPr>
                <w:bCs/>
                <w:sz w:val="17"/>
              </w:rPr>
            </w:pPr>
            <w:r w:rsidRPr="00747B11">
              <w:rPr>
                <w:bCs/>
                <w:sz w:val="17"/>
              </w:rPr>
              <w:t xml:space="preserve">Total Scope 3 </w:t>
            </w:r>
            <w:r>
              <w:rPr>
                <w:bCs/>
                <w:sz w:val="17"/>
              </w:rPr>
              <w:t>greenhouse gas</w:t>
            </w:r>
            <w:r w:rsidRPr="00747B11">
              <w:rPr>
                <w:bCs/>
                <w:sz w:val="17"/>
              </w:rPr>
              <w:t xml:space="preserve"> emissions from commercial air travel and waste disposal (Tonnes CO</w:t>
            </w:r>
            <w:r w:rsidRPr="001B009C">
              <w:rPr>
                <w:bCs/>
                <w:sz w:val="17"/>
                <w:vertAlign w:val="subscript"/>
              </w:rPr>
              <w:t>2</w:t>
            </w:r>
            <w:r w:rsidRPr="00747B11">
              <w:rPr>
                <w:bCs/>
                <w:sz w:val="17"/>
              </w:rPr>
              <w:t>-e)</w:t>
            </w:r>
            <w:r w:rsidRPr="003936F1">
              <w:rPr>
                <w:rStyle w:val="Reference"/>
              </w:rPr>
              <w:t xml:space="preserve"> [Indicator </w:t>
            </w:r>
            <w:r>
              <w:rPr>
                <w:rStyle w:val="Reference"/>
              </w:rPr>
              <w:t>G3</w:t>
            </w:r>
            <w:r w:rsidRPr="003936F1">
              <w:rPr>
                <w:rStyle w:val="Reference"/>
              </w:rPr>
              <w:t>]</w:t>
            </w:r>
          </w:p>
        </w:tc>
        <w:tc>
          <w:tcPr>
            <w:tcW w:w="1176" w:type="dxa"/>
            <w:tcBorders>
              <w:top w:val="nil"/>
              <w:left w:val="nil"/>
              <w:bottom w:val="single" w:sz="4" w:space="0" w:color="auto"/>
              <w:right w:val="nil"/>
            </w:tcBorders>
            <w:shd w:val="clear" w:color="auto" w:fill="auto"/>
            <w:noWrap/>
            <w:hideMark/>
          </w:tcPr>
          <w:p w14:paraId="0CD4AEFE" w14:textId="16F0279D" w:rsidR="004330DD" w:rsidRPr="00747B11" w:rsidRDefault="00E9447D">
            <w:pPr>
              <w:spacing w:before="20" w:after="20" w:line="240" w:lineRule="auto"/>
              <w:jc w:val="right"/>
              <w:rPr>
                <w:bCs/>
                <w:sz w:val="17"/>
              </w:rPr>
            </w:pPr>
            <w:r>
              <w:rPr>
                <w:bCs/>
                <w:sz w:val="17"/>
              </w:rPr>
              <w:t>2.9</w:t>
            </w:r>
            <w:r w:rsidR="004330DD" w:rsidRPr="00747B11">
              <w:rPr>
                <w:bCs/>
                <w:sz w:val="17"/>
              </w:rPr>
              <w:t xml:space="preserve"> </w:t>
            </w:r>
          </w:p>
        </w:tc>
        <w:tc>
          <w:tcPr>
            <w:tcW w:w="1190" w:type="dxa"/>
            <w:tcBorders>
              <w:top w:val="nil"/>
              <w:left w:val="nil"/>
              <w:bottom w:val="single" w:sz="4" w:space="0" w:color="auto"/>
              <w:right w:val="nil"/>
            </w:tcBorders>
            <w:shd w:val="clear" w:color="auto" w:fill="auto"/>
            <w:noWrap/>
            <w:hideMark/>
          </w:tcPr>
          <w:p w14:paraId="564A0CEE" w14:textId="63727A15" w:rsidR="004330DD" w:rsidRPr="00747B11" w:rsidRDefault="004330DD">
            <w:pPr>
              <w:spacing w:before="20" w:after="20" w:line="240" w:lineRule="auto"/>
              <w:jc w:val="right"/>
              <w:rPr>
                <w:bCs/>
                <w:sz w:val="17"/>
              </w:rPr>
            </w:pPr>
            <w:r w:rsidRPr="00747B11">
              <w:rPr>
                <w:bCs/>
                <w:sz w:val="17"/>
              </w:rPr>
              <w:t>3.</w:t>
            </w:r>
            <w:r w:rsidR="00E9447D">
              <w:rPr>
                <w:bCs/>
                <w:sz w:val="17"/>
              </w:rPr>
              <w:t>0</w:t>
            </w:r>
            <w:r w:rsidRPr="00747B11">
              <w:rPr>
                <w:bCs/>
                <w:sz w:val="17"/>
              </w:rPr>
              <w:t xml:space="preserve"> </w:t>
            </w:r>
          </w:p>
        </w:tc>
        <w:tc>
          <w:tcPr>
            <w:tcW w:w="1212" w:type="dxa"/>
            <w:tcBorders>
              <w:top w:val="nil"/>
              <w:left w:val="nil"/>
              <w:bottom w:val="single" w:sz="4" w:space="0" w:color="auto"/>
              <w:right w:val="nil"/>
            </w:tcBorders>
            <w:shd w:val="clear" w:color="auto" w:fill="auto"/>
            <w:noWrap/>
            <w:hideMark/>
          </w:tcPr>
          <w:p w14:paraId="71DEEB50" w14:textId="30EA41BB" w:rsidR="004330DD" w:rsidRPr="00747B11" w:rsidRDefault="004330DD">
            <w:pPr>
              <w:spacing w:before="20" w:after="20" w:line="240" w:lineRule="auto"/>
              <w:jc w:val="right"/>
              <w:rPr>
                <w:bCs/>
                <w:sz w:val="17"/>
              </w:rPr>
            </w:pPr>
            <w:r w:rsidRPr="00747B11">
              <w:rPr>
                <w:bCs/>
                <w:sz w:val="17"/>
              </w:rPr>
              <w:t xml:space="preserve">3.1 </w:t>
            </w:r>
          </w:p>
        </w:tc>
      </w:tr>
    </w:tbl>
    <w:p w14:paraId="764D5055" w14:textId="00D56948" w:rsidR="004330DD" w:rsidRPr="005F3CCB" w:rsidRDefault="004330DD" w:rsidP="004330DD">
      <w:pPr>
        <w:pStyle w:val="Heading3"/>
      </w:pPr>
      <w:r w:rsidRPr="005F3CCB">
        <w:t xml:space="preserve">Electricity </w:t>
      </w:r>
      <w:r>
        <w:t>production and consumption</w:t>
      </w:r>
    </w:p>
    <w:p w14:paraId="466C4327" w14:textId="085E0E14" w:rsidR="00C91652" w:rsidRDefault="00FC4721" w:rsidP="00C91652">
      <w:r>
        <w:t xml:space="preserve">Electricity consumption has reduced </w:t>
      </w:r>
      <w:r w:rsidRPr="00200DA6">
        <w:t>by 3.</w:t>
      </w:r>
      <w:r w:rsidR="00200DA6" w:rsidRPr="00BF2540">
        <w:t>7</w:t>
      </w:r>
      <w:r w:rsidR="008C0F3E">
        <w:t xml:space="preserve"> per cent</w:t>
      </w:r>
      <w:r w:rsidRPr="00200DA6">
        <w:t xml:space="preserve"> since</w:t>
      </w:r>
      <w:r>
        <w:t xml:space="preserve"> the 20XX-X0 reporting period, as the Department has continued to improve energy efficiency across its sites. </w:t>
      </w:r>
      <w:r w:rsidR="004330DD">
        <w:t xml:space="preserve">The Department has installed a 100kW solar system at its data centre </w:t>
      </w:r>
      <w:r w:rsidR="00573963">
        <w:t xml:space="preserve">in </w:t>
      </w:r>
      <w:fldSimple w:instr="DOCPROPERTY  FinYearPrevious  \* MERGEFORMAT">
        <w:r w:rsidR="00892DDD">
          <w:t>20X0</w:t>
        </w:r>
        <w:r w:rsidR="00892DDD">
          <w:rPr>
            <w:rFonts w:ascii="Cambria Math" w:hAnsi="Cambria Math" w:cs="Cambria Math"/>
          </w:rPr>
          <w:t>‑</w:t>
        </w:r>
        <w:r w:rsidR="00892DDD">
          <w:t>X1</w:t>
        </w:r>
      </w:fldSimple>
      <w:r w:rsidR="00573963">
        <w:t xml:space="preserve"> </w:t>
      </w:r>
      <w:r w:rsidR="004330DD">
        <w:t>which resulted in a decrease in the use of grid sourced electricity and an increase in solar PV generation.</w:t>
      </w:r>
      <w:r w:rsidR="00C91652" w:rsidRPr="00C91652">
        <w:t xml:space="preserve"> </w:t>
      </w:r>
      <w:r w:rsidR="00C91652">
        <w:t>Longer term replacement of gas consuming assets with electric heat pump and cooling systems may result in a small increase in electricity consumption.</w:t>
      </w:r>
    </w:p>
    <w:p w14:paraId="684A7DB1" w14:textId="3259E9D6" w:rsidR="004330DD" w:rsidRDefault="004330DD" w:rsidP="00E85BA5">
      <w:pPr>
        <w:keepNext/>
      </w:pPr>
      <w:r w:rsidRPr="2F067E1F">
        <w:lastRenderedPageBreak/>
        <w:t xml:space="preserve">The Department </w:t>
      </w:r>
      <w:r>
        <w:t>continues to</w:t>
      </w:r>
      <w:r w:rsidRPr="2F067E1F">
        <w:t xml:space="preserve"> implement a range of </w:t>
      </w:r>
      <w:r w:rsidR="00C91652">
        <w:t>policies across</w:t>
      </w:r>
      <w:r w:rsidRPr="2F067E1F">
        <w:t xml:space="preserve"> its sites to reduce electricity use</w:t>
      </w:r>
      <w:r w:rsidR="00C91652">
        <w:t xml:space="preserve"> and increase the proportion of renewable electricity consumed</w:t>
      </w:r>
      <w:r w:rsidRPr="2F067E1F">
        <w:t>. These measures include:</w:t>
      </w:r>
    </w:p>
    <w:p w14:paraId="12EB2BF8" w14:textId="1F215F27" w:rsidR="00866BC8" w:rsidRDefault="00866BC8" w:rsidP="00866BC8">
      <w:pPr>
        <w:pStyle w:val="ListBullet"/>
      </w:pPr>
      <w:r>
        <w:t>purchasing GreenPower for 25 per cent of purchased electricity consumption, with a planned increase to 50 per cent next year</w:t>
      </w:r>
    </w:p>
    <w:p w14:paraId="0CC4E3BE" w14:textId="17DBC5CC" w:rsidR="004330DD" w:rsidRDefault="004330DD" w:rsidP="00D31BEA">
      <w:pPr>
        <w:pStyle w:val="ListBullet"/>
      </w:pPr>
      <w:r>
        <w:t>t</w:t>
      </w:r>
      <w:r w:rsidRPr="2F067E1F">
        <w:t xml:space="preserve">he installation of LED lighting across all Department sites </w:t>
      </w:r>
      <w:r>
        <w:t xml:space="preserve">within </w:t>
      </w:r>
      <w:r w:rsidR="00866BC8">
        <w:t xml:space="preserve">two </w:t>
      </w:r>
      <w:r>
        <w:t>years</w:t>
      </w:r>
    </w:p>
    <w:p w14:paraId="7861ADD6" w14:textId="77777777" w:rsidR="004330DD" w:rsidRDefault="004330DD" w:rsidP="00D31BEA">
      <w:pPr>
        <w:pStyle w:val="ListBullet"/>
      </w:pPr>
      <w:r>
        <w:t>s</w:t>
      </w:r>
      <w:r w:rsidRPr="2F067E1F">
        <w:t>witching to</w:t>
      </w:r>
      <w:r>
        <w:t xml:space="preserve"> </w:t>
      </w:r>
      <w:r w:rsidRPr="2F067E1F">
        <w:t>efficient</w:t>
      </w:r>
      <w:r>
        <w:t xml:space="preserve"> electric</w:t>
      </w:r>
      <w:r w:rsidRPr="2F067E1F">
        <w:t xml:space="preserve"> appliances</w:t>
      </w:r>
      <w:r>
        <w:t>,</w:t>
      </w:r>
      <w:r w:rsidRPr="2F067E1F">
        <w:t xml:space="preserve"> for example, minimum 7-star energy efficient refrigerators when they are replaced</w:t>
      </w:r>
    </w:p>
    <w:p w14:paraId="5656E553" w14:textId="6CA98FE5" w:rsidR="004330DD" w:rsidRDefault="004330DD" w:rsidP="00D31BEA">
      <w:pPr>
        <w:pStyle w:val="ListBullet"/>
      </w:pPr>
      <w:r>
        <w:t>encouraging staff to</w:t>
      </w:r>
      <w:r w:rsidRPr="2F067E1F">
        <w:t xml:space="preserve"> switch off electrical equipment when not in use</w:t>
      </w:r>
      <w:r>
        <w:t xml:space="preserve"> through the </w:t>
      </w:r>
      <w:r w:rsidRPr="77D25D40">
        <w:t>Eco-Friendly Workplace Campaign</w:t>
      </w:r>
    </w:p>
    <w:p w14:paraId="5EA88149" w14:textId="74F51EC0" w:rsidR="004330DD" w:rsidRDefault="004330DD" w:rsidP="00D31BEA">
      <w:pPr>
        <w:pStyle w:val="ListBullet"/>
      </w:pPr>
      <w:r>
        <w:t>h</w:t>
      </w:r>
      <w:r w:rsidRPr="2F067E1F">
        <w:t xml:space="preserve">eating and cooling systems </w:t>
      </w:r>
      <w:r>
        <w:t>are</w:t>
      </w:r>
      <w:r w:rsidRPr="2F067E1F">
        <w:t xml:space="preserve"> tuned to a room temperature of 25 degrees in summer and 20 degrees in winter to optimise electricity savings</w:t>
      </w:r>
      <w:r w:rsidR="009C7314">
        <w:t>.</w:t>
      </w:r>
    </w:p>
    <w:p w14:paraId="0174A916" w14:textId="3C44154F" w:rsidR="004330DD" w:rsidRDefault="004330DD" w:rsidP="004330DD">
      <w:r w:rsidRPr="77D25D40">
        <w:t>Total electricity use has also been monitored and reported to the Climate and Sustainability Working Group on a quarterly basis to help track and understand the Department’s effort in electricity consumption.</w:t>
      </w:r>
    </w:p>
    <w:tbl>
      <w:tblPr>
        <w:tblStyle w:val="DTFFinancialTable"/>
        <w:tblW w:w="9639" w:type="dxa"/>
        <w:tblLayout w:type="fixed"/>
        <w:tblLook w:val="06A0" w:firstRow="1" w:lastRow="0" w:firstColumn="1" w:lastColumn="0" w:noHBand="1" w:noVBand="1"/>
      </w:tblPr>
      <w:tblGrid>
        <w:gridCol w:w="6024"/>
        <w:gridCol w:w="1205"/>
        <w:gridCol w:w="1205"/>
        <w:gridCol w:w="1205"/>
      </w:tblGrid>
      <w:tr w:rsidR="0001541E" w:rsidRPr="0001541E" w14:paraId="3024396D" w14:textId="77777777" w:rsidTr="00F6700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24" w:type="dxa"/>
          </w:tcPr>
          <w:p w14:paraId="50682BFC" w14:textId="77777777" w:rsidR="0001541E" w:rsidRPr="0001541E" w:rsidRDefault="0001541E">
            <w:r w:rsidRPr="0001541E">
              <w:t xml:space="preserve">Indicator </w:t>
            </w:r>
          </w:p>
        </w:tc>
        <w:tc>
          <w:tcPr>
            <w:tcW w:w="1205" w:type="dxa"/>
          </w:tcPr>
          <w:p w14:paraId="476C3963" w14:textId="5EBCDE6E" w:rsidR="0001541E" w:rsidRPr="00892DDD" w:rsidRDefault="00892DDD">
            <w:pPr>
              <w:cnfStyle w:val="100000000000" w:firstRow="1" w:lastRow="0" w:firstColumn="0" w:lastColumn="0" w:oddVBand="0" w:evenVBand="0" w:oddHBand="0" w:evenHBand="0" w:firstRowFirstColumn="0" w:firstRowLastColumn="0" w:lastRowFirstColumn="0" w:lastRowLastColumn="0"/>
            </w:pPr>
            <w:fldSimple w:instr="DOCPROPERTY  FinYearCurrent  \* MERGEFORMAT">
              <w:r w:rsidRPr="00892DDD">
                <w:t>20X1</w:t>
              </w:r>
              <w:r w:rsidRPr="00892DDD">
                <w:noBreakHyphen/>
                <w:t>X2</w:t>
              </w:r>
            </w:fldSimple>
          </w:p>
        </w:tc>
        <w:tc>
          <w:tcPr>
            <w:tcW w:w="1205" w:type="dxa"/>
          </w:tcPr>
          <w:p w14:paraId="1DE278D0" w14:textId="2D56C3F1" w:rsidR="0001541E" w:rsidRPr="0001541E" w:rsidRDefault="00892DDD">
            <w:pPr>
              <w:cnfStyle w:val="100000000000" w:firstRow="1" w:lastRow="0" w:firstColumn="0" w:lastColumn="0" w:oddVBand="0" w:evenVBand="0" w:oddHBand="0" w:evenHBand="0" w:firstRowFirstColumn="0" w:firstRowLastColumn="0" w:lastRowFirstColumn="0" w:lastRowLastColumn="0"/>
            </w:pPr>
            <w:fldSimple w:instr="DOCPROPERTY  FinYearPrevious  \* MERGEFORMAT">
              <w:r>
                <w:t>20X0</w:t>
              </w:r>
              <w:r>
                <w:rPr>
                  <w:rFonts w:ascii="Cambria Math" w:hAnsi="Cambria Math" w:cs="Cambria Math"/>
                </w:rPr>
                <w:t>‑</w:t>
              </w:r>
              <w:r>
                <w:t>X1</w:t>
              </w:r>
            </w:fldSimple>
          </w:p>
        </w:tc>
        <w:tc>
          <w:tcPr>
            <w:tcW w:w="1205" w:type="dxa"/>
          </w:tcPr>
          <w:p w14:paraId="144181FB" w14:textId="77777777" w:rsidR="0001541E" w:rsidRPr="0001541E" w:rsidRDefault="0001541E">
            <w:pPr>
              <w:cnfStyle w:val="100000000000" w:firstRow="1" w:lastRow="0" w:firstColumn="0" w:lastColumn="0" w:oddVBand="0" w:evenVBand="0" w:oddHBand="0" w:evenHBand="0" w:firstRowFirstColumn="0" w:firstRowLastColumn="0" w:lastRowFirstColumn="0" w:lastRowLastColumn="0"/>
            </w:pPr>
            <w:r w:rsidRPr="0001541E">
              <w:t xml:space="preserve"> 20XX-X0 </w:t>
            </w:r>
          </w:p>
        </w:tc>
      </w:tr>
      <w:tr w:rsidR="00F6700E" w:rsidRPr="0001541E" w14:paraId="3584328E"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78BBC9C2" w14:textId="77777777" w:rsidR="00F6700E" w:rsidRPr="0001541E" w:rsidRDefault="00F6700E" w:rsidP="00F6700E">
            <w:r w:rsidRPr="0001541E">
              <w:t xml:space="preserve">Total electricity consumption (MWh) </w:t>
            </w:r>
            <w:r w:rsidRPr="0001541E">
              <w:rPr>
                <w:rStyle w:val="Reference"/>
              </w:rPr>
              <w:t>[Indicator EL1]</w:t>
            </w:r>
          </w:p>
        </w:tc>
        <w:tc>
          <w:tcPr>
            <w:tcW w:w="1205" w:type="dxa"/>
          </w:tcPr>
          <w:p w14:paraId="57381C66" w14:textId="501960DB"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577.5</w:t>
            </w:r>
            <w:r w:rsidRPr="0001541E">
              <w:t xml:space="preserve"> </w:t>
            </w:r>
          </w:p>
        </w:tc>
        <w:tc>
          <w:tcPr>
            <w:tcW w:w="1205" w:type="dxa"/>
          </w:tcPr>
          <w:p w14:paraId="1EA657E3" w14:textId="6091DE66"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586.2</w:t>
            </w:r>
          </w:p>
        </w:tc>
        <w:tc>
          <w:tcPr>
            <w:tcW w:w="1205" w:type="dxa"/>
          </w:tcPr>
          <w:p w14:paraId="6E866957" w14:textId="452314EB"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599.7</w:t>
            </w:r>
            <w:r w:rsidRPr="0001541E">
              <w:t xml:space="preserve"> </w:t>
            </w:r>
          </w:p>
        </w:tc>
      </w:tr>
      <w:tr w:rsidR="00F6700E" w:rsidRPr="0001541E" w14:paraId="46E6936F"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3645B3FE" w14:textId="2FF3ADDC" w:rsidR="00F6700E" w:rsidRPr="0001541E" w:rsidRDefault="00F6700E" w:rsidP="00F6700E">
            <w:pPr>
              <w:ind w:left="284"/>
            </w:pPr>
            <w:r w:rsidRPr="0001541E">
              <w:t xml:space="preserve">Purchased Electricity </w:t>
            </w:r>
            <w:r>
              <w:t>–</w:t>
            </w:r>
            <w:r w:rsidRPr="0001541E">
              <w:t xml:space="preserve"> Consolidated</w:t>
            </w:r>
          </w:p>
        </w:tc>
        <w:tc>
          <w:tcPr>
            <w:tcW w:w="1205" w:type="dxa"/>
          </w:tcPr>
          <w:p w14:paraId="2B16DD42" w14:textId="793CC4D7"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375.4</w:t>
            </w:r>
            <w:r w:rsidRPr="0001541E">
              <w:t xml:space="preserve"> </w:t>
            </w:r>
          </w:p>
        </w:tc>
        <w:tc>
          <w:tcPr>
            <w:tcW w:w="1205" w:type="dxa"/>
          </w:tcPr>
          <w:p w14:paraId="2732F97B" w14:textId="20173DC9"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419.9</w:t>
            </w:r>
            <w:r w:rsidRPr="0001541E">
              <w:t xml:space="preserve"> </w:t>
            </w:r>
          </w:p>
        </w:tc>
        <w:tc>
          <w:tcPr>
            <w:tcW w:w="1205" w:type="dxa"/>
          </w:tcPr>
          <w:p w14:paraId="6999A89E" w14:textId="62E4F623"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428.6 </w:t>
            </w:r>
          </w:p>
        </w:tc>
      </w:tr>
      <w:tr w:rsidR="00F6700E" w:rsidRPr="0001541E" w14:paraId="65064E54"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62E73782" w14:textId="2B1E6FA9" w:rsidR="00F6700E" w:rsidRPr="0001541E" w:rsidRDefault="00F6700E" w:rsidP="00F6700E">
            <w:pPr>
              <w:ind w:left="567"/>
            </w:pPr>
            <w:r w:rsidRPr="0001541E">
              <w:t xml:space="preserve">Department Offices </w:t>
            </w:r>
            <w:r w:rsidRPr="0001541E">
              <w:rPr>
                <w:vertAlign w:val="superscript"/>
              </w:rPr>
              <w:t>(a)</w:t>
            </w:r>
          </w:p>
        </w:tc>
        <w:tc>
          <w:tcPr>
            <w:tcW w:w="1205" w:type="dxa"/>
          </w:tcPr>
          <w:p w14:paraId="5B4965A5" w14:textId="50FC509B"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57.7</w:t>
            </w:r>
            <w:r w:rsidRPr="0001541E">
              <w:t xml:space="preserve"> </w:t>
            </w:r>
          </w:p>
        </w:tc>
        <w:tc>
          <w:tcPr>
            <w:tcW w:w="1205" w:type="dxa"/>
          </w:tcPr>
          <w:p w14:paraId="29CD489A" w14:textId="418E69E5"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58.9</w:t>
            </w:r>
            <w:r w:rsidRPr="0001541E">
              <w:t xml:space="preserve"> </w:t>
            </w:r>
          </w:p>
        </w:tc>
        <w:tc>
          <w:tcPr>
            <w:tcW w:w="1205" w:type="dxa"/>
          </w:tcPr>
          <w:p w14:paraId="436717BC" w14:textId="4DC684B9"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60.1 </w:t>
            </w:r>
          </w:p>
        </w:tc>
      </w:tr>
      <w:tr w:rsidR="00F6700E" w:rsidRPr="0001541E" w14:paraId="683D93AB"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4155AA99" w14:textId="77777777" w:rsidR="00F6700E" w:rsidRPr="0001541E" w:rsidRDefault="00F6700E" w:rsidP="00F6700E">
            <w:pPr>
              <w:ind w:left="567"/>
            </w:pPr>
            <w:r w:rsidRPr="0001541E">
              <w:t>R&amp;D Facilities</w:t>
            </w:r>
          </w:p>
        </w:tc>
        <w:tc>
          <w:tcPr>
            <w:tcW w:w="1205" w:type="dxa"/>
          </w:tcPr>
          <w:p w14:paraId="0E7E988F" w14:textId="0336D1AB"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19.5</w:t>
            </w:r>
            <w:r w:rsidRPr="0001541E">
              <w:t xml:space="preserve"> </w:t>
            </w:r>
          </w:p>
        </w:tc>
        <w:tc>
          <w:tcPr>
            <w:tcW w:w="1205" w:type="dxa"/>
          </w:tcPr>
          <w:p w14:paraId="29AF6BC9" w14:textId="6D126C89"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19.9</w:t>
            </w:r>
            <w:r w:rsidRPr="0001541E">
              <w:t xml:space="preserve"> </w:t>
            </w:r>
          </w:p>
        </w:tc>
        <w:tc>
          <w:tcPr>
            <w:tcW w:w="1205" w:type="dxa"/>
          </w:tcPr>
          <w:p w14:paraId="49C6BC96" w14:textId="7C7C9FF1"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20.5 </w:t>
            </w:r>
          </w:p>
        </w:tc>
      </w:tr>
      <w:tr w:rsidR="00F6700E" w:rsidRPr="0001541E" w14:paraId="1DC1F986"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41640E8E" w14:textId="398168A1" w:rsidR="00F6700E" w:rsidRPr="0001541E" w:rsidRDefault="00F6700E" w:rsidP="00F6700E">
            <w:pPr>
              <w:ind w:left="567"/>
            </w:pPr>
            <w:r w:rsidRPr="0001541E">
              <w:t xml:space="preserve">Depot </w:t>
            </w:r>
            <w:r w:rsidRPr="0001541E">
              <w:rPr>
                <w:vertAlign w:val="superscript"/>
              </w:rPr>
              <w:t>(b)</w:t>
            </w:r>
          </w:p>
        </w:tc>
        <w:tc>
          <w:tcPr>
            <w:tcW w:w="1205" w:type="dxa"/>
          </w:tcPr>
          <w:p w14:paraId="368F31CE" w14:textId="5410CC5F"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18.3</w:t>
            </w:r>
            <w:r w:rsidRPr="0001541E">
              <w:t xml:space="preserve"> </w:t>
            </w:r>
          </w:p>
        </w:tc>
        <w:tc>
          <w:tcPr>
            <w:tcW w:w="1205" w:type="dxa"/>
          </w:tcPr>
          <w:p w14:paraId="2E768BF8" w14:textId="237D410A"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18.7 </w:t>
            </w:r>
          </w:p>
        </w:tc>
        <w:tc>
          <w:tcPr>
            <w:tcW w:w="1205" w:type="dxa"/>
          </w:tcPr>
          <w:p w14:paraId="14E484A9" w14:textId="1734DF06"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19.3 </w:t>
            </w:r>
          </w:p>
        </w:tc>
      </w:tr>
      <w:tr w:rsidR="00F6700E" w:rsidRPr="0001541E" w14:paraId="748E8F5E"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75F4CA75" w14:textId="77777777" w:rsidR="00F6700E" w:rsidRPr="0001541E" w:rsidRDefault="00F6700E" w:rsidP="00F6700E">
            <w:pPr>
              <w:ind w:left="567"/>
            </w:pPr>
            <w:r w:rsidRPr="0001541E">
              <w:t>Data Centre</w:t>
            </w:r>
          </w:p>
        </w:tc>
        <w:tc>
          <w:tcPr>
            <w:tcW w:w="1205" w:type="dxa"/>
          </w:tcPr>
          <w:p w14:paraId="4B07F186" w14:textId="625C9A1B"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2</w:t>
            </w:r>
            <w:r>
              <w:t>58.2</w:t>
            </w:r>
            <w:r w:rsidRPr="0001541E">
              <w:t xml:space="preserve"> </w:t>
            </w:r>
          </w:p>
        </w:tc>
        <w:tc>
          <w:tcPr>
            <w:tcW w:w="1205" w:type="dxa"/>
          </w:tcPr>
          <w:p w14:paraId="0AC987CF" w14:textId="1590EF1A"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300.3</w:t>
            </w:r>
          </w:p>
        </w:tc>
        <w:tc>
          <w:tcPr>
            <w:tcW w:w="1205" w:type="dxa"/>
          </w:tcPr>
          <w:p w14:paraId="706BD9C7" w14:textId="7431847F"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306.4 </w:t>
            </w:r>
          </w:p>
        </w:tc>
      </w:tr>
      <w:tr w:rsidR="00F6700E" w:rsidRPr="0001541E" w14:paraId="782A66E6"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5E32EE25" w14:textId="77777777" w:rsidR="00F6700E" w:rsidRPr="0001541E" w:rsidRDefault="00F6700E" w:rsidP="00F6700E">
            <w:pPr>
              <w:ind w:left="567"/>
            </w:pPr>
            <w:r w:rsidRPr="0001541E">
              <w:t>Laboratory</w:t>
            </w:r>
          </w:p>
        </w:tc>
        <w:tc>
          <w:tcPr>
            <w:tcW w:w="1205" w:type="dxa"/>
          </w:tcPr>
          <w:p w14:paraId="62E6EE16" w14:textId="2AB4E3FD"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21.6</w:t>
            </w:r>
            <w:r w:rsidRPr="0001541E">
              <w:t xml:space="preserve"> </w:t>
            </w:r>
          </w:p>
        </w:tc>
        <w:tc>
          <w:tcPr>
            <w:tcW w:w="1205" w:type="dxa"/>
          </w:tcPr>
          <w:p w14:paraId="5048AA5E" w14:textId="789B3174"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22.1</w:t>
            </w:r>
            <w:r w:rsidRPr="0001541E">
              <w:t xml:space="preserve"> </w:t>
            </w:r>
          </w:p>
        </w:tc>
        <w:tc>
          <w:tcPr>
            <w:tcW w:w="1205" w:type="dxa"/>
          </w:tcPr>
          <w:p w14:paraId="0EBCB2F7" w14:textId="74C53975"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22.3 </w:t>
            </w:r>
          </w:p>
        </w:tc>
      </w:tr>
      <w:tr w:rsidR="00F6700E" w:rsidRPr="0001541E" w14:paraId="48908A9D"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6B173C12" w14:textId="77777777" w:rsidR="00F6700E" w:rsidRPr="0001541E" w:rsidRDefault="00F6700E" w:rsidP="00F6700E">
            <w:pPr>
              <w:ind w:left="284"/>
            </w:pPr>
            <w:r w:rsidRPr="0001541E">
              <w:t>Not directly purchased but from outside the organisation (MWh)</w:t>
            </w:r>
          </w:p>
        </w:tc>
        <w:tc>
          <w:tcPr>
            <w:tcW w:w="1205" w:type="dxa"/>
          </w:tcPr>
          <w:p w14:paraId="75687D17" w14:textId="4D3A2355"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68.1</w:t>
            </w:r>
            <w:r w:rsidRPr="0001541E">
              <w:t xml:space="preserve"> </w:t>
            </w:r>
          </w:p>
        </w:tc>
        <w:tc>
          <w:tcPr>
            <w:tcW w:w="1205" w:type="dxa"/>
          </w:tcPr>
          <w:p w14:paraId="4493D39E" w14:textId="4A6A4806"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69.5</w:t>
            </w:r>
            <w:r w:rsidRPr="0001541E">
              <w:t xml:space="preserve"> </w:t>
            </w:r>
          </w:p>
        </w:tc>
        <w:tc>
          <w:tcPr>
            <w:tcW w:w="1205" w:type="dxa"/>
          </w:tcPr>
          <w:p w14:paraId="762A1C67" w14:textId="6A59E758"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70.2 </w:t>
            </w:r>
          </w:p>
        </w:tc>
      </w:tr>
      <w:tr w:rsidR="00F6700E" w:rsidRPr="0001541E" w14:paraId="7B0B46BE"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29860316" w14:textId="48E70D05" w:rsidR="00F6700E" w:rsidRPr="0001541E" w:rsidRDefault="00F6700E" w:rsidP="00F6700E">
            <w:pPr>
              <w:ind w:left="567"/>
            </w:pPr>
            <w:r w:rsidRPr="0001541E">
              <w:t xml:space="preserve">Department Offices </w:t>
            </w:r>
            <w:r w:rsidRPr="0001541E">
              <w:rPr>
                <w:vertAlign w:val="superscript"/>
              </w:rPr>
              <w:t>(a)</w:t>
            </w:r>
          </w:p>
        </w:tc>
        <w:tc>
          <w:tcPr>
            <w:tcW w:w="1205" w:type="dxa"/>
          </w:tcPr>
          <w:p w14:paraId="15312C33" w14:textId="160CFAA8"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68.1</w:t>
            </w:r>
            <w:r w:rsidRPr="0001541E">
              <w:t xml:space="preserve"> </w:t>
            </w:r>
          </w:p>
        </w:tc>
        <w:tc>
          <w:tcPr>
            <w:tcW w:w="1205" w:type="dxa"/>
          </w:tcPr>
          <w:p w14:paraId="1A7965C4" w14:textId="0AF8B0CA"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69.5</w:t>
            </w:r>
            <w:r w:rsidRPr="0001541E">
              <w:t xml:space="preserve"> </w:t>
            </w:r>
          </w:p>
        </w:tc>
        <w:tc>
          <w:tcPr>
            <w:tcW w:w="1205" w:type="dxa"/>
          </w:tcPr>
          <w:p w14:paraId="3E41BD63" w14:textId="01A2D9E1"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 xml:space="preserve">70.2 </w:t>
            </w:r>
          </w:p>
        </w:tc>
      </w:tr>
      <w:tr w:rsidR="00F6700E" w:rsidRPr="0001541E" w14:paraId="41D68F47"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bottom w:val="single" w:sz="6" w:space="0" w:color="auto"/>
            </w:tcBorders>
          </w:tcPr>
          <w:p w14:paraId="0D07F7F0" w14:textId="77777777" w:rsidR="00F6700E" w:rsidRPr="0001541E" w:rsidRDefault="00F6700E" w:rsidP="00F6700E">
            <w:pPr>
              <w:ind w:left="284"/>
            </w:pPr>
            <w:r w:rsidRPr="0001541E">
              <w:t xml:space="preserve">Self-generated (MWh) </w:t>
            </w:r>
          </w:p>
        </w:tc>
        <w:tc>
          <w:tcPr>
            <w:tcW w:w="1205" w:type="dxa"/>
            <w:tcBorders>
              <w:bottom w:val="single" w:sz="6" w:space="0" w:color="auto"/>
            </w:tcBorders>
          </w:tcPr>
          <w:p w14:paraId="05BF7A1F" w14:textId="5F8D2B75"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t>134.0</w:t>
            </w:r>
            <w:r w:rsidRPr="0001541E">
              <w:t xml:space="preserve"> </w:t>
            </w:r>
          </w:p>
        </w:tc>
        <w:tc>
          <w:tcPr>
            <w:tcW w:w="1205" w:type="dxa"/>
            <w:tcBorders>
              <w:bottom w:val="single" w:sz="6" w:space="0" w:color="auto"/>
            </w:tcBorders>
          </w:tcPr>
          <w:p w14:paraId="1DBCB920" w14:textId="45C9137A"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96.7</w:t>
            </w:r>
          </w:p>
        </w:tc>
        <w:tc>
          <w:tcPr>
            <w:tcW w:w="1205" w:type="dxa"/>
            <w:tcBorders>
              <w:bottom w:val="single" w:sz="6" w:space="0" w:color="auto"/>
            </w:tcBorders>
          </w:tcPr>
          <w:p w14:paraId="6C16CD80" w14:textId="4DFD0ACF" w:rsidR="00F6700E" w:rsidRPr="0001541E" w:rsidRDefault="00F6700E" w:rsidP="00F6700E">
            <w:pPr>
              <w:cnfStyle w:val="000000000000" w:firstRow="0" w:lastRow="0" w:firstColumn="0" w:lastColumn="0" w:oddVBand="0" w:evenVBand="0" w:oddHBand="0" w:evenHBand="0" w:firstRowFirstColumn="0" w:firstRowLastColumn="0" w:lastRowFirstColumn="0" w:lastRowLastColumn="0"/>
            </w:pPr>
            <w:r w:rsidRPr="0001541E">
              <w:t>100.9</w:t>
            </w:r>
          </w:p>
        </w:tc>
      </w:tr>
      <w:tr w:rsidR="0001541E" w:rsidRPr="0001541E" w14:paraId="636AB1D2"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top w:val="single" w:sz="6" w:space="0" w:color="auto"/>
              <w:bottom w:val="nil"/>
            </w:tcBorders>
          </w:tcPr>
          <w:p w14:paraId="1F57C939" w14:textId="77777777" w:rsidR="0001541E" w:rsidRPr="0001541E" w:rsidRDefault="0001541E">
            <w:r w:rsidRPr="0001541E">
              <w:t xml:space="preserve">On-site electricity generated (MWh) </w:t>
            </w:r>
            <w:r w:rsidRPr="0001541E">
              <w:rPr>
                <w:rStyle w:val="Reference"/>
              </w:rPr>
              <w:t>[Indicator EL2]</w:t>
            </w:r>
          </w:p>
        </w:tc>
        <w:tc>
          <w:tcPr>
            <w:tcW w:w="1205" w:type="dxa"/>
            <w:tcBorders>
              <w:top w:val="single" w:sz="6" w:space="0" w:color="auto"/>
              <w:bottom w:val="nil"/>
            </w:tcBorders>
          </w:tcPr>
          <w:p w14:paraId="05CF5445"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266.8</w:t>
            </w:r>
          </w:p>
        </w:tc>
        <w:tc>
          <w:tcPr>
            <w:tcW w:w="1205" w:type="dxa"/>
            <w:tcBorders>
              <w:top w:val="single" w:sz="6" w:space="0" w:color="auto"/>
              <w:bottom w:val="nil"/>
            </w:tcBorders>
          </w:tcPr>
          <w:p w14:paraId="7DE09642"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111.6</w:t>
            </w:r>
          </w:p>
        </w:tc>
        <w:tc>
          <w:tcPr>
            <w:tcW w:w="1205" w:type="dxa"/>
            <w:tcBorders>
              <w:top w:val="single" w:sz="6" w:space="0" w:color="auto"/>
              <w:bottom w:val="nil"/>
            </w:tcBorders>
          </w:tcPr>
          <w:p w14:paraId="2BF14ED9"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 xml:space="preserve">115.8 </w:t>
            </w:r>
          </w:p>
        </w:tc>
      </w:tr>
      <w:tr w:rsidR="0093464E" w:rsidRPr="0001541E" w14:paraId="6F188501"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top w:val="nil"/>
            </w:tcBorders>
          </w:tcPr>
          <w:p w14:paraId="1BC69D62" w14:textId="3B496E16" w:rsidR="0093464E" w:rsidRPr="0001541E" w:rsidRDefault="0093464E" w:rsidP="0001541E">
            <w:pPr>
              <w:ind w:left="284"/>
            </w:pPr>
            <w:r w:rsidRPr="0001541E">
              <w:t xml:space="preserve">Solar PV </w:t>
            </w:r>
            <w:r w:rsidRPr="0001541E">
              <w:rPr>
                <w:vertAlign w:val="superscript"/>
              </w:rPr>
              <w:t>(c)</w:t>
            </w:r>
          </w:p>
        </w:tc>
        <w:tc>
          <w:tcPr>
            <w:tcW w:w="1205" w:type="dxa"/>
            <w:tcBorders>
              <w:top w:val="nil"/>
            </w:tcBorders>
          </w:tcPr>
          <w:p w14:paraId="2D907CB6"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223.4 </w:t>
            </w:r>
          </w:p>
        </w:tc>
        <w:tc>
          <w:tcPr>
            <w:tcW w:w="1205" w:type="dxa"/>
            <w:tcBorders>
              <w:top w:val="nil"/>
            </w:tcBorders>
          </w:tcPr>
          <w:p w14:paraId="1B0D303B"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74.5 </w:t>
            </w:r>
          </w:p>
        </w:tc>
        <w:tc>
          <w:tcPr>
            <w:tcW w:w="1205" w:type="dxa"/>
            <w:tcBorders>
              <w:top w:val="nil"/>
            </w:tcBorders>
          </w:tcPr>
          <w:p w14:paraId="6400004D"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74.5 </w:t>
            </w:r>
          </w:p>
        </w:tc>
      </w:tr>
      <w:tr w:rsidR="0093464E" w:rsidRPr="0001541E" w14:paraId="06A9E0CF"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0C781AA9" w14:textId="28F7753E" w:rsidR="0093464E" w:rsidRPr="0001541E" w:rsidRDefault="0093464E" w:rsidP="0001541E">
            <w:pPr>
              <w:ind w:left="567"/>
            </w:pPr>
            <w:r w:rsidRPr="0001541E">
              <w:t>Consumption behind-the-meter</w:t>
            </w:r>
          </w:p>
        </w:tc>
        <w:tc>
          <w:tcPr>
            <w:tcW w:w="1205" w:type="dxa"/>
          </w:tcPr>
          <w:p w14:paraId="76A37F29"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178.7 </w:t>
            </w:r>
          </w:p>
        </w:tc>
        <w:tc>
          <w:tcPr>
            <w:tcW w:w="1205" w:type="dxa"/>
          </w:tcPr>
          <w:p w14:paraId="795249D1"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59.6 </w:t>
            </w:r>
          </w:p>
        </w:tc>
        <w:tc>
          <w:tcPr>
            <w:tcW w:w="1205" w:type="dxa"/>
          </w:tcPr>
          <w:p w14:paraId="64E6D5ED"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59.6 </w:t>
            </w:r>
          </w:p>
        </w:tc>
      </w:tr>
      <w:tr w:rsidR="0093464E" w:rsidRPr="0001541E" w14:paraId="18A255D7"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356A18B7" w14:textId="3738B0E0" w:rsidR="0093464E" w:rsidRPr="0001541E" w:rsidRDefault="0093464E" w:rsidP="0001541E">
            <w:pPr>
              <w:ind w:left="567"/>
            </w:pPr>
            <w:r w:rsidRPr="0001541E">
              <w:t xml:space="preserve">Exports </w:t>
            </w:r>
          </w:p>
        </w:tc>
        <w:tc>
          <w:tcPr>
            <w:tcW w:w="1205" w:type="dxa"/>
          </w:tcPr>
          <w:p w14:paraId="4242FF4B"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44.7 </w:t>
            </w:r>
          </w:p>
        </w:tc>
        <w:tc>
          <w:tcPr>
            <w:tcW w:w="1205" w:type="dxa"/>
          </w:tcPr>
          <w:p w14:paraId="1F48BFC8"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14.9 </w:t>
            </w:r>
          </w:p>
        </w:tc>
        <w:tc>
          <w:tcPr>
            <w:tcW w:w="1205" w:type="dxa"/>
          </w:tcPr>
          <w:p w14:paraId="44F225D6"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14.9 </w:t>
            </w:r>
          </w:p>
        </w:tc>
      </w:tr>
      <w:tr w:rsidR="0093464E" w:rsidRPr="0001541E" w14:paraId="7179F0DD"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bottom w:val="single" w:sz="6" w:space="0" w:color="auto"/>
            </w:tcBorders>
          </w:tcPr>
          <w:p w14:paraId="0DBCDD56" w14:textId="5EBB45BA" w:rsidR="0093464E" w:rsidRPr="0001541E" w:rsidRDefault="0093464E" w:rsidP="0001541E">
            <w:pPr>
              <w:ind w:left="284"/>
            </w:pPr>
            <w:r w:rsidRPr="0001541E">
              <w:t xml:space="preserve">Other non-renewable (Diesel backup generator) </w:t>
            </w:r>
            <w:r w:rsidRPr="0001541E">
              <w:rPr>
                <w:vertAlign w:val="superscript"/>
              </w:rPr>
              <w:t>(d)</w:t>
            </w:r>
          </w:p>
        </w:tc>
        <w:tc>
          <w:tcPr>
            <w:tcW w:w="1205" w:type="dxa"/>
            <w:tcBorders>
              <w:bottom w:val="single" w:sz="6" w:space="0" w:color="auto"/>
            </w:tcBorders>
          </w:tcPr>
          <w:p w14:paraId="2183DC46"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43.4</w:t>
            </w:r>
          </w:p>
        </w:tc>
        <w:tc>
          <w:tcPr>
            <w:tcW w:w="1205" w:type="dxa"/>
            <w:tcBorders>
              <w:bottom w:val="single" w:sz="6" w:space="0" w:color="auto"/>
            </w:tcBorders>
          </w:tcPr>
          <w:p w14:paraId="5AA62D77"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37.2</w:t>
            </w:r>
          </w:p>
        </w:tc>
        <w:tc>
          <w:tcPr>
            <w:tcW w:w="1205" w:type="dxa"/>
            <w:tcBorders>
              <w:bottom w:val="single" w:sz="6" w:space="0" w:color="auto"/>
            </w:tcBorders>
          </w:tcPr>
          <w:p w14:paraId="342B0560"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41.3</w:t>
            </w:r>
          </w:p>
        </w:tc>
      </w:tr>
      <w:tr w:rsidR="0001541E" w:rsidRPr="0001541E" w14:paraId="396F50D6"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top w:val="single" w:sz="6" w:space="0" w:color="auto"/>
              <w:bottom w:val="nil"/>
            </w:tcBorders>
          </w:tcPr>
          <w:p w14:paraId="017006F8" w14:textId="77777777" w:rsidR="0001541E" w:rsidRPr="0001541E" w:rsidRDefault="0001541E">
            <w:r w:rsidRPr="0001541E">
              <w:t xml:space="preserve">On-site installed generation capacity (MW) </w:t>
            </w:r>
            <w:r w:rsidRPr="0001541E">
              <w:rPr>
                <w:rStyle w:val="Reference"/>
              </w:rPr>
              <w:t>[Indicator EL3]</w:t>
            </w:r>
          </w:p>
        </w:tc>
        <w:tc>
          <w:tcPr>
            <w:tcW w:w="1205" w:type="dxa"/>
            <w:tcBorders>
              <w:top w:val="single" w:sz="6" w:space="0" w:color="auto"/>
              <w:bottom w:val="nil"/>
            </w:tcBorders>
          </w:tcPr>
          <w:p w14:paraId="41C8055A"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 xml:space="preserve">5.15 </w:t>
            </w:r>
          </w:p>
        </w:tc>
        <w:tc>
          <w:tcPr>
            <w:tcW w:w="1205" w:type="dxa"/>
            <w:tcBorders>
              <w:top w:val="single" w:sz="6" w:space="0" w:color="auto"/>
              <w:bottom w:val="nil"/>
            </w:tcBorders>
          </w:tcPr>
          <w:p w14:paraId="31821C73"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 xml:space="preserve">5.05 </w:t>
            </w:r>
          </w:p>
        </w:tc>
        <w:tc>
          <w:tcPr>
            <w:tcW w:w="1205" w:type="dxa"/>
            <w:tcBorders>
              <w:top w:val="single" w:sz="6" w:space="0" w:color="auto"/>
              <w:bottom w:val="nil"/>
            </w:tcBorders>
          </w:tcPr>
          <w:p w14:paraId="678A230B"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 xml:space="preserve">5.05 </w:t>
            </w:r>
          </w:p>
        </w:tc>
      </w:tr>
      <w:tr w:rsidR="0093464E" w:rsidRPr="0001541E" w14:paraId="23D97B13"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top w:val="nil"/>
            </w:tcBorders>
          </w:tcPr>
          <w:p w14:paraId="170E09CA" w14:textId="3AC75B0D" w:rsidR="0093464E" w:rsidRPr="0001541E" w:rsidRDefault="0093464E" w:rsidP="0001541E">
            <w:pPr>
              <w:ind w:left="284"/>
            </w:pPr>
            <w:r w:rsidRPr="0001541E">
              <w:t xml:space="preserve">Solar PV </w:t>
            </w:r>
            <w:r w:rsidRPr="0001541E">
              <w:rPr>
                <w:vertAlign w:val="superscript"/>
              </w:rPr>
              <w:t>(c)</w:t>
            </w:r>
          </w:p>
        </w:tc>
        <w:tc>
          <w:tcPr>
            <w:tcW w:w="1205" w:type="dxa"/>
            <w:tcBorders>
              <w:top w:val="nil"/>
            </w:tcBorders>
          </w:tcPr>
          <w:p w14:paraId="109A4D72"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0.15 </w:t>
            </w:r>
          </w:p>
        </w:tc>
        <w:tc>
          <w:tcPr>
            <w:tcW w:w="1205" w:type="dxa"/>
            <w:tcBorders>
              <w:top w:val="nil"/>
            </w:tcBorders>
          </w:tcPr>
          <w:p w14:paraId="0A99D7B3"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0.05 </w:t>
            </w:r>
          </w:p>
        </w:tc>
        <w:tc>
          <w:tcPr>
            <w:tcW w:w="1205" w:type="dxa"/>
            <w:tcBorders>
              <w:top w:val="nil"/>
            </w:tcBorders>
          </w:tcPr>
          <w:p w14:paraId="4AF493DE"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0.05 </w:t>
            </w:r>
          </w:p>
        </w:tc>
      </w:tr>
      <w:tr w:rsidR="0093464E" w:rsidRPr="0001541E" w14:paraId="0B299730"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bottom w:val="single" w:sz="6" w:space="0" w:color="auto"/>
            </w:tcBorders>
          </w:tcPr>
          <w:p w14:paraId="18AB9C87" w14:textId="77777777" w:rsidR="0093464E" w:rsidRPr="0001541E" w:rsidRDefault="0093464E" w:rsidP="0001541E">
            <w:pPr>
              <w:ind w:left="284"/>
            </w:pPr>
            <w:r w:rsidRPr="0001541E">
              <w:t>Diesel backup generator</w:t>
            </w:r>
          </w:p>
        </w:tc>
        <w:tc>
          <w:tcPr>
            <w:tcW w:w="1205" w:type="dxa"/>
            <w:tcBorders>
              <w:bottom w:val="single" w:sz="6" w:space="0" w:color="auto"/>
            </w:tcBorders>
          </w:tcPr>
          <w:p w14:paraId="0AA09A26"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5</w:t>
            </w:r>
            <w:r>
              <w:t>.0</w:t>
            </w:r>
            <w:r w:rsidRPr="0001541E">
              <w:t xml:space="preserve"> </w:t>
            </w:r>
          </w:p>
        </w:tc>
        <w:tc>
          <w:tcPr>
            <w:tcW w:w="1205" w:type="dxa"/>
            <w:tcBorders>
              <w:bottom w:val="single" w:sz="6" w:space="0" w:color="auto"/>
            </w:tcBorders>
          </w:tcPr>
          <w:p w14:paraId="4E4652A2"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5</w:t>
            </w:r>
            <w:r>
              <w:t>.0</w:t>
            </w:r>
            <w:r w:rsidRPr="0001541E">
              <w:t xml:space="preserve"> </w:t>
            </w:r>
          </w:p>
        </w:tc>
        <w:tc>
          <w:tcPr>
            <w:tcW w:w="1205" w:type="dxa"/>
            <w:tcBorders>
              <w:bottom w:val="single" w:sz="6" w:space="0" w:color="auto"/>
            </w:tcBorders>
          </w:tcPr>
          <w:p w14:paraId="7ADCFED8"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5</w:t>
            </w:r>
            <w:r>
              <w:t>.0</w:t>
            </w:r>
            <w:r w:rsidRPr="0001541E">
              <w:t xml:space="preserve"> </w:t>
            </w:r>
          </w:p>
        </w:tc>
      </w:tr>
      <w:tr w:rsidR="0001541E" w:rsidRPr="0001541E" w14:paraId="2078DFA1"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top w:val="single" w:sz="6" w:space="0" w:color="auto"/>
              <w:bottom w:val="nil"/>
            </w:tcBorders>
          </w:tcPr>
          <w:p w14:paraId="629E8BA6" w14:textId="77777777" w:rsidR="0001541E" w:rsidRPr="0001541E" w:rsidRDefault="0001541E">
            <w:r w:rsidRPr="0001541E">
              <w:t xml:space="preserve">Total electricity offsets (MWh) </w:t>
            </w:r>
            <w:r w:rsidRPr="0001541E">
              <w:rPr>
                <w:rStyle w:val="Reference"/>
              </w:rPr>
              <w:t>[Indicator EL4]</w:t>
            </w:r>
          </w:p>
        </w:tc>
        <w:tc>
          <w:tcPr>
            <w:tcW w:w="1205" w:type="dxa"/>
            <w:tcBorders>
              <w:top w:val="single" w:sz="6" w:space="0" w:color="auto"/>
              <w:bottom w:val="nil"/>
            </w:tcBorders>
          </w:tcPr>
          <w:p w14:paraId="77604A4D"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 xml:space="preserve">40.0 </w:t>
            </w:r>
          </w:p>
        </w:tc>
        <w:tc>
          <w:tcPr>
            <w:tcW w:w="1205" w:type="dxa"/>
            <w:tcBorders>
              <w:top w:val="single" w:sz="6" w:space="0" w:color="auto"/>
              <w:bottom w:val="nil"/>
            </w:tcBorders>
          </w:tcPr>
          <w:p w14:paraId="440F547F"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 xml:space="preserve">40.0 </w:t>
            </w:r>
          </w:p>
        </w:tc>
        <w:tc>
          <w:tcPr>
            <w:tcW w:w="1205" w:type="dxa"/>
            <w:tcBorders>
              <w:top w:val="single" w:sz="6" w:space="0" w:color="auto"/>
              <w:bottom w:val="nil"/>
            </w:tcBorders>
          </w:tcPr>
          <w:p w14:paraId="1B2974F7" w14:textId="77777777" w:rsidR="0001541E" w:rsidRPr="0001541E" w:rsidRDefault="0001541E">
            <w:pPr>
              <w:cnfStyle w:val="000000000000" w:firstRow="0" w:lastRow="0" w:firstColumn="0" w:lastColumn="0" w:oddVBand="0" w:evenVBand="0" w:oddHBand="0" w:evenHBand="0" w:firstRowFirstColumn="0" w:firstRowLastColumn="0" w:lastRowFirstColumn="0" w:lastRowLastColumn="0"/>
            </w:pPr>
            <w:r w:rsidRPr="0001541E">
              <w:t xml:space="preserve">40.0 </w:t>
            </w:r>
          </w:p>
        </w:tc>
      </w:tr>
      <w:tr w:rsidR="0093464E" w:rsidRPr="0001541E" w14:paraId="2E173CC5" w14:textId="77777777" w:rsidTr="00F6700E">
        <w:tc>
          <w:tcPr>
            <w:cnfStyle w:val="001000000000" w:firstRow="0" w:lastRow="0" w:firstColumn="1" w:lastColumn="0" w:oddVBand="0" w:evenVBand="0" w:oddHBand="0" w:evenHBand="0" w:firstRowFirstColumn="0" w:firstRowLastColumn="0" w:lastRowFirstColumn="0" w:lastRowLastColumn="0"/>
            <w:tcW w:w="6024" w:type="dxa"/>
            <w:tcBorders>
              <w:top w:val="nil"/>
            </w:tcBorders>
          </w:tcPr>
          <w:p w14:paraId="43B00592" w14:textId="77777777" w:rsidR="0093464E" w:rsidRPr="0001541E" w:rsidRDefault="0093464E" w:rsidP="0001541E">
            <w:pPr>
              <w:ind w:left="284"/>
            </w:pPr>
            <w:r w:rsidRPr="0001541E">
              <w:t xml:space="preserve">LGC’s voluntarily retired by the Entity </w:t>
            </w:r>
          </w:p>
        </w:tc>
        <w:tc>
          <w:tcPr>
            <w:tcW w:w="1205" w:type="dxa"/>
            <w:tcBorders>
              <w:top w:val="nil"/>
            </w:tcBorders>
          </w:tcPr>
          <w:p w14:paraId="52D29CBC"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20.0 </w:t>
            </w:r>
          </w:p>
        </w:tc>
        <w:tc>
          <w:tcPr>
            <w:tcW w:w="1205" w:type="dxa"/>
            <w:tcBorders>
              <w:top w:val="nil"/>
            </w:tcBorders>
          </w:tcPr>
          <w:p w14:paraId="74D3CB4F"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20.0 </w:t>
            </w:r>
          </w:p>
        </w:tc>
        <w:tc>
          <w:tcPr>
            <w:tcW w:w="1205" w:type="dxa"/>
            <w:tcBorders>
              <w:top w:val="nil"/>
            </w:tcBorders>
          </w:tcPr>
          <w:p w14:paraId="7C2B8EEE"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20.0 </w:t>
            </w:r>
          </w:p>
        </w:tc>
      </w:tr>
      <w:tr w:rsidR="0093464E" w:rsidRPr="0001541E" w14:paraId="32BF4564" w14:textId="77777777" w:rsidTr="00F6700E">
        <w:tc>
          <w:tcPr>
            <w:cnfStyle w:val="001000000000" w:firstRow="0" w:lastRow="0" w:firstColumn="1" w:lastColumn="0" w:oddVBand="0" w:evenVBand="0" w:oddHBand="0" w:evenHBand="0" w:firstRowFirstColumn="0" w:firstRowLastColumn="0" w:lastRowFirstColumn="0" w:lastRowLastColumn="0"/>
            <w:tcW w:w="6024" w:type="dxa"/>
          </w:tcPr>
          <w:p w14:paraId="6B01DE5F" w14:textId="77777777" w:rsidR="0093464E" w:rsidRPr="0001541E" w:rsidRDefault="0093464E" w:rsidP="0001541E">
            <w:pPr>
              <w:ind w:left="284"/>
            </w:pPr>
            <w:r w:rsidRPr="0001541E">
              <w:t>Greenpower</w:t>
            </w:r>
          </w:p>
        </w:tc>
        <w:tc>
          <w:tcPr>
            <w:tcW w:w="1205" w:type="dxa"/>
          </w:tcPr>
          <w:p w14:paraId="41BCE09E" w14:textId="7DE81CA8" w:rsidR="0093464E" w:rsidRPr="0001541E" w:rsidRDefault="001E227A">
            <w:pPr>
              <w:cnfStyle w:val="000000000000" w:firstRow="0" w:lastRow="0" w:firstColumn="0" w:lastColumn="0" w:oddVBand="0" w:evenVBand="0" w:oddHBand="0" w:evenHBand="0" w:firstRowFirstColumn="0" w:firstRowLastColumn="0" w:lastRowFirstColumn="0" w:lastRowLastColumn="0"/>
            </w:pPr>
            <w:r>
              <w:t>87</w:t>
            </w:r>
            <w:r w:rsidR="0093464E" w:rsidRPr="0001541E">
              <w:t>.</w:t>
            </w:r>
            <w:r>
              <w:t>7</w:t>
            </w:r>
            <w:r w:rsidR="0093464E" w:rsidRPr="0001541E">
              <w:t xml:space="preserve"> </w:t>
            </w:r>
          </w:p>
        </w:tc>
        <w:tc>
          <w:tcPr>
            <w:tcW w:w="1205" w:type="dxa"/>
          </w:tcPr>
          <w:p w14:paraId="0601DBDA"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 xml:space="preserve">20.0 </w:t>
            </w:r>
          </w:p>
        </w:tc>
        <w:tc>
          <w:tcPr>
            <w:tcW w:w="1205" w:type="dxa"/>
          </w:tcPr>
          <w:p w14:paraId="105BF47E" w14:textId="77777777" w:rsidR="0093464E" w:rsidRPr="0001541E" w:rsidRDefault="0093464E">
            <w:pPr>
              <w:cnfStyle w:val="000000000000" w:firstRow="0" w:lastRow="0" w:firstColumn="0" w:lastColumn="0" w:oddVBand="0" w:evenVBand="0" w:oddHBand="0" w:evenHBand="0" w:firstRowFirstColumn="0" w:firstRowLastColumn="0" w:lastRowFirstColumn="0" w:lastRowLastColumn="0"/>
            </w:pPr>
            <w:r w:rsidRPr="0001541E">
              <w:t>20.0</w:t>
            </w:r>
          </w:p>
        </w:tc>
      </w:tr>
    </w:tbl>
    <w:p w14:paraId="444F0B32" w14:textId="49669838" w:rsidR="0001541E" w:rsidRDefault="0001541E" w:rsidP="0001541E">
      <w:pPr>
        <w:pStyle w:val="Note"/>
      </w:pPr>
      <w:r>
        <w:t>Notes:</w:t>
      </w:r>
    </w:p>
    <w:p w14:paraId="04F1F4B8" w14:textId="387F9F20" w:rsidR="004330DD" w:rsidRPr="00A8717C" w:rsidRDefault="004330DD" w:rsidP="0001541E">
      <w:pPr>
        <w:pStyle w:val="Note"/>
      </w:pPr>
      <w:r w:rsidRPr="00A8717C">
        <w:t>(</w:t>
      </w:r>
      <w:r w:rsidR="0001541E">
        <w:t>a</w:t>
      </w:r>
      <w:r w:rsidRPr="00A8717C">
        <w:t xml:space="preserve">) </w:t>
      </w:r>
      <w:r w:rsidR="0001541E">
        <w:tab/>
      </w:r>
      <w:r w:rsidRPr="00A8717C">
        <w:t xml:space="preserve">These include the offices of the Department, Gene Sciences Victoria and The Office of the Commissioner of New Technology. </w:t>
      </w:r>
    </w:p>
    <w:p w14:paraId="5145F628" w14:textId="5878C68C" w:rsidR="004330DD" w:rsidRPr="00A8717C" w:rsidRDefault="004330DD" w:rsidP="0001541E">
      <w:pPr>
        <w:pStyle w:val="Note"/>
      </w:pPr>
      <w:r w:rsidRPr="00A8717C">
        <w:t>(</w:t>
      </w:r>
      <w:r w:rsidR="0001541E">
        <w:t>b</w:t>
      </w:r>
      <w:r w:rsidRPr="00A8717C">
        <w:t xml:space="preserve">) </w:t>
      </w:r>
      <w:r w:rsidR="0001541E">
        <w:tab/>
      </w:r>
      <w:r w:rsidRPr="00A8717C">
        <w:t xml:space="preserve">The Depot was under the management of the Department and had been used for shared activities with Gene Sciences Victoria and The Office of the Commissioner of New Technology. </w:t>
      </w:r>
    </w:p>
    <w:p w14:paraId="04014908" w14:textId="77064A43" w:rsidR="004330DD" w:rsidRPr="00A8717C" w:rsidRDefault="004330DD" w:rsidP="0001541E">
      <w:pPr>
        <w:pStyle w:val="Note"/>
      </w:pPr>
      <w:r w:rsidRPr="00A8717C">
        <w:t>(</w:t>
      </w:r>
      <w:r w:rsidR="0001541E">
        <w:t>c</w:t>
      </w:r>
      <w:r w:rsidRPr="00A8717C">
        <w:t xml:space="preserve">) </w:t>
      </w:r>
      <w:r w:rsidR="0001541E">
        <w:tab/>
      </w:r>
      <w:r w:rsidRPr="00A8717C">
        <w:t>Included within the Department’s rooftop solar portfolio is 15kW of legacy solar systems which are not separately metered. The electricity produced by these systems is not captured in the on-site electricity generated. When these systems are replaced or upgraded appropriate monitoring instruments will be installed.</w:t>
      </w:r>
    </w:p>
    <w:p w14:paraId="405B6BFB" w14:textId="6DC20630" w:rsidR="004330DD" w:rsidRDefault="004330DD" w:rsidP="0001541E">
      <w:pPr>
        <w:pStyle w:val="Note"/>
      </w:pPr>
      <w:r w:rsidRPr="00A8717C">
        <w:t>(</w:t>
      </w:r>
      <w:r w:rsidR="0001541E">
        <w:t>d</w:t>
      </w:r>
      <w:r w:rsidRPr="00A8717C">
        <w:t xml:space="preserve">) </w:t>
      </w:r>
      <w:r w:rsidR="0001541E">
        <w:tab/>
      </w:r>
      <w:r w:rsidRPr="00A8717C">
        <w:t>Diesel backup generation is not separately metered and electricity generated is estimated based on manufacturer supplied factors for operation under full load. All electricity generated is assumed to be used on site.</w:t>
      </w:r>
    </w:p>
    <w:p w14:paraId="7A3B86FA" w14:textId="77777777" w:rsidR="00F61B29" w:rsidRPr="00A8717C" w:rsidRDefault="00F61B29" w:rsidP="004330DD">
      <w:pPr>
        <w:spacing w:after="0" w:line="240" w:lineRule="auto"/>
        <w:rPr>
          <w:i/>
          <w:iCs/>
          <w:sz w:val="14"/>
          <w:szCs w:val="14"/>
        </w:rPr>
      </w:pPr>
    </w:p>
    <w:p w14:paraId="0E4A5F3E" w14:textId="536C341C" w:rsidR="004330DD" w:rsidRPr="00C32143" w:rsidRDefault="004330DD" w:rsidP="004330DD">
      <w:pPr>
        <w:pStyle w:val="GuidanceBlockHeading"/>
        <w:rPr>
          <w:sz w:val="18"/>
          <w:szCs w:val="18"/>
        </w:rPr>
      </w:pPr>
      <w:r w:rsidRPr="00A061B8">
        <w:t>Guidance – Segmentation and Data availability requirements</w:t>
      </w:r>
    </w:p>
    <w:p w14:paraId="563485F2" w14:textId="3A857971" w:rsidR="004330DD" w:rsidRDefault="004330DD" w:rsidP="004330DD">
      <w:pPr>
        <w:rPr>
          <w:rStyle w:val="Guidance"/>
          <w:i/>
          <w:iCs/>
          <w:sz w:val="20"/>
          <w:szCs w:val="20"/>
        </w:rPr>
      </w:pPr>
      <w:r w:rsidRPr="689A2D3F">
        <w:rPr>
          <w:rStyle w:val="Guidance"/>
        </w:rPr>
        <w:t>An example of segmentation that is encouraged by FRD 24</w:t>
      </w:r>
      <w:r w:rsidR="00970F95" w:rsidRPr="00970F95">
        <w:rPr>
          <w:rStyle w:val="Guidance"/>
        </w:rPr>
        <w:t xml:space="preserve"> </w:t>
      </w:r>
      <w:r w:rsidRPr="689A2D3F">
        <w:rPr>
          <w:rStyle w:val="Guidance"/>
        </w:rPr>
        <w:t xml:space="preserve">guidance is shown underneath the required purchased electricity segment of the table. This example of segmentation is for a relatively small organisation like the Department of Technology. Larger organisations may aggregate facilities into groups for reporting. </w:t>
      </w:r>
    </w:p>
    <w:p w14:paraId="38036623" w14:textId="77777777" w:rsidR="004330DD" w:rsidRDefault="004330DD" w:rsidP="004330DD">
      <w:pPr>
        <w:rPr>
          <w:rStyle w:val="Guidance"/>
          <w:i/>
          <w:iCs/>
          <w:sz w:val="20"/>
          <w:szCs w:val="20"/>
        </w:rPr>
      </w:pPr>
      <w:r w:rsidRPr="5E955F04">
        <w:rPr>
          <w:rStyle w:val="Guidance"/>
        </w:rPr>
        <w:t>The electricity generated by legacy rooftop solar systems has not been included. The explanatory note describes that monitoring systems will be installed when the systems are replaced or upgraded.</w:t>
      </w:r>
    </w:p>
    <w:p w14:paraId="757222A8" w14:textId="77777777" w:rsidR="004330DD" w:rsidRDefault="004330DD" w:rsidP="004330DD">
      <w:pPr>
        <w:rPr>
          <w:rStyle w:val="Guidance"/>
        </w:rPr>
      </w:pPr>
      <w:r>
        <w:rPr>
          <w:rStyle w:val="Guidance"/>
        </w:rPr>
        <w:t xml:space="preserve">Electricity generated by the backup diesel generator has not been directly measured. An estimate is provided based on the emissions factors for normal full load operation supplied by the manufacturer.  </w:t>
      </w:r>
    </w:p>
    <w:p w14:paraId="36A86DFC" w14:textId="77777777" w:rsidR="004330DD" w:rsidRPr="00C32143" w:rsidRDefault="004330DD" w:rsidP="004330DD">
      <w:pPr>
        <w:pStyle w:val="GuidanceEnd"/>
      </w:pPr>
    </w:p>
    <w:p w14:paraId="76902633" w14:textId="77777777" w:rsidR="004330DD" w:rsidRPr="00C0367A" w:rsidRDefault="004330DD" w:rsidP="004330DD">
      <w:pPr>
        <w:pStyle w:val="Heading3"/>
      </w:pPr>
      <w:r w:rsidRPr="00C0367A">
        <w:lastRenderedPageBreak/>
        <w:t xml:space="preserve">Stationary </w:t>
      </w:r>
      <w:r>
        <w:t>f</w:t>
      </w:r>
      <w:r w:rsidRPr="00C0367A">
        <w:t xml:space="preserve">uel </w:t>
      </w:r>
      <w:r>
        <w:t>u</w:t>
      </w:r>
      <w:r w:rsidRPr="00C0367A">
        <w:t>se</w:t>
      </w:r>
    </w:p>
    <w:p w14:paraId="13166193" w14:textId="4CA055F0" w:rsidR="004330DD" w:rsidRDefault="004330DD" w:rsidP="004330DD">
      <w:pPr>
        <w:rPr>
          <w:strike/>
        </w:rPr>
      </w:pPr>
      <w:r w:rsidRPr="77D25D40">
        <w:t xml:space="preserve">Sources of emissions from stationary fuel include </w:t>
      </w:r>
      <w:r>
        <w:t>natural gas used in some buildings’</w:t>
      </w:r>
      <w:r w:rsidRPr="77D25D40">
        <w:t xml:space="preserve"> heating system</w:t>
      </w:r>
      <w:r>
        <w:t>s</w:t>
      </w:r>
      <w:r w:rsidRPr="77D25D40">
        <w:t xml:space="preserve"> </w:t>
      </w:r>
      <w:r>
        <w:t>and diesel</w:t>
      </w:r>
      <w:r w:rsidRPr="77D25D40">
        <w:t xml:space="preserve"> back</w:t>
      </w:r>
      <w:r w:rsidR="00D174A2">
        <w:rPr>
          <w:vertAlign w:val="subscript"/>
        </w:rPr>
        <w:noBreakHyphen/>
      </w:r>
      <w:r w:rsidRPr="77D25D40">
        <w:t xml:space="preserve">up generators for critical facilities. </w:t>
      </w:r>
      <w:r>
        <w:t>The Department</w:t>
      </w:r>
      <w:r w:rsidRPr="008429FA">
        <w:t xml:space="preserve"> </w:t>
      </w:r>
      <w:r w:rsidRPr="77D25D40">
        <w:t>collected data primarily through billing informatio</w:t>
      </w:r>
      <w:r>
        <w:t>n from</w:t>
      </w:r>
      <w:r w:rsidRPr="00C154AC">
        <w:t xml:space="preserve"> </w:t>
      </w:r>
      <w:r w:rsidRPr="77D25D40">
        <w:t>fuel supplier</w:t>
      </w:r>
      <w:r>
        <w:t>s</w:t>
      </w:r>
      <w:r w:rsidRPr="77D25D40">
        <w:t xml:space="preserve">. </w:t>
      </w:r>
    </w:p>
    <w:p w14:paraId="5CA9FF5F" w14:textId="35EABED0" w:rsidR="004330DD" w:rsidRDefault="004330DD" w:rsidP="004330DD">
      <w:r>
        <w:t xml:space="preserve">Stationary fuel use decreased by </w:t>
      </w:r>
      <w:r w:rsidR="00F92B54">
        <w:t>4.0</w:t>
      </w:r>
      <w:r>
        <w:t xml:space="preserve"> per cent from 20XX-X0 to </w:t>
      </w:r>
      <w:fldSimple w:instr="DOCPROPERTY  FinYearCurrent  \* MERGEFORMAT">
        <w:r w:rsidR="000A4854">
          <w:t>20X1</w:t>
        </w:r>
        <w:r w:rsidR="000A4854">
          <w:rPr>
            <w:rFonts w:ascii="Cambria Math" w:hAnsi="Cambria Math" w:cs="Cambria Math"/>
          </w:rPr>
          <w:noBreakHyphen/>
        </w:r>
        <w:r w:rsidR="000A4854">
          <w:t>X2</w:t>
        </w:r>
      </w:fldSimple>
      <w:r w:rsidR="00F92B54">
        <w:t>.</w:t>
      </w:r>
      <w:r>
        <w:t xml:space="preserve"> Changes in fuel use were</w:t>
      </w:r>
      <w:r w:rsidR="005B1F2B">
        <w:t xml:space="preserve"> influenced by replacement gas boilers at or near end of life with electric head pump applications,</w:t>
      </w:r>
      <w:r>
        <w:t xml:space="preserve"> fluctuations in employees working on site and resultant heating demand, and variation in the need for backup diesel generation.</w:t>
      </w:r>
    </w:p>
    <w:p w14:paraId="00B6B77B" w14:textId="3CFDBB4A" w:rsidR="004330DD" w:rsidRDefault="004330DD" w:rsidP="004330DD">
      <w:r>
        <w:t>T</w:t>
      </w:r>
      <w:r w:rsidRPr="5AD2932F">
        <w:t xml:space="preserve">he </w:t>
      </w:r>
      <w:r>
        <w:t>Department</w:t>
      </w:r>
      <w:r w:rsidRPr="008429FA">
        <w:t xml:space="preserve"> </w:t>
      </w:r>
      <w:r w:rsidRPr="5AD2932F">
        <w:t>aim</w:t>
      </w:r>
      <w:r>
        <w:t>s</w:t>
      </w:r>
      <w:r w:rsidRPr="5AD2932F">
        <w:t xml:space="preserve"> to </w:t>
      </w:r>
      <w:r>
        <w:t>replace</w:t>
      </w:r>
      <w:r w:rsidRPr="5AD2932F">
        <w:t xml:space="preserve"> at least 50</w:t>
      </w:r>
      <w:r>
        <w:t xml:space="preserve"> per cent</w:t>
      </w:r>
      <w:r w:rsidRPr="5AD2932F">
        <w:t xml:space="preserve"> of </w:t>
      </w:r>
      <w:r>
        <w:t>current natural gas heating systems with efficient electric systems</w:t>
      </w:r>
      <w:r w:rsidRPr="5AD2932F">
        <w:t xml:space="preserve"> </w:t>
      </w:r>
      <w:r>
        <w:t xml:space="preserve">within the next </w:t>
      </w:r>
      <w:r w:rsidR="005B1F2B">
        <w:t xml:space="preserve">seven </w:t>
      </w:r>
      <w:r>
        <w:t>years</w:t>
      </w:r>
      <w:r w:rsidRPr="5AD2932F">
        <w:t xml:space="preserve"> </w:t>
      </w:r>
      <w:r w:rsidR="005B1F2B">
        <w:t xml:space="preserve">as part of strategic asset management and asset renewal to </w:t>
      </w:r>
      <w:r w:rsidRPr="5AD2932F">
        <w:t xml:space="preserve">reduce the </w:t>
      </w:r>
      <w:r>
        <w:t>greenhouse gas</w:t>
      </w:r>
      <w:r w:rsidRPr="5AD2932F">
        <w:t xml:space="preserve"> emissions from stationary fuel use</w:t>
      </w:r>
      <w:r>
        <w:t>.</w:t>
      </w:r>
    </w:p>
    <w:tbl>
      <w:tblPr>
        <w:tblStyle w:val="DTFFinancialTable"/>
        <w:tblW w:w="9639" w:type="dxa"/>
        <w:tblLook w:val="06A0" w:firstRow="1" w:lastRow="0" w:firstColumn="1" w:lastColumn="0" w:noHBand="1" w:noVBand="1"/>
      </w:tblPr>
      <w:tblGrid>
        <w:gridCol w:w="5245"/>
        <w:gridCol w:w="1418"/>
        <w:gridCol w:w="1417"/>
        <w:gridCol w:w="1559"/>
      </w:tblGrid>
      <w:tr w:rsidR="007A6675" w:rsidRPr="007A6675" w14:paraId="08B90391" w14:textId="77777777" w:rsidTr="00427C5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45" w:type="dxa"/>
          </w:tcPr>
          <w:p w14:paraId="5CE222BB" w14:textId="77777777" w:rsidR="007A6675" w:rsidRPr="007A6675" w:rsidRDefault="007A6675">
            <w:r w:rsidRPr="007A6675">
              <w:t xml:space="preserve">Indicator </w:t>
            </w:r>
          </w:p>
        </w:tc>
        <w:tc>
          <w:tcPr>
            <w:tcW w:w="1418" w:type="dxa"/>
          </w:tcPr>
          <w:p w14:paraId="6A5B3C65" w14:textId="63A7F5D7" w:rsidR="007A6675" w:rsidRPr="000A4854" w:rsidRDefault="000A4854">
            <w:pPr>
              <w:cnfStyle w:val="100000000000" w:firstRow="1" w:lastRow="0" w:firstColumn="0" w:lastColumn="0" w:oddVBand="0" w:evenVBand="0" w:oddHBand="0" w:evenHBand="0" w:firstRowFirstColumn="0" w:firstRowLastColumn="0" w:lastRowFirstColumn="0" w:lastRowLastColumn="0"/>
              <w:rPr>
                <w:i w:val="0"/>
                <w:iCs/>
              </w:rPr>
            </w:pPr>
            <w:r w:rsidRPr="000A4854">
              <w:rPr>
                <w:iCs/>
              </w:rPr>
              <w:fldChar w:fldCharType="begin"/>
            </w:r>
            <w:r w:rsidRPr="000A4854">
              <w:rPr>
                <w:i w:val="0"/>
                <w:iCs/>
              </w:rPr>
              <w:instrText>DOCPROPERTY  FinYearCurrent  \* MERGEFORMAT</w:instrText>
            </w:r>
            <w:r w:rsidRPr="000A4854">
              <w:rPr>
                <w:iCs/>
              </w:rPr>
              <w:fldChar w:fldCharType="separate"/>
            </w:r>
            <w:r w:rsidRPr="000A4854">
              <w:rPr>
                <w:i w:val="0"/>
                <w:iCs/>
              </w:rPr>
              <w:t>20X1</w:t>
            </w:r>
            <w:r w:rsidRPr="000A4854">
              <w:rPr>
                <w:rFonts w:ascii="Cambria Math" w:hAnsi="Cambria Math" w:cs="Cambria Math"/>
                <w:i w:val="0"/>
                <w:iCs/>
              </w:rPr>
              <w:noBreakHyphen/>
            </w:r>
            <w:r w:rsidRPr="000A4854">
              <w:rPr>
                <w:i w:val="0"/>
                <w:iCs/>
              </w:rPr>
              <w:t>X2</w:t>
            </w:r>
            <w:r w:rsidRPr="000A4854">
              <w:rPr>
                <w:iCs/>
              </w:rPr>
              <w:fldChar w:fldCharType="end"/>
            </w:r>
          </w:p>
        </w:tc>
        <w:tc>
          <w:tcPr>
            <w:tcW w:w="1417" w:type="dxa"/>
          </w:tcPr>
          <w:p w14:paraId="4928CE13" w14:textId="77777777" w:rsidR="007A6675" w:rsidRPr="007A6675" w:rsidRDefault="007A6675">
            <w:pPr>
              <w:cnfStyle w:val="100000000000" w:firstRow="1" w:lastRow="0" w:firstColumn="0" w:lastColumn="0" w:oddVBand="0" w:evenVBand="0" w:oddHBand="0" w:evenHBand="0" w:firstRowFirstColumn="0" w:firstRowLastColumn="0" w:lastRowFirstColumn="0" w:lastRowLastColumn="0"/>
            </w:pPr>
            <w:r w:rsidRPr="007A6675">
              <w:t xml:space="preserve"> 20X0-X1 </w:t>
            </w:r>
          </w:p>
        </w:tc>
        <w:tc>
          <w:tcPr>
            <w:tcW w:w="1559" w:type="dxa"/>
          </w:tcPr>
          <w:p w14:paraId="3D769182" w14:textId="77777777" w:rsidR="007A6675" w:rsidRPr="007A6675" w:rsidRDefault="007A6675">
            <w:pPr>
              <w:cnfStyle w:val="100000000000" w:firstRow="1" w:lastRow="0" w:firstColumn="0" w:lastColumn="0" w:oddVBand="0" w:evenVBand="0" w:oddHBand="0" w:evenHBand="0" w:firstRowFirstColumn="0" w:firstRowLastColumn="0" w:lastRowFirstColumn="0" w:lastRowLastColumn="0"/>
            </w:pPr>
            <w:r w:rsidRPr="007A6675">
              <w:t xml:space="preserve"> 20XX-X0 </w:t>
            </w:r>
          </w:p>
        </w:tc>
      </w:tr>
      <w:tr w:rsidR="00C63394" w:rsidRPr="007A6675" w14:paraId="2EB294E0" w14:textId="77777777" w:rsidTr="007A6675">
        <w:tc>
          <w:tcPr>
            <w:cnfStyle w:val="001000000000" w:firstRow="0" w:lastRow="0" w:firstColumn="1" w:lastColumn="0" w:oddVBand="0" w:evenVBand="0" w:oddHBand="0" w:evenHBand="0" w:firstRowFirstColumn="0" w:firstRowLastColumn="0" w:lastRowFirstColumn="0" w:lastRowLastColumn="0"/>
            <w:tcW w:w="5245" w:type="dxa"/>
          </w:tcPr>
          <w:p w14:paraId="3CCA9543" w14:textId="77777777" w:rsidR="00C63394" w:rsidRPr="007A6675" w:rsidRDefault="00C63394" w:rsidP="00C63394">
            <w:r w:rsidRPr="007A6675">
              <w:t xml:space="preserve">Total Fuels used in buildings and machinery (MJ) </w:t>
            </w:r>
            <w:r w:rsidRPr="007A6675">
              <w:rPr>
                <w:rStyle w:val="Reference"/>
              </w:rPr>
              <w:t>[Indicator F1]</w:t>
            </w:r>
          </w:p>
        </w:tc>
        <w:tc>
          <w:tcPr>
            <w:tcW w:w="1418" w:type="dxa"/>
          </w:tcPr>
          <w:p w14:paraId="42CCFF09" w14:textId="6D06EABC"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4796A">
              <w:t>1</w:t>
            </w:r>
            <w:r>
              <w:t xml:space="preserve"> </w:t>
            </w:r>
            <w:r w:rsidRPr="0074796A">
              <w:t>137</w:t>
            </w:r>
            <w:r>
              <w:t xml:space="preserve"> </w:t>
            </w:r>
            <w:r w:rsidRPr="0074796A">
              <w:t>115.8</w:t>
            </w:r>
          </w:p>
        </w:tc>
        <w:tc>
          <w:tcPr>
            <w:tcW w:w="1417" w:type="dxa"/>
          </w:tcPr>
          <w:p w14:paraId="4D60D1FD" w14:textId="4C680FE4"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D10439">
              <w:t>1</w:t>
            </w:r>
            <w:r>
              <w:t xml:space="preserve"> </w:t>
            </w:r>
            <w:r w:rsidRPr="00D10439">
              <w:t>168</w:t>
            </w:r>
            <w:r>
              <w:t xml:space="preserve"> </w:t>
            </w:r>
            <w:r w:rsidRPr="00D10439">
              <w:t>669.9</w:t>
            </w:r>
          </w:p>
        </w:tc>
        <w:tc>
          <w:tcPr>
            <w:tcW w:w="1559" w:type="dxa"/>
          </w:tcPr>
          <w:p w14:paraId="1664A8F6" w14:textId="1D9E4956"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A6675">
              <w:t>1 184 062.7</w:t>
            </w:r>
          </w:p>
        </w:tc>
      </w:tr>
      <w:tr w:rsidR="00C63394" w:rsidRPr="007A6675" w14:paraId="1F45F93B" w14:textId="77777777" w:rsidTr="00E0627C">
        <w:tc>
          <w:tcPr>
            <w:cnfStyle w:val="001000000000" w:firstRow="0" w:lastRow="0" w:firstColumn="1" w:lastColumn="0" w:oddVBand="0" w:evenVBand="0" w:oddHBand="0" w:evenHBand="0" w:firstRowFirstColumn="0" w:firstRowLastColumn="0" w:lastRowFirstColumn="0" w:lastRowLastColumn="0"/>
            <w:tcW w:w="5245" w:type="dxa"/>
          </w:tcPr>
          <w:p w14:paraId="1D5827ED" w14:textId="52004F32" w:rsidR="00C63394" w:rsidRPr="007A6675" w:rsidRDefault="00C63394" w:rsidP="00C63394">
            <w:pPr>
              <w:ind w:left="284"/>
            </w:pPr>
            <w:r w:rsidRPr="007A6675">
              <w:t xml:space="preserve">Buildings </w:t>
            </w:r>
            <w:r w:rsidRPr="007A6675">
              <w:rPr>
                <w:vertAlign w:val="superscript"/>
              </w:rPr>
              <w:t>(a)</w:t>
            </w:r>
          </w:p>
        </w:tc>
        <w:tc>
          <w:tcPr>
            <w:tcW w:w="1418" w:type="dxa"/>
          </w:tcPr>
          <w:p w14:paraId="5A0071A2" w14:textId="4F3678DE"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4796A">
              <w:t>739</w:t>
            </w:r>
            <w:r>
              <w:t xml:space="preserve"> </w:t>
            </w:r>
            <w:r w:rsidRPr="0074796A">
              <w:t>125.3</w:t>
            </w:r>
          </w:p>
        </w:tc>
        <w:tc>
          <w:tcPr>
            <w:tcW w:w="1417" w:type="dxa"/>
          </w:tcPr>
          <w:p w14:paraId="5E143914" w14:textId="77C7AAB8"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D10439">
              <w:t>759</w:t>
            </w:r>
            <w:r>
              <w:t xml:space="preserve"> </w:t>
            </w:r>
            <w:r w:rsidRPr="00D10439">
              <w:t>635.5</w:t>
            </w:r>
          </w:p>
        </w:tc>
        <w:tc>
          <w:tcPr>
            <w:tcW w:w="1559" w:type="dxa"/>
          </w:tcPr>
          <w:p w14:paraId="48DE9D51" w14:textId="4E7A3ECE"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A6675">
              <w:t>769 640.8</w:t>
            </w:r>
          </w:p>
        </w:tc>
      </w:tr>
      <w:tr w:rsidR="00C63394" w:rsidRPr="007A6675" w14:paraId="0F7D7078" w14:textId="77777777" w:rsidTr="00E0627C">
        <w:tc>
          <w:tcPr>
            <w:cnfStyle w:val="001000000000" w:firstRow="0" w:lastRow="0" w:firstColumn="1" w:lastColumn="0" w:oddVBand="0" w:evenVBand="0" w:oddHBand="0" w:evenHBand="0" w:firstRowFirstColumn="0" w:firstRowLastColumn="0" w:lastRowFirstColumn="0" w:lastRowLastColumn="0"/>
            <w:tcW w:w="5245" w:type="dxa"/>
          </w:tcPr>
          <w:p w14:paraId="0E044CA7" w14:textId="77777777" w:rsidR="00C63394" w:rsidRPr="007A6675" w:rsidRDefault="00C63394" w:rsidP="00C63394">
            <w:pPr>
              <w:ind w:left="567"/>
            </w:pPr>
            <w:r w:rsidRPr="007A6675">
              <w:t>Natural gas</w:t>
            </w:r>
          </w:p>
        </w:tc>
        <w:tc>
          <w:tcPr>
            <w:tcW w:w="1418" w:type="dxa"/>
          </w:tcPr>
          <w:p w14:paraId="55FD5B50" w14:textId="41ED5F63"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4796A">
              <w:t>739</w:t>
            </w:r>
            <w:r>
              <w:t xml:space="preserve"> </w:t>
            </w:r>
            <w:r w:rsidRPr="0074796A">
              <w:t>125.3</w:t>
            </w:r>
          </w:p>
        </w:tc>
        <w:tc>
          <w:tcPr>
            <w:tcW w:w="1417" w:type="dxa"/>
          </w:tcPr>
          <w:p w14:paraId="73A4F230" w14:textId="4A712D42"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D10439">
              <w:t>759</w:t>
            </w:r>
            <w:r>
              <w:t xml:space="preserve"> </w:t>
            </w:r>
            <w:r w:rsidRPr="00D10439">
              <w:t>635.5</w:t>
            </w:r>
          </w:p>
        </w:tc>
        <w:tc>
          <w:tcPr>
            <w:tcW w:w="1559" w:type="dxa"/>
          </w:tcPr>
          <w:p w14:paraId="19EC0B62" w14:textId="0EF60419"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A6675">
              <w:t>769 640.8</w:t>
            </w:r>
          </w:p>
        </w:tc>
      </w:tr>
      <w:tr w:rsidR="00C63394" w:rsidRPr="007A6675" w14:paraId="378D1CDF" w14:textId="77777777" w:rsidTr="00E0627C">
        <w:tc>
          <w:tcPr>
            <w:cnfStyle w:val="001000000000" w:firstRow="0" w:lastRow="0" w:firstColumn="1" w:lastColumn="0" w:oddVBand="0" w:evenVBand="0" w:oddHBand="0" w:evenHBand="0" w:firstRowFirstColumn="0" w:firstRowLastColumn="0" w:lastRowFirstColumn="0" w:lastRowLastColumn="0"/>
            <w:tcW w:w="5245" w:type="dxa"/>
          </w:tcPr>
          <w:p w14:paraId="04D53929" w14:textId="537AF091" w:rsidR="00C63394" w:rsidRPr="007A6675" w:rsidRDefault="00C63394" w:rsidP="00C63394">
            <w:pPr>
              <w:ind w:left="284"/>
            </w:pPr>
            <w:r w:rsidRPr="007A6675">
              <w:t xml:space="preserve">Machinery </w:t>
            </w:r>
            <w:r w:rsidRPr="007A6675">
              <w:rPr>
                <w:vertAlign w:val="superscript"/>
              </w:rPr>
              <w:t>(b)</w:t>
            </w:r>
          </w:p>
        </w:tc>
        <w:tc>
          <w:tcPr>
            <w:tcW w:w="1418" w:type="dxa"/>
          </w:tcPr>
          <w:p w14:paraId="02FE9312" w14:textId="72E22413"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4796A">
              <w:t>397</w:t>
            </w:r>
            <w:r>
              <w:t xml:space="preserve"> </w:t>
            </w:r>
            <w:r w:rsidRPr="0074796A">
              <w:t>990.5</w:t>
            </w:r>
          </w:p>
        </w:tc>
        <w:tc>
          <w:tcPr>
            <w:tcW w:w="1417" w:type="dxa"/>
          </w:tcPr>
          <w:p w14:paraId="7B5CBD5A" w14:textId="688EEAB4"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D10439">
              <w:t>409</w:t>
            </w:r>
            <w:r>
              <w:t xml:space="preserve"> </w:t>
            </w:r>
            <w:r w:rsidRPr="00D10439">
              <w:t>034.4</w:t>
            </w:r>
          </w:p>
        </w:tc>
        <w:tc>
          <w:tcPr>
            <w:tcW w:w="1559" w:type="dxa"/>
          </w:tcPr>
          <w:p w14:paraId="2FD91F28" w14:textId="63CBC7F3"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A6675">
              <w:t>414 421.9</w:t>
            </w:r>
          </w:p>
        </w:tc>
      </w:tr>
      <w:tr w:rsidR="00C63394" w:rsidRPr="007A6675" w14:paraId="51D62EAB" w14:textId="77777777" w:rsidTr="00E0627C">
        <w:tc>
          <w:tcPr>
            <w:cnfStyle w:val="001000000000" w:firstRow="0" w:lastRow="0" w:firstColumn="1" w:lastColumn="0" w:oddVBand="0" w:evenVBand="0" w:oddHBand="0" w:evenHBand="0" w:firstRowFirstColumn="0" w:firstRowLastColumn="0" w:lastRowFirstColumn="0" w:lastRowLastColumn="0"/>
            <w:tcW w:w="5245" w:type="dxa"/>
          </w:tcPr>
          <w:p w14:paraId="5121FBBF" w14:textId="77777777" w:rsidR="00C63394" w:rsidRPr="007A6675" w:rsidRDefault="00C63394" w:rsidP="00C63394">
            <w:pPr>
              <w:ind w:left="567"/>
            </w:pPr>
            <w:r w:rsidRPr="007A6675">
              <w:t>Diesel</w:t>
            </w:r>
          </w:p>
        </w:tc>
        <w:tc>
          <w:tcPr>
            <w:tcW w:w="1418" w:type="dxa"/>
          </w:tcPr>
          <w:p w14:paraId="1FC3ABE6" w14:textId="4DCEFAB1"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4796A">
              <w:t>397</w:t>
            </w:r>
            <w:r>
              <w:t xml:space="preserve"> </w:t>
            </w:r>
            <w:r w:rsidRPr="0074796A">
              <w:t>990.5</w:t>
            </w:r>
          </w:p>
        </w:tc>
        <w:tc>
          <w:tcPr>
            <w:tcW w:w="1417" w:type="dxa"/>
          </w:tcPr>
          <w:p w14:paraId="30A66468" w14:textId="18744972"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D10439">
              <w:t>409</w:t>
            </w:r>
            <w:r>
              <w:t xml:space="preserve"> </w:t>
            </w:r>
            <w:r w:rsidRPr="00D10439">
              <w:t>034.4</w:t>
            </w:r>
          </w:p>
        </w:tc>
        <w:tc>
          <w:tcPr>
            <w:tcW w:w="1559" w:type="dxa"/>
          </w:tcPr>
          <w:p w14:paraId="7A66B90D" w14:textId="1EB1BE04" w:rsidR="00C63394" w:rsidRPr="007A6675" w:rsidRDefault="00C63394" w:rsidP="00C63394">
            <w:pPr>
              <w:cnfStyle w:val="000000000000" w:firstRow="0" w:lastRow="0" w:firstColumn="0" w:lastColumn="0" w:oddVBand="0" w:evenVBand="0" w:oddHBand="0" w:evenHBand="0" w:firstRowFirstColumn="0" w:firstRowLastColumn="0" w:lastRowFirstColumn="0" w:lastRowLastColumn="0"/>
            </w:pPr>
            <w:r w:rsidRPr="007A6675">
              <w:t>414 421.9</w:t>
            </w:r>
          </w:p>
        </w:tc>
      </w:tr>
      <w:tr w:rsidR="007A6675" w:rsidRPr="007A6675" w14:paraId="35535386" w14:textId="77777777" w:rsidTr="007A6675">
        <w:tc>
          <w:tcPr>
            <w:cnfStyle w:val="001000000000" w:firstRow="0" w:lastRow="0" w:firstColumn="1" w:lastColumn="0" w:oddVBand="0" w:evenVBand="0" w:oddHBand="0" w:evenHBand="0" w:firstRowFirstColumn="0" w:firstRowLastColumn="0" w:lastRowFirstColumn="0" w:lastRowLastColumn="0"/>
            <w:tcW w:w="5245" w:type="dxa"/>
          </w:tcPr>
          <w:p w14:paraId="4B8BD123" w14:textId="77777777" w:rsidR="007A6675" w:rsidRPr="007A6675" w:rsidRDefault="007A6675">
            <w:r w:rsidRPr="007A6675">
              <w:t>Greenhouse gas emissions from stationary fuel consumption (Tonnes CO</w:t>
            </w:r>
            <w:r w:rsidRPr="007A6675">
              <w:rPr>
                <w:vertAlign w:val="subscript"/>
              </w:rPr>
              <w:t>2</w:t>
            </w:r>
            <w:r w:rsidRPr="007A6675">
              <w:t xml:space="preserve">-e) </w:t>
            </w:r>
            <w:r w:rsidRPr="007A6675">
              <w:rPr>
                <w:rStyle w:val="Reference"/>
              </w:rPr>
              <w:t>[Indicator F2]</w:t>
            </w:r>
          </w:p>
        </w:tc>
        <w:tc>
          <w:tcPr>
            <w:tcW w:w="1418" w:type="dxa"/>
          </w:tcPr>
          <w:p w14:paraId="4DE30421" w14:textId="667B2322" w:rsidR="007A6675" w:rsidRPr="007A6675" w:rsidRDefault="007A6675">
            <w:pPr>
              <w:cnfStyle w:val="000000000000" w:firstRow="0" w:lastRow="0" w:firstColumn="0" w:lastColumn="0" w:oddVBand="0" w:evenVBand="0" w:oddHBand="0" w:evenHBand="0" w:firstRowFirstColumn="0" w:firstRowLastColumn="0" w:lastRowFirstColumn="0" w:lastRowLastColumn="0"/>
            </w:pPr>
            <w:r w:rsidRPr="007A6675">
              <w:t>6</w:t>
            </w:r>
            <w:r w:rsidR="00420927">
              <w:t>6</w:t>
            </w:r>
            <w:r w:rsidRPr="007A6675">
              <w:t>.</w:t>
            </w:r>
            <w:r w:rsidR="00420927">
              <w:t>1</w:t>
            </w:r>
          </w:p>
        </w:tc>
        <w:tc>
          <w:tcPr>
            <w:tcW w:w="1417" w:type="dxa"/>
          </w:tcPr>
          <w:p w14:paraId="19224CB8" w14:textId="1CFFC55E" w:rsidR="007A6675" w:rsidRPr="007A6675" w:rsidRDefault="007A6675">
            <w:pPr>
              <w:cnfStyle w:val="000000000000" w:firstRow="0" w:lastRow="0" w:firstColumn="0" w:lastColumn="0" w:oddVBand="0" w:evenVBand="0" w:oddHBand="0" w:evenHBand="0" w:firstRowFirstColumn="0" w:firstRowLastColumn="0" w:lastRowFirstColumn="0" w:lastRowLastColumn="0"/>
            </w:pPr>
            <w:r w:rsidRPr="007A6675">
              <w:t>6</w:t>
            </w:r>
            <w:r w:rsidR="00420927">
              <w:t>7</w:t>
            </w:r>
            <w:r w:rsidRPr="007A6675">
              <w:t>.9</w:t>
            </w:r>
          </w:p>
        </w:tc>
        <w:tc>
          <w:tcPr>
            <w:tcW w:w="1559" w:type="dxa"/>
          </w:tcPr>
          <w:p w14:paraId="53E5E371" w14:textId="77777777" w:rsidR="007A6675" w:rsidRPr="007A6675" w:rsidRDefault="007A6675">
            <w:pPr>
              <w:cnfStyle w:val="000000000000" w:firstRow="0" w:lastRow="0" w:firstColumn="0" w:lastColumn="0" w:oddVBand="0" w:evenVBand="0" w:oddHBand="0" w:evenHBand="0" w:firstRowFirstColumn="0" w:firstRowLastColumn="0" w:lastRowFirstColumn="0" w:lastRowLastColumn="0"/>
            </w:pPr>
            <w:r w:rsidRPr="007A6675">
              <w:t>68.8</w:t>
            </w:r>
          </w:p>
        </w:tc>
      </w:tr>
    </w:tbl>
    <w:p w14:paraId="2F08F37C" w14:textId="65C34A95" w:rsidR="007A6675" w:rsidRPr="007A6675" w:rsidRDefault="007A6675" w:rsidP="007A6675">
      <w:pPr>
        <w:pStyle w:val="Note"/>
      </w:pPr>
      <w:r w:rsidRPr="007A6675">
        <w:t>Notes:</w:t>
      </w:r>
    </w:p>
    <w:p w14:paraId="75E39C86" w14:textId="4ACBD296" w:rsidR="004330DD" w:rsidRPr="007A6675" w:rsidRDefault="007A6675" w:rsidP="007A6675">
      <w:pPr>
        <w:pStyle w:val="Note"/>
      </w:pPr>
      <w:r w:rsidRPr="007A6675">
        <w:t>(a</w:t>
      </w:r>
      <w:r w:rsidR="004330DD" w:rsidRPr="007A6675">
        <w:t xml:space="preserve">) </w:t>
      </w:r>
      <w:r w:rsidRPr="007A6675">
        <w:tab/>
      </w:r>
      <w:r w:rsidR="004330DD" w:rsidRPr="007A6675">
        <w:t>Gas powered clothes dryers are used at the Department’s depot, which are not separately metered and have been included in the buildings rather than machinery subtotal. The Department will explore sub-metering options when these dryers are replaced at the end of their useful life.</w:t>
      </w:r>
    </w:p>
    <w:p w14:paraId="263F3E3B" w14:textId="3AD29DCC" w:rsidR="007A6675" w:rsidRPr="007A6675" w:rsidRDefault="007A6675" w:rsidP="00BF2540">
      <w:pPr>
        <w:pStyle w:val="Note"/>
      </w:pPr>
      <w:r w:rsidRPr="007A6675">
        <w:t>(b</w:t>
      </w:r>
      <w:r w:rsidR="004330DD" w:rsidRPr="007A6675">
        <w:t>)</w:t>
      </w:r>
      <w:r w:rsidRPr="007A6675">
        <w:tab/>
      </w:r>
      <w:r w:rsidR="004330DD" w:rsidRPr="007A6675">
        <w:t xml:space="preserve">The Department operates a backup generator at its data centre.  </w:t>
      </w:r>
    </w:p>
    <w:p w14:paraId="59383C06" w14:textId="7917FD3C" w:rsidR="004330DD" w:rsidRPr="00C32143" w:rsidRDefault="004330DD" w:rsidP="004330DD">
      <w:pPr>
        <w:pStyle w:val="GuidanceBlockHeading"/>
        <w:rPr>
          <w:sz w:val="18"/>
          <w:szCs w:val="18"/>
        </w:rPr>
      </w:pPr>
      <w:r>
        <w:t>Guidance – Data availability requirements</w:t>
      </w:r>
    </w:p>
    <w:p w14:paraId="5D638B58" w14:textId="77777777" w:rsidR="004330DD" w:rsidRDefault="004330DD" w:rsidP="004330DD">
      <w:pPr>
        <w:rPr>
          <w:rStyle w:val="Guidance"/>
          <w:i/>
          <w:sz w:val="20"/>
          <w:szCs w:val="24"/>
        </w:rPr>
      </w:pPr>
      <w:r>
        <w:rPr>
          <w:rStyle w:val="Guidance"/>
        </w:rPr>
        <w:t xml:space="preserve">In the above table, equipment that runs on natural gas is included in the buildings segment rather than the machinery segment, with an explanatory note that sub-metering options will be examined when the machinery is replaced. This is an example of using estimates (aggregating data in another section) and providing explanatory notes on future actions per the FRD 24 data availability requirements. </w:t>
      </w:r>
    </w:p>
    <w:p w14:paraId="4EE58EA7" w14:textId="77777777" w:rsidR="004330DD" w:rsidRPr="00C32143" w:rsidRDefault="004330DD" w:rsidP="004330DD">
      <w:pPr>
        <w:pStyle w:val="GuidanceEnd"/>
      </w:pPr>
    </w:p>
    <w:p w14:paraId="579E74C8" w14:textId="77777777" w:rsidR="004330DD" w:rsidRPr="00D22D9C" w:rsidRDefault="004330DD" w:rsidP="004330DD">
      <w:pPr>
        <w:pStyle w:val="Heading4"/>
        <w:rPr>
          <w:b w:val="0"/>
          <w:bCs/>
          <w:sz w:val="24"/>
        </w:rPr>
      </w:pPr>
      <w:r w:rsidRPr="00D22D9C">
        <w:rPr>
          <w:sz w:val="24"/>
        </w:rPr>
        <w:t>Transport</w:t>
      </w:r>
      <w:r>
        <w:rPr>
          <w:sz w:val="24"/>
        </w:rPr>
        <w:t>ation</w:t>
      </w:r>
    </w:p>
    <w:p w14:paraId="74F30DDF" w14:textId="77777777" w:rsidR="004330DD" w:rsidRDefault="004330DD" w:rsidP="004330DD">
      <w:r w:rsidRPr="77D25D40">
        <w:t xml:space="preserve">The </w:t>
      </w:r>
      <w:r>
        <w:t>Department’s</w:t>
      </w:r>
      <w:r w:rsidRPr="008429FA">
        <w:t xml:space="preserve"> </w:t>
      </w:r>
      <w:r w:rsidRPr="77D25D40">
        <w:t>fleet comprised of 20</w:t>
      </w:r>
      <w:r>
        <w:t>5</w:t>
      </w:r>
      <w:r w:rsidRPr="77D25D40">
        <w:t xml:space="preserve"> vehicles</w:t>
      </w:r>
      <w:r w:rsidRPr="00F636C4">
        <w:t xml:space="preserve"> </w:t>
      </w:r>
      <w:r w:rsidRPr="77D25D40">
        <w:t xml:space="preserve">essential to the </w:t>
      </w:r>
      <w:r>
        <w:t>Department’s</w:t>
      </w:r>
      <w:r w:rsidRPr="008429FA">
        <w:t xml:space="preserve"> </w:t>
      </w:r>
      <w:r>
        <w:t>provision of</w:t>
      </w:r>
      <w:r w:rsidRPr="77D25D40">
        <w:t xml:space="preserve"> </w:t>
      </w:r>
      <w:r>
        <w:t>technology</w:t>
      </w:r>
      <w:r w:rsidRPr="77D25D40">
        <w:t xml:space="preserve"> support services that require on-site visits for installation and maintenance</w:t>
      </w:r>
      <w:r>
        <w:t>.</w:t>
      </w:r>
      <w:r w:rsidRPr="77D25D40">
        <w:t xml:space="preserve"> </w:t>
      </w:r>
      <w:r>
        <w:t>Sixty-four per cent</w:t>
      </w:r>
      <w:r w:rsidRPr="77D25D40">
        <w:t xml:space="preserve"> of </w:t>
      </w:r>
      <w:r>
        <w:t>these</w:t>
      </w:r>
      <w:r w:rsidRPr="77D25D40">
        <w:t xml:space="preserve"> were goods vehicles including vans and large trucks that were used to transfer and deliver </w:t>
      </w:r>
      <w:r>
        <w:t>technologies and services to government sites across Victoria</w:t>
      </w:r>
      <w:r w:rsidRPr="77D25D40">
        <w:t xml:space="preserve">, and the remainder were passenger vehicles </w:t>
      </w:r>
      <w:r>
        <w:t>for pool use</w:t>
      </w:r>
      <w:r w:rsidRPr="77D25D40">
        <w:t xml:space="preserve">. Of the goods vehicles, </w:t>
      </w:r>
      <w:r>
        <w:t>69 per cent</w:t>
      </w:r>
      <w:r w:rsidRPr="77D25D40">
        <w:t xml:space="preserve"> were internal combustion engine vehicles and 3</w:t>
      </w:r>
      <w:r>
        <w:t>1 per cent</w:t>
      </w:r>
      <w:r w:rsidRPr="77D25D40">
        <w:t xml:space="preserve"> were hybrid vehicles. </w:t>
      </w:r>
    </w:p>
    <w:p w14:paraId="2B680F76" w14:textId="1B029551" w:rsidR="004330DD" w:rsidRDefault="004330DD" w:rsidP="004330DD">
      <w:r>
        <w:t xml:space="preserve">Energy used in transport fuels </w:t>
      </w:r>
      <w:r w:rsidR="003B442C">
        <w:t xml:space="preserve">decreased </w:t>
      </w:r>
      <w:r>
        <w:t>by 3 per cent from 20X</w:t>
      </w:r>
      <w:r w:rsidR="003B442C">
        <w:t>X</w:t>
      </w:r>
      <w:r>
        <w:t>-X</w:t>
      </w:r>
      <w:r w:rsidR="0030638D">
        <w:t>0</w:t>
      </w:r>
      <w:r>
        <w:t xml:space="preserve"> to </w:t>
      </w:r>
      <w:fldSimple w:instr="DOCPROPERTY  FinYearCurrent  \* MERGEFORMAT">
        <w:r w:rsidR="005A405F">
          <w:t>20X1</w:t>
        </w:r>
        <w:r w:rsidR="005A405F">
          <w:rPr>
            <w:rFonts w:ascii="Cambria Math" w:hAnsi="Cambria Math" w:cs="Cambria Math"/>
          </w:rPr>
          <w:noBreakHyphen/>
        </w:r>
        <w:r w:rsidR="005A405F">
          <w:t>X2</w:t>
        </w:r>
      </w:fldSimple>
      <w:r>
        <w:t xml:space="preserve"> while greenhouse gas emissions from transport </w:t>
      </w:r>
      <w:r w:rsidR="0030638D">
        <w:t xml:space="preserve">decreased </w:t>
      </w:r>
      <w:r>
        <w:t xml:space="preserve">by 3.3 per cent and commercial air travel by 4.2 per cent. These </w:t>
      </w:r>
      <w:r w:rsidR="0030638D">
        <w:t xml:space="preserve">decreases </w:t>
      </w:r>
      <w:r>
        <w:t xml:space="preserve">have been driven by </w:t>
      </w:r>
      <w:r w:rsidR="0030638D">
        <w:t xml:space="preserve">increased use of </w:t>
      </w:r>
      <w:r>
        <w:t xml:space="preserve">telepresence and remote meeting technologies. </w:t>
      </w:r>
    </w:p>
    <w:p w14:paraId="35892BED" w14:textId="035E1262" w:rsidR="009D36F7" w:rsidRPr="00684266" w:rsidRDefault="004330DD" w:rsidP="009D36F7">
      <w:r w:rsidRPr="00482F82">
        <w:t>The Department is planning to transition to 100 per cent zero emissions vehicles for the shared passenger vehicle fleet within the next 1</w:t>
      </w:r>
      <w:r w:rsidR="00785B96">
        <w:t>0</w:t>
      </w:r>
      <w:r w:rsidRPr="00482F82">
        <w:t xml:space="preserve"> years consistent with the Victorian Government’s commitment as a signatory to the COP26 declaration on accelerating the transition to 100 per cent zero emissions cars and vans. </w:t>
      </w:r>
      <w:r w:rsidR="004E54F3">
        <w:t xml:space="preserve">The Department added 12 battery electric vehicles to its passenger fleet in </w:t>
      </w:r>
      <w:fldSimple w:instr="DOCPROPERTY  FinYearCurrent  \* MERGEFORMAT">
        <w:r w:rsidR="005A405F">
          <w:t>20X1</w:t>
        </w:r>
        <w:r w:rsidR="005A405F">
          <w:rPr>
            <w:rFonts w:ascii="Cambria Math" w:hAnsi="Cambria Math" w:cs="Cambria Math"/>
          </w:rPr>
          <w:noBreakHyphen/>
        </w:r>
        <w:r w:rsidR="005A405F">
          <w:t>X2</w:t>
        </w:r>
      </w:fldSimple>
      <w:r w:rsidR="004E54F3">
        <w:t xml:space="preserve"> for a total of 18 battery electric vehicles and will pilot introduction of up to 6</w:t>
      </w:r>
      <w:r w:rsidR="005A405F">
        <w:t> </w:t>
      </w:r>
      <w:r w:rsidR="004E54F3">
        <w:t>battery electric goods vans over the next two years.</w:t>
      </w:r>
    </w:p>
    <w:tbl>
      <w:tblPr>
        <w:tblStyle w:val="DTFFinancialTable"/>
        <w:tblW w:w="9639" w:type="dxa"/>
        <w:tblLook w:val="06A0" w:firstRow="1" w:lastRow="0" w:firstColumn="1" w:lastColumn="0" w:noHBand="1" w:noVBand="1"/>
      </w:tblPr>
      <w:tblGrid>
        <w:gridCol w:w="4074"/>
        <w:gridCol w:w="1008"/>
        <w:gridCol w:w="872"/>
        <w:gridCol w:w="975"/>
        <w:gridCol w:w="868"/>
        <w:gridCol w:w="1078"/>
        <w:gridCol w:w="764"/>
      </w:tblGrid>
      <w:tr w:rsidR="00854AE8" w:rsidRPr="00427C57" w14:paraId="7954E2C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074" w:type="dxa"/>
          </w:tcPr>
          <w:p w14:paraId="2725F185" w14:textId="77777777" w:rsidR="00854AE8" w:rsidRPr="00427C57" w:rsidRDefault="00854AE8" w:rsidP="00CF76BC">
            <w:pPr>
              <w:pageBreakBefore/>
            </w:pPr>
            <w:r w:rsidRPr="00427C57">
              <w:lastRenderedPageBreak/>
              <w:t xml:space="preserve">Indicator </w:t>
            </w:r>
          </w:p>
        </w:tc>
        <w:tc>
          <w:tcPr>
            <w:tcW w:w="1008" w:type="dxa"/>
          </w:tcPr>
          <w:p w14:paraId="75AF4E7C" w14:textId="07184FDE" w:rsidR="00854AE8" w:rsidRPr="005A405F" w:rsidRDefault="005A405F">
            <w:pPr>
              <w:cnfStyle w:val="100000000000" w:firstRow="1" w:lastRow="0" w:firstColumn="0" w:lastColumn="0" w:oddVBand="0" w:evenVBand="0" w:oddHBand="0" w:evenHBand="0" w:firstRowFirstColumn="0" w:firstRowLastColumn="0" w:lastRowFirstColumn="0" w:lastRowLastColumn="0"/>
            </w:pPr>
            <w:fldSimple w:instr="DOCPROPERTY  FinYearCurrent  \* MERGEFORMAT">
              <w:r w:rsidRPr="005A405F">
                <w:t>20X1</w:t>
              </w:r>
              <w:r w:rsidRPr="005A405F">
                <w:rPr>
                  <w:rFonts w:ascii="Cambria Math" w:hAnsi="Cambria Math" w:cs="Cambria Math"/>
                </w:rPr>
                <w:noBreakHyphen/>
              </w:r>
              <w:r w:rsidRPr="005A405F">
                <w:t>X2</w:t>
              </w:r>
            </w:fldSimple>
          </w:p>
        </w:tc>
        <w:tc>
          <w:tcPr>
            <w:tcW w:w="872" w:type="dxa"/>
          </w:tcPr>
          <w:p w14:paraId="6162DCB6" w14:textId="77777777" w:rsidR="00854AE8" w:rsidRPr="00427C57" w:rsidRDefault="00854AE8">
            <w:pPr>
              <w:cnfStyle w:val="100000000000" w:firstRow="1" w:lastRow="0" w:firstColumn="0" w:lastColumn="0" w:oddVBand="0" w:evenVBand="0" w:oddHBand="0" w:evenHBand="0" w:firstRowFirstColumn="0" w:firstRowLastColumn="0" w:lastRowFirstColumn="0" w:lastRowLastColumn="0"/>
            </w:pPr>
            <w:r w:rsidRPr="00427C57">
              <w:t xml:space="preserve">% </w:t>
            </w:r>
          </w:p>
        </w:tc>
        <w:tc>
          <w:tcPr>
            <w:tcW w:w="975" w:type="dxa"/>
          </w:tcPr>
          <w:p w14:paraId="28BA2116" w14:textId="14E0CA97" w:rsidR="00854AE8" w:rsidRPr="00427C57" w:rsidRDefault="005A405F">
            <w:pPr>
              <w:cnfStyle w:val="100000000000" w:firstRow="1" w:lastRow="0" w:firstColumn="0" w:lastColumn="0" w:oddVBand="0" w:evenVBand="0" w:oddHBand="0" w:evenHBand="0" w:firstRowFirstColumn="0" w:firstRowLastColumn="0" w:lastRowFirstColumn="0" w:lastRowLastColumn="0"/>
            </w:pPr>
            <w:fldSimple w:instr="DOCPROPERTY  FinYearPrevious  \* MERGEFORMAT">
              <w:r>
                <w:t>20X0</w:t>
              </w:r>
              <w:r>
                <w:rPr>
                  <w:rFonts w:ascii="Cambria Math" w:hAnsi="Cambria Math" w:cs="Cambria Math"/>
                </w:rPr>
                <w:t>‑</w:t>
              </w:r>
              <w:r>
                <w:t>X1</w:t>
              </w:r>
            </w:fldSimple>
          </w:p>
        </w:tc>
        <w:tc>
          <w:tcPr>
            <w:tcW w:w="868" w:type="dxa"/>
          </w:tcPr>
          <w:p w14:paraId="07942336" w14:textId="77777777" w:rsidR="00854AE8" w:rsidRPr="00427C57" w:rsidRDefault="00854AE8">
            <w:pPr>
              <w:cnfStyle w:val="100000000000" w:firstRow="1" w:lastRow="0" w:firstColumn="0" w:lastColumn="0" w:oddVBand="0" w:evenVBand="0" w:oddHBand="0" w:evenHBand="0" w:firstRowFirstColumn="0" w:firstRowLastColumn="0" w:lastRowFirstColumn="0" w:lastRowLastColumn="0"/>
            </w:pPr>
            <w:r w:rsidRPr="00427C57">
              <w:t xml:space="preserve">% </w:t>
            </w:r>
          </w:p>
        </w:tc>
        <w:tc>
          <w:tcPr>
            <w:tcW w:w="1078" w:type="dxa"/>
          </w:tcPr>
          <w:p w14:paraId="59177667" w14:textId="77777777" w:rsidR="00854AE8" w:rsidRPr="00427C57" w:rsidRDefault="00854AE8">
            <w:pPr>
              <w:cnfStyle w:val="100000000000" w:firstRow="1" w:lastRow="0" w:firstColumn="0" w:lastColumn="0" w:oddVBand="0" w:evenVBand="0" w:oddHBand="0" w:evenHBand="0" w:firstRowFirstColumn="0" w:firstRowLastColumn="0" w:lastRowFirstColumn="0" w:lastRowLastColumn="0"/>
            </w:pPr>
            <w:r w:rsidRPr="00427C57">
              <w:t xml:space="preserve"> 20XX-X0 </w:t>
            </w:r>
          </w:p>
        </w:tc>
        <w:tc>
          <w:tcPr>
            <w:tcW w:w="764" w:type="dxa"/>
          </w:tcPr>
          <w:p w14:paraId="74263890" w14:textId="77777777" w:rsidR="00854AE8" w:rsidRPr="00427C57" w:rsidRDefault="00854AE8">
            <w:pPr>
              <w:cnfStyle w:val="100000000000" w:firstRow="1" w:lastRow="0" w:firstColumn="0" w:lastColumn="0" w:oddVBand="0" w:evenVBand="0" w:oddHBand="0" w:evenHBand="0" w:firstRowFirstColumn="0" w:firstRowLastColumn="0" w:lastRowFirstColumn="0" w:lastRowLastColumn="0"/>
            </w:pPr>
            <w:r w:rsidRPr="00427C57">
              <w:t xml:space="preserve">% </w:t>
            </w:r>
          </w:p>
        </w:tc>
      </w:tr>
      <w:tr w:rsidR="00854AE8" w:rsidRPr="00427C57" w14:paraId="042AEF02" w14:textId="77777777">
        <w:tc>
          <w:tcPr>
            <w:cnfStyle w:val="001000000000" w:firstRow="0" w:lastRow="0" w:firstColumn="1" w:lastColumn="0" w:oddVBand="0" w:evenVBand="0" w:oddHBand="0" w:evenHBand="0" w:firstRowFirstColumn="0" w:firstRowLastColumn="0" w:lastRowFirstColumn="0" w:lastRowLastColumn="0"/>
            <w:tcW w:w="4074" w:type="dxa"/>
          </w:tcPr>
          <w:p w14:paraId="488CA683" w14:textId="77777777" w:rsidR="00854AE8" w:rsidRPr="00427C57" w:rsidRDefault="00854AE8">
            <w:r w:rsidRPr="00427C57">
              <w:t xml:space="preserve">Number and proportion of vehicles </w:t>
            </w:r>
            <w:r w:rsidRPr="00376846">
              <w:rPr>
                <w:rStyle w:val="Reference"/>
              </w:rPr>
              <w:t>[Indicator T2]</w:t>
            </w:r>
          </w:p>
        </w:tc>
        <w:tc>
          <w:tcPr>
            <w:tcW w:w="1008" w:type="dxa"/>
          </w:tcPr>
          <w:p w14:paraId="56DCCEAC"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 xml:space="preserve">205 </w:t>
            </w:r>
          </w:p>
        </w:tc>
        <w:tc>
          <w:tcPr>
            <w:tcW w:w="872" w:type="dxa"/>
          </w:tcPr>
          <w:p w14:paraId="6FF18994"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100</w:t>
            </w:r>
          </w:p>
        </w:tc>
        <w:tc>
          <w:tcPr>
            <w:tcW w:w="975" w:type="dxa"/>
          </w:tcPr>
          <w:p w14:paraId="2037DE97"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200</w:t>
            </w:r>
          </w:p>
        </w:tc>
        <w:tc>
          <w:tcPr>
            <w:tcW w:w="868" w:type="dxa"/>
          </w:tcPr>
          <w:p w14:paraId="1A630905"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100</w:t>
            </w:r>
          </w:p>
        </w:tc>
        <w:tc>
          <w:tcPr>
            <w:tcW w:w="1078" w:type="dxa"/>
          </w:tcPr>
          <w:p w14:paraId="645DC733"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200</w:t>
            </w:r>
          </w:p>
        </w:tc>
        <w:tc>
          <w:tcPr>
            <w:tcW w:w="764" w:type="dxa"/>
          </w:tcPr>
          <w:p w14:paraId="7CAFED2E"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100</w:t>
            </w:r>
          </w:p>
        </w:tc>
      </w:tr>
      <w:tr w:rsidR="00854AE8" w:rsidRPr="00427C57" w14:paraId="1041C8A3" w14:textId="77777777">
        <w:tc>
          <w:tcPr>
            <w:cnfStyle w:val="001000000000" w:firstRow="0" w:lastRow="0" w:firstColumn="1" w:lastColumn="0" w:oddVBand="0" w:evenVBand="0" w:oddHBand="0" w:evenHBand="0" w:firstRowFirstColumn="0" w:firstRowLastColumn="0" w:lastRowFirstColumn="0" w:lastRowLastColumn="0"/>
            <w:tcW w:w="4074" w:type="dxa"/>
          </w:tcPr>
          <w:p w14:paraId="7E1FC569" w14:textId="77777777" w:rsidR="00854AE8" w:rsidRPr="00427C57" w:rsidRDefault="00854AE8">
            <w:r w:rsidRPr="00427C57">
              <w:t>Road Vehicles</w:t>
            </w:r>
          </w:p>
        </w:tc>
        <w:tc>
          <w:tcPr>
            <w:tcW w:w="1008" w:type="dxa"/>
          </w:tcPr>
          <w:p w14:paraId="23E55B5C"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 xml:space="preserve">205 </w:t>
            </w:r>
          </w:p>
        </w:tc>
        <w:tc>
          <w:tcPr>
            <w:tcW w:w="872" w:type="dxa"/>
          </w:tcPr>
          <w:p w14:paraId="30EEA8F9"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100</w:t>
            </w:r>
          </w:p>
        </w:tc>
        <w:tc>
          <w:tcPr>
            <w:tcW w:w="975" w:type="dxa"/>
          </w:tcPr>
          <w:p w14:paraId="4ED5160C"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 xml:space="preserve">200 </w:t>
            </w:r>
          </w:p>
        </w:tc>
        <w:tc>
          <w:tcPr>
            <w:tcW w:w="868" w:type="dxa"/>
          </w:tcPr>
          <w:p w14:paraId="5FBBB009"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100</w:t>
            </w:r>
          </w:p>
        </w:tc>
        <w:tc>
          <w:tcPr>
            <w:tcW w:w="1078" w:type="dxa"/>
          </w:tcPr>
          <w:p w14:paraId="3E5D35C4"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 xml:space="preserve">200 </w:t>
            </w:r>
          </w:p>
        </w:tc>
        <w:tc>
          <w:tcPr>
            <w:tcW w:w="764" w:type="dxa"/>
          </w:tcPr>
          <w:p w14:paraId="18E47AA5"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100</w:t>
            </w:r>
          </w:p>
        </w:tc>
      </w:tr>
      <w:tr w:rsidR="00854AE8" w:rsidRPr="00427C57" w14:paraId="56BBD7D9" w14:textId="77777777">
        <w:tc>
          <w:tcPr>
            <w:cnfStyle w:val="001000000000" w:firstRow="0" w:lastRow="0" w:firstColumn="1" w:lastColumn="0" w:oddVBand="0" w:evenVBand="0" w:oddHBand="0" w:evenHBand="0" w:firstRowFirstColumn="0" w:firstRowLastColumn="0" w:lastRowFirstColumn="0" w:lastRowLastColumn="0"/>
            <w:tcW w:w="4074" w:type="dxa"/>
          </w:tcPr>
          <w:p w14:paraId="46BACDA3" w14:textId="77777777" w:rsidR="00854AE8" w:rsidRPr="00854AE8" w:rsidRDefault="00854AE8">
            <w:r w:rsidRPr="00BF2540">
              <w:t xml:space="preserve">Passenger vehicles </w:t>
            </w:r>
            <w:r w:rsidRPr="00BF2540">
              <w:rPr>
                <w:vertAlign w:val="superscript"/>
              </w:rPr>
              <w:t>(a)</w:t>
            </w:r>
          </w:p>
        </w:tc>
        <w:tc>
          <w:tcPr>
            <w:tcW w:w="1008" w:type="dxa"/>
          </w:tcPr>
          <w:p w14:paraId="076FB771" w14:textId="77777777" w:rsidR="00854AE8" w:rsidRPr="00854AE8" w:rsidRDefault="00854AE8">
            <w:pPr>
              <w:keepNext/>
              <w:cnfStyle w:val="000000000000" w:firstRow="0" w:lastRow="0" w:firstColumn="0" w:lastColumn="0" w:oddVBand="0" w:evenVBand="0" w:oddHBand="0" w:evenHBand="0" w:firstRowFirstColumn="0" w:firstRowLastColumn="0" w:lastRowFirstColumn="0" w:lastRowLastColumn="0"/>
            </w:pPr>
            <w:r w:rsidRPr="00854AE8">
              <w:t xml:space="preserve">74 </w:t>
            </w:r>
          </w:p>
        </w:tc>
        <w:tc>
          <w:tcPr>
            <w:tcW w:w="872" w:type="dxa"/>
          </w:tcPr>
          <w:p w14:paraId="63DD19A1" w14:textId="77777777" w:rsidR="00854AE8" w:rsidRPr="00854AE8" w:rsidRDefault="00854AE8">
            <w:pPr>
              <w:keepNext/>
              <w:cnfStyle w:val="000000000000" w:firstRow="0" w:lastRow="0" w:firstColumn="0" w:lastColumn="0" w:oddVBand="0" w:evenVBand="0" w:oddHBand="0" w:evenHBand="0" w:firstRowFirstColumn="0" w:firstRowLastColumn="0" w:lastRowFirstColumn="0" w:lastRowLastColumn="0"/>
            </w:pPr>
            <w:r w:rsidRPr="00854AE8">
              <w:t>36</w:t>
            </w:r>
          </w:p>
        </w:tc>
        <w:tc>
          <w:tcPr>
            <w:tcW w:w="975" w:type="dxa"/>
          </w:tcPr>
          <w:p w14:paraId="342D1C71" w14:textId="77777777" w:rsidR="00854AE8" w:rsidRPr="00854AE8" w:rsidRDefault="00854AE8">
            <w:pPr>
              <w:keepNext/>
              <w:cnfStyle w:val="000000000000" w:firstRow="0" w:lastRow="0" w:firstColumn="0" w:lastColumn="0" w:oddVBand="0" w:evenVBand="0" w:oddHBand="0" w:evenHBand="0" w:firstRowFirstColumn="0" w:firstRowLastColumn="0" w:lastRowFirstColumn="0" w:lastRowLastColumn="0"/>
            </w:pPr>
            <w:r w:rsidRPr="00854AE8">
              <w:t xml:space="preserve">70 </w:t>
            </w:r>
          </w:p>
        </w:tc>
        <w:tc>
          <w:tcPr>
            <w:tcW w:w="868" w:type="dxa"/>
          </w:tcPr>
          <w:p w14:paraId="41A8E48E" w14:textId="77777777" w:rsidR="00854AE8" w:rsidRPr="00427C57" w:rsidRDefault="00854AE8">
            <w:pPr>
              <w:keepNext/>
              <w:cnfStyle w:val="000000000000" w:firstRow="0" w:lastRow="0" w:firstColumn="0" w:lastColumn="0" w:oddVBand="0" w:evenVBand="0" w:oddHBand="0" w:evenHBand="0" w:firstRowFirstColumn="0" w:firstRowLastColumn="0" w:lastRowFirstColumn="0" w:lastRowLastColumn="0"/>
            </w:pPr>
            <w:r w:rsidRPr="006943DA">
              <w:t>35</w:t>
            </w:r>
          </w:p>
        </w:tc>
        <w:tc>
          <w:tcPr>
            <w:tcW w:w="1078" w:type="dxa"/>
          </w:tcPr>
          <w:p w14:paraId="0754FCB2" w14:textId="77777777" w:rsidR="00854AE8" w:rsidRPr="00427C57" w:rsidRDefault="00854AE8">
            <w:pPr>
              <w:keepNext/>
              <w:cnfStyle w:val="000000000000" w:firstRow="0" w:lastRow="0" w:firstColumn="0" w:lastColumn="0" w:oddVBand="0" w:evenVBand="0" w:oddHBand="0" w:evenHBand="0" w:firstRowFirstColumn="0" w:firstRowLastColumn="0" w:lastRowFirstColumn="0" w:lastRowLastColumn="0"/>
            </w:pPr>
            <w:r w:rsidRPr="006943DA">
              <w:t xml:space="preserve">70 </w:t>
            </w:r>
          </w:p>
        </w:tc>
        <w:tc>
          <w:tcPr>
            <w:tcW w:w="764" w:type="dxa"/>
          </w:tcPr>
          <w:p w14:paraId="626EFBB9" w14:textId="77777777" w:rsidR="00854AE8" w:rsidRPr="00427C57" w:rsidRDefault="00854AE8">
            <w:pPr>
              <w:keepNext/>
              <w:cnfStyle w:val="000000000000" w:firstRow="0" w:lastRow="0" w:firstColumn="0" w:lastColumn="0" w:oddVBand="0" w:evenVBand="0" w:oddHBand="0" w:evenHBand="0" w:firstRowFirstColumn="0" w:firstRowLastColumn="0" w:lastRowFirstColumn="0" w:lastRowLastColumn="0"/>
            </w:pPr>
            <w:r w:rsidRPr="006943DA">
              <w:t>35</w:t>
            </w:r>
          </w:p>
        </w:tc>
      </w:tr>
      <w:tr w:rsidR="00854AE8" w:rsidRPr="00427C57" w14:paraId="767E2F95" w14:textId="77777777">
        <w:tc>
          <w:tcPr>
            <w:cnfStyle w:val="001000000000" w:firstRow="0" w:lastRow="0" w:firstColumn="1" w:lastColumn="0" w:oddVBand="0" w:evenVBand="0" w:oddHBand="0" w:evenHBand="0" w:firstRowFirstColumn="0" w:firstRowLastColumn="0" w:lastRowFirstColumn="0" w:lastRowLastColumn="0"/>
            <w:tcW w:w="4074" w:type="dxa"/>
          </w:tcPr>
          <w:p w14:paraId="7F549265" w14:textId="77777777" w:rsidR="00854AE8" w:rsidRPr="00854AE8" w:rsidRDefault="00854AE8">
            <w:pPr>
              <w:ind w:left="284"/>
            </w:pPr>
            <w:r w:rsidRPr="00854AE8">
              <w:t xml:space="preserve">Internal combustion engines </w:t>
            </w:r>
          </w:p>
        </w:tc>
        <w:tc>
          <w:tcPr>
            <w:tcW w:w="1008" w:type="dxa"/>
          </w:tcPr>
          <w:p w14:paraId="6A81227A"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31 </w:t>
            </w:r>
          </w:p>
        </w:tc>
        <w:tc>
          <w:tcPr>
            <w:tcW w:w="872" w:type="dxa"/>
          </w:tcPr>
          <w:p w14:paraId="771490D6" w14:textId="77777777" w:rsidR="00854AE8" w:rsidRPr="00BF2540" w:rsidRDefault="00854AE8">
            <w:pPr>
              <w:cnfStyle w:val="000000000000" w:firstRow="0" w:lastRow="0" w:firstColumn="0" w:lastColumn="0" w:oddVBand="0" w:evenVBand="0" w:oddHBand="0" w:evenHBand="0" w:firstRowFirstColumn="0" w:firstRowLastColumn="0" w:lastRowFirstColumn="0" w:lastRowLastColumn="0"/>
            </w:pPr>
            <w:r w:rsidRPr="00BF2540">
              <w:t>15</w:t>
            </w:r>
          </w:p>
        </w:tc>
        <w:tc>
          <w:tcPr>
            <w:tcW w:w="975" w:type="dxa"/>
          </w:tcPr>
          <w:p w14:paraId="6B055EDF"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42 </w:t>
            </w:r>
          </w:p>
        </w:tc>
        <w:tc>
          <w:tcPr>
            <w:tcW w:w="868" w:type="dxa"/>
          </w:tcPr>
          <w:p w14:paraId="4815780A"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21</w:t>
            </w:r>
          </w:p>
        </w:tc>
        <w:tc>
          <w:tcPr>
            <w:tcW w:w="1078" w:type="dxa"/>
          </w:tcPr>
          <w:p w14:paraId="7AAAE82D"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49 </w:t>
            </w:r>
          </w:p>
        </w:tc>
        <w:tc>
          <w:tcPr>
            <w:tcW w:w="764" w:type="dxa"/>
          </w:tcPr>
          <w:p w14:paraId="099A10AB"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25</w:t>
            </w:r>
          </w:p>
        </w:tc>
      </w:tr>
      <w:tr w:rsidR="00854AE8" w:rsidRPr="00427C57" w14:paraId="06140E5A" w14:textId="77777777">
        <w:tc>
          <w:tcPr>
            <w:cnfStyle w:val="001000000000" w:firstRow="0" w:lastRow="0" w:firstColumn="1" w:lastColumn="0" w:oddVBand="0" w:evenVBand="0" w:oddHBand="0" w:evenHBand="0" w:firstRowFirstColumn="0" w:firstRowLastColumn="0" w:lastRowFirstColumn="0" w:lastRowLastColumn="0"/>
            <w:tcW w:w="4074" w:type="dxa"/>
          </w:tcPr>
          <w:p w14:paraId="61F4618F" w14:textId="77777777" w:rsidR="00854AE8" w:rsidRPr="00854AE8" w:rsidRDefault="00854AE8">
            <w:pPr>
              <w:ind w:left="720"/>
            </w:pPr>
            <w:r w:rsidRPr="00854AE8">
              <w:t>Petrol</w:t>
            </w:r>
          </w:p>
        </w:tc>
        <w:tc>
          <w:tcPr>
            <w:tcW w:w="1008" w:type="dxa"/>
          </w:tcPr>
          <w:p w14:paraId="774FA3A8"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6 </w:t>
            </w:r>
          </w:p>
        </w:tc>
        <w:tc>
          <w:tcPr>
            <w:tcW w:w="872" w:type="dxa"/>
          </w:tcPr>
          <w:p w14:paraId="454655C6"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   </w:t>
            </w:r>
          </w:p>
        </w:tc>
        <w:tc>
          <w:tcPr>
            <w:tcW w:w="975" w:type="dxa"/>
          </w:tcPr>
          <w:p w14:paraId="36555C94"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8 </w:t>
            </w:r>
          </w:p>
        </w:tc>
        <w:tc>
          <w:tcPr>
            <w:tcW w:w="868" w:type="dxa"/>
          </w:tcPr>
          <w:p w14:paraId="03CD76D5"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   </w:t>
            </w:r>
          </w:p>
        </w:tc>
        <w:tc>
          <w:tcPr>
            <w:tcW w:w="1078" w:type="dxa"/>
          </w:tcPr>
          <w:p w14:paraId="7C546D6B"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14 </w:t>
            </w:r>
          </w:p>
        </w:tc>
        <w:tc>
          <w:tcPr>
            <w:tcW w:w="764" w:type="dxa"/>
          </w:tcPr>
          <w:p w14:paraId="4DF689DF"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 xml:space="preserve">-   </w:t>
            </w:r>
          </w:p>
        </w:tc>
      </w:tr>
      <w:tr w:rsidR="00854AE8" w:rsidRPr="00427C57" w14:paraId="3184C266" w14:textId="77777777">
        <w:tc>
          <w:tcPr>
            <w:cnfStyle w:val="001000000000" w:firstRow="0" w:lastRow="0" w:firstColumn="1" w:lastColumn="0" w:oddVBand="0" w:evenVBand="0" w:oddHBand="0" w:evenHBand="0" w:firstRowFirstColumn="0" w:firstRowLastColumn="0" w:lastRowFirstColumn="0" w:lastRowLastColumn="0"/>
            <w:tcW w:w="4074" w:type="dxa"/>
          </w:tcPr>
          <w:p w14:paraId="4A773A1B" w14:textId="77777777" w:rsidR="00854AE8" w:rsidRPr="00854AE8" w:rsidRDefault="00854AE8">
            <w:pPr>
              <w:ind w:left="720"/>
            </w:pPr>
            <w:r w:rsidRPr="00854AE8">
              <w:t>Diesel/ Biodiesel</w:t>
            </w:r>
          </w:p>
        </w:tc>
        <w:tc>
          <w:tcPr>
            <w:tcW w:w="1008" w:type="dxa"/>
          </w:tcPr>
          <w:p w14:paraId="5AFD0C7A"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25 </w:t>
            </w:r>
          </w:p>
        </w:tc>
        <w:tc>
          <w:tcPr>
            <w:tcW w:w="872" w:type="dxa"/>
          </w:tcPr>
          <w:p w14:paraId="38D48906"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   </w:t>
            </w:r>
          </w:p>
        </w:tc>
        <w:tc>
          <w:tcPr>
            <w:tcW w:w="975" w:type="dxa"/>
          </w:tcPr>
          <w:p w14:paraId="4C9989D0"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35 </w:t>
            </w:r>
          </w:p>
        </w:tc>
        <w:tc>
          <w:tcPr>
            <w:tcW w:w="868" w:type="dxa"/>
          </w:tcPr>
          <w:p w14:paraId="3948DA36"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   </w:t>
            </w:r>
          </w:p>
        </w:tc>
        <w:tc>
          <w:tcPr>
            <w:tcW w:w="1078" w:type="dxa"/>
          </w:tcPr>
          <w:p w14:paraId="3AE827CD"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35 </w:t>
            </w:r>
          </w:p>
        </w:tc>
        <w:tc>
          <w:tcPr>
            <w:tcW w:w="764" w:type="dxa"/>
          </w:tcPr>
          <w:p w14:paraId="774BC9AC"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943DA">
              <w:t xml:space="preserve">-   </w:t>
            </w:r>
          </w:p>
        </w:tc>
      </w:tr>
      <w:tr w:rsidR="00854AE8" w:rsidRPr="00427C57" w14:paraId="3CABBC1B" w14:textId="77777777">
        <w:tc>
          <w:tcPr>
            <w:cnfStyle w:val="001000000000" w:firstRow="0" w:lastRow="0" w:firstColumn="1" w:lastColumn="0" w:oddVBand="0" w:evenVBand="0" w:oddHBand="0" w:evenHBand="0" w:firstRowFirstColumn="0" w:firstRowLastColumn="0" w:lastRowFirstColumn="0" w:lastRowLastColumn="0"/>
            <w:tcW w:w="4074" w:type="dxa"/>
          </w:tcPr>
          <w:p w14:paraId="4D2280B8" w14:textId="77777777" w:rsidR="00854AE8" w:rsidRPr="00854AE8" w:rsidRDefault="00854AE8">
            <w:pPr>
              <w:ind w:left="284"/>
            </w:pPr>
            <w:r w:rsidRPr="00854AE8">
              <w:t xml:space="preserve">Hybrid </w:t>
            </w:r>
          </w:p>
        </w:tc>
        <w:tc>
          <w:tcPr>
            <w:tcW w:w="1008" w:type="dxa"/>
          </w:tcPr>
          <w:p w14:paraId="3FB0FF7D" w14:textId="77777777" w:rsidR="00854AE8" w:rsidRPr="00854AE8" w:rsidRDefault="00854AE8">
            <w:pPr>
              <w:keepNext/>
              <w:cnfStyle w:val="000000000000" w:firstRow="0" w:lastRow="0" w:firstColumn="0" w:lastColumn="0" w:oddVBand="0" w:evenVBand="0" w:oddHBand="0" w:evenHBand="0" w:firstRowFirstColumn="0" w:firstRowLastColumn="0" w:lastRowFirstColumn="0" w:lastRowLastColumn="0"/>
            </w:pPr>
            <w:r w:rsidRPr="00854AE8">
              <w:t xml:space="preserve">25 </w:t>
            </w:r>
          </w:p>
        </w:tc>
        <w:tc>
          <w:tcPr>
            <w:tcW w:w="872" w:type="dxa"/>
          </w:tcPr>
          <w:p w14:paraId="044646CA" w14:textId="77777777" w:rsidR="00854AE8" w:rsidRPr="00854AE8" w:rsidRDefault="00854AE8">
            <w:pPr>
              <w:keepNext/>
              <w:cnfStyle w:val="000000000000" w:firstRow="0" w:lastRow="0" w:firstColumn="0" w:lastColumn="0" w:oddVBand="0" w:evenVBand="0" w:oddHBand="0" w:evenHBand="0" w:firstRowFirstColumn="0" w:firstRowLastColumn="0" w:lastRowFirstColumn="0" w:lastRowLastColumn="0"/>
            </w:pPr>
            <w:r w:rsidRPr="00854AE8">
              <w:t>12</w:t>
            </w:r>
          </w:p>
        </w:tc>
        <w:tc>
          <w:tcPr>
            <w:tcW w:w="975" w:type="dxa"/>
          </w:tcPr>
          <w:p w14:paraId="171667D6" w14:textId="77777777" w:rsidR="00854AE8" w:rsidRPr="00DE622A" w:rsidRDefault="00854AE8">
            <w:pPr>
              <w:keepNext/>
              <w:cnfStyle w:val="000000000000" w:firstRow="0" w:lastRow="0" w:firstColumn="0" w:lastColumn="0" w:oddVBand="0" w:evenVBand="0" w:oddHBand="0" w:evenHBand="0" w:firstRowFirstColumn="0" w:firstRowLastColumn="0" w:lastRowFirstColumn="0" w:lastRowLastColumn="0"/>
            </w:pPr>
            <w:r w:rsidRPr="00DE622A">
              <w:t xml:space="preserve">21 </w:t>
            </w:r>
          </w:p>
        </w:tc>
        <w:tc>
          <w:tcPr>
            <w:tcW w:w="868" w:type="dxa"/>
          </w:tcPr>
          <w:p w14:paraId="519A35E9" w14:textId="77777777" w:rsidR="00854AE8" w:rsidRPr="00DE622A" w:rsidRDefault="00854AE8">
            <w:pPr>
              <w:keepNext/>
              <w:cnfStyle w:val="000000000000" w:firstRow="0" w:lastRow="0" w:firstColumn="0" w:lastColumn="0" w:oddVBand="0" w:evenVBand="0" w:oddHBand="0" w:evenHBand="0" w:firstRowFirstColumn="0" w:firstRowLastColumn="0" w:lastRowFirstColumn="0" w:lastRowLastColumn="0"/>
            </w:pPr>
            <w:r w:rsidRPr="00DE622A">
              <w:t>11</w:t>
            </w:r>
          </w:p>
        </w:tc>
        <w:tc>
          <w:tcPr>
            <w:tcW w:w="1078" w:type="dxa"/>
          </w:tcPr>
          <w:p w14:paraId="24131C30" w14:textId="77777777" w:rsidR="00854AE8" w:rsidRPr="00DE622A" w:rsidRDefault="00854AE8">
            <w:pPr>
              <w:keepNext/>
              <w:cnfStyle w:val="000000000000" w:firstRow="0" w:lastRow="0" w:firstColumn="0" w:lastColumn="0" w:oddVBand="0" w:evenVBand="0" w:oddHBand="0" w:evenHBand="0" w:firstRowFirstColumn="0" w:firstRowLastColumn="0" w:lastRowFirstColumn="0" w:lastRowLastColumn="0"/>
            </w:pPr>
            <w:r w:rsidRPr="00DE622A">
              <w:t xml:space="preserve">21 </w:t>
            </w:r>
          </w:p>
        </w:tc>
        <w:tc>
          <w:tcPr>
            <w:tcW w:w="764" w:type="dxa"/>
          </w:tcPr>
          <w:p w14:paraId="0C2D3089" w14:textId="77777777" w:rsidR="00854AE8" w:rsidRPr="00427C57" w:rsidRDefault="00854AE8">
            <w:pPr>
              <w:keepNext/>
              <w:cnfStyle w:val="000000000000" w:firstRow="0" w:lastRow="0" w:firstColumn="0" w:lastColumn="0" w:oddVBand="0" w:evenVBand="0" w:oddHBand="0" w:evenHBand="0" w:firstRowFirstColumn="0" w:firstRowLastColumn="0" w:lastRowFirstColumn="0" w:lastRowLastColumn="0"/>
            </w:pPr>
            <w:r w:rsidRPr="00427C57">
              <w:t>11</w:t>
            </w:r>
          </w:p>
        </w:tc>
      </w:tr>
      <w:tr w:rsidR="00854AE8" w:rsidRPr="00427C57" w14:paraId="70520198" w14:textId="77777777">
        <w:tc>
          <w:tcPr>
            <w:cnfStyle w:val="001000000000" w:firstRow="0" w:lastRow="0" w:firstColumn="1" w:lastColumn="0" w:oddVBand="0" w:evenVBand="0" w:oddHBand="0" w:evenHBand="0" w:firstRowFirstColumn="0" w:firstRowLastColumn="0" w:lastRowFirstColumn="0" w:lastRowLastColumn="0"/>
            <w:tcW w:w="4074" w:type="dxa"/>
          </w:tcPr>
          <w:p w14:paraId="235C2476" w14:textId="77777777" w:rsidR="00854AE8" w:rsidRPr="00854AE8" w:rsidRDefault="00854AE8">
            <w:pPr>
              <w:ind w:left="720"/>
            </w:pPr>
            <w:r w:rsidRPr="00854AE8">
              <w:t xml:space="preserve">Plug-in Hybrid Electric Vehicle (PHEV) </w:t>
            </w:r>
          </w:p>
        </w:tc>
        <w:tc>
          <w:tcPr>
            <w:tcW w:w="1008" w:type="dxa"/>
          </w:tcPr>
          <w:p w14:paraId="20EF95BD"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15 </w:t>
            </w:r>
          </w:p>
        </w:tc>
        <w:tc>
          <w:tcPr>
            <w:tcW w:w="872" w:type="dxa"/>
          </w:tcPr>
          <w:p w14:paraId="22504975"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   </w:t>
            </w:r>
          </w:p>
        </w:tc>
        <w:tc>
          <w:tcPr>
            <w:tcW w:w="975" w:type="dxa"/>
          </w:tcPr>
          <w:p w14:paraId="7D1EC027"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13 </w:t>
            </w:r>
          </w:p>
        </w:tc>
        <w:tc>
          <w:tcPr>
            <w:tcW w:w="868" w:type="dxa"/>
          </w:tcPr>
          <w:p w14:paraId="1FBE9048"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   </w:t>
            </w:r>
          </w:p>
        </w:tc>
        <w:tc>
          <w:tcPr>
            <w:tcW w:w="1078" w:type="dxa"/>
          </w:tcPr>
          <w:p w14:paraId="6CB1D439"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13 </w:t>
            </w:r>
          </w:p>
        </w:tc>
        <w:tc>
          <w:tcPr>
            <w:tcW w:w="764" w:type="dxa"/>
          </w:tcPr>
          <w:p w14:paraId="7D278624"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   </w:t>
            </w:r>
          </w:p>
        </w:tc>
      </w:tr>
      <w:tr w:rsidR="00854AE8" w:rsidRPr="00427C57" w14:paraId="0E763980" w14:textId="77777777">
        <w:tc>
          <w:tcPr>
            <w:cnfStyle w:val="001000000000" w:firstRow="0" w:lastRow="0" w:firstColumn="1" w:lastColumn="0" w:oddVBand="0" w:evenVBand="0" w:oddHBand="0" w:evenHBand="0" w:firstRowFirstColumn="0" w:firstRowLastColumn="0" w:lastRowFirstColumn="0" w:lastRowLastColumn="0"/>
            <w:tcW w:w="4074" w:type="dxa"/>
          </w:tcPr>
          <w:p w14:paraId="1514216D" w14:textId="77777777" w:rsidR="00854AE8" w:rsidRPr="00854AE8" w:rsidRDefault="00854AE8">
            <w:pPr>
              <w:ind w:left="720"/>
            </w:pPr>
            <w:r w:rsidRPr="00854AE8">
              <w:t xml:space="preserve">Range-extended electric vehicle </w:t>
            </w:r>
          </w:p>
        </w:tc>
        <w:tc>
          <w:tcPr>
            <w:tcW w:w="1008" w:type="dxa"/>
          </w:tcPr>
          <w:p w14:paraId="40531A28"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10 </w:t>
            </w:r>
          </w:p>
        </w:tc>
        <w:tc>
          <w:tcPr>
            <w:tcW w:w="872" w:type="dxa"/>
          </w:tcPr>
          <w:p w14:paraId="4F1F35EA"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 xml:space="preserve">-   </w:t>
            </w:r>
          </w:p>
        </w:tc>
        <w:tc>
          <w:tcPr>
            <w:tcW w:w="975" w:type="dxa"/>
          </w:tcPr>
          <w:p w14:paraId="7B64337C"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8 </w:t>
            </w:r>
          </w:p>
        </w:tc>
        <w:tc>
          <w:tcPr>
            <w:tcW w:w="868" w:type="dxa"/>
          </w:tcPr>
          <w:p w14:paraId="4E182850"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   </w:t>
            </w:r>
          </w:p>
        </w:tc>
        <w:tc>
          <w:tcPr>
            <w:tcW w:w="1078" w:type="dxa"/>
          </w:tcPr>
          <w:p w14:paraId="0FCF601B"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 xml:space="preserve">8 </w:t>
            </w:r>
          </w:p>
        </w:tc>
        <w:tc>
          <w:tcPr>
            <w:tcW w:w="764" w:type="dxa"/>
          </w:tcPr>
          <w:p w14:paraId="21A69386"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   </w:t>
            </w:r>
          </w:p>
        </w:tc>
      </w:tr>
      <w:tr w:rsidR="00854AE8" w:rsidRPr="00427C57" w14:paraId="20705CE3" w14:textId="77777777">
        <w:tc>
          <w:tcPr>
            <w:cnfStyle w:val="001000000000" w:firstRow="0" w:lastRow="0" w:firstColumn="1" w:lastColumn="0" w:oddVBand="0" w:evenVBand="0" w:oddHBand="0" w:evenHBand="0" w:firstRowFirstColumn="0" w:firstRowLastColumn="0" w:lastRowFirstColumn="0" w:lastRowLastColumn="0"/>
            <w:tcW w:w="4074" w:type="dxa"/>
          </w:tcPr>
          <w:p w14:paraId="6888915B" w14:textId="77777777" w:rsidR="00854AE8" w:rsidRPr="00854AE8" w:rsidRDefault="00854AE8">
            <w:pPr>
              <w:ind w:left="284"/>
            </w:pPr>
            <w:r w:rsidRPr="00854AE8">
              <w:t>Electric propulsion</w:t>
            </w:r>
          </w:p>
        </w:tc>
        <w:tc>
          <w:tcPr>
            <w:tcW w:w="1008" w:type="dxa"/>
          </w:tcPr>
          <w:p w14:paraId="5A3D3031"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18</w:t>
            </w:r>
          </w:p>
        </w:tc>
        <w:tc>
          <w:tcPr>
            <w:tcW w:w="872" w:type="dxa"/>
          </w:tcPr>
          <w:p w14:paraId="786EA35C"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9</w:t>
            </w:r>
          </w:p>
        </w:tc>
        <w:tc>
          <w:tcPr>
            <w:tcW w:w="975" w:type="dxa"/>
          </w:tcPr>
          <w:p w14:paraId="477DFF46"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6</w:t>
            </w:r>
          </w:p>
        </w:tc>
        <w:tc>
          <w:tcPr>
            <w:tcW w:w="868" w:type="dxa"/>
          </w:tcPr>
          <w:p w14:paraId="47B70E33"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3</w:t>
            </w:r>
          </w:p>
        </w:tc>
        <w:tc>
          <w:tcPr>
            <w:tcW w:w="1078" w:type="dxa"/>
          </w:tcPr>
          <w:p w14:paraId="54A89856"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w:t>
            </w:r>
          </w:p>
        </w:tc>
        <w:tc>
          <w:tcPr>
            <w:tcW w:w="764" w:type="dxa"/>
          </w:tcPr>
          <w:p w14:paraId="62E904F7" w14:textId="77777777" w:rsidR="00854AE8" w:rsidRPr="00634FF3" w:rsidRDefault="00854AE8">
            <w:pPr>
              <w:cnfStyle w:val="000000000000" w:firstRow="0" w:lastRow="0" w:firstColumn="0" w:lastColumn="0" w:oddVBand="0" w:evenVBand="0" w:oddHBand="0" w:evenHBand="0" w:firstRowFirstColumn="0" w:firstRowLastColumn="0" w:lastRowFirstColumn="0" w:lastRowLastColumn="0"/>
            </w:pPr>
            <w:r>
              <w:t>-</w:t>
            </w:r>
          </w:p>
        </w:tc>
      </w:tr>
      <w:tr w:rsidR="00854AE8" w:rsidRPr="00427C57" w14:paraId="08AFA417" w14:textId="77777777">
        <w:tc>
          <w:tcPr>
            <w:cnfStyle w:val="001000000000" w:firstRow="0" w:lastRow="0" w:firstColumn="1" w:lastColumn="0" w:oddVBand="0" w:evenVBand="0" w:oddHBand="0" w:evenHBand="0" w:firstRowFirstColumn="0" w:firstRowLastColumn="0" w:lastRowFirstColumn="0" w:lastRowLastColumn="0"/>
            <w:tcW w:w="4074" w:type="dxa"/>
          </w:tcPr>
          <w:p w14:paraId="11A82C30" w14:textId="77777777" w:rsidR="00854AE8" w:rsidRPr="00854AE8" w:rsidRDefault="00854AE8">
            <w:pPr>
              <w:ind w:left="720"/>
            </w:pPr>
            <w:r w:rsidRPr="00854AE8">
              <w:t>Battery Electric Vehicle (BEV)</w:t>
            </w:r>
          </w:p>
        </w:tc>
        <w:tc>
          <w:tcPr>
            <w:tcW w:w="1008" w:type="dxa"/>
          </w:tcPr>
          <w:p w14:paraId="7BB3D7FE"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18</w:t>
            </w:r>
          </w:p>
        </w:tc>
        <w:tc>
          <w:tcPr>
            <w:tcW w:w="872" w:type="dxa"/>
          </w:tcPr>
          <w:p w14:paraId="3D723212" w14:textId="77777777" w:rsidR="00854AE8" w:rsidRPr="00854AE8" w:rsidRDefault="00854AE8">
            <w:pPr>
              <w:cnfStyle w:val="000000000000" w:firstRow="0" w:lastRow="0" w:firstColumn="0" w:lastColumn="0" w:oddVBand="0" w:evenVBand="0" w:oddHBand="0" w:evenHBand="0" w:firstRowFirstColumn="0" w:firstRowLastColumn="0" w:lastRowFirstColumn="0" w:lastRowLastColumn="0"/>
            </w:pPr>
            <w:r w:rsidRPr="00854AE8">
              <w:t>-</w:t>
            </w:r>
          </w:p>
        </w:tc>
        <w:tc>
          <w:tcPr>
            <w:tcW w:w="975" w:type="dxa"/>
          </w:tcPr>
          <w:p w14:paraId="60F7ADAF" w14:textId="2CC78908" w:rsidR="00854AE8" w:rsidRPr="00DE622A" w:rsidRDefault="00DE622A">
            <w:pPr>
              <w:cnfStyle w:val="000000000000" w:firstRow="0" w:lastRow="0" w:firstColumn="0" w:lastColumn="0" w:oddVBand="0" w:evenVBand="0" w:oddHBand="0" w:evenHBand="0" w:firstRowFirstColumn="0" w:firstRowLastColumn="0" w:lastRowFirstColumn="0" w:lastRowLastColumn="0"/>
            </w:pPr>
            <w:r w:rsidRPr="004B2A2D">
              <w:t>6</w:t>
            </w:r>
          </w:p>
        </w:tc>
        <w:tc>
          <w:tcPr>
            <w:tcW w:w="868" w:type="dxa"/>
          </w:tcPr>
          <w:p w14:paraId="18CF07EA"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w:t>
            </w:r>
          </w:p>
        </w:tc>
        <w:tc>
          <w:tcPr>
            <w:tcW w:w="1078" w:type="dxa"/>
          </w:tcPr>
          <w:p w14:paraId="596F60B7" w14:textId="77777777" w:rsidR="00854AE8" w:rsidRPr="00DE622A" w:rsidRDefault="00854AE8">
            <w:pPr>
              <w:cnfStyle w:val="000000000000" w:firstRow="0" w:lastRow="0" w:firstColumn="0" w:lastColumn="0" w:oddVBand="0" w:evenVBand="0" w:oddHBand="0" w:evenHBand="0" w:firstRowFirstColumn="0" w:firstRowLastColumn="0" w:lastRowFirstColumn="0" w:lastRowLastColumn="0"/>
            </w:pPr>
            <w:r w:rsidRPr="00DE622A">
              <w:t>-</w:t>
            </w:r>
          </w:p>
        </w:tc>
        <w:tc>
          <w:tcPr>
            <w:tcW w:w="764" w:type="dxa"/>
          </w:tcPr>
          <w:p w14:paraId="20DE3BFA" w14:textId="77777777" w:rsidR="00854AE8" w:rsidRPr="00634FF3" w:rsidRDefault="00854AE8">
            <w:pPr>
              <w:cnfStyle w:val="000000000000" w:firstRow="0" w:lastRow="0" w:firstColumn="0" w:lastColumn="0" w:oddVBand="0" w:evenVBand="0" w:oddHBand="0" w:evenHBand="0" w:firstRowFirstColumn="0" w:firstRowLastColumn="0" w:lastRowFirstColumn="0" w:lastRowLastColumn="0"/>
            </w:pPr>
            <w:r>
              <w:t>-</w:t>
            </w:r>
          </w:p>
        </w:tc>
      </w:tr>
      <w:tr w:rsidR="00854AE8" w:rsidRPr="00427C57" w14:paraId="44CBE050" w14:textId="77777777">
        <w:tc>
          <w:tcPr>
            <w:cnfStyle w:val="001000000000" w:firstRow="0" w:lastRow="0" w:firstColumn="1" w:lastColumn="0" w:oddVBand="0" w:evenVBand="0" w:oddHBand="0" w:evenHBand="0" w:firstRowFirstColumn="0" w:firstRowLastColumn="0" w:lastRowFirstColumn="0" w:lastRowLastColumn="0"/>
            <w:tcW w:w="4074" w:type="dxa"/>
          </w:tcPr>
          <w:p w14:paraId="5536B7A8" w14:textId="77777777" w:rsidR="00854AE8" w:rsidRPr="00854AE8" w:rsidRDefault="00854AE8">
            <w:pPr>
              <w:keepNext/>
            </w:pPr>
            <w:r w:rsidRPr="00854AE8">
              <w:t xml:space="preserve">Goods Vehicles </w:t>
            </w:r>
            <w:r w:rsidRPr="00854AE8">
              <w:rPr>
                <w:vertAlign w:val="superscript"/>
              </w:rPr>
              <w:t>(b)</w:t>
            </w:r>
          </w:p>
        </w:tc>
        <w:tc>
          <w:tcPr>
            <w:tcW w:w="1008" w:type="dxa"/>
          </w:tcPr>
          <w:p w14:paraId="2F3095CD" w14:textId="77777777" w:rsidR="00854AE8" w:rsidRPr="00854AE8" w:rsidRDefault="00854AE8">
            <w:pPr>
              <w:keepNext/>
              <w:cnfStyle w:val="000000000000" w:firstRow="0" w:lastRow="0" w:firstColumn="0" w:lastColumn="0" w:oddVBand="0" w:evenVBand="0" w:oddHBand="0" w:evenHBand="0" w:firstRowFirstColumn="0" w:firstRowLastColumn="0" w:lastRowFirstColumn="0" w:lastRowLastColumn="0"/>
            </w:pPr>
            <w:r w:rsidRPr="00854AE8">
              <w:t xml:space="preserve">131 </w:t>
            </w:r>
          </w:p>
        </w:tc>
        <w:tc>
          <w:tcPr>
            <w:tcW w:w="872" w:type="dxa"/>
          </w:tcPr>
          <w:p w14:paraId="75EFB748" w14:textId="77777777" w:rsidR="00854AE8" w:rsidRPr="00854AE8" w:rsidRDefault="00854AE8">
            <w:pPr>
              <w:keepNext/>
              <w:cnfStyle w:val="000000000000" w:firstRow="0" w:lastRow="0" w:firstColumn="0" w:lastColumn="0" w:oddVBand="0" w:evenVBand="0" w:oddHBand="0" w:evenHBand="0" w:firstRowFirstColumn="0" w:firstRowLastColumn="0" w:lastRowFirstColumn="0" w:lastRowLastColumn="0"/>
            </w:pPr>
            <w:r w:rsidRPr="00854AE8">
              <w:t>64</w:t>
            </w:r>
          </w:p>
        </w:tc>
        <w:tc>
          <w:tcPr>
            <w:tcW w:w="975" w:type="dxa"/>
          </w:tcPr>
          <w:p w14:paraId="08572EE2" w14:textId="77777777" w:rsidR="00854AE8" w:rsidRPr="00854AE8" w:rsidRDefault="00854AE8">
            <w:pPr>
              <w:keepNext/>
              <w:cnfStyle w:val="000000000000" w:firstRow="0" w:lastRow="0" w:firstColumn="0" w:lastColumn="0" w:oddVBand="0" w:evenVBand="0" w:oddHBand="0" w:evenHBand="0" w:firstRowFirstColumn="0" w:firstRowLastColumn="0" w:lastRowFirstColumn="0" w:lastRowLastColumn="0"/>
            </w:pPr>
            <w:r w:rsidRPr="00854AE8">
              <w:t xml:space="preserve">130 </w:t>
            </w:r>
          </w:p>
        </w:tc>
        <w:tc>
          <w:tcPr>
            <w:tcW w:w="868" w:type="dxa"/>
          </w:tcPr>
          <w:p w14:paraId="13AE52F8" w14:textId="77777777" w:rsidR="00854AE8" w:rsidRPr="00427C57" w:rsidRDefault="00854AE8">
            <w:pPr>
              <w:keepNext/>
              <w:cnfStyle w:val="000000000000" w:firstRow="0" w:lastRow="0" w:firstColumn="0" w:lastColumn="0" w:oddVBand="0" w:evenVBand="0" w:oddHBand="0" w:evenHBand="0" w:firstRowFirstColumn="0" w:firstRowLastColumn="0" w:lastRowFirstColumn="0" w:lastRowLastColumn="0"/>
            </w:pPr>
            <w:r w:rsidRPr="00634FF3">
              <w:t>65</w:t>
            </w:r>
          </w:p>
        </w:tc>
        <w:tc>
          <w:tcPr>
            <w:tcW w:w="1078" w:type="dxa"/>
          </w:tcPr>
          <w:p w14:paraId="21B1B6C8" w14:textId="77777777" w:rsidR="00854AE8" w:rsidRPr="00427C57" w:rsidRDefault="00854AE8">
            <w:pPr>
              <w:keepNext/>
              <w:cnfStyle w:val="000000000000" w:firstRow="0" w:lastRow="0" w:firstColumn="0" w:lastColumn="0" w:oddVBand="0" w:evenVBand="0" w:oddHBand="0" w:evenHBand="0" w:firstRowFirstColumn="0" w:firstRowLastColumn="0" w:lastRowFirstColumn="0" w:lastRowLastColumn="0"/>
            </w:pPr>
            <w:r w:rsidRPr="00634FF3">
              <w:t xml:space="preserve">130 </w:t>
            </w:r>
          </w:p>
        </w:tc>
        <w:tc>
          <w:tcPr>
            <w:tcW w:w="764" w:type="dxa"/>
          </w:tcPr>
          <w:p w14:paraId="39BDE375" w14:textId="77777777" w:rsidR="00854AE8" w:rsidRPr="00427C57" w:rsidRDefault="00854AE8">
            <w:pPr>
              <w:keepNext/>
              <w:cnfStyle w:val="000000000000" w:firstRow="0" w:lastRow="0" w:firstColumn="0" w:lastColumn="0" w:oddVBand="0" w:evenVBand="0" w:oddHBand="0" w:evenHBand="0" w:firstRowFirstColumn="0" w:firstRowLastColumn="0" w:lastRowFirstColumn="0" w:lastRowLastColumn="0"/>
            </w:pPr>
            <w:r w:rsidRPr="00634FF3">
              <w:t>65</w:t>
            </w:r>
          </w:p>
        </w:tc>
      </w:tr>
      <w:tr w:rsidR="00854AE8" w:rsidRPr="00427C57" w14:paraId="42F82FF7" w14:textId="77777777">
        <w:tc>
          <w:tcPr>
            <w:cnfStyle w:val="001000000000" w:firstRow="0" w:lastRow="0" w:firstColumn="1" w:lastColumn="0" w:oddVBand="0" w:evenVBand="0" w:oddHBand="0" w:evenHBand="0" w:firstRowFirstColumn="0" w:firstRowLastColumn="0" w:lastRowFirstColumn="0" w:lastRowLastColumn="0"/>
            <w:tcW w:w="4074" w:type="dxa"/>
          </w:tcPr>
          <w:p w14:paraId="5C692A9D" w14:textId="77777777" w:rsidR="00854AE8" w:rsidRPr="00427C57" w:rsidRDefault="00854AE8">
            <w:pPr>
              <w:ind w:left="284"/>
            </w:pPr>
            <w:r w:rsidRPr="00427C57">
              <w:t>Internal combustion engines</w:t>
            </w:r>
          </w:p>
        </w:tc>
        <w:tc>
          <w:tcPr>
            <w:tcW w:w="1008" w:type="dxa"/>
          </w:tcPr>
          <w:p w14:paraId="4994A2CD"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91 </w:t>
            </w:r>
          </w:p>
        </w:tc>
        <w:tc>
          <w:tcPr>
            <w:tcW w:w="872" w:type="dxa"/>
          </w:tcPr>
          <w:p w14:paraId="66365D2D"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44</w:t>
            </w:r>
          </w:p>
        </w:tc>
        <w:tc>
          <w:tcPr>
            <w:tcW w:w="975" w:type="dxa"/>
          </w:tcPr>
          <w:p w14:paraId="4EA164DC"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91 </w:t>
            </w:r>
          </w:p>
        </w:tc>
        <w:tc>
          <w:tcPr>
            <w:tcW w:w="868" w:type="dxa"/>
          </w:tcPr>
          <w:p w14:paraId="20A719C6"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46</w:t>
            </w:r>
          </w:p>
        </w:tc>
        <w:tc>
          <w:tcPr>
            <w:tcW w:w="1078" w:type="dxa"/>
          </w:tcPr>
          <w:p w14:paraId="45949034"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91 </w:t>
            </w:r>
          </w:p>
        </w:tc>
        <w:tc>
          <w:tcPr>
            <w:tcW w:w="764" w:type="dxa"/>
          </w:tcPr>
          <w:p w14:paraId="6F6CFB78"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46</w:t>
            </w:r>
          </w:p>
        </w:tc>
      </w:tr>
      <w:tr w:rsidR="00854AE8" w:rsidRPr="00427C57" w14:paraId="162FD5C7" w14:textId="77777777">
        <w:tc>
          <w:tcPr>
            <w:cnfStyle w:val="001000000000" w:firstRow="0" w:lastRow="0" w:firstColumn="1" w:lastColumn="0" w:oddVBand="0" w:evenVBand="0" w:oddHBand="0" w:evenHBand="0" w:firstRowFirstColumn="0" w:firstRowLastColumn="0" w:lastRowFirstColumn="0" w:lastRowLastColumn="0"/>
            <w:tcW w:w="4074" w:type="dxa"/>
          </w:tcPr>
          <w:p w14:paraId="4654FCDC" w14:textId="77777777" w:rsidR="00854AE8" w:rsidRPr="00427C57" w:rsidRDefault="00854AE8">
            <w:pPr>
              <w:ind w:left="720"/>
            </w:pPr>
            <w:r w:rsidRPr="00427C57">
              <w:t>Petrol</w:t>
            </w:r>
          </w:p>
        </w:tc>
        <w:tc>
          <w:tcPr>
            <w:tcW w:w="1008" w:type="dxa"/>
          </w:tcPr>
          <w:p w14:paraId="45754D80"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26 </w:t>
            </w:r>
          </w:p>
        </w:tc>
        <w:tc>
          <w:tcPr>
            <w:tcW w:w="872" w:type="dxa"/>
          </w:tcPr>
          <w:p w14:paraId="402B0F93"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   </w:t>
            </w:r>
          </w:p>
        </w:tc>
        <w:tc>
          <w:tcPr>
            <w:tcW w:w="975" w:type="dxa"/>
          </w:tcPr>
          <w:p w14:paraId="4F015FB4"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26 </w:t>
            </w:r>
          </w:p>
        </w:tc>
        <w:tc>
          <w:tcPr>
            <w:tcW w:w="868" w:type="dxa"/>
          </w:tcPr>
          <w:p w14:paraId="02C16C6A"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   </w:t>
            </w:r>
          </w:p>
        </w:tc>
        <w:tc>
          <w:tcPr>
            <w:tcW w:w="1078" w:type="dxa"/>
          </w:tcPr>
          <w:p w14:paraId="5168C0D3"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26 </w:t>
            </w:r>
          </w:p>
        </w:tc>
        <w:tc>
          <w:tcPr>
            <w:tcW w:w="764" w:type="dxa"/>
          </w:tcPr>
          <w:p w14:paraId="3ABA3FD6"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   </w:t>
            </w:r>
          </w:p>
        </w:tc>
      </w:tr>
      <w:tr w:rsidR="00854AE8" w:rsidRPr="00427C57" w14:paraId="380C94B9" w14:textId="77777777">
        <w:tc>
          <w:tcPr>
            <w:cnfStyle w:val="001000000000" w:firstRow="0" w:lastRow="0" w:firstColumn="1" w:lastColumn="0" w:oddVBand="0" w:evenVBand="0" w:oddHBand="0" w:evenHBand="0" w:firstRowFirstColumn="0" w:firstRowLastColumn="0" w:lastRowFirstColumn="0" w:lastRowLastColumn="0"/>
            <w:tcW w:w="4074" w:type="dxa"/>
          </w:tcPr>
          <w:p w14:paraId="4428EF63" w14:textId="77777777" w:rsidR="00854AE8" w:rsidRPr="00427C57" w:rsidRDefault="00854AE8">
            <w:pPr>
              <w:ind w:left="720"/>
            </w:pPr>
            <w:r w:rsidRPr="00427C57">
              <w:t>Diesel/ Biodiesel</w:t>
            </w:r>
          </w:p>
        </w:tc>
        <w:tc>
          <w:tcPr>
            <w:tcW w:w="1008" w:type="dxa"/>
          </w:tcPr>
          <w:p w14:paraId="7174765D"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65 </w:t>
            </w:r>
          </w:p>
        </w:tc>
        <w:tc>
          <w:tcPr>
            <w:tcW w:w="872" w:type="dxa"/>
          </w:tcPr>
          <w:p w14:paraId="1BEDBFFA"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   </w:t>
            </w:r>
          </w:p>
        </w:tc>
        <w:tc>
          <w:tcPr>
            <w:tcW w:w="975" w:type="dxa"/>
          </w:tcPr>
          <w:p w14:paraId="0AEAACC5"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65 </w:t>
            </w:r>
          </w:p>
        </w:tc>
        <w:tc>
          <w:tcPr>
            <w:tcW w:w="868" w:type="dxa"/>
          </w:tcPr>
          <w:p w14:paraId="67F2B7F6"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   </w:t>
            </w:r>
          </w:p>
        </w:tc>
        <w:tc>
          <w:tcPr>
            <w:tcW w:w="1078" w:type="dxa"/>
          </w:tcPr>
          <w:p w14:paraId="6588539F"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65 </w:t>
            </w:r>
          </w:p>
        </w:tc>
        <w:tc>
          <w:tcPr>
            <w:tcW w:w="764" w:type="dxa"/>
          </w:tcPr>
          <w:p w14:paraId="39FCF33F"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634FF3">
              <w:t xml:space="preserve">-   </w:t>
            </w:r>
          </w:p>
        </w:tc>
      </w:tr>
      <w:tr w:rsidR="00854AE8" w:rsidRPr="00427C57" w14:paraId="23A21619" w14:textId="77777777">
        <w:tc>
          <w:tcPr>
            <w:cnfStyle w:val="001000000000" w:firstRow="0" w:lastRow="0" w:firstColumn="1" w:lastColumn="0" w:oddVBand="0" w:evenVBand="0" w:oddHBand="0" w:evenHBand="0" w:firstRowFirstColumn="0" w:firstRowLastColumn="0" w:lastRowFirstColumn="0" w:lastRowLastColumn="0"/>
            <w:tcW w:w="4074" w:type="dxa"/>
          </w:tcPr>
          <w:p w14:paraId="55B25911" w14:textId="77777777" w:rsidR="00854AE8" w:rsidRPr="00427C57" w:rsidRDefault="00854AE8">
            <w:pPr>
              <w:ind w:left="284"/>
            </w:pPr>
            <w:r w:rsidRPr="00427C57">
              <w:t xml:space="preserve">Hybrid </w:t>
            </w:r>
          </w:p>
        </w:tc>
        <w:tc>
          <w:tcPr>
            <w:tcW w:w="1008" w:type="dxa"/>
          </w:tcPr>
          <w:p w14:paraId="360FD58A"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427C57">
              <w:t>40</w:t>
            </w:r>
          </w:p>
        </w:tc>
        <w:tc>
          <w:tcPr>
            <w:tcW w:w="872" w:type="dxa"/>
          </w:tcPr>
          <w:p w14:paraId="187FEC59"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427C57">
              <w:t>20</w:t>
            </w:r>
          </w:p>
        </w:tc>
        <w:tc>
          <w:tcPr>
            <w:tcW w:w="975" w:type="dxa"/>
          </w:tcPr>
          <w:p w14:paraId="7E9AC44E"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427C57">
              <w:t xml:space="preserve">39 </w:t>
            </w:r>
          </w:p>
        </w:tc>
        <w:tc>
          <w:tcPr>
            <w:tcW w:w="868" w:type="dxa"/>
          </w:tcPr>
          <w:p w14:paraId="1269EA76"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427C57">
              <w:t>20</w:t>
            </w:r>
          </w:p>
        </w:tc>
        <w:tc>
          <w:tcPr>
            <w:tcW w:w="1078" w:type="dxa"/>
          </w:tcPr>
          <w:p w14:paraId="045469BE"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427C57">
              <w:t>39</w:t>
            </w:r>
          </w:p>
        </w:tc>
        <w:tc>
          <w:tcPr>
            <w:tcW w:w="764" w:type="dxa"/>
          </w:tcPr>
          <w:p w14:paraId="35694C55"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427C57">
              <w:t>20</w:t>
            </w:r>
          </w:p>
        </w:tc>
      </w:tr>
      <w:tr w:rsidR="00854AE8" w:rsidRPr="00427C57" w14:paraId="4E72B21C" w14:textId="77777777">
        <w:tc>
          <w:tcPr>
            <w:cnfStyle w:val="001000000000" w:firstRow="0" w:lastRow="0" w:firstColumn="1" w:lastColumn="0" w:oddVBand="0" w:evenVBand="0" w:oddHBand="0" w:evenHBand="0" w:firstRowFirstColumn="0" w:firstRowLastColumn="0" w:lastRowFirstColumn="0" w:lastRowLastColumn="0"/>
            <w:tcW w:w="4074" w:type="dxa"/>
          </w:tcPr>
          <w:p w14:paraId="1C367FEC" w14:textId="77777777" w:rsidR="00854AE8" w:rsidRPr="00427C57" w:rsidRDefault="00854AE8">
            <w:pPr>
              <w:ind w:left="720"/>
            </w:pPr>
            <w:r w:rsidRPr="00427C57">
              <w:t xml:space="preserve">Plug-in Hybrid Electric Vehicle (PHEV) </w:t>
            </w:r>
          </w:p>
        </w:tc>
        <w:tc>
          <w:tcPr>
            <w:tcW w:w="1008" w:type="dxa"/>
          </w:tcPr>
          <w:p w14:paraId="71D6351B"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24 </w:t>
            </w:r>
          </w:p>
        </w:tc>
        <w:tc>
          <w:tcPr>
            <w:tcW w:w="872" w:type="dxa"/>
          </w:tcPr>
          <w:p w14:paraId="41C04BBD"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   </w:t>
            </w:r>
          </w:p>
        </w:tc>
        <w:tc>
          <w:tcPr>
            <w:tcW w:w="975" w:type="dxa"/>
          </w:tcPr>
          <w:p w14:paraId="0926601D"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23 </w:t>
            </w:r>
          </w:p>
        </w:tc>
        <w:tc>
          <w:tcPr>
            <w:tcW w:w="868" w:type="dxa"/>
          </w:tcPr>
          <w:p w14:paraId="2041F2D5"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   </w:t>
            </w:r>
          </w:p>
        </w:tc>
        <w:tc>
          <w:tcPr>
            <w:tcW w:w="1078" w:type="dxa"/>
          </w:tcPr>
          <w:p w14:paraId="1D0D94FF"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23 </w:t>
            </w:r>
          </w:p>
        </w:tc>
        <w:tc>
          <w:tcPr>
            <w:tcW w:w="764" w:type="dxa"/>
          </w:tcPr>
          <w:p w14:paraId="2D19B648"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   </w:t>
            </w:r>
          </w:p>
        </w:tc>
      </w:tr>
      <w:tr w:rsidR="00854AE8" w:rsidRPr="00427C57" w14:paraId="411118F4" w14:textId="77777777">
        <w:tc>
          <w:tcPr>
            <w:cnfStyle w:val="001000000000" w:firstRow="0" w:lastRow="0" w:firstColumn="1" w:lastColumn="0" w:oddVBand="0" w:evenVBand="0" w:oddHBand="0" w:evenHBand="0" w:firstRowFirstColumn="0" w:firstRowLastColumn="0" w:lastRowFirstColumn="0" w:lastRowLastColumn="0"/>
            <w:tcW w:w="4074" w:type="dxa"/>
          </w:tcPr>
          <w:p w14:paraId="2127C0BA" w14:textId="77777777" w:rsidR="00854AE8" w:rsidRPr="00427C57" w:rsidRDefault="00854AE8">
            <w:pPr>
              <w:ind w:left="720"/>
            </w:pPr>
            <w:r w:rsidRPr="00427C57">
              <w:t xml:space="preserve">Range-extended electric vehicle </w:t>
            </w:r>
          </w:p>
        </w:tc>
        <w:tc>
          <w:tcPr>
            <w:tcW w:w="1008" w:type="dxa"/>
          </w:tcPr>
          <w:p w14:paraId="0D197046"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16 </w:t>
            </w:r>
          </w:p>
        </w:tc>
        <w:tc>
          <w:tcPr>
            <w:tcW w:w="872" w:type="dxa"/>
          </w:tcPr>
          <w:p w14:paraId="23F4D299"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   </w:t>
            </w:r>
          </w:p>
        </w:tc>
        <w:tc>
          <w:tcPr>
            <w:tcW w:w="975" w:type="dxa"/>
          </w:tcPr>
          <w:p w14:paraId="023FEEA9"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16 </w:t>
            </w:r>
          </w:p>
        </w:tc>
        <w:tc>
          <w:tcPr>
            <w:tcW w:w="868" w:type="dxa"/>
          </w:tcPr>
          <w:p w14:paraId="69B369E9"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   </w:t>
            </w:r>
          </w:p>
        </w:tc>
        <w:tc>
          <w:tcPr>
            <w:tcW w:w="1078" w:type="dxa"/>
          </w:tcPr>
          <w:p w14:paraId="22F30968"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16 </w:t>
            </w:r>
          </w:p>
        </w:tc>
        <w:tc>
          <w:tcPr>
            <w:tcW w:w="764" w:type="dxa"/>
          </w:tcPr>
          <w:p w14:paraId="60BCABA1" w14:textId="77777777" w:rsidR="00854AE8" w:rsidRPr="00427C57" w:rsidRDefault="00854AE8">
            <w:pPr>
              <w:cnfStyle w:val="000000000000" w:firstRow="0" w:lastRow="0" w:firstColumn="0" w:lastColumn="0" w:oddVBand="0" w:evenVBand="0" w:oddHBand="0" w:evenHBand="0" w:firstRowFirstColumn="0" w:firstRowLastColumn="0" w:lastRowFirstColumn="0" w:lastRowLastColumn="0"/>
            </w:pPr>
            <w:r w:rsidRPr="00E004B1">
              <w:t xml:space="preserve">-   </w:t>
            </w:r>
          </w:p>
        </w:tc>
      </w:tr>
    </w:tbl>
    <w:p w14:paraId="47F71DD5" w14:textId="77777777" w:rsidR="00854AE8" w:rsidRPr="003F008D" w:rsidRDefault="00854AE8" w:rsidP="00854AE8">
      <w:pPr>
        <w:pStyle w:val="Note"/>
      </w:pPr>
      <w:r w:rsidRPr="003F008D">
        <w:t>Notes:</w:t>
      </w:r>
    </w:p>
    <w:p w14:paraId="6E40625F" w14:textId="4725DB34" w:rsidR="00854AE8" w:rsidRPr="003F008D" w:rsidRDefault="00854AE8" w:rsidP="00854AE8">
      <w:pPr>
        <w:pStyle w:val="Note"/>
      </w:pPr>
      <w:r w:rsidRPr="003F008D">
        <w:t>(</w:t>
      </w:r>
      <w:r w:rsidR="00977736">
        <w:t>a</w:t>
      </w:r>
      <w:r w:rsidRPr="003F008D">
        <w:t>)</w:t>
      </w:r>
      <w:r w:rsidRPr="003F008D">
        <w:tab/>
        <w:t>Passenger vehicles include the shared fleet of the Department, Gene Sciences Victoria, The Office of the Commissioner of New Technology, and</w:t>
      </w:r>
      <w:r w:rsidR="005A405F">
        <w:t> </w:t>
      </w:r>
      <w:r w:rsidRPr="003F008D">
        <w:t xml:space="preserve">Innovation Victoria. </w:t>
      </w:r>
    </w:p>
    <w:p w14:paraId="370AC93A" w14:textId="6B5AAFDB" w:rsidR="00854AE8" w:rsidRDefault="00854AE8" w:rsidP="00854AE8">
      <w:pPr>
        <w:pStyle w:val="Note"/>
      </w:pPr>
      <w:r w:rsidRPr="003F008D">
        <w:t>(</w:t>
      </w:r>
      <w:r w:rsidR="00F95336">
        <w:t>b</w:t>
      </w:r>
      <w:r w:rsidRPr="003F008D">
        <w:t>)</w:t>
      </w:r>
      <w:r w:rsidRPr="003F008D">
        <w:tab/>
        <w:t>Goods vehicles include the combined fleet of the Department, Gene Sciences Victoria, The Office of the Commissioner of New Technology, and</w:t>
      </w:r>
      <w:r w:rsidR="005A405F">
        <w:t> </w:t>
      </w:r>
      <w:r w:rsidRPr="003F008D">
        <w:t xml:space="preserve">Innovation Victoria. </w:t>
      </w:r>
    </w:p>
    <w:p w14:paraId="32333B06" w14:textId="7E98A383" w:rsidR="007404D6" w:rsidRDefault="007404D6" w:rsidP="009D36F7"/>
    <w:tbl>
      <w:tblPr>
        <w:tblStyle w:val="DTFFinancialTable"/>
        <w:tblW w:w="9639" w:type="dxa"/>
        <w:tblLook w:val="06E0" w:firstRow="1" w:lastRow="1" w:firstColumn="1" w:lastColumn="0" w:noHBand="1" w:noVBand="1"/>
      </w:tblPr>
      <w:tblGrid>
        <w:gridCol w:w="6117"/>
        <w:gridCol w:w="1113"/>
        <w:gridCol w:w="1218"/>
        <w:gridCol w:w="1191"/>
      </w:tblGrid>
      <w:tr w:rsidR="007404D6" w:rsidRPr="00DC4518" w14:paraId="1FC157C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17" w:type="dxa"/>
          </w:tcPr>
          <w:p w14:paraId="726C32B0" w14:textId="77777777" w:rsidR="007404D6" w:rsidRPr="00DC4518" w:rsidRDefault="007404D6">
            <w:r w:rsidRPr="00DC4518">
              <w:t xml:space="preserve">Indicator </w:t>
            </w:r>
          </w:p>
        </w:tc>
        <w:tc>
          <w:tcPr>
            <w:tcW w:w="1113" w:type="dxa"/>
          </w:tcPr>
          <w:p w14:paraId="3BE17E27" w14:textId="2C44436D" w:rsidR="007404D6" w:rsidRPr="00DC4518" w:rsidRDefault="007404D6">
            <w:pPr>
              <w:cnfStyle w:val="100000000000" w:firstRow="1" w:lastRow="0" w:firstColumn="0" w:lastColumn="0" w:oddVBand="0" w:evenVBand="0" w:oddHBand="0" w:evenHBand="0" w:firstRowFirstColumn="0" w:firstRowLastColumn="0" w:lastRowFirstColumn="0" w:lastRowLastColumn="0"/>
            </w:pPr>
            <w:r w:rsidRPr="00DC4518">
              <w:t xml:space="preserve"> </w:t>
            </w:r>
            <w:fldSimple w:instr="DOCPROPERTY  FinYearCurrent  \* MERGEFORMAT">
              <w:r w:rsidR="005A405F" w:rsidRPr="005A405F">
                <w:t>20X1</w:t>
              </w:r>
              <w:r w:rsidR="005A405F" w:rsidRPr="005A405F">
                <w:rPr>
                  <w:rFonts w:ascii="Cambria Math" w:hAnsi="Cambria Math" w:cs="Cambria Math"/>
                </w:rPr>
                <w:noBreakHyphen/>
              </w:r>
              <w:r w:rsidR="005A405F" w:rsidRPr="005A405F">
                <w:t>X2</w:t>
              </w:r>
            </w:fldSimple>
            <w:r w:rsidRPr="00DC4518">
              <w:t xml:space="preserve"> </w:t>
            </w:r>
          </w:p>
        </w:tc>
        <w:tc>
          <w:tcPr>
            <w:tcW w:w="1218" w:type="dxa"/>
          </w:tcPr>
          <w:p w14:paraId="54B16D84" w14:textId="4477B2A6" w:rsidR="007404D6" w:rsidRPr="00DC4518" w:rsidRDefault="005A405F">
            <w:pPr>
              <w:cnfStyle w:val="100000000000" w:firstRow="1" w:lastRow="0" w:firstColumn="0" w:lastColumn="0" w:oddVBand="0" w:evenVBand="0" w:oddHBand="0" w:evenHBand="0" w:firstRowFirstColumn="0" w:firstRowLastColumn="0" w:lastRowFirstColumn="0" w:lastRowLastColumn="0"/>
            </w:pPr>
            <w:fldSimple w:instr="DOCPROPERTY  FinYearPrevious  \* MERGEFORMAT">
              <w:r>
                <w:t>20X0</w:t>
              </w:r>
              <w:r>
                <w:rPr>
                  <w:rFonts w:ascii="Cambria Math" w:hAnsi="Cambria Math" w:cs="Cambria Math"/>
                </w:rPr>
                <w:t>‑</w:t>
              </w:r>
              <w:r>
                <w:t>X1</w:t>
              </w:r>
            </w:fldSimple>
          </w:p>
        </w:tc>
        <w:tc>
          <w:tcPr>
            <w:tcW w:w="1191" w:type="dxa"/>
          </w:tcPr>
          <w:p w14:paraId="35C34881" w14:textId="77777777" w:rsidR="007404D6" w:rsidRPr="00DC4518" w:rsidRDefault="007404D6">
            <w:pPr>
              <w:cnfStyle w:val="100000000000" w:firstRow="1" w:lastRow="0" w:firstColumn="0" w:lastColumn="0" w:oddVBand="0" w:evenVBand="0" w:oddHBand="0" w:evenHBand="0" w:firstRowFirstColumn="0" w:firstRowLastColumn="0" w:lastRowFirstColumn="0" w:lastRowLastColumn="0"/>
            </w:pPr>
            <w:r w:rsidRPr="00DC4518">
              <w:t xml:space="preserve"> 20XX-X0 </w:t>
            </w:r>
          </w:p>
        </w:tc>
      </w:tr>
      <w:tr w:rsidR="007404D6" w:rsidRPr="00DC4518" w14:paraId="56F51256" w14:textId="77777777">
        <w:tc>
          <w:tcPr>
            <w:cnfStyle w:val="001000000000" w:firstRow="0" w:lastRow="0" w:firstColumn="1" w:lastColumn="0" w:oddVBand="0" w:evenVBand="0" w:oddHBand="0" w:evenHBand="0" w:firstRowFirstColumn="0" w:firstRowLastColumn="0" w:lastRowFirstColumn="0" w:lastRowLastColumn="0"/>
            <w:tcW w:w="6117" w:type="dxa"/>
          </w:tcPr>
          <w:p w14:paraId="57504740" w14:textId="77777777" w:rsidR="007404D6" w:rsidRPr="00DC4518" w:rsidRDefault="007404D6">
            <w:r w:rsidRPr="00DC4518">
              <w:t xml:space="preserve">Total energy used in transportation (MJ) </w:t>
            </w:r>
            <w:r w:rsidRPr="00A76D2B">
              <w:rPr>
                <w:rStyle w:val="Reference"/>
              </w:rPr>
              <w:t>[Indicator T1]</w:t>
            </w:r>
          </w:p>
        </w:tc>
        <w:tc>
          <w:tcPr>
            <w:tcW w:w="1113" w:type="dxa"/>
          </w:tcPr>
          <w:p w14:paraId="3DCA4EAC"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5</w:t>
            </w:r>
            <w:r>
              <w:t xml:space="preserve"> </w:t>
            </w:r>
            <w:r w:rsidRPr="005C2E1A">
              <w:t>360</w:t>
            </w:r>
            <w:r>
              <w:t xml:space="preserve"> </w:t>
            </w:r>
            <w:r w:rsidRPr="005C2E1A">
              <w:t>143.1</w:t>
            </w:r>
          </w:p>
        </w:tc>
        <w:tc>
          <w:tcPr>
            <w:tcW w:w="1218" w:type="dxa"/>
          </w:tcPr>
          <w:p w14:paraId="1538EFF5"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5</w:t>
            </w:r>
            <w:r>
              <w:t xml:space="preserve"> </w:t>
            </w:r>
            <w:r w:rsidRPr="00255C1F">
              <w:t>480</w:t>
            </w:r>
            <w:r>
              <w:t xml:space="preserve"> </w:t>
            </w:r>
            <w:r w:rsidRPr="00255C1F">
              <w:t>718.9</w:t>
            </w:r>
          </w:p>
        </w:tc>
        <w:tc>
          <w:tcPr>
            <w:tcW w:w="1191" w:type="dxa"/>
          </w:tcPr>
          <w:p w14:paraId="445A4AD1"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5 541 677.4</w:t>
            </w:r>
          </w:p>
        </w:tc>
      </w:tr>
      <w:tr w:rsidR="007404D6" w:rsidRPr="00DC4518" w14:paraId="33EB94C0" w14:textId="77777777">
        <w:tc>
          <w:tcPr>
            <w:cnfStyle w:val="001000000000" w:firstRow="0" w:lastRow="0" w:firstColumn="1" w:lastColumn="0" w:oddVBand="0" w:evenVBand="0" w:oddHBand="0" w:evenHBand="0" w:firstRowFirstColumn="0" w:firstRowLastColumn="0" w:lastRowFirstColumn="0" w:lastRowLastColumn="0"/>
            <w:tcW w:w="6117" w:type="dxa"/>
          </w:tcPr>
          <w:p w14:paraId="12CD41FD" w14:textId="77777777" w:rsidR="007404D6" w:rsidRPr="00DC4518" w:rsidRDefault="007404D6">
            <w:r w:rsidRPr="00DC4518">
              <w:t>Road Vehicles</w:t>
            </w:r>
          </w:p>
        </w:tc>
        <w:tc>
          <w:tcPr>
            <w:tcW w:w="1113" w:type="dxa"/>
          </w:tcPr>
          <w:p w14:paraId="67694B18"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5</w:t>
            </w:r>
            <w:r>
              <w:t xml:space="preserve"> </w:t>
            </w:r>
            <w:r w:rsidRPr="005C2E1A">
              <w:t>360</w:t>
            </w:r>
            <w:r>
              <w:t xml:space="preserve"> </w:t>
            </w:r>
            <w:r w:rsidRPr="005C2E1A">
              <w:t>143.1</w:t>
            </w:r>
          </w:p>
        </w:tc>
        <w:tc>
          <w:tcPr>
            <w:tcW w:w="1218" w:type="dxa"/>
          </w:tcPr>
          <w:p w14:paraId="4D72BCCC"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5</w:t>
            </w:r>
            <w:r>
              <w:t xml:space="preserve"> </w:t>
            </w:r>
            <w:r w:rsidRPr="00255C1F">
              <w:t>480</w:t>
            </w:r>
            <w:r>
              <w:t xml:space="preserve"> </w:t>
            </w:r>
            <w:r w:rsidRPr="00255C1F">
              <w:t>718.9</w:t>
            </w:r>
          </w:p>
        </w:tc>
        <w:tc>
          <w:tcPr>
            <w:tcW w:w="1191" w:type="dxa"/>
          </w:tcPr>
          <w:p w14:paraId="45C1B939"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5 541 677.4</w:t>
            </w:r>
          </w:p>
        </w:tc>
      </w:tr>
      <w:tr w:rsidR="007404D6" w:rsidRPr="00DC4518" w14:paraId="31199B7E" w14:textId="77777777">
        <w:tc>
          <w:tcPr>
            <w:cnfStyle w:val="001000000000" w:firstRow="0" w:lastRow="0" w:firstColumn="1" w:lastColumn="0" w:oddVBand="0" w:evenVBand="0" w:oddHBand="0" w:evenHBand="0" w:firstRowFirstColumn="0" w:firstRowLastColumn="0" w:lastRowFirstColumn="0" w:lastRowLastColumn="0"/>
            <w:tcW w:w="6117" w:type="dxa"/>
          </w:tcPr>
          <w:p w14:paraId="6FB669CE" w14:textId="77777777" w:rsidR="007404D6" w:rsidRPr="00DC4518" w:rsidRDefault="007404D6">
            <w:pPr>
              <w:ind w:left="284"/>
            </w:pPr>
            <w:r w:rsidRPr="00DC4518">
              <w:t xml:space="preserve">Passenger vehicles </w:t>
            </w:r>
            <w:r w:rsidRPr="007914DD">
              <w:rPr>
                <w:vertAlign w:val="superscript"/>
              </w:rPr>
              <w:t>(a)</w:t>
            </w:r>
          </w:p>
        </w:tc>
        <w:tc>
          <w:tcPr>
            <w:tcW w:w="1113" w:type="dxa"/>
          </w:tcPr>
          <w:p w14:paraId="4405FECB"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359</w:t>
            </w:r>
            <w:r>
              <w:t xml:space="preserve"> </w:t>
            </w:r>
            <w:r w:rsidRPr="005C2E1A">
              <w:t>800.2</w:t>
            </w:r>
          </w:p>
        </w:tc>
        <w:tc>
          <w:tcPr>
            <w:tcW w:w="1218" w:type="dxa"/>
          </w:tcPr>
          <w:p w14:paraId="350C8E6F"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367</w:t>
            </w:r>
            <w:r>
              <w:t xml:space="preserve"> </w:t>
            </w:r>
            <w:r w:rsidRPr="00255C1F">
              <w:t>893.9</w:t>
            </w:r>
          </w:p>
        </w:tc>
        <w:tc>
          <w:tcPr>
            <w:tcW w:w="1191" w:type="dxa"/>
          </w:tcPr>
          <w:p w14:paraId="3DC10640"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371 985.7</w:t>
            </w:r>
          </w:p>
        </w:tc>
      </w:tr>
      <w:tr w:rsidR="007404D6" w:rsidRPr="00DC4518" w14:paraId="085E95CB" w14:textId="77777777">
        <w:tc>
          <w:tcPr>
            <w:cnfStyle w:val="001000000000" w:firstRow="0" w:lastRow="0" w:firstColumn="1" w:lastColumn="0" w:oddVBand="0" w:evenVBand="0" w:oddHBand="0" w:evenHBand="0" w:firstRowFirstColumn="0" w:firstRowLastColumn="0" w:lastRowFirstColumn="0" w:lastRowLastColumn="0"/>
            <w:tcW w:w="6117" w:type="dxa"/>
          </w:tcPr>
          <w:p w14:paraId="3E6F0D3C" w14:textId="1C3799E3" w:rsidR="007404D6" w:rsidRPr="00DC4518" w:rsidRDefault="001904FD">
            <w:r>
              <w:t xml:space="preserve">            </w:t>
            </w:r>
            <w:r w:rsidR="007404D6" w:rsidRPr="00DC4518">
              <w:t>Petrol</w:t>
            </w:r>
          </w:p>
        </w:tc>
        <w:tc>
          <w:tcPr>
            <w:tcW w:w="1113" w:type="dxa"/>
          </w:tcPr>
          <w:p w14:paraId="455B962E"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169</w:t>
            </w:r>
            <w:r>
              <w:t xml:space="preserve"> </w:t>
            </w:r>
            <w:r w:rsidRPr="005C2E1A">
              <w:t>312.2</w:t>
            </w:r>
          </w:p>
        </w:tc>
        <w:tc>
          <w:tcPr>
            <w:tcW w:w="1218" w:type="dxa"/>
          </w:tcPr>
          <w:p w14:paraId="659D4551"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173</w:t>
            </w:r>
            <w:r>
              <w:t xml:space="preserve"> </w:t>
            </w:r>
            <w:r w:rsidRPr="00255C1F">
              <w:t>120.9</w:t>
            </w:r>
          </w:p>
        </w:tc>
        <w:tc>
          <w:tcPr>
            <w:tcW w:w="1191" w:type="dxa"/>
          </w:tcPr>
          <w:p w14:paraId="5D790FC3"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175 046.4</w:t>
            </w:r>
          </w:p>
        </w:tc>
      </w:tr>
      <w:tr w:rsidR="007404D6" w:rsidRPr="00DC4518" w14:paraId="5F328FEB" w14:textId="77777777">
        <w:tc>
          <w:tcPr>
            <w:cnfStyle w:val="001000000000" w:firstRow="0" w:lastRow="0" w:firstColumn="1" w:lastColumn="0" w:oddVBand="0" w:evenVBand="0" w:oddHBand="0" w:evenHBand="0" w:firstRowFirstColumn="0" w:firstRowLastColumn="0" w:lastRowFirstColumn="0" w:lastRowLastColumn="0"/>
            <w:tcW w:w="6117" w:type="dxa"/>
          </w:tcPr>
          <w:p w14:paraId="2FA53A14" w14:textId="77777777" w:rsidR="007404D6" w:rsidRPr="00DC4518" w:rsidRDefault="007404D6">
            <w:pPr>
              <w:ind w:left="567"/>
            </w:pPr>
            <w:r w:rsidRPr="00DC4518">
              <w:t>Diesel</w:t>
            </w:r>
          </w:p>
        </w:tc>
        <w:tc>
          <w:tcPr>
            <w:tcW w:w="1113" w:type="dxa"/>
          </w:tcPr>
          <w:p w14:paraId="70B1E6FB"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78</w:t>
            </w:r>
            <w:r>
              <w:t xml:space="preserve"> </w:t>
            </w:r>
            <w:r w:rsidRPr="005C2E1A">
              <w:t>276.9</w:t>
            </w:r>
          </w:p>
        </w:tc>
        <w:tc>
          <w:tcPr>
            <w:tcW w:w="1218" w:type="dxa"/>
          </w:tcPr>
          <w:p w14:paraId="73F72397"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80</w:t>
            </w:r>
            <w:r>
              <w:t xml:space="preserve"> </w:t>
            </w:r>
            <w:r w:rsidRPr="00255C1F">
              <w:t>037.7</w:t>
            </w:r>
          </w:p>
        </w:tc>
        <w:tc>
          <w:tcPr>
            <w:tcW w:w="1191" w:type="dxa"/>
          </w:tcPr>
          <w:p w14:paraId="6B1D5429"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80 927.9</w:t>
            </w:r>
          </w:p>
        </w:tc>
      </w:tr>
      <w:tr w:rsidR="007404D6" w:rsidRPr="00DC4518" w14:paraId="7BD7E3F3" w14:textId="77777777">
        <w:tc>
          <w:tcPr>
            <w:cnfStyle w:val="001000000000" w:firstRow="0" w:lastRow="0" w:firstColumn="1" w:lastColumn="0" w:oddVBand="0" w:evenVBand="0" w:oddHBand="0" w:evenHBand="0" w:firstRowFirstColumn="0" w:firstRowLastColumn="0" w:lastRowFirstColumn="0" w:lastRowLastColumn="0"/>
            <w:tcW w:w="6117" w:type="dxa"/>
          </w:tcPr>
          <w:p w14:paraId="31C82149" w14:textId="77777777" w:rsidR="007404D6" w:rsidRPr="00DC4518" w:rsidRDefault="007404D6">
            <w:pPr>
              <w:ind w:left="567"/>
            </w:pPr>
            <w:r w:rsidRPr="00DC4518">
              <w:t>Electricity (MWh)</w:t>
            </w:r>
          </w:p>
        </w:tc>
        <w:tc>
          <w:tcPr>
            <w:tcW w:w="1113" w:type="dxa"/>
          </w:tcPr>
          <w:p w14:paraId="65B1AB1C"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71</w:t>
            </w:r>
          </w:p>
        </w:tc>
        <w:tc>
          <w:tcPr>
            <w:tcW w:w="1218" w:type="dxa"/>
          </w:tcPr>
          <w:p w14:paraId="6BFE36D9"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34.4</w:t>
            </w:r>
          </w:p>
        </w:tc>
        <w:tc>
          <w:tcPr>
            <w:tcW w:w="1191" w:type="dxa"/>
          </w:tcPr>
          <w:p w14:paraId="128B0F55"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16.1</w:t>
            </w:r>
          </w:p>
        </w:tc>
      </w:tr>
      <w:tr w:rsidR="007404D6" w:rsidRPr="00DC4518" w14:paraId="7BD4FBE8" w14:textId="77777777">
        <w:tc>
          <w:tcPr>
            <w:cnfStyle w:val="001000000000" w:firstRow="0" w:lastRow="0" w:firstColumn="1" w:lastColumn="0" w:oddVBand="0" w:evenVBand="0" w:oddHBand="0" w:evenHBand="0" w:firstRowFirstColumn="0" w:firstRowLastColumn="0" w:lastRowFirstColumn="0" w:lastRowLastColumn="0"/>
            <w:tcW w:w="6117" w:type="dxa"/>
          </w:tcPr>
          <w:p w14:paraId="2450EAB3" w14:textId="77777777" w:rsidR="007404D6" w:rsidRPr="00DC4518" w:rsidRDefault="007404D6">
            <w:pPr>
              <w:ind w:left="284"/>
            </w:pPr>
            <w:r w:rsidRPr="00DC4518">
              <w:t xml:space="preserve">Goods vehicles </w:t>
            </w:r>
            <w:r w:rsidRPr="007914DD">
              <w:rPr>
                <w:vertAlign w:val="superscript"/>
              </w:rPr>
              <w:t>(b)</w:t>
            </w:r>
          </w:p>
        </w:tc>
        <w:tc>
          <w:tcPr>
            <w:tcW w:w="1113" w:type="dxa"/>
          </w:tcPr>
          <w:p w14:paraId="4F488D99"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5</w:t>
            </w:r>
            <w:r>
              <w:t xml:space="preserve"> </w:t>
            </w:r>
            <w:r w:rsidRPr="005C2E1A">
              <w:t>000</w:t>
            </w:r>
            <w:r>
              <w:t xml:space="preserve"> </w:t>
            </w:r>
            <w:r w:rsidRPr="005C2E1A">
              <w:t>342.9</w:t>
            </w:r>
          </w:p>
        </w:tc>
        <w:tc>
          <w:tcPr>
            <w:tcW w:w="1218" w:type="dxa"/>
          </w:tcPr>
          <w:p w14:paraId="2D6D05BE"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511</w:t>
            </w:r>
            <w:r>
              <w:t xml:space="preserve"> </w:t>
            </w:r>
            <w:r w:rsidRPr="00255C1F">
              <w:t>2825.1</w:t>
            </w:r>
          </w:p>
        </w:tc>
        <w:tc>
          <w:tcPr>
            <w:tcW w:w="1191" w:type="dxa"/>
          </w:tcPr>
          <w:p w14:paraId="4A8217B9"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5 169 691.7</w:t>
            </w:r>
          </w:p>
        </w:tc>
      </w:tr>
      <w:tr w:rsidR="007404D6" w:rsidRPr="00DC4518" w14:paraId="0DA7D003" w14:textId="77777777">
        <w:tc>
          <w:tcPr>
            <w:cnfStyle w:val="001000000000" w:firstRow="0" w:lastRow="0" w:firstColumn="1" w:lastColumn="0" w:oddVBand="0" w:evenVBand="0" w:oddHBand="0" w:evenHBand="0" w:firstRowFirstColumn="0" w:firstRowLastColumn="0" w:lastRowFirstColumn="0" w:lastRowLastColumn="0"/>
            <w:tcW w:w="6117" w:type="dxa"/>
          </w:tcPr>
          <w:p w14:paraId="34D0DC1B" w14:textId="77777777" w:rsidR="007404D6" w:rsidRPr="00DC4518" w:rsidRDefault="007404D6">
            <w:pPr>
              <w:ind w:left="567"/>
            </w:pPr>
            <w:r w:rsidRPr="00DC4518">
              <w:t>Petrol</w:t>
            </w:r>
          </w:p>
        </w:tc>
        <w:tc>
          <w:tcPr>
            <w:tcW w:w="1113" w:type="dxa"/>
          </w:tcPr>
          <w:p w14:paraId="4B98D625"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2</w:t>
            </w:r>
            <w:r>
              <w:t xml:space="preserve"> </w:t>
            </w:r>
            <w:r w:rsidRPr="005C2E1A">
              <w:t>787</w:t>
            </w:r>
            <w:r>
              <w:t xml:space="preserve"> </w:t>
            </w:r>
            <w:r w:rsidRPr="005C2E1A">
              <w:t>803.5</w:t>
            </w:r>
          </w:p>
        </w:tc>
        <w:tc>
          <w:tcPr>
            <w:tcW w:w="1218" w:type="dxa"/>
          </w:tcPr>
          <w:p w14:paraId="415C1738"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28</w:t>
            </w:r>
            <w:r>
              <w:t xml:space="preserve"> </w:t>
            </w:r>
            <w:r w:rsidRPr="00255C1F">
              <w:t>50514.8</w:t>
            </w:r>
          </w:p>
        </w:tc>
        <w:tc>
          <w:tcPr>
            <w:tcW w:w="1191" w:type="dxa"/>
          </w:tcPr>
          <w:p w14:paraId="04F387A7"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2 882 219.2</w:t>
            </w:r>
          </w:p>
        </w:tc>
      </w:tr>
      <w:tr w:rsidR="007404D6" w:rsidRPr="00DC4518" w14:paraId="79135D78" w14:textId="77777777">
        <w:tc>
          <w:tcPr>
            <w:cnfStyle w:val="001000000000" w:firstRow="0" w:lastRow="0" w:firstColumn="1" w:lastColumn="0" w:oddVBand="0" w:evenVBand="0" w:oddHBand="0" w:evenHBand="0" w:firstRowFirstColumn="0" w:firstRowLastColumn="0" w:lastRowFirstColumn="0" w:lastRowLastColumn="0"/>
            <w:tcW w:w="6117" w:type="dxa"/>
          </w:tcPr>
          <w:p w14:paraId="79E3BB5C" w14:textId="77777777" w:rsidR="007404D6" w:rsidRPr="00DC4518" w:rsidRDefault="007404D6">
            <w:pPr>
              <w:ind w:left="567"/>
            </w:pPr>
            <w:r w:rsidRPr="00DC4518">
              <w:t>Diesel</w:t>
            </w:r>
          </w:p>
        </w:tc>
        <w:tc>
          <w:tcPr>
            <w:tcW w:w="1113" w:type="dxa"/>
          </w:tcPr>
          <w:p w14:paraId="3097A212"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1</w:t>
            </w:r>
            <w:r>
              <w:t xml:space="preserve"> </w:t>
            </w:r>
            <w:r w:rsidRPr="005C2E1A">
              <w:t>288</w:t>
            </w:r>
            <w:r>
              <w:t xml:space="preserve"> </w:t>
            </w:r>
            <w:r w:rsidRPr="005C2E1A">
              <w:t>864.4</w:t>
            </w:r>
          </w:p>
        </w:tc>
        <w:tc>
          <w:tcPr>
            <w:tcW w:w="1218" w:type="dxa"/>
          </w:tcPr>
          <w:p w14:paraId="44316AE0"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1</w:t>
            </w:r>
            <w:r>
              <w:t xml:space="preserve"> </w:t>
            </w:r>
            <w:r w:rsidRPr="00255C1F">
              <w:t>317</w:t>
            </w:r>
            <w:r>
              <w:t xml:space="preserve"> </w:t>
            </w:r>
            <w:r w:rsidRPr="00255C1F">
              <w:t>857.2</w:t>
            </w:r>
          </w:p>
        </w:tc>
        <w:tc>
          <w:tcPr>
            <w:tcW w:w="1191" w:type="dxa"/>
          </w:tcPr>
          <w:p w14:paraId="36DDE127"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1 332 514.9</w:t>
            </w:r>
          </w:p>
        </w:tc>
      </w:tr>
      <w:tr w:rsidR="007404D6" w:rsidRPr="00DC4518" w14:paraId="700873C9" w14:textId="77777777">
        <w:tc>
          <w:tcPr>
            <w:cnfStyle w:val="001000000000" w:firstRow="0" w:lastRow="0" w:firstColumn="1" w:lastColumn="0" w:oddVBand="0" w:evenVBand="0" w:oddHBand="0" w:evenHBand="0" w:firstRowFirstColumn="0" w:firstRowLastColumn="0" w:lastRowFirstColumn="0" w:lastRowLastColumn="0"/>
            <w:tcW w:w="6117" w:type="dxa"/>
          </w:tcPr>
          <w:p w14:paraId="76F5CFA8" w14:textId="77777777" w:rsidR="007404D6" w:rsidRPr="00DC4518" w:rsidRDefault="007404D6">
            <w:pPr>
              <w:ind w:left="567"/>
            </w:pPr>
            <w:r w:rsidRPr="00DC4518">
              <w:t>Electricity (MWh)</w:t>
            </w:r>
          </w:p>
        </w:tc>
        <w:tc>
          <w:tcPr>
            <w:tcW w:w="1113" w:type="dxa"/>
          </w:tcPr>
          <w:p w14:paraId="4F2C6507"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3</w:t>
            </w:r>
          </w:p>
        </w:tc>
        <w:tc>
          <w:tcPr>
            <w:tcW w:w="1218" w:type="dxa"/>
          </w:tcPr>
          <w:p w14:paraId="752CA744"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2</w:t>
            </w:r>
          </w:p>
        </w:tc>
        <w:tc>
          <w:tcPr>
            <w:tcW w:w="1191" w:type="dxa"/>
          </w:tcPr>
          <w:p w14:paraId="4D19C0DB"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265.3</w:t>
            </w:r>
          </w:p>
        </w:tc>
      </w:tr>
      <w:tr w:rsidR="007404D6" w:rsidRPr="00DC4518" w14:paraId="5CB0305C" w14:textId="77777777">
        <w:tc>
          <w:tcPr>
            <w:cnfStyle w:val="001000000000" w:firstRow="0" w:lastRow="0" w:firstColumn="1" w:lastColumn="0" w:oddVBand="0" w:evenVBand="0" w:oddHBand="0" w:evenHBand="0" w:firstRowFirstColumn="0" w:firstRowLastColumn="0" w:lastRowFirstColumn="0" w:lastRowLastColumn="0"/>
            <w:tcW w:w="6117" w:type="dxa"/>
          </w:tcPr>
          <w:p w14:paraId="0F4EEB3F" w14:textId="77777777" w:rsidR="007404D6" w:rsidRPr="00DC4518" w:rsidRDefault="007404D6">
            <w:r w:rsidRPr="00DC4518">
              <w:t>Greenhouse gas emissions from vehicle fleet (Tonnes CO</w:t>
            </w:r>
            <w:r w:rsidRPr="007914DD">
              <w:rPr>
                <w:vertAlign w:val="subscript"/>
              </w:rPr>
              <w:t>2</w:t>
            </w:r>
            <w:r>
              <w:noBreakHyphen/>
            </w:r>
            <w:r w:rsidRPr="00DC4518">
              <w:t xml:space="preserve">e) </w:t>
            </w:r>
            <w:r w:rsidRPr="007914DD">
              <w:rPr>
                <w:rStyle w:val="Reference"/>
              </w:rPr>
              <w:t>[Indicator T3]</w:t>
            </w:r>
          </w:p>
        </w:tc>
        <w:tc>
          <w:tcPr>
            <w:tcW w:w="1113" w:type="dxa"/>
          </w:tcPr>
          <w:p w14:paraId="61A381DD"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300.6</w:t>
            </w:r>
          </w:p>
        </w:tc>
        <w:tc>
          <w:tcPr>
            <w:tcW w:w="1218" w:type="dxa"/>
          </w:tcPr>
          <w:p w14:paraId="58B9DB0B"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307.4</w:t>
            </w:r>
          </w:p>
        </w:tc>
        <w:tc>
          <w:tcPr>
            <w:tcW w:w="1191" w:type="dxa"/>
          </w:tcPr>
          <w:p w14:paraId="6D151414"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310.8</w:t>
            </w:r>
          </w:p>
        </w:tc>
      </w:tr>
      <w:tr w:rsidR="007404D6" w:rsidRPr="00DC4518" w14:paraId="3056B9BD" w14:textId="77777777">
        <w:tc>
          <w:tcPr>
            <w:cnfStyle w:val="001000000000" w:firstRow="0" w:lastRow="0" w:firstColumn="1" w:lastColumn="0" w:oddVBand="0" w:evenVBand="0" w:oddHBand="0" w:evenHBand="0" w:firstRowFirstColumn="0" w:firstRowLastColumn="0" w:lastRowFirstColumn="0" w:lastRowLastColumn="0"/>
            <w:tcW w:w="6117" w:type="dxa"/>
          </w:tcPr>
          <w:p w14:paraId="6E3C253E" w14:textId="77777777" w:rsidR="007404D6" w:rsidRPr="00DC4518" w:rsidRDefault="007404D6">
            <w:r w:rsidRPr="00DC4518">
              <w:t>Road Vehicles</w:t>
            </w:r>
          </w:p>
        </w:tc>
        <w:tc>
          <w:tcPr>
            <w:tcW w:w="1113" w:type="dxa"/>
          </w:tcPr>
          <w:p w14:paraId="146DA3FA"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300.6</w:t>
            </w:r>
          </w:p>
        </w:tc>
        <w:tc>
          <w:tcPr>
            <w:tcW w:w="1218" w:type="dxa"/>
          </w:tcPr>
          <w:p w14:paraId="4D386963"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307.4</w:t>
            </w:r>
          </w:p>
        </w:tc>
        <w:tc>
          <w:tcPr>
            <w:tcW w:w="1191" w:type="dxa"/>
          </w:tcPr>
          <w:p w14:paraId="082FE451"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310.8</w:t>
            </w:r>
          </w:p>
        </w:tc>
      </w:tr>
      <w:tr w:rsidR="007404D6" w:rsidRPr="00DC4518" w14:paraId="12339057" w14:textId="77777777">
        <w:tc>
          <w:tcPr>
            <w:cnfStyle w:val="001000000000" w:firstRow="0" w:lastRow="0" w:firstColumn="1" w:lastColumn="0" w:oddVBand="0" w:evenVBand="0" w:oddHBand="0" w:evenHBand="0" w:firstRowFirstColumn="0" w:firstRowLastColumn="0" w:lastRowFirstColumn="0" w:lastRowLastColumn="0"/>
            <w:tcW w:w="6117" w:type="dxa"/>
          </w:tcPr>
          <w:p w14:paraId="0A2057FD" w14:textId="77777777" w:rsidR="007404D6" w:rsidRPr="00DC4518" w:rsidRDefault="007404D6">
            <w:pPr>
              <w:ind w:left="284"/>
            </w:pPr>
            <w:r w:rsidRPr="00DC4518">
              <w:t xml:space="preserve">Passenger vehicles </w:t>
            </w:r>
            <w:r w:rsidRPr="007914DD">
              <w:rPr>
                <w:vertAlign w:val="superscript"/>
              </w:rPr>
              <w:t>(a)</w:t>
            </w:r>
          </w:p>
        </w:tc>
        <w:tc>
          <w:tcPr>
            <w:tcW w:w="1113" w:type="dxa"/>
          </w:tcPr>
          <w:p w14:paraId="15DC2D99"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17.0</w:t>
            </w:r>
          </w:p>
        </w:tc>
        <w:tc>
          <w:tcPr>
            <w:tcW w:w="1218" w:type="dxa"/>
          </w:tcPr>
          <w:p w14:paraId="3ACE1243"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17.4</w:t>
            </w:r>
          </w:p>
        </w:tc>
        <w:tc>
          <w:tcPr>
            <w:tcW w:w="1191" w:type="dxa"/>
          </w:tcPr>
          <w:p w14:paraId="0E9F595A"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17.6</w:t>
            </w:r>
          </w:p>
        </w:tc>
      </w:tr>
      <w:tr w:rsidR="007404D6" w:rsidRPr="00DC4518" w14:paraId="60477FCC" w14:textId="77777777">
        <w:tc>
          <w:tcPr>
            <w:cnfStyle w:val="001000000000" w:firstRow="0" w:lastRow="0" w:firstColumn="1" w:lastColumn="0" w:oddVBand="0" w:evenVBand="0" w:oddHBand="0" w:evenHBand="0" w:firstRowFirstColumn="0" w:firstRowLastColumn="0" w:lastRowFirstColumn="0" w:lastRowLastColumn="0"/>
            <w:tcW w:w="6117" w:type="dxa"/>
          </w:tcPr>
          <w:p w14:paraId="5F350763" w14:textId="77777777" w:rsidR="007404D6" w:rsidRPr="00DC4518" w:rsidRDefault="007404D6">
            <w:pPr>
              <w:ind w:left="567"/>
            </w:pPr>
            <w:r w:rsidRPr="00DC4518">
              <w:t>Petrol</w:t>
            </w:r>
          </w:p>
        </w:tc>
        <w:tc>
          <w:tcPr>
            <w:tcW w:w="1113" w:type="dxa"/>
          </w:tcPr>
          <w:p w14:paraId="10693A22"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11.5</w:t>
            </w:r>
          </w:p>
        </w:tc>
        <w:tc>
          <w:tcPr>
            <w:tcW w:w="1218" w:type="dxa"/>
          </w:tcPr>
          <w:p w14:paraId="2FE7E3AC"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11.8</w:t>
            </w:r>
          </w:p>
        </w:tc>
        <w:tc>
          <w:tcPr>
            <w:tcW w:w="1191" w:type="dxa"/>
          </w:tcPr>
          <w:p w14:paraId="6E161599"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11.9</w:t>
            </w:r>
          </w:p>
        </w:tc>
      </w:tr>
      <w:tr w:rsidR="007404D6" w:rsidRPr="00DC4518" w14:paraId="18D1532C" w14:textId="77777777">
        <w:tc>
          <w:tcPr>
            <w:cnfStyle w:val="001000000000" w:firstRow="0" w:lastRow="0" w:firstColumn="1" w:lastColumn="0" w:oddVBand="0" w:evenVBand="0" w:oddHBand="0" w:evenHBand="0" w:firstRowFirstColumn="0" w:firstRowLastColumn="0" w:lastRowFirstColumn="0" w:lastRowLastColumn="0"/>
            <w:tcW w:w="6117" w:type="dxa"/>
          </w:tcPr>
          <w:p w14:paraId="31FEA0A2" w14:textId="77777777" w:rsidR="007404D6" w:rsidRPr="00DC4518" w:rsidRDefault="007404D6">
            <w:pPr>
              <w:ind w:left="567"/>
            </w:pPr>
            <w:r w:rsidRPr="00DC4518">
              <w:t>Diesel</w:t>
            </w:r>
          </w:p>
        </w:tc>
        <w:tc>
          <w:tcPr>
            <w:tcW w:w="1113" w:type="dxa"/>
          </w:tcPr>
          <w:p w14:paraId="1065336E"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5.5</w:t>
            </w:r>
          </w:p>
        </w:tc>
        <w:tc>
          <w:tcPr>
            <w:tcW w:w="1218" w:type="dxa"/>
          </w:tcPr>
          <w:p w14:paraId="1572CEDE"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5.6</w:t>
            </w:r>
          </w:p>
        </w:tc>
        <w:tc>
          <w:tcPr>
            <w:tcW w:w="1191" w:type="dxa"/>
          </w:tcPr>
          <w:p w14:paraId="7076CE32"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5.7</w:t>
            </w:r>
          </w:p>
        </w:tc>
      </w:tr>
      <w:tr w:rsidR="007404D6" w:rsidRPr="00DC4518" w14:paraId="473CC0E5" w14:textId="77777777">
        <w:tc>
          <w:tcPr>
            <w:cnfStyle w:val="001000000000" w:firstRow="0" w:lastRow="0" w:firstColumn="1" w:lastColumn="0" w:oddVBand="0" w:evenVBand="0" w:oddHBand="0" w:evenHBand="0" w:firstRowFirstColumn="0" w:firstRowLastColumn="0" w:lastRowFirstColumn="0" w:lastRowLastColumn="0"/>
            <w:tcW w:w="6117" w:type="dxa"/>
          </w:tcPr>
          <w:p w14:paraId="31706DF7" w14:textId="77777777" w:rsidR="007404D6" w:rsidRPr="00DC4518" w:rsidRDefault="007404D6">
            <w:pPr>
              <w:ind w:left="567"/>
            </w:pPr>
            <w:r w:rsidRPr="00DC4518">
              <w:t>Electricity</w:t>
            </w:r>
          </w:p>
        </w:tc>
        <w:tc>
          <w:tcPr>
            <w:tcW w:w="1113" w:type="dxa"/>
          </w:tcPr>
          <w:p w14:paraId="4137724D"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0.1</w:t>
            </w:r>
          </w:p>
        </w:tc>
        <w:tc>
          <w:tcPr>
            <w:tcW w:w="1218" w:type="dxa"/>
          </w:tcPr>
          <w:p w14:paraId="0728B816"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0.1</w:t>
            </w:r>
          </w:p>
        </w:tc>
        <w:tc>
          <w:tcPr>
            <w:tcW w:w="1191" w:type="dxa"/>
          </w:tcPr>
          <w:p w14:paraId="402ADBBD"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0.1</w:t>
            </w:r>
          </w:p>
        </w:tc>
      </w:tr>
      <w:tr w:rsidR="007404D6" w:rsidRPr="00DC4518" w14:paraId="39C380EA" w14:textId="77777777">
        <w:tc>
          <w:tcPr>
            <w:cnfStyle w:val="001000000000" w:firstRow="0" w:lastRow="0" w:firstColumn="1" w:lastColumn="0" w:oddVBand="0" w:evenVBand="0" w:oddHBand="0" w:evenHBand="0" w:firstRowFirstColumn="0" w:firstRowLastColumn="0" w:lastRowFirstColumn="0" w:lastRowLastColumn="0"/>
            <w:tcW w:w="6117" w:type="dxa"/>
          </w:tcPr>
          <w:p w14:paraId="00C0E5DD" w14:textId="77777777" w:rsidR="007404D6" w:rsidRPr="00DC4518" w:rsidRDefault="007404D6">
            <w:pPr>
              <w:ind w:left="284"/>
            </w:pPr>
            <w:r w:rsidRPr="00DC4518">
              <w:t xml:space="preserve">Goods vehicles </w:t>
            </w:r>
            <w:r w:rsidRPr="007914DD">
              <w:rPr>
                <w:vertAlign w:val="superscript"/>
              </w:rPr>
              <w:t>(b)</w:t>
            </w:r>
          </w:p>
        </w:tc>
        <w:tc>
          <w:tcPr>
            <w:tcW w:w="1113" w:type="dxa"/>
          </w:tcPr>
          <w:p w14:paraId="033F0C81"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283.6</w:t>
            </w:r>
          </w:p>
        </w:tc>
        <w:tc>
          <w:tcPr>
            <w:tcW w:w="1218" w:type="dxa"/>
          </w:tcPr>
          <w:p w14:paraId="24CF73B4"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290.0</w:t>
            </w:r>
          </w:p>
        </w:tc>
        <w:tc>
          <w:tcPr>
            <w:tcW w:w="1191" w:type="dxa"/>
          </w:tcPr>
          <w:p w14:paraId="45968044"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293.2</w:t>
            </w:r>
          </w:p>
        </w:tc>
      </w:tr>
      <w:tr w:rsidR="007404D6" w:rsidRPr="00DC4518" w14:paraId="129721E6" w14:textId="77777777">
        <w:tc>
          <w:tcPr>
            <w:cnfStyle w:val="001000000000" w:firstRow="0" w:lastRow="0" w:firstColumn="1" w:lastColumn="0" w:oddVBand="0" w:evenVBand="0" w:oddHBand="0" w:evenHBand="0" w:firstRowFirstColumn="0" w:firstRowLastColumn="0" w:lastRowFirstColumn="0" w:lastRowLastColumn="0"/>
            <w:tcW w:w="6117" w:type="dxa"/>
          </w:tcPr>
          <w:p w14:paraId="1C3568D4" w14:textId="77777777" w:rsidR="007404D6" w:rsidRPr="00DC4518" w:rsidRDefault="007404D6">
            <w:pPr>
              <w:ind w:left="567"/>
            </w:pPr>
            <w:r w:rsidRPr="00DC4518">
              <w:t>Petrol</w:t>
            </w:r>
          </w:p>
        </w:tc>
        <w:tc>
          <w:tcPr>
            <w:tcW w:w="1113" w:type="dxa"/>
          </w:tcPr>
          <w:p w14:paraId="48033BFF"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189.0</w:t>
            </w:r>
          </w:p>
        </w:tc>
        <w:tc>
          <w:tcPr>
            <w:tcW w:w="1218" w:type="dxa"/>
          </w:tcPr>
          <w:p w14:paraId="3F217B35"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193.3</w:t>
            </w:r>
          </w:p>
        </w:tc>
        <w:tc>
          <w:tcPr>
            <w:tcW w:w="1191" w:type="dxa"/>
          </w:tcPr>
          <w:p w14:paraId="0280645E"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195.4</w:t>
            </w:r>
          </w:p>
        </w:tc>
      </w:tr>
      <w:tr w:rsidR="007404D6" w:rsidRPr="00DC4518" w14:paraId="630CF61F" w14:textId="77777777">
        <w:tc>
          <w:tcPr>
            <w:cnfStyle w:val="001000000000" w:firstRow="0" w:lastRow="0" w:firstColumn="1" w:lastColumn="0" w:oddVBand="0" w:evenVBand="0" w:oddHBand="0" w:evenHBand="0" w:firstRowFirstColumn="0" w:firstRowLastColumn="0" w:lastRowFirstColumn="0" w:lastRowLastColumn="0"/>
            <w:tcW w:w="6117" w:type="dxa"/>
          </w:tcPr>
          <w:p w14:paraId="4AFC2D6D" w14:textId="77777777" w:rsidR="007404D6" w:rsidRPr="00DC4518" w:rsidRDefault="007404D6">
            <w:pPr>
              <w:ind w:left="567"/>
            </w:pPr>
            <w:r w:rsidRPr="00DC4518">
              <w:t>Diesel</w:t>
            </w:r>
          </w:p>
        </w:tc>
        <w:tc>
          <w:tcPr>
            <w:tcW w:w="1113" w:type="dxa"/>
          </w:tcPr>
          <w:p w14:paraId="47679A45"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90.4</w:t>
            </w:r>
          </w:p>
        </w:tc>
        <w:tc>
          <w:tcPr>
            <w:tcW w:w="1218" w:type="dxa"/>
          </w:tcPr>
          <w:p w14:paraId="6C962394"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92.5</w:t>
            </w:r>
          </w:p>
        </w:tc>
        <w:tc>
          <w:tcPr>
            <w:tcW w:w="1191" w:type="dxa"/>
          </w:tcPr>
          <w:p w14:paraId="56DFCECA"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93.5</w:t>
            </w:r>
          </w:p>
        </w:tc>
      </w:tr>
      <w:tr w:rsidR="007404D6" w:rsidRPr="00DC4518" w14:paraId="226C71F3" w14:textId="77777777">
        <w:tc>
          <w:tcPr>
            <w:cnfStyle w:val="001000000000" w:firstRow="0" w:lastRow="0" w:firstColumn="1" w:lastColumn="0" w:oddVBand="0" w:evenVBand="0" w:oddHBand="0" w:evenHBand="0" w:firstRowFirstColumn="0" w:firstRowLastColumn="0" w:lastRowFirstColumn="0" w:lastRowLastColumn="0"/>
            <w:tcW w:w="6117" w:type="dxa"/>
          </w:tcPr>
          <w:p w14:paraId="034ADBD5" w14:textId="77777777" w:rsidR="007404D6" w:rsidRPr="00DC4518" w:rsidRDefault="007404D6">
            <w:pPr>
              <w:ind w:left="567"/>
            </w:pPr>
            <w:r w:rsidRPr="00DC4518">
              <w:t>Electricity</w:t>
            </w:r>
          </w:p>
        </w:tc>
        <w:tc>
          <w:tcPr>
            <w:tcW w:w="1113" w:type="dxa"/>
          </w:tcPr>
          <w:p w14:paraId="69E02250"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5C2E1A">
              <w:t>0.9</w:t>
            </w:r>
          </w:p>
        </w:tc>
        <w:tc>
          <w:tcPr>
            <w:tcW w:w="1218" w:type="dxa"/>
          </w:tcPr>
          <w:p w14:paraId="56915026"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255C1F">
              <w:t>0.9</w:t>
            </w:r>
          </w:p>
        </w:tc>
        <w:tc>
          <w:tcPr>
            <w:tcW w:w="1191" w:type="dxa"/>
          </w:tcPr>
          <w:p w14:paraId="1FBCA0AB" w14:textId="77777777" w:rsidR="007404D6" w:rsidRPr="00DC4518" w:rsidRDefault="007404D6">
            <w:pPr>
              <w:cnfStyle w:val="000000000000" w:firstRow="0" w:lastRow="0" w:firstColumn="0" w:lastColumn="0" w:oddVBand="0" w:evenVBand="0" w:oddHBand="0" w:evenHBand="0" w:firstRowFirstColumn="0" w:firstRowLastColumn="0" w:lastRowFirstColumn="0" w:lastRowLastColumn="0"/>
            </w:pPr>
            <w:r w:rsidRPr="006E6D3C">
              <w:t>0.9</w:t>
            </w:r>
          </w:p>
        </w:tc>
      </w:tr>
      <w:tr w:rsidR="007404D6" w:rsidRPr="00DC4518" w14:paraId="12DB95B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7" w:type="dxa"/>
          </w:tcPr>
          <w:p w14:paraId="355C491A" w14:textId="77777777" w:rsidR="007404D6" w:rsidRPr="00DC4518" w:rsidRDefault="007404D6">
            <w:r w:rsidRPr="00DC4518">
              <w:t xml:space="preserve">Total distance travelled by commercial air travel (Passenger km) </w:t>
            </w:r>
            <w:r w:rsidRPr="007914DD">
              <w:rPr>
                <w:rStyle w:val="Reference"/>
              </w:rPr>
              <w:t>[Indicator</w:t>
            </w:r>
            <w:r>
              <w:rPr>
                <w:rStyle w:val="Reference"/>
              </w:rPr>
              <w:t> </w:t>
            </w:r>
            <w:r w:rsidRPr="007914DD">
              <w:rPr>
                <w:rStyle w:val="Reference"/>
              </w:rPr>
              <w:t>T4]</w:t>
            </w:r>
          </w:p>
        </w:tc>
        <w:tc>
          <w:tcPr>
            <w:tcW w:w="1113" w:type="dxa"/>
          </w:tcPr>
          <w:p w14:paraId="306D2B69" w14:textId="77777777" w:rsidR="007404D6" w:rsidRPr="00DC4518" w:rsidRDefault="007404D6">
            <w:pPr>
              <w:cnfStyle w:val="010000000000" w:firstRow="0" w:lastRow="1" w:firstColumn="0" w:lastColumn="0" w:oddVBand="0" w:evenVBand="0" w:oddHBand="0" w:evenHBand="0" w:firstRowFirstColumn="0" w:firstRowLastColumn="0" w:lastRowFirstColumn="0" w:lastRowLastColumn="0"/>
            </w:pPr>
            <w:r>
              <w:t>1 982.8</w:t>
            </w:r>
          </w:p>
        </w:tc>
        <w:tc>
          <w:tcPr>
            <w:tcW w:w="1218" w:type="dxa"/>
          </w:tcPr>
          <w:p w14:paraId="67272120" w14:textId="77777777" w:rsidR="007404D6" w:rsidRPr="00DC4518" w:rsidRDefault="007404D6">
            <w:pPr>
              <w:cnfStyle w:val="010000000000" w:firstRow="0" w:lastRow="1" w:firstColumn="0" w:lastColumn="0" w:oddVBand="0" w:evenVBand="0" w:oddHBand="0" w:evenHBand="0" w:firstRowFirstColumn="0" w:firstRowLastColumn="0" w:lastRowFirstColumn="0" w:lastRowLastColumn="0"/>
            </w:pPr>
            <w:r>
              <w:t>2 027.4</w:t>
            </w:r>
          </w:p>
        </w:tc>
        <w:tc>
          <w:tcPr>
            <w:tcW w:w="1191" w:type="dxa"/>
          </w:tcPr>
          <w:p w14:paraId="632EBB7D" w14:textId="77777777" w:rsidR="007404D6" w:rsidRPr="00DC4518" w:rsidRDefault="007404D6">
            <w:pPr>
              <w:cnfStyle w:val="010000000000" w:firstRow="0" w:lastRow="1" w:firstColumn="0" w:lastColumn="0" w:oddVBand="0" w:evenVBand="0" w:oddHBand="0" w:evenHBand="0" w:firstRowFirstColumn="0" w:firstRowLastColumn="0" w:lastRowFirstColumn="0" w:lastRowLastColumn="0"/>
            </w:pPr>
            <w:r w:rsidRPr="006E6D3C">
              <w:t>2 068.8</w:t>
            </w:r>
          </w:p>
        </w:tc>
      </w:tr>
    </w:tbl>
    <w:p w14:paraId="32AA245C" w14:textId="1D4CDCD2" w:rsidR="003F008D" w:rsidRPr="003F008D" w:rsidRDefault="003F008D" w:rsidP="003F008D">
      <w:pPr>
        <w:pStyle w:val="Note"/>
      </w:pPr>
      <w:r w:rsidRPr="003F008D">
        <w:t>Notes:</w:t>
      </w:r>
    </w:p>
    <w:p w14:paraId="6D58855E" w14:textId="343F0D06" w:rsidR="004330DD" w:rsidRPr="003F008D" w:rsidRDefault="004330DD" w:rsidP="003F008D">
      <w:pPr>
        <w:pStyle w:val="Note"/>
      </w:pPr>
      <w:r w:rsidRPr="003F008D">
        <w:t>(</w:t>
      </w:r>
      <w:r w:rsidR="00F95336">
        <w:t>a</w:t>
      </w:r>
      <w:r w:rsidRPr="003F008D">
        <w:t>)</w:t>
      </w:r>
      <w:r w:rsidR="003F008D" w:rsidRPr="003F008D">
        <w:tab/>
      </w:r>
      <w:r w:rsidRPr="003F008D">
        <w:t>Passenger vehicles include the shared fleet of the Department, Gene Sciences Victoria, The Office of the Commissioner of New Technology, and</w:t>
      </w:r>
      <w:r w:rsidR="005A405F">
        <w:t> </w:t>
      </w:r>
      <w:r w:rsidRPr="003F008D">
        <w:t xml:space="preserve">Innovation Victoria. </w:t>
      </w:r>
    </w:p>
    <w:p w14:paraId="78016314" w14:textId="6E7EBA57" w:rsidR="004330DD" w:rsidRPr="003F008D" w:rsidRDefault="004330DD" w:rsidP="003F008D">
      <w:pPr>
        <w:pStyle w:val="Note"/>
      </w:pPr>
      <w:r w:rsidRPr="003F008D">
        <w:t>(</w:t>
      </w:r>
      <w:r w:rsidR="00F95336">
        <w:t>b</w:t>
      </w:r>
      <w:r w:rsidRPr="003F008D">
        <w:t>)</w:t>
      </w:r>
      <w:r w:rsidR="003F008D" w:rsidRPr="003F008D">
        <w:tab/>
      </w:r>
      <w:r w:rsidRPr="003F008D">
        <w:t>Goods vehicles include the combined fleet of the Department, Gene Sciences Victoria, The Office of the Commissioner of New Technology, and</w:t>
      </w:r>
      <w:r w:rsidR="005A405F">
        <w:t> </w:t>
      </w:r>
      <w:r w:rsidRPr="003F008D">
        <w:t xml:space="preserve">Innovation Victoria. </w:t>
      </w:r>
    </w:p>
    <w:p w14:paraId="6842E0E3" w14:textId="77777777" w:rsidR="004330DD" w:rsidRPr="00C0367A" w:rsidRDefault="004330DD" w:rsidP="004330DD">
      <w:pPr>
        <w:pStyle w:val="Heading3"/>
      </w:pPr>
      <w:r w:rsidRPr="00C0367A">
        <w:lastRenderedPageBreak/>
        <w:t xml:space="preserve">Total </w:t>
      </w:r>
      <w:r>
        <w:t>e</w:t>
      </w:r>
      <w:r w:rsidRPr="00C0367A">
        <w:t xml:space="preserve">nergy </w:t>
      </w:r>
      <w:r>
        <w:t>u</w:t>
      </w:r>
      <w:r w:rsidRPr="00C0367A">
        <w:t>se</w:t>
      </w:r>
    </w:p>
    <w:p w14:paraId="68BA5096" w14:textId="4D9BBCBF" w:rsidR="004330DD" w:rsidRDefault="004330DD" w:rsidP="005A405F">
      <w:pPr>
        <w:keepNext/>
      </w:pPr>
      <w:r>
        <w:t xml:space="preserve">Total energy used by the Department has </w:t>
      </w:r>
      <w:r w:rsidR="00EE6A41">
        <w:t xml:space="preserve">decreased </w:t>
      </w:r>
      <w:r>
        <w:t xml:space="preserve">by 6 per cent from </w:t>
      </w:r>
      <w:fldSimple w:instr="DOCPROPERTY  FinYearPrevious  \* MERGEFORMAT">
        <w:r w:rsidR="005A405F">
          <w:t>20X0</w:t>
        </w:r>
        <w:r w:rsidR="005A405F">
          <w:rPr>
            <w:rFonts w:ascii="Cambria Math" w:hAnsi="Cambria Math" w:cs="Cambria Math"/>
          </w:rPr>
          <w:t>‑</w:t>
        </w:r>
        <w:r w:rsidR="005A405F">
          <w:t>X1</w:t>
        </w:r>
      </w:fldSimple>
      <w:r>
        <w:t xml:space="preserve">to </w:t>
      </w:r>
      <w:r w:rsidR="005A405F" w:rsidRPr="00DC4518">
        <w:t xml:space="preserve"> </w:t>
      </w:r>
      <w:fldSimple w:instr="DOCPROPERTY  FinYearCurrent  \* MERGEFORMAT">
        <w:r w:rsidR="005A405F" w:rsidRPr="005A405F">
          <w:t>20X1</w:t>
        </w:r>
        <w:r w:rsidR="005A405F" w:rsidRPr="005A405F">
          <w:rPr>
            <w:rFonts w:ascii="Cambria Math" w:hAnsi="Cambria Math" w:cs="Cambria Math"/>
          </w:rPr>
          <w:noBreakHyphen/>
        </w:r>
        <w:r w:rsidR="005A405F" w:rsidRPr="005A405F">
          <w:t>X2</w:t>
        </w:r>
      </w:fldSimple>
      <w:r>
        <w:t xml:space="preserve"> driven by </w:t>
      </w:r>
      <w:r w:rsidR="00EE6A41">
        <w:t xml:space="preserve">decreases </w:t>
      </w:r>
      <w:r>
        <w:t xml:space="preserve">in the use of stationary </w:t>
      </w:r>
      <w:r w:rsidR="00F155DB">
        <w:t>and</w:t>
      </w:r>
      <w:r>
        <w:t xml:space="preserve"> transport fuels</w:t>
      </w:r>
      <w:r w:rsidRPr="00761C06">
        <w:t xml:space="preserve">. While the Department’s overall energy use has </w:t>
      </w:r>
      <w:r w:rsidR="00F155DB" w:rsidRPr="00761C06">
        <w:t>decreased</w:t>
      </w:r>
      <w:r w:rsidRPr="00761C06">
        <w:t xml:space="preserve">, a reduction in staff during </w:t>
      </w:r>
      <w:r w:rsidR="005A405F" w:rsidRPr="00DC4518">
        <w:t xml:space="preserve"> </w:t>
      </w:r>
      <w:fldSimple w:instr="DOCPROPERTY  FinYearCurrent  \* MERGEFORMAT">
        <w:r w:rsidR="005A405F" w:rsidRPr="005A405F">
          <w:t>20X1</w:t>
        </w:r>
        <w:r w:rsidR="005A405F" w:rsidRPr="005A405F">
          <w:rPr>
            <w:rFonts w:ascii="Cambria Math" w:hAnsi="Cambria Math" w:cs="Cambria Math"/>
          </w:rPr>
          <w:noBreakHyphen/>
        </w:r>
        <w:r w:rsidR="005A405F" w:rsidRPr="005A405F">
          <w:t>X2</w:t>
        </w:r>
      </w:fldSimple>
      <w:r w:rsidR="005A405F" w:rsidRPr="00DC4518">
        <w:t xml:space="preserve"> </w:t>
      </w:r>
      <w:r w:rsidRPr="00761C06">
        <w:t xml:space="preserve">has largely driven the </w:t>
      </w:r>
      <w:r w:rsidR="00F2057D" w:rsidRPr="00761C06">
        <w:t>23</w:t>
      </w:r>
      <w:r w:rsidRPr="00761C06">
        <w:t xml:space="preserve"> per cent increase in the energy used per full-time-equivalent staff member.</w:t>
      </w:r>
    </w:p>
    <w:p w14:paraId="4EB26874" w14:textId="5DAD3E1C" w:rsidR="004330DD" w:rsidRDefault="004330DD" w:rsidP="004330DD">
      <w:r>
        <w:t xml:space="preserve">The Department’s use of renewable energy has increased by </w:t>
      </w:r>
      <w:r w:rsidR="00C461BD">
        <w:t>87</w:t>
      </w:r>
      <w:r>
        <w:t>.</w:t>
      </w:r>
      <w:r w:rsidR="00C461BD">
        <w:t>2</w:t>
      </w:r>
      <w:r>
        <w:t xml:space="preserve"> per cent driven by the installation of 100kW of rooftop solar on the Department’s data centre</w:t>
      </w:r>
      <w:r w:rsidR="00C461BD">
        <w:t xml:space="preserve"> and purchase of 25</w:t>
      </w:r>
      <w:r w:rsidR="00E811A1">
        <w:t xml:space="preserve"> per cent</w:t>
      </w:r>
      <w:r w:rsidR="00C461BD">
        <w:t xml:space="preserve"> GreenPower</w:t>
      </w:r>
      <w:r>
        <w:t xml:space="preserve">. To mitigate growing energy needs, the Department has been taking several actions as set out under the electricity use, stationary fuel use and transport fuel use sections. The Department also has its Eco-Friendly Workplace Campaign to reduce environmental footprints and is aiming to halve total energy use per FTE within three years compared to 2019-20. </w:t>
      </w:r>
    </w:p>
    <w:tbl>
      <w:tblPr>
        <w:tblStyle w:val="DTFFinancialTable"/>
        <w:tblW w:w="9639" w:type="dxa"/>
        <w:tblLook w:val="06A0" w:firstRow="1" w:lastRow="0" w:firstColumn="1" w:lastColumn="0" w:noHBand="1" w:noVBand="1"/>
      </w:tblPr>
      <w:tblGrid>
        <w:gridCol w:w="6159"/>
        <w:gridCol w:w="1078"/>
        <w:gridCol w:w="1218"/>
        <w:gridCol w:w="1184"/>
      </w:tblGrid>
      <w:tr w:rsidR="004330DD" w:rsidRPr="002E0B4D" w14:paraId="0EEFA38E" w14:textId="77777777" w:rsidTr="007F7E9B">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6159" w:type="dxa"/>
            <w:noWrap/>
            <w:hideMark/>
          </w:tcPr>
          <w:p w14:paraId="2D5DFB70" w14:textId="77777777" w:rsidR="004330DD" w:rsidRPr="00F5044D" w:rsidRDefault="004330DD">
            <w:pPr>
              <w:spacing w:after="0"/>
              <w:rPr>
                <w:i w:val="0"/>
                <w:iCs/>
                <w:lang w:eastAsia="ja-JP"/>
              </w:rPr>
            </w:pPr>
            <w:r w:rsidRPr="00F5044D">
              <w:rPr>
                <w:iCs/>
                <w:lang w:eastAsia="ja-JP"/>
              </w:rPr>
              <w:t xml:space="preserve">Indicator </w:t>
            </w:r>
          </w:p>
        </w:tc>
        <w:tc>
          <w:tcPr>
            <w:tcW w:w="1078" w:type="dxa"/>
            <w:noWrap/>
            <w:hideMark/>
          </w:tcPr>
          <w:p w14:paraId="0983D49A" w14:textId="5609AC5F" w:rsidR="004330DD" w:rsidRPr="005A405F" w:rsidRDefault="004330DD">
            <w:pPr>
              <w:spacing w:after="0"/>
              <w:cnfStyle w:val="100000000000" w:firstRow="1" w:lastRow="0" w:firstColumn="0" w:lastColumn="0" w:oddVBand="0" w:evenVBand="0" w:oddHBand="0" w:evenHBand="0" w:firstRowFirstColumn="0" w:firstRowLastColumn="0" w:lastRowFirstColumn="0" w:lastRowLastColumn="0"/>
              <w:rPr>
                <w:lang w:eastAsia="ja-JP"/>
              </w:rPr>
            </w:pPr>
            <w:r w:rsidRPr="005A405F">
              <w:rPr>
                <w:lang w:eastAsia="ja-JP"/>
              </w:rPr>
              <w:t xml:space="preserve"> </w:t>
            </w:r>
            <w:r w:rsidR="005A405F" w:rsidRPr="005A405F">
              <w:t xml:space="preserve"> </w:t>
            </w:r>
            <w:fldSimple w:instr="DOCPROPERTY  FinYearCurrent  \* MERGEFORMAT">
              <w:r w:rsidR="005A405F" w:rsidRPr="005A405F">
                <w:t>20X1</w:t>
              </w:r>
              <w:r w:rsidR="005A405F" w:rsidRPr="005A405F">
                <w:rPr>
                  <w:rFonts w:ascii="Cambria Math" w:hAnsi="Cambria Math" w:cs="Cambria Math"/>
                </w:rPr>
                <w:noBreakHyphen/>
              </w:r>
              <w:r w:rsidR="005A405F" w:rsidRPr="005A405F">
                <w:t>X2</w:t>
              </w:r>
            </w:fldSimple>
          </w:p>
        </w:tc>
        <w:tc>
          <w:tcPr>
            <w:tcW w:w="1218" w:type="dxa"/>
            <w:noWrap/>
            <w:hideMark/>
          </w:tcPr>
          <w:p w14:paraId="217FD46A" w14:textId="188801EE" w:rsidR="004330DD" w:rsidRPr="005A405F" w:rsidRDefault="005A405F">
            <w:pPr>
              <w:spacing w:after="0"/>
              <w:cnfStyle w:val="100000000000" w:firstRow="1" w:lastRow="0" w:firstColumn="0" w:lastColumn="0" w:oddVBand="0" w:evenVBand="0" w:oddHBand="0" w:evenHBand="0" w:firstRowFirstColumn="0" w:firstRowLastColumn="0" w:lastRowFirstColumn="0" w:lastRowLastColumn="0"/>
              <w:rPr>
                <w:lang w:eastAsia="ja-JP"/>
              </w:rPr>
            </w:pPr>
            <w:fldSimple w:instr="DOCPROPERTY  FinYearPrevious  \* MERGEFORMAT">
              <w:r w:rsidRPr="005A405F">
                <w:t>20X0</w:t>
              </w:r>
              <w:r w:rsidRPr="005A405F">
                <w:rPr>
                  <w:rFonts w:ascii="Cambria Math" w:hAnsi="Cambria Math" w:cs="Cambria Math"/>
                </w:rPr>
                <w:t>‑</w:t>
              </w:r>
              <w:r w:rsidRPr="005A405F">
                <w:t>X1</w:t>
              </w:r>
            </w:fldSimple>
            <w:r w:rsidR="004330DD" w:rsidRPr="005A405F">
              <w:rPr>
                <w:lang w:eastAsia="ja-JP"/>
              </w:rPr>
              <w:t xml:space="preserve"> </w:t>
            </w:r>
          </w:p>
        </w:tc>
        <w:tc>
          <w:tcPr>
            <w:tcW w:w="1184" w:type="dxa"/>
            <w:noWrap/>
            <w:hideMark/>
          </w:tcPr>
          <w:p w14:paraId="4004B063" w14:textId="46EE1965" w:rsidR="004330DD" w:rsidRPr="00F5044D" w:rsidRDefault="004330DD">
            <w:pPr>
              <w:spacing w:after="0"/>
              <w:cnfStyle w:val="100000000000" w:firstRow="1" w:lastRow="0" w:firstColumn="0" w:lastColumn="0" w:oddVBand="0" w:evenVBand="0" w:oddHBand="0" w:evenHBand="0" w:firstRowFirstColumn="0" w:firstRowLastColumn="0" w:lastRowFirstColumn="0" w:lastRowLastColumn="0"/>
              <w:rPr>
                <w:i w:val="0"/>
                <w:iCs/>
                <w:lang w:eastAsia="ja-JP"/>
              </w:rPr>
            </w:pPr>
            <w:r w:rsidRPr="00F5044D">
              <w:rPr>
                <w:iCs/>
                <w:lang w:eastAsia="ja-JP"/>
              </w:rPr>
              <w:t xml:space="preserve"> </w:t>
            </w:r>
            <w:r>
              <w:rPr>
                <w:iCs/>
                <w:lang w:eastAsia="ja-JP"/>
              </w:rPr>
              <w:t>20XX-X0</w:t>
            </w:r>
            <w:r w:rsidRPr="00F5044D">
              <w:rPr>
                <w:iCs/>
                <w:lang w:eastAsia="ja-JP"/>
              </w:rPr>
              <w:t xml:space="preserve"> </w:t>
            </w:r>
          </w:p>
        </w:tc>
      </w:tr>
      <w:tr w:rsidR="004330DD" w:rsidRPr="000B61CD" w14:paraId="3A8B400A" w14:textId="77777777" w:rsidTr="007F7E9B">
        <w:trPr>
          <w:trHeight w:val="187"/>
        </w:trPr>
        <w:tc>
          <w:tcPr>
            <w:cnfStyle w:val="001000000000" w:firstRow="0" w:lastRow="0" w:firstColumn="1" w:lastColumn="0" w:oddVBand="0" w:evenVBand="0" w:oddHBand="0" w:evenHBand="0" w:firstRowFirstColumn="0" w:firstRowLastColumn="0" w:lastRowFirstColumn="0" w:lastRowLastColumn="0"/>
            <w:tcW w:w="6159" w:type="dxa"/>
            <w:noWrap/>
            <w:hideMark/>
          </w:tcPr>
          <w:p w14:paraId="1A622D0B" w14:textId="77777777" w:rsidR="004330DD" w:rsidRPr="000B61CD" w:rsidRDefault="004330DD" w:rsidP="000B61CD">
            <w:r w:rsidRPr="000B61CD">
              <w:t xml:space="preserve">Total energy usage from fuels (stationary and transportation) (MJ) </w:t>
            </w:r>
            <w:r w:rsidRPr="000B61CD">
              <w:rPr>
                <w:rStyle w:val="Reference"/>
              </w:rPr>
              <w:t>[Indicator E1]</w:t>
            </w:r>
          </w:p>
        </w:tc>
        <w:tc>
          <w:tcPr>
            <w:tcW w:w="1078" w:type="dxa"/>
            <w:noWrap/>
            <w:hideMark/>
          </w:tcPr>
          <w:p w14:paraId="4366CA26" w14:textId="3C9E8607" w:rsidR="004330DD" w:rsidRPr="000B61CD" w:rsidRDefault="00791E0D" w:rsidP="000B61CD">
            <w:pPr>
              <w:cnfStyle w:val="000000000000" w:firstRow="0" w:lastRow="0" w:firstColumn="0" w:lastColumn="0" w:oddVBand="0" w:evenVBand="0" w:oddHBand="0" w:evenHBand="0" w:firstRowFirstColumn="0" w:firstRowLastColumn="0" w:lastRowFirstColumn="0" w:lastRowLastColumn="0"/>
            </w:pPr>
            <w:r>
              <w:t>6</w:t>
            </w:r>
            <w:r w:rsidR="001C4D54" w:rsidRPr="000B61CD">
              <w:t xml:space="preserve"> </w:t>
            </w:r>
            <w:r>
              <w:t>327</w:t>
            </w:r>
            <w:r w:rsidR="001C4D54" w:rsidRPr="000B61CD">
              <w:t xml:space="preserve"> </w:t>
            </w:r>
            <w:r>
              <w:t>576</w:t>
            </w:r>
            <w:r w:rsidR="001C4D54" w:rsidRPr="000B61CD">
              <w:t>.</w:t>
            </w:r>
            <w:r>
              <w:t>3</w:t>
            </w:r>
          </w:p>
        </w:tc>
        <w:tc>
          <w:tcPr>
            <w:tcW w:w="1218" w:type="dxa"/>
            <w:noWrap/>
            <w:hideMark/>
          </w:tcPr>
          <w:p w14:paraId="5965F4C3" w14:textId="288898BB" w:rsidR="004330DD" w:rsidRPr="000B61CD" w:rsidRDefault="006F0DFB" w:rsidP="000B61CD">
            <w:pPr>
              <w:cnfStyle w:val="000000000000" w:firstRow="0" w:lastRow="0" w:firstColumn="0" w:lastColumn="0" w:oddVBand="0" w:evenVBand="0" w:oddHBand="0" w:evenHBand="0" w:firstRowFirstColumn="0" w:firstRowLastColumn="0" w:lastRowFirstColumn="0" w:lastRowLastColumn="0"/>
            </w:pPr>
            <w:r w:rsidRPr="0061100E">
              <w:t>6</w:t>
            </w:r>
            <w:r>
              <w:t xml:space="preserve"> </w:t>
            </w:r>
            <w:r w:rsidRPr="0061100E">
              <w:t>591</w:t>
            </w:r>
            <w:r>
              <w:t xml:space="preserve"> </w:t>
            </w:r>
            <w:r w:rsidRPr="0061100E">
              <w:t>225.3</w:t>
            </w:r>
          </w:p>
        </w:tc>
        <w:tc>
          <w:tcPr>
            <w:tcW w:w="1184" w:type="dxa"/>
            <w:noWrap/>
            <w:hideMark/>
          </w:tcPr>
          <w:p w14:paraId="376BB854" w14:textId="5B06A9F4" w:rsidR="004330DD" w:rsidRPr="000B61CD" w:rsidRDefault="001C4D54" w:rsidP="000B61CD">
            <w:pPr>
              <w:cnfStyle w:val="000000000000" w:firstRow="0" w:lastRow="0" w:firstColumn="0" w:lastColumn="0" w:oddVBand="0" w:evenVBand="0" w:oddHBand="0" w:evenHBand="0" w:firstRowFirstColumn="0" w:firstRowLastColumn="0" w:lastRowFirstColumn="0" w:lastRowLastColumn="0"/>
            </w:pPr>
            <w:r w:rsidRPr="000B61CD">
              <w:t>6 725 740.1</w:t>
            </w:r>
          </w:p>
        </w:tc>
      </w:tr>
      <w:tr w:rsidR="004330DD" w:rsidRPr="000B61CD" w14:paraId="3DF3C2A3" w14:textId="77777777" w:rsidTr="007F7E9B">
        <w:trPr>
          <w:trHeight w:val="187"/>
        </w:trPr>
        <w:tc>
          <w:tcPr>
            <w:cnfStyle w:val="001000000000" w:firstRow="0" w:lastRow="0" w:firstColumn="1" w:lastColumn="0" w:oddVBand="0" w:evenVBand="0" w:oddHBand="0" w:evenHBand="0" w:firstRowFirstColumn="0" w:firstRowLastColumn="0" w:lastRowFirstColumn="0" w:lastRowLastColumn="0"/>
            <w:tcW w:w="6159" w:type="dxa"/>
            <w:noWrap/>
            <w:hideMark/>
          </w:tcPr>
          <w:p w14:paraId="0B248B17" w14:textId="77777777" w:rsidR="004330DD" w:rsidRPr="000B61CD" w:rsidRDefault="004330DD" w:rsidP="000B61CD">
            <w:r w:rsidRPr="000B61CD">
              <w:t xml:space="preserve">Total energy used from electricity (MJ) </w:t>
            </w:r>
            <w:r w:rsidRPr="000B61CD">
              <w:rPr>
                <w:rStyle w:val="Reference"/>
              </w:rPr>
              <w:t>[Indicator E2]</w:t>
            </w:r>
          </w:p>
        </w:tc>
        <w:tc>
          <w:tcPr>
            <w:tcW w:w="1078" w:type="dxa"/>
            <w:noWrap/>
            <w:hideMark/>
          </w:tcPr>
          <w:p w14:paraId="13F8A176" w14:textId="1B57FDC6" w:rsidR="004330DD" w:rsidRPr="000B61CD" w:rsidRDefault="005D65F0" w:rsidP="000B61CD">
            <w:pPr>
              <w:cnfStyle w:val="000000000000" w:firstRow="0" w:lastRow="0" w:firstColumn="0" w:lastColumn="0" w:oddVBand="0" w:evenVBand="0" w:oddHBand="0" w:evenHBand="0" w:firstRowFirstColumn="0" w:firstRowLastColumn="0" w:lastRowFirstColumn="0" w:lastRowLastColumn="0"/>
            </w:pPr>
            <w:r>
              <w:t>1 891 125.4</w:t>
            </w:r>
          </w:p>
        </w:tc>
        <w:tc>
          <w:tcPr>
            <w:tcW w:w="1218" w:type="dxa"/>
            <w:noWrap/>
            <w:hideMark/>
          </w:tcPr>
          <w:p w14:paraId="4456F6DF" w14:textId="78D4DD46" w:rsidR="004330DD" w:rsidRPr="000B61CD" w:rsidRDefault="00AD5112" w:rsidP="000B61CD">
            <w:pPr>
              <w:cnfStyle w:val="000000000000" w:firstRow="0" w:lastRow="0" w:firstColumn="0" w:lastColumn="0" w:oddVBand="0" w:evenVBand="0" w:oddHBand="0" w:evenHBand="0" w:firstRowFirstColumn="0" w:firstRowLastColumn="0" w:lastRowFirstColumn="0" w:lastRowLastColumn="0"/>
            </w:pPr>
            <w:r w:rsidRPr="0061100E">
              <w:t>1</w:t>
            </w:r>
            <w:r>
              <w:t xml:space="preserve"> </w:t>
            </w:r>
            <w:r w:rsidRPr="0061100E">
              <w:t>969</w:t>
            </w:r>
            <w:r>
              <w:t xml:space="preserve"> </w:t>
            </w:r>
            <w:r w:rsidRPr="0061100E">
              <w:t>922.3</w:t>
            </w:r>
          </w:p>
        </w:tc>
        <w:tc>
          <w:tcPr>
            <w:tcW w:w="1184" w:type="dxa"/>
            <w:noWrap/>
            <w:hideMark/>
          </w:tcPr>
          <w:p w14:paraId="57499C08" w14:textId="4EA0AB93" w:rsidR="004330DD" w:rsidRPr="000B61CD" w:rsidRDefault="001C4D54" w:rsidP="000B61CD">
            <w:pPr>
              <w:cnfStyle w:val="000000000000" w:firstRow="0" w:lastRow="0" w:firstColumn="0" w:lastColumn="0" w:oddVBand="0" w:evenVBand="0" w:oddHBand="0" w:evenHBand="0" w:firstRowFirstColumn="0" w:firstRowLastColumn="0" w:lastRowFirstColumn="0" w:lastRowLastColumn="0"/>
            </w:pPr>
            <w:r w:rsidRPr="000B61CD">
              <w:t>2 010 124.8</w:t>
            </w:r>
          </w:p>
        </w:tc>
      </w:tr>
      <w:tr w:rsidR="004330DD" w:rsidRPr="002E0B4D" w14:paraId="1936C17B" w14:textId="77777777" w:rsidTr="007F7E9B">
        <w:trPr>
          <w:trHeight w:val="187"/>
        </w:trPr>
        <w:tc>
          <w:tcPr>
            <w:cnfStyle w:val="001000000000" w:firstRow="0" w:lastRow="0" w:firstColumn="1" w:lastColumn="0" w:oddVBand="0" w:evenVBand="0" w:oddHBand="0" w:evenHBand="0" w:firstRowFirstColumn="0" w:firstRowLastColumn="0" w:lastRowFirstColumn="0" w:lastRowLastColumn="0"/>
            <w:tcW w:w="6159" w:type="dxa"/>
            <w:noWrap/>
            <w:hideMark/>
          </w:tcPr>
          <w:p w14:paraId="4B7EB7FD" w14:textId="77777777" w:rsidR="004330DD" w:rsidRPr="002E0B4D" w:rsidRDefault="004330DD">
            <w:pPr>
              <w:spacing w:after="0"/>
              <w:rPr>
                <w:szCs w:val="17"/>
                <w:lang w:eastAsia="ja-JP"/>
              </w:rPr>
            </w:pPr>
            <w:r w:rsidRPr="002E0B4D">
              <w:rPr>
                <w:szCs w:val="17"/>
                <w:lang w:eastAsia="ja-JP"/>
              </w:rPr>
              <w:t>Total energy used segmented into renewable and non-renewable sources (MJ) </w:t>
            </w:r>
            <w:r w:rsidRPr="003936F1">
              <w:rPr>
                <w:rStyle w:val="Reference"/>
              </w:rPr>
              <w:t xml:space="preserve">[Indicator </w:t>
            </w:r>
            <w:r>
              <w:rPr>
                <w:rStyle w:val="Reference"/>
              </w:rPr>
              <w:t>E3</w:t>
            </w:r>
            <w:r w:rsidRPr="003936F1">
              <w:rPr>
                <w:rStyle w:val="Reference"/>
              </w:rPr>
              <w:t>]</w:t>
            </w:r>
          </w:p>
        </w:tc>
        <w:tc>
          <w:tcPr>
            <w:tcW w:w="1078" w:type="dxa"/>
            <w:noWrap/>
            <w:hideMark/>
          </w:tcPr>
          <w:p w14:paraId="57653768" w14:textId="548C7461" w:rsidR="004330DD" w:rsidRPr="002E0B4D" w:rsidRDefault="005D65F0">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8 218 701.7</w:t>
            </w:r>
            <w:r w:rsidR="001C4D54">
              <w:rPr>
                <w:szCs w:val="17"/>
                <w:lang w:eastAsia="ja-JP"/>
              </w:rPr>
              <w:t xml:space="preserve"> </w:t>
            </w:r>
          </w:p>
        </w:tc>
        <w:tc>
          <w:tcPr>
            <w:tcW w:w="1218" w:type="dxa"/>
            <w:noWrap/>
            <w:hideMark/>
          </w:tcPr>
          <w:p w14:paraId="610B6A18" w14:textId="2B598EA6" w:rsidR="004330DD" w:rsidRPr="002E0B4D" w:rsidRDefault="0051440B">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sidRPr="0061100E">
              <w:t>8</w:t>
            </w:r>
            <w:r>
              <w:t xml:space="preserve"> </w:t>
            </w:r>
            <w:r w:rsidRPr="0061100E">
              <w:t>561</w:t>
            </w:r>
            <w:r>
              <w:t xml:space="preserve"> </w:t>
            </w:r>
            <w:r w:rsidRPr="0061100E">
              <w:t>147.6</w:t>
            </w:r>
          </w:p>
        </w:tc>
        <w:tc>
          <w:tcPr>
            <w:tcW w:w="1184" w:type="dxa"/>
            <w:noWrap/>
            <w:hideMark/>
          </w:tcPr>
          <w:p w14:paraId="0DF20858" w14:textId="5CC44687" w:rsidR="004330DD" w:rsidRPr="002E0B4D" w:rsidRDefault="001C4D54">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8 735 864.9</w:t>
            </w:r>
          </w:p>
        </w:tc>
      </w:tr>
      <w:tr w:rsidR="0093464E" w:rsidRPr="002E0B4D" w14:paraId="4D0E6234" w14:textId="77777777" w:rsidTr="00E0627C">
        <w:trPr>
          <w:trHeight w:val="187"/>
        </w:trPr>
        <w:tc>
          <w:tcPr>
            <w:cnfStyle w:val="001000000000" w:firstRow="0" w:lastRow="0" w:firstColumn="1" w:lastColumn="0" w:oddVBand="0" w:evenVBand="0" w:oddHBand="0" w:evenHBand="0" w:firstRowFirstColumn="0" w:firstRowLastColumn="0" w:lastRowFirstColumn="0" w:lastRowLastColumn="0"/>
            <w:tcW w:w="6159" w:type="dxa"/>
            <w:noWrap/>
          </w:tcPr>
          <w:p w14:paraId="06BF5278" w14:textId="77777777" w:rsidR="0093464E" w:rsidRPr="002E0B4D" w:rsidRDefault="0093464E">
            <w:pPr>
              <w:spacing w:after="0"/>
              <w:rPr>
                <w:szCs w:val="17"/>
                <w:lang w:eastAsia="ja-JP"/>
              </w:rPr>
            </w:pPr>
            <w:r w:rsidRPr="002E0B4D">
              <w:rPr>
                <w:szCs w:val="17"/>
                <w:lang w:eastAsia="ja-JP"/>
              </w:rPr>
              <w:t>Renewable</w:t>
            </w:r>
          </w:p>
        </w:tc>
        <w:tc>
          <w:tcPr>
            <w:tcW w:w="1078" w:type="dxa"/>
            <w:noWrap/>
            <w:hideMark/>
          </w:tcPr>
          <w:p w14:paraId="74CB76AB" w14:textId="25C22EE1" w:rsidR="0093464E" w:rsidRPr="002E0B4D" w:rsidRDefault="0093464E">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 xml:space="preserve">1 </w:t>
            </w:r>
            <w:r w:rsidR="005D65F0">
              <w:rPr>
                <w:szCs w:val="17"/>
                <w:lang w:eastAsia="ja-JP"/>
              </w:rPr>
              <w:t>302 229.7</w:t>
            </w:r>
          </w:p>
        </w:tc>
        <w:tc>
          <w:tcPr>
            <w:tcW w:w="1218" w:type="dxa"/>
            <w:noWrap/>
            <w:hideMark/>
          </w:tcPr>
          <w:p w14:paraId="3C947D5A" w14:textId="693B777B" w:rsidR="0093464E" w:rsidRPr="002E0B4D" w:rsidRDefault="0093464E">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695 635.5</w:t>
            </w:r>
          </w:p>
        </w:tc>
        <w:tc>
          <w:tcPr>
            <w:tcW w:w="1184" w:type="dxa"/>
            <w:noWrap/>
            <w:hideMark/>
          </w:tcPr>
          <w:p w14:paraId="2799A9A8" w14:textId="7A12EEC2" w:rsidR="0093464E" w:rsidRPr="002E0B4D" w:rsidRDefault="0093464E">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705 190.6</w:t>
            </w:r>
          </w:p>
        </w:tc>
      </w:tr>
      <w:tr w:rsidR="0093464E" w:rsidRPr="002E0B4D" w14:paraId="6863499D" w14:textId="77777777" w:rsidTr="00E0627C">
        <w:trPr>
          <w:trHeight w:val="187"/>
        </w:trPr>
        <w:tc>
          <w:tcPr>
            <w:cnfStyle w:val="001000000000" w:firstRow="0" w:lastRow="0" w:firstColumn="1" w:lastColumn="0" w:oddVBand="0" w:evenVBand="0" w:oddHBand="0" w:evenHBand="0" w:firstRowFirstColumn="0" w:firstRowLastColumn="0" w:lastRowFirstColumn="0" w:lastRowLastColumn="0"/>
            <w:tcW w:w="6159" w:type="dxa"/>
            <w:noWrap/>
          </w:tcPr>
          <w:p w14:paraId="39C8A196" w14:textId="77777777" w:rsidR="0093464E" w:rsidRPr="002E0B4D" w:rsidRDefault="0093464E">
            <w:pPr>
              <w:spacing w:after="0"/>
              <w:rPr>
                <w:szCs w:val="17"/>
                <w:lang w:eastAsia="ja-JP"/>
              </w:rPr>
            </w:pPr>
            <w:r w:rsidRPr="002E0B4D">
              <w:rPr>
                <w:szCs w:val="17"/>
                <w:lang w:eastAsia="ja-JP"/>
              </w:rPr>
              <w:t>Non-renewable</w:t>
            </w:r>
          </w:p>
        </w:tc>
        <w:tc>
          <w:tcPr>
            <w:tcW w:w="1078" w:type="dxa"/>
            <w:noWrap/>
            <w:hideMark/>
          </w:tcPr>
          <w:p w14:paraId="60EBC544" w14:textId="330C2379" w:rsidR="0093464E" w:rsidRPr="002E0B4D" w:rsidRDefault="005D65F0">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6 916 472.0</w:t>
            </w:r>
          </w:p>
        </w:tc>
        <w:tc>
          <w:tcPr>
            <w:tcW w:w="1218" w:type="dxa"/>
            <w:noWrap/>
            <w:hideMark/>
          </w:tcPr>
          <w:p w14:paraId="4FFBB05F" w14:textId="73B99A4B" w:rsidR="0093464E" w:rsidRPr="002E0B4D" w:rsidRDefault="00F95CB6">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sidRPr="0061100E">
              <w:t>7</w:t>
            </w:r>
            <w:r>
              <w:t xml:space="preserve"> </w:t>
            </w:r>
            <w:r w:rsidRPr="0061100E">
              <w:t>865</w:t>
            </w:r>
            <w:r>
              <w:t xml:space="preserve"> </w:t>
            </w:r>
            <w:r w:rsidRPr="0061100E">
              <w:t>512.1</w:t>
            </w:r>
          </w:p>
        </w:tc>
        <w:tc>
          <w:tcPr>
            <w:tcW w:w="1184" w:type="dxa"/>
            <w:noWrap/>
            <w:hideMark/>
          </w:tcPr>
          <w:p w14:paraId="05AA1138" w14:textId="61FEB20B" w:rsidR="0093464E" w:rsidRPr="002E0B4D" w:rsidRDefault="0093464E">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8 030 674.3</w:t>
            </w:r>
          </w:p>
        </w:tc>
      </w:tr>
      <w:tr w:rsidR="004330DD" w:rsidRPr="002E0B4D" w14:paraId="4CDE5D1B" w14:textId="77777777" w:rsidTr="007F7E9B">
        <w:trPr>
          <w:trHeight w:val="187"/>
        </w:trPr>
        <w:tc>
          <w:tcPr>
            <w:cnfStyle w:val="001000000000" w:firstRow="0" w:lastRow="0" w:firstColumn="1" w:lastColumn="0" w:oddVBand="0" w:evenVBand="0" w:oddHBand="0" w:evenHBand="0" w:firstRowFirstColumn="0" w:firstRowLastColumn="0" w:lastRowFirstColumn="0" w:lastRowLastColumn="0"/>
            <w:tcW w:w="6159" w:type="dxa"/>
            <w:noWrap/>
            <w:hideMark/>
          </w:tcPr>
          <w:p w14:paraId="0D1EB32F" w14:textId="77777777" w:rsidR="004330DD" w:rsidRPr="002E0B4D" w:rsidRDefault="004330DD">
            <w:pPr>
              <w:spacing w:after="0"/>
              <w:rPr>
                <w:szCs w:val="17"/>
                <w:lang w:eastAsia="ja-JP"/>
              </w:rPr>
            </w:pPr>
            <w:r w:rsidRPr="002E0B4D">
              <w:rPr>
                <w:szCs w:val="17"/>
                <w:lang w:eastAsia="ja-JP"/>
              </w:rPr>
              <w:t>Units of energy used normalised by FTE</w:t>
            </w:r>
            <w:r>
              <w:rPr>
                <w:szCs w:val="17"/>
                <w:lang w:eastAsia="ja-JP"/>
              </w:rPr>
              <w:t xml:space="preserve"> </w:t>
            </w:r>
            <w:r w:rsidRPr="003936F1">
              <w:rPr>
                <w:rStyle w:val="Reference"/>
              </w:rPr>
              <w:t xml:space="preserve">[Indicator </w:t>
            </w:r>
            <w:r>
              <w:rPr>
                <w:rStyle w:val="Reference"/>
              </w:rPr>
              <w:t>E4</w:t>
            </w:r>
            <w:r w:rsidRPr="003936F1">
              <w:rPr>
                <w:rStyle w:val="Reference"/>
              </w:rPr>
              <w:t>]</w:t>
            </w:r>
          </w:p>
        </w:tc>
        <w:tc>
          <w:tcPr>
            <w:tcW w:w="1078" w:type="dxa"/>
            <w:noWrap/>
            <w:hideMark/>
          </w:tcPr>
          <w:p w14:paraId="6DCCD0A3" w14:textId="31070407" w:rsidR="004330DD" w:rsidRPr="002E0B4D" w:rsidRDefault="001C4D54">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23 729.8</w:t>
            </w:r>
          </w:p>
        </w:tc>
        <w:tc>
          <w:tcPr>
            <w:tcW w:w="1218" w:type="dxa"/>
            <w:noWrap/>
            <w:hideMark/>
          </w:tcPr>
          <w:p w14:paraId="656CF0C1" w14:textId="021C0D48" w:rsidR="004330DD" w:rsidRPr="002E0B4D" w:rsidRDefault="001C4D54">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18 260.1</w:t>
            </w:r>
          </w:p>
        </w:tc>
        <w:tc>
          <w:tcPr>
            <w:tcW w:w="1184" w:type="dxa"/>
            <w:noWrap/>
            <w:hideMark/>
          </w:tcPr>
          <w:p w14:paraId="1F5CF98D" w14:textId="19E606D6" w:rsidR="004330DD" w:rsidRPr="002E0B4D" w:rsidRDefault="001C4D54">
            <w:pPr>
              <w:spacing w:after="0"/>
              <w:cnfStyle w:val="000000000000" w:firstRow="0" w:lastRow="0" w:firstColumn="0" w:lastColumn="0" w:oddVBand="0" w:evenVBand="0" w:oddHBand="0" w:evenHBand="0" w:firstRowFirstColumn="0" w:firstRowLastColumn="0" w:lastRowFirstColumn="0" w:lastRowLastColumn="0"/>
              <w:rPr>
                <w:szCs w:val="17"/>
                <w:lang w:eastAsia="ja-JP"/>
              </w:rPr>
            </w:pPr>
            <w:r>
              <w:rPr>
                <w:szCs w:val="17"/>
                <w:lang w:eastAsia="ja-JP"/>
              </w:rPr>
              <w:t>18 587.0</w:t>
            </w:r>
          </w:p>
        </w:tc>
      </w:tr>
    </w:tbl>
    <w:p w14:paraId="598FB319" w14:textId="77777777" w:rsidR="004330DD" w:rsidRPr="00C32143" w:rsidRDefault="004330DD" w:rsidP="004330DD">
      <w:pPr>
        <w:pStyle w:val="Heading3"/>
      </w:pPr>
      <w:r w:rsidRPr="77D25D40">
        <w:t xml:space="preserve">Sustainable </w:t>
      </w:r>
      <w:r>
        <w:t>b</w:t>
      </w:r>
      <w:r w:rsidRPr="77D25D40">
        <w:t xml:space="preserve">uildings and </w:t>
      </w:r>
      <w:r>
        <w:t>i</w:t>
      </w:r>
      <w:r w:rsidRPr="77D25D40">
        <w:t xml:space="preserve">nfrastructure </w:t>
      </w:r>
    </w:p>
    <w:p w14:paraId="78D6A89C" w14:textId="77777777" w:rsidR="004330DD" w:rsidRPr="00356A77" w:rsidRDefault="004330DD" w:rsidP="004330DD">
      <w:r w:rsidRPr="00AE60C8">
        <w:t xml:space="preserve">Australia’s harsh climate and scarce water resources mean </w:t>
      </w:r>
      <w:r>
        <w:t xml:space="preserve">the development of </w:t>
      </w:r>
      <w:r w:rsidRPr="00AE60C8">
        <w:t>sustainable building</w:t>
      </w:r>
      <w:r>
        <w:t>s</w:t>
      </w:r>
      <w:r w:rsidRPr="00AE60C8">
        <w:t xml:space="preserve"> is an economic and environmental necessity. </w:t>
      </w:r>
      <w:r>
        <w:t>R</w:t>
      </w:r>
      <w:r w:rsidRPr="00E70FC3">
        <w:t xml:space="preserve">ecent extreme weather events demonstrate the importance of addressing climate change risk across the </w:t>
      </w:r>
      <w:r>
        <w:t>Department’s</w:t>
      </w:r>
      <w:r w:rsidRPr="00E70FC3">
        <w:t xml:space="preserve"> operations</w:t>
      </w:r>
      <w:r>
        <w:t xml:space="preserve">, including when it comes to the design and management of buildings and </w:t>
      </w:r>
      <w:r w:rsidRPr="00356A77">
        <w:t>infrastructure</w:t>
      </w:r>
      <w:r>
        <w:t xml:space="preserve"> assets</w:t>
      </w:r>
      <w:r w:rsidRPr="00356A77">
        <w:t xml:space="preserve">. </w:t>
      </w:r>
    </w:p>
    <w:p w14:paraId="5E0F6367" w14:textId="7FCA7B13" w:rsidR="004330DD" w:rsidRDefault="004330DD" w:rsidP="004330DD">
      <w:r w:rsidRPr="5AD2932F">
        <w:t xml:space="preserve">The </w:t>
      </w:r>
      <w:r>
        <w:t>Department</w:t>
      </w:r>
      <w:r w:rsidRPr="77D25D40">
        <w:t xml:space="preserve"> </w:t>
      </w:r>
      <w:r>
        <w:t>established its</w:t>
      </w:r>
      <w:r w:rsidRPr="5AD2932F">
        <w:t xml:space="preserve"> Sustainable Building Policy in </w:t>
      </w:r>
      <w:r w:rsidR="005A405F" w:rsidRPr="005A405F">
        <w:fldChar w:fldCharType="begin"/>
      </w:r>
      <w:r w:rsidR="005A405F" w:rsidRPr="005A405F">
        <w:instrText>DOCPROPERTY  Year</w:instrText>
      </w:r>
      <w:r w:rsidR="005A405F">
        <w:instrText>Previous</w:instrText>
      </w:r>
      <w:r w:rsidR="005A405F" w:rsidRPr="005A405F">
        <w:instrText xml:space="preserve">  \* MERGEFORMAT</w:instrText>
      </w:r>
      <w:r w:rsidR="005A405F" w:rsidRPr="005A405F">
        <w:fldChar w:fldCharType="separate"/>
      </w:r>
      <w:r w:rsidR="005A405F">
        <w:t>20X1</w:t>
      </w:r>
      <w:r w:rsidR="005A405F" w:rsidRPr="005A405F">
        <w:fldChar w:fldCharType="end"/>
      </w:r>
      <w:r w:rsidR="000C4E6E">
        <w:t>.</w:t>
      </w:r>
      <w:r w:rsidRPr="5AD2932F">
        <w:t xml:space="preserve"> Th</w:t>
      </w:r>
      <w:r>
        <w:t>is</w:t>
      </w:r>
      <w:r w:rsidRPr="5AD2932F">
        <w:t xml:space="preserve"> policy has been set up to ensure the design, budgeting and delivery of buildings used by the </w:t>
      </w:r>
      <w:r>
        <w:t>Department</w:t>
      </w:r>
      <w:r w:rsidRPr="77D25D40">
        <w:t xml:space="preserve"> </w:t>
      </w:r>
      <w:r w:rsidRPr="5AD2932F">
        <w:t>incorporate best practice sustainable design principles and resource efficient features. The policy set</w:t>
      </w:r>
      <w:r>
        <w:t>s</w:t>
      </w:r>
      <w:r w:rsidRPr="5AD2932F">
        <w:t xml:space="preserve"> minimum sustainable building standards to guide the </w:t>
      </w:r>
      <w:r>
        <w:t>Department’s</w:t>
      </w:r>
      <w:r w:rsidRPr="77D25D40">
        <w:t xml:space="preserve"> </w:t>
      </w:r>
      <w:r w:rsidRPr="5AD2932F">
        <w:t xml:space="preserve">decisions about new buildings, building maintenance, upgrades, demolition and lease renewal. </w:t>
      </w:r>
      <w:r w:rsidRPr="003936F1">
        <w:rPr>
          <w:rStyle w:val="Reference"/>
        </w:rPr>
        <w:t xml:space="preserve">[Indicator </w:t>
      </w:r>
      <w:r>
        <w:rPr>
          <w:rStyle w:val="Reference"/>
        </w:rPr>
        <w:t>B</w:t>
      </w:r>
      <w:r w:rsidRPr="003936F1">
        <w:rPr>
          <w:rStyle w:val="Reference"/>
        </w:rPr>
        <w:t>1]</w:t>
      </w:r>
    </w:p>
    <w:p w14:paraId="0F6554A4" w14:textId="5BFD6436" w:rsidR="004330DD" w:rsidRDefault="004330DD" w:rsidP="004330DD">
      <w:r w:rsidRPr="77D25D40">
        <w:t>Aligned with th</w:t>
      </w:r>
      <w:r>
        <w:t>is</w:t>
      </w:r>
      <w:r w:rsidRPr="77D25D40">
        <w:t xml:space="preserve"> policy, the </w:t>
      </w:r>
      <w:r>
        <w:t>Department</w:t>
      </w:r>
      <w:r w:rsidRPr="77D25D40">
        <w:t xml:space="preserve"> </w:t>
      </w:r>
      <w:r>
        <w:t xml:space="preserve">has </w:t>
      </w:r>
      <w:r w:rsidRPr="77D25D40">
        <w:t>adjusted lighting levels, temperature and other building systems to avoid unnecessary consumption of energy</w:t>
      </w:r>
      <w:r>
        <w:t xml:space="preserve"> while maintaining safety and comfort of occupants</w:t>
      </w:r>
      <w:r w:rsidRPr="77D25D40">
        <w:t xml:space="preserve">. The </w:t>
      </w:r>
      <w:r>
        <w:t>Department</w:t>
      </w:r>
      <w:r w:rsidRPr="77D25D40">
        <w:t xml:space="preserve"> </w:t>
      </w:r>
      <w:r>
        <w:t>has</w:t>
      </w:r>
      <w:r w:rsidRPr="77D25D40">
        <w:t xml:space="preserve"> implemented </w:t>
      </w:r>
      <w:r>
        <w:t xml:space="preserve">measures </w:t>
      </w:r>
      <w:r w:rsidRPr="77D25D40">
        <w:t xml:space="preserve">in </w:t>
      </w:r>
      <w:r>
        <w:t xml:space="preserve">its </w:t>
      </w:r>
      <w:r w:rsidRPr="77D25D40">
        <w:t>data centre to improve the energy efficiency of cooling and IT equipment</w:t>
      </w:r>
      <w:r>
        <w:t xml:space="preserve"> and</w:t>
      </w:r>
      <w:r w:rsidRPr="77D25D40">
        <w:t xml:space="preserve"> </w:t>
      </w:r>
      <w:r>
        <w:t>upgraded to efficient LED</w:t>
      </w:r>
      <w:r w:rsidRPr="77D25D40">
        <w:t xml:space="preserve"> lighting.</w:t>
      </w:r>
    </w:p>
    <w:p w14:paraId="3D6CD279" w14:textId="77777777" w:rsidR="004330DD" w:rsidRDefault="004330DD" w:rsidP="004330DD">
      <w:pPr>
        <w:rPr>
          <w:b/>
        </w:rPr>
      </w:pPr>
      <w:r w:rsidRPr="77D25D40">
        <w:t xml:space="preserve">The </w:t>
      </w:r>
      <w:r>
        <w:t>Department’s</w:t>
      </w:r>
      <w:r w:rsidRPr="77D25D40">
        <w:t xml:space="preserve"> </w:t>
      </w:r>
      <w:r w:rsidRPr="5AD2932F">
        <w:t xml:space="preserve">Sustainable Building Policy </w:t>
      </w:r>
      <w:r>
        <w:t xml:space="preserve">also requires that new leases preference buildings with higher energy efficiency ratings and those covered by a </w:t>
      </w:r>
      <w:r w:rsidRPr="77D25D40">
        <w:t xml:space="preserve">Green Lease </w:t>
      </w:r>
      <w:r>
        <w:t>Schedule, consistent with commitments in the Whole of Victorian Government emissions reduction pledge 2021-25. Eight of the Department’s leases are now covered</w:t>
      </w:r>
      <w:r w:rsidRPr="77D25D40">
        <w:t xml:space="preserve"> </w:t>
      </w:r>
      <w:r>
        <w:t>by a</w:t>
      </w:r>
      <w:r w:rsidRPr="77D25D40">
        <w:t xml:space="preserve"> Green Lease Schedule</w:t>
      </w:r>
      <w:r>
        <w:t>.</w:t>
      </w:r>
      <w:r w:rsidRPr="005E7D23">
        <w:rPr>
          <w:rStyle w:val="Reference"/>
        </w:rPr>
        <w:t xml:space="preserve"> </w:t>
      </w:r>
      <w:r w:rsidRPr="003936F1">
        <w:rPr>
          <w:rStyle w:val="Reference"/>
        </w:rPr>
        <w:t xml:space="preserve">[Indicator </w:t>
      </w:r>
      <w:r>
        <w:rPr>
          <w:rStyle w:val="Reference"/>
        </w:rPr>
        <w:t>B2</w:t>
      </w:r>
      <w:r w:rsidRPr="003936F1">
        <w:rPr>
          <w:rStyle w:val="Reference"/>
        </w:rPr>
        <w:t>]</w:t>
      </w:r>
    </w:p>
    <w:p w14:paraId="12D33CF5" w14:textId="77777777" w:rsidR="004330DD" w:rsidRPr="00C32143" w:rsidRDefault="004330DD" w:rsidP="004330DD">
      <w:pPr>
        <w:pStyle w:val="Heading4"/>
        <w:rPr>
          <w:b w:val="0"/>
          <w:bCs/>
          <w:color w:val="0070C0"/>
        </w:rPr>
      </w:pPr>
      <w:r>
        <w:t>Environmentally Sustainable Design in new buildings and infrastructure</w:t>
      </w:r>
    </w:p>
    <w:p w14:paraId="4CD6440B" w14:textId="73B6E37C" w:rsidR="004330DD" w:rsidRDefault="004330DD" w:rsidP="004330DD">
      <w:r>
        <w:t xml:space="preserve">In </w:t>
      </w:r>
      <w:fldSimple w:instr="DOCPROPERTY  FinYearCurrent  \* MERGEFORMAT">
        <w:r w:rsidR="00236AEB" w:rsidRPr="005A405F">
          <w:t>20X1</w:t>
        </w:r>
        <w:r w:rsidR="00236AEB" w:rsidRPr="005A405F">
          <w:rPr>
            <w:rFonts w:ascii="Cambria Math" w:hAnsi="Cambria Math" w:cs="Cambria Math"/>
          </w:rPr>
          <w:noBreakHyphen/>
        </w:r>
        <w:r w:rsidR="00236AEB" w:rsidRPr="005A405F">
          <w:t>X2</w:t>
        </w:r>
      </w:fldSimple>
      <w:r>
        <w:t>, the Department</w:t>
      </w:r>
      <w:r w:rsidRPr="008429FA">
        <w:t xml:space="preserve"> </w:t>
      </w:r>
      <w:r>
        <w:t xml:space="preserve">received a </w:t>
      </w:r>
      <w:r w:rsidR="000824DE">
        <w:t>6</w:t>
      </w:r>
      <w:r>
        <w:t xml:space="preserve">-star NABERS Energy rating for its office building, Building Emporium. This building is located in Central Melbourne and was completed during 20X0. </w:t>
      </w:r>
      <w:r w:rsidRPr="003936F1">
        <w:rPr>
          <w:rStyle w:val="Reference"/>
        </w:rPr>
        <w:t xml:space="preserve">[Indicator </w:t>
      </w:r>
      <w:r>
        <w:rPr>
          <w:rStyle w:val="Reference"/>
        </w:rPr>
        <w:t>B3</w:t>
      </w:r>
      <w:r w:rsidRPr="003936F1">
        <w:rPr>
          <w:rStyle w:val="Reference"/>
        </w:rPr>
        <w:t>]</w:t>
      </w:r>
    </w:p>
    <w:p w14:paraId="52FD26F2" w14:textId="6E6EABCF" w:rsidR="004330DD" w:rsidRDefault="004330DD" w:rsidP="004330DD">
      <w:pPr>
        <w:spacing w:after="0"/>
      </w:pPr>
      <w:r>
        <w:t>The Department</w:t>
      </w:r>
      <w:r w:rsidRPr="008429FA">
        <w:t xml:space="preserve"> </w:t>
      </w:r>
      <w:r>
        <w:t xml:space="preserve">also had a major upgrade </w:t>
      </w:r>
      <w:r w:rsidRPr="00C32143">
        <w:t xml:space="preserve">of $1.5 million </w:t>
      </w:r>
      <w:r>
        <w:t xml:space="preserve">to its largest data centre, Building Aurora, which </w:t>
      </w:r>
      <w:r w:rsidRPr="00C32143">
        <w:t>resulted</w:t>
      </w:r>
      <w:r>
        <w:t xml:space="preserve"> in</w:t>
      </w:r>
      <w:r w:rsidRPr="00C32143">
        <w:t xml:space="preserve"> </w:t>
      </w:r>
      <w:r>
        <w:t>its</w:t>
      </w:r>
      <w:r w:rsidRPr="00C32143">
        <w:t xml:space="preserve"> NABERS energy rating </w:t>
      </w:r>
      <w:r>
        <w:t xml:space="preserve">increasing </w:t>
      </w:r>
      <w:r w:rsidRPr="00C32143">
        <w:t>from 4.</w:t>
      </w:r>
      <w:r>
        <w:t>5-</w:t>
      </w:r>
      <w:r w:rsidRPr="00C32143">
        <w:t>star to 5</w:t>
      </w:r>
      <w:r>
        <w:t>-</w:t>
      </w:r>
      <w:r w:rsidRPr="00C32143">
        <w:t>star</w:t>
      </w:r>
      <w:r>
        <w:t xml:space="preserve">. The building is located in West Melbourne and the upgrade was completed in </w:t>
      </w:r>
      <w:r w:rsidR="00236AEB" w:rsidRPr="005A405F">
        <w:fldChar w:fldCharType="begin"/>
      </w:r>
      <w:r w:rsidR="00236AEB" w:rsidRPr="005A405F">
        <w:instrText>DOCPROPERTY  Year</w:instrText>
      </w:r>
      <w:r w:rsidR="00236AEB">
        <w:instrText>Previous</w:instrText>
      </w:r>
      <w:r w:rsidR="00236AEB" w:rsidRPr="005A405F">
        <w:instrText xml:space="preserve">  \* MERGEFORMAT</w:instrText>
      </w:r>
      <w:r w:rsidR="00236AEB" w:rsidRPr="005A405F">
        <w:fldChar w:fldCharType="separate"/>
      </w:r>
      <w:r w:rsidR="00236AEB">
        <w:t>20X1</w:t>
      </w:r>
      <w:r w:rsidR="00236AEB" w:rsidRPr="005A405F">
        <w:fldChar w:fldCharType="end"/>
      </w:r>
      <w:r>
        <w:t xml:space="preserve">. </w:t>
      </w:r>
      <w:r w:rsidRPr="5AD2932F">
        <w:t xml:space="preserve">The data centre uses new low-power </w:t>
      </w:r>
      <w:r>
        <w:t xml:space="preserve">servers resulting in lower energy use and has </w:t>
      </w:r>
      <w:r w:rsidRPr="5AD2932F">
        <w:t xml:space="preserve">a </w:t>
      </w:r>
      <w:r>
        <w:t>100</w:t>
      </w:r>
      <w:r w:rsidRPr="5AD2932F">
        <w:t>kW solar rooftop arra</w:t>
      </w:r>
      <w:r>
        <w:t>y</w:t>
      </w:r>
      <w:r w:rsidRPr="5AD2932F">
        <w:t>.</w:t>
      </w:r>
      <w:r>
        <w:t xml:space="preserve"> The upgrade involved streetscaping works that used low-carbon concrete which incorporated recycled plastic fibres and reduced construction emissions by 32 per cent.</w:t>
      </w:r>
      <w:r w:rsidR="000824DE">
        <w:t xml:space="preserve"> A feasibility study will be conducted next year to assess options to increase the Building Orbit data centre from a</w:t>
      </w:r>
      <w:r w:rsidR="00696438">
        <w:t xml:space="preserve"> 3-star to 5-star NABERS energy rating.</w:t>
      </w:r>
      <w:r>
        <w:t xml:space="preserve"> </w:t>
      </w:r>
      <w:r w:rsidRPr="003936F1">
        <w:rPr>
          <w:rStyle w:val="Reference"/>
        </w:rPr>
        <w:t xml:space="preserve">[Indicator </w:t>
      </w:r>
      <w:r>
        <w:rPr>
          <w:rStyle w:val="Reference"/>
        </w:rPr>
        <w:t>B4</w:t>
      </w:r>
      <w:r w:rsidRPr="003936F1">
        <w:rPr>
          <w:rStyle w:val="Reference"/>
        </w:rPr>
        <w:t>]</w:t>
      </w:r>
    </w:p>
    <w:p w14:paraId="314218B4" w14:textId="77777777" w:rsidR="004330DD" w:rsidRPr="00C32143" w:rsidRDefault="004330DD" w:rsidP="004330DD">
      <w:r>
        <w:t xml:space="preserve">Four of the Department’s buildings have received environmental performance ratings: </w:t>
      </w:r>
      <w:r w:rsidRPr="003936F1">
        <w:rPr>
          <w:rStyle w:val="Reference"/>
        </w:rPr>
        <w:t xml:space="preserve">[Indicator </w:t>
      </w:r>
      <w:r>
        <w:rPr>
          <w:rStyle w:val="Reference"/>
        </w:rPr>
        <w:t>B5</w:t>
      </w:r>
      <w:r w:rsidRPr="003936F1">
        <w:rPr>
          <w:rStyle w:val="Reference"/>
        </w:rPr>
        <w:t>]</w:t>
      </w:r>
    </w:p>
    <w:tbl>
      <w:tblPr>
        <w:tblStyle w:val="DTFTable"/>
        <w:tblW w:w="9639" w:type="dxa"/>
        <w:tblLayout w:type="fixed"/>
        <w:tblLook w:val="0620" w:firstRow="1" w:lastRow="0" w:firstColumn="0" w:lastColumn="0" w:noHBand="1" w:noVBand="1"/>
      </w:tblPr>
      <w:tblGrid>
        <w:gridCol w:w="2654"/>
        <w:gridCol w:w="3659"/>
        <w:gridCol w:w="2162"/>
        <w:gridCol w:w="1164"/>
      </w:tblGrid>
      <w:tr w:rsidR="000B61CD" w:rsidRPr="000B61CD" w14:paraId="0E2C4931" w14:textId="77777777" w:rsidTr="000B61CD">
        <w:trPr>
          <w:cnfStyle w:val="100000000000" w:firstRow="1" w:lastRow="0" w:firstColumn="0" w:lastColumn="0" w:oddVBand="0" w:evenVBand="0" w:oddHBand="0" w:evenHBand="0" w:firstRowFirstColumn="0" w:firstRowLastColumn="0" w:lastRowFirstColumn="0" w:lastRowLastColumn="0"/>
          <w:trHeight w:val="238"/>
        </w:trPr>
        <w:tc>
          <w:tcPr>
            <w:tcW w:w="2263" w:type="dxa"/>
          </w:tcPr>
          <w:p w14:paraId="4FBA8BE7" w14:textId="77777777" w:rsidR="004330DD" w:rsidRPr="000B61CD" w:rsidRDefault="004330DD" w:rsidP="000B61CD">
            <w:pPr>
              <w:jc w:val="left"/>
            </w:pPr>
            <w:r w:rsidRPr="000B61CD">
              <w:t>Name of building</w:t>
            </w:r>
          </w:p>
        </w:tc>
        <w:tc>
          <w:tcPr>
            <w:tcW w:w="3119" w:type="dxa"/>
          </w:tcPr>
          <w:p w14:paraId="429606F1" w14:textId="77777777" w:rsidR="004330DD" w:rsidRPr="000B61CD" w:rsidRDefault="004330DD" w:rsidP="000B61CD">
            <w:pPr>
              <w:jc w:val="left"/>
            </w:pPr>
            <w:r w:rsidRPr="000B61CD">
              <w:t>Building type</w:t>
            </w:r>
          </w:p>
        </w:tc>
        <w:tc>
          <w:tcPr>
            <w:tcW w:w="1843" w:type="dxa"/>
          </w:tcPr>
          <w:p w14:paraId="10952638" w14:textId="77777777" w:rsidR="004330DD" w:rsidRPr="000B61CD" w:rsidRDefault="004330DD" w:rsidP="000B61CD">
            <w:pPr>
              <w:jc w:val="left"/>
            </w:pPr>
            <w:r w:rsidRPr="000B61CD">
              <w:t>Rating Scheme</w:t>
            </w:r>
          </w:p>
        </w:tc>
        <w:tc>
          <w:tcPr>
            <w:tcW w:w="992" w:type="dxa"/>
          </w:tcPr>
          <w:p w14:paraId="44E7DD94" w14:textId="77777777" w:rsidR="004330DD" w:rsidRPr="000B61CD" w:rsidRDefault="004330DD" w:rsidP="000B61CD">
            <w:pPr>
              <w:jc w:val="center"/>
            </w:pPr>
            <w:r w:rsidRPr="000B61CD">
              <w:t>Rating</w:t>
            </w:r>
          </w:p>
        </w:tc>
      </w:tr>
      <w:tr w:rsidR="004330DD" w:rsidRPr="000B61CD" w14:paraId="2C6288C4" w14:textId="77777777" w:rsidTr="000B61CD">
        <w:trPr>
          <w:trHeight w:val="187"/>
        </w:trPr>
        <w:tc>
          <w:tcPr>
            <w:tcW w:w="2263" w:type="dxa"/>
          </w:tcPr>
          <w:p w14:paraId="540088C8" w14:textId="77777777" w:rsidR="004330DD" w:rsidRPr="000B61CD" w:rsidRDefault="004330DD" w:rsidP="000B61CD">
            <w:pPr>
              <w:jc w:val="left"/>
            </w:pPr>
            <w:r w:rsidRPr="000B61CD">
              <w:t xml:space="preserve">Building Emporium </w:t>
            </w:r>
          </w:p>
        </w:tc>
        <w:tc>
          <w:tcPr>
            <w:tcW w:w="3119" w:type="dxa"/>
          </w:tcPr>
          <w:p w14:paraId="338C5266" w14:textId="77777777" w:rsidR="004330DD" w:rsidRPr="000B61CD" w:rsidRDefault="004330DD" w:rsidP="000B61CD">
            <w:pPr>
              <w:jc w:val="left"/>
            </w:pPr>
            <w:r w:rsidRPr="000B61CD">
              <w:t xml:space="preserve">General Office Building </w:t>
            </w:r>
          </w:p>
        </w:tc>
        <w:tc>
          <w:tcPr>
            <w:tcW w:w="1843" w:type="dxa"/>
          </w:tcPr>
          <w:p w14:paraId="2941E28E" w14:textId="178C3760" w:rsidR="004330DD" w:rsidRPr="000B61CD" w:rsidRDefault="004330DD" w:rsidP="000B61CD">
            <w:pPr>
              <w:jc w:val="left"/>
            </w:pPr>
            <w:r w:rsidRPr="000B61CD">
              <w:t xml:space="preserve">NABERS </w:t>
            </w:r>
            <w:r w:rsidR="000B61CD" w:rsidRPr="000B61CD">
              <w:t>–</w:t>
            </w:r>
            <w:r w:rsidRPr="000B61CD">
              <w:t xml:space="preserve"> Energy</w:t>
            </w:r>
          </w:p>
        </w:tc>
        <w:tc>
          <w:tcPr>
            <w:tcW w:w="992" w:type="dxa"/>
          </w:tcPr>
          <w:p w14:paraId="5F9D30B5" w14:textId="3AE925A9" w:rsidR="004330DD" w:rsidRPr="000B61CD" w:rsidRDefault="00696438" w:rsidP="000B61CD">
            <w:pPr>
              <w:jc w:val="center"/>
            </w:pPr>
            <w:r>
              <w:t>6</w:t>
            </w:r>
          </w:p>
        </w:tc>
      </w:tr>
      <w:tr w:rsidR="004330DD" w:rsidRPr="000B61CD" w14:paraId="3D800FCE" w14:textId="77777777" w:rsidTr="000B61CD">
        <w:trPr>
          <w:trHeight w:val="187"/>
        </w:trPr>
        <w:tc>
          <w:tcPr>
            <w:tcW w:w="2263" w:type="dxa"/>
          </w:tcPr>
          <w:p w14:paraId="5B258817" w14:textId="77777777" w:rsidR="004330DD" w:rsidRPr="000B61CD" w:rsidRDefault="004330DD" w:rsidP="000B61CD">
            <w:pPr>
              <w:jc w:val="left"/>
            </w:pPr>
            <w:r w:rsidRPr="000B61CD">
              <w:t xml:space="preserve">Building Aurora </w:t>
            </w:r>
          </w:p>
        </w:tc>
        <w:tc>
          <w:tcPr>
            <w:tcW w:w="3119" w:type="dxa"/>
          </w:tcPr>
          <w:p w14:paraId="49E2BFBC" w14:textId="77777777" w:rsidR="004330DD" w:rsidRPr="000B61CD" w:rsidRDefault="004330DD" w:rsidP="000B61CD">
            <w:pPr>
              <w:jc w:val="left"/>
            </w:pPr>
            <w:r w:rsidRPr="000B61CD">
              <w:t>Data Centre</w:t>
            </w:r>
          </w:p>
        </w:tc>
        <w:tc>
          <w:tcPr>
            <w:tcW w:w="1843" w:type="dxa"/>
          </w:tcPr>
          <w:p w14:paraId="1AE25FEC" w14:textId="77529421" w:rsidR="004330DD" w:rsidRPr="000B61CD" w:rsidRDefault="004330DD" w:rsidP="000B61CD">
            <w:pPr>
              <w:jc w:val="left"/>
            </w:pPr>
            <w:r w:rsidRPr="000B61CD">
              <w:t xml:space="preserve">NABERS </w:t>
            </w:r>
            <w:r w:rsidR="000B61CD" w:rsidRPr="000B61CD">
              <w:t>–</w:t>
            </w:r>
            <w:r w:rsidRPr="000B61CD">
              <w:t xml:space="preserve"> Energy</w:t>
            </w:r>
          </w:p>
        </w:tc>
        <w:tc>
          <w:tcPr>
            <w:tcW w:w="992" w:type="dxa"/>
          </w:tcPr>
          <w:p w14:paraId="7986A54A" w14:textId="77777777" w:rsidR="004330DD" w:rsidRPr="000B61CD" w:rsidRDefault="004330DD" w:rsidP="000B61CD">
            <w:pPr>
              <w:jc w:val="center"/>
            </w:pPr>
            <w:r w:rsidRPr="000B61CD">
              <w:t>5</w:t>
            </w:r>
          </w:p>
        </w:tc>
      </w:tr>
      <w:tr w:rsidR="004330DD" w:rsidRPr="000B61CD" w14:paraId="72BDE733" w14:textId="77777777" w:rsidTr="000B61CD">
        <w:trPr>
          <w:trHeight w:val="187"/>
        </w:trPr>
        <w:tc>
          <w:tcPr>
            <w:tcW w:w="2263" w:type="dxa"/>
          </w:tcPr>
          <w:p w14:paraId="74EB187E" w14:textId="77777777" w:rsidR="004330DD" w:rsidRPr="000B61CD" w:rsidRDefault="004330DD" w:rsidP="000B61CD">
            <w:pPr>
              <w:jc w:val="left"/>
            </w:pPr>
            <w:r w:rsidRPr="000B61CD">
              <w:t>Building Orbit</w:t>
            </w:r>
          </w:p>
        </w:tc>
        <w:tc>
          <w:tcPr>
            <w:tcW w:w="3119" w:type="dxa"/>
          </w:tcPr>
          <w:p w14:paraId="7A177EA0" w14:textId="77777777" w:rsidR="004330DD" w:rsidRPr="000B61CD" w:rsidRDefault="004330DD" w:rsidP="000B61CD">
            <w:pPr>
              <w:jc w:val="left"/>
            </w:pPr>
            <w:r w:rsidRPr="000B61CD">
              <w:t>Data Centre</w:t>
            </w:r>
          </w:p>
        </w:tc>
        <w:tc>
          <w:tcPr>
            <w:tcW w:w="1843" w:type="dxa"/>
          </w:tcPr>
          <w:p w14:paraId="7261ACD8" w14:textId="00B0F6FD" w:rsidR="004330DD" w:rsidRPr="000B61CD" w:rsidRDefault="004330DD" w:rsidP="000B61CD">
            <w:pPr>
              <w:jc w:val="left"/>
            </w:pPr>
            <w:r w:rsidRPr="000B61CD">
              <w:t xml:space="preserve">NABERS </w:t>
            </w:r>
            <w:r w:rsidR="000B61CD" w:rsidRPr="000B61CD">
              <w:t>–</w:t>
            </w:r>
            <w:r w:rsidRPr="000B61CD">
              <w:t xml:space="preserve"> Energy</w:t>
            </w:r>
          </w:p>
        </w:tc>
        <w:tc>
          <w:tcPr>
            <w:tcW w:w="992" w:type="dxa"/>
          </w:tcPr>
          <w:p w14:paraId="2830C9E4" w14:textId="77777777" w:rsidR="004330DD" w:rsidRPr="000B61CD" w:rsidRDefault="004330DD" w:rsidP="000B61CD">
            <w:pPr>
              <w:jc w:val="center"/>
            </w:pPr>
            <w:r w:rsidRPr="000B61CD">
              <w:t>3</w:t>
            </w:r>
          </w:p>
        </w:tc>
      </w:tr>
      <w:tr w:rsidR="004330DD" w:rsidRPr="000B61CD" w14:paraId="00BD4DA7" w14:textId="77777777" w:rsidTr="000B61CD">
        <w:trPr>
          <w:trHeight w:val="187"/>
        </w:trPr>
        <w:tc>
          <w:tcPr>
            <w:tcW w:w="2263" w:type="dxa"/>
          </w:tcPr>
          <w:p w14:paraId="7A5B7248" w14:textId="77777777" w:rsidR="004330DD" w:rsidRPr="000B61CD" w:rsidRDefault="004330DD" w:rsidP="000B61CD">
            <w:pPr>
              <w:jc w:val="left"/>
            </w:pPr>
            <w:r w:rsidRPr="000B61CD">
              <w:t>Building Mountain Ash</w:t>
            </w:r>
          </w:p>
        </w:tc>
        <w:tc>
          <w:tcPr>
            <w:tcW w:w="3119" w:type="dxa"/>
          </w:tcPr>
          <w:p w14:paraId="213C1D95" w14:textId="77777777" w:rsidR="004330DD" w:rsidRPr="000B61CD" w:rsidRDefault="004330DD" w:rsidP="000B61CD">
            <w:pPr>
              <w:jc w:val="left"/>
            </w:pPr>
            <w:r w:rsidRPr="000B61CD">
              <w:t xml:space="preserve">General Office Building </w:t>
            </w:r>
          </w:p>
        </w:tc>
        <w:tc>
          <w:tcPr>
            <w:tcW w:w="1843" w:type="dxa"/>
          </w:tcPr>
          <w:p w14:paraId="1A47A67D" w14:textId="77777777" w:rsidR="004330DD" w:rsidRPr="000B61CD" w:rsidRDefault="004330DD" w:rsidP="000B61CD">
            <w:pPr>
              <w:jc w:val="left"/>
            </w:pPr>
            <w:r w:rsidRPr="000B61CD">
              <w:t>Green Star Buildings</w:t>
            </w:r>
          </w:p>
        </w:tc>
        <w:tc>
          <w:tcPr>
            <w:tcW w:w="992" w:type="dxa"/>
          </w:tcPr>
          <w:p w14:paraId="49CAB638" w14:textId="77777777" w:rsidR="004330DD" w:rsidRPr="000B61CD" w:rsidRDefault="004330DD" w:rsidP="000B61CD">
            <w:pPr>
              <w:jc w:val="center"/>
            </w:pPr>
            <w:r w:rsidRPr="000B61CD">
              <w:t>6</w:t>
            </w:r>
          </w:p>
        </w:tc>
      </w:tr>
    </w:tbl>
    <w:p w14:paraId="7958A1D5" w14:textId="77777777" w:rsidR="004330DD" w:rsidRDefault="004330DD" w:rsidP="004330DD"/>
    <w:p w14:paraId="584561FD" w14:textId="285ACDE6" w:rsidR="004330DD" w:rsidRPr="00C32143" w:rsidRDefault="004330DD" w:rsidP="000E5049">
      <w:pPr>
        <w:pStyle w:val="GuidanceBlockHeading"/>
        <w:rPr>
          <w:sz w:val="18"/>
          <w:szCs w:val="18"/>
        </w:rPr>
      </w:pPr>
      <w:r>
        <w:lastRenderedPageBreak/>
        <w:t>Guidance – Reporting on Sustainable Buildings and Infrastructure</w:t>
      </w:r>
    </w:p>
    <w:p w14:paraId="78CD04CB" w14:textId="421830D2" w:rsidR="004330DD" w:rsidRDefault="004330DD" w:rsidP="000E5049">
      <w:pPr>
        <w:keepNext/>
        <w:rPr>
          <w:rStyle w:val="Guidance"/>
          <w:i/>
          <w:sz w:val="20"/>
          <w:szCs w:val="20"/>
        </w:rPr>
      </w:pPr>
      <w:r>
        <w:rPr>
          <w:rStyle w:val="Guidance"/>
        </w:rPr>
        <w:t>Reporting entities should note that</w:t>
      </w:r>
      <w:r w:rsidR="00B26499">
        <w:rPr>
          <w:rStyle w:val="Guidance"/>
        </w:rPr>
        <w:t>,</w:t>
      </w:r>
      <w:r>
        <w:rPr>
          <w:rStyle w:val="Guidance"/>
        </w:rPr>
        <w:t xml:space="preserve"> with the exception of indicator B3 (</w:t>
      </w:r>
      <w:r w:rsidRPr="000A076B">
        <w:rPr>
          <w:rStyle w:val="Guidance"/>
        </w:rPr>
        <w:t>NABERS Energy ratings of newly completed/occupied entity-owned office buildings and substantial tenancy fit</w:t>
      </w:r>
      <w:r w:rsidR="003C1019">
        <w:rPr>
          <w:rStyle w:val="Guidance"/>
        </w:rPr>
        <w:t xml:space="preserve"> </w:t>
      </w:r>
      <w:r w:rsidRPr="000A076B">
        <w:rPr>
          <w:rStyle w:val="Guidance"/>
        </w:rPr>
        <w:t>outs</w:t>
      </w:r>
      <w:r>
        <w:rPr>
          <w:rStyle w:val="Guidance"/>
        </w:rPr>
        <w:t xml:space="preserve">), there is no requirement for </w:t>
      </w:r>
      <w:r w:rsidR="003C1019">
        <w:rPr>
          <w:rStyle w:val="Guidance"/>
        </w:rPr>
        <w:t>d</w:t>
      </w:r>
      <w:r>
        <w:rPr>
          <w:rStyle w:val="Guidance"/>
        </w:rPr>
        <w:t>epartments to obtain environmental performance ratings for their built assets. The requirement for indicators B4 and B5 are to disclose ratings only where those ratings have already been obtained.</w:t>
      </w:r>
    </w:p>
    <w:p w14:paraId="6C3DD070" w14:textId="77777777" w:rsidR="004330DD" w:rsidRDefault="004330DD" w:rsidP="000E5049">
      <w:pPr>
        <w:keepNext/>
        <w:rPr>
          <w:rStyle w:val="Guidance"/>
        </w:rPr>
      </w:pPr>
      <w:r w:rsidRPr="001A6E1E">
        <w:rPr>
          <w:rStyle w:val="Guidance"/>
        </w:rPr>
        <w:t xml:space="preserve">For this </w:t>
      </w:r>
      <w:r>
        <w:rPr>
          <w:rStyle w:val="Guidance"/>
        </w:rPr>
        <w:t>illustrative disclosure</w:t>
      </w:r>
      <w:r w:rsidRPr="001A6E1E">
        <w:rPr>
          <w:rStyle w:val="Guidance"/>
        </w:rPr>
        <w:t xml:space="preserve">, </w:t>
      </w:r>
      <w:r>
        <w:rPr>
          <w:rStyle w:val="Guidance"/>
        </w:rPr>
        <w:t xml:space="preserve">the following approach has been implemented. </w:t>
      </w:r>
    </w:p>
    <w:p w14:paraId="1A7239B9" w14:textId="77777777" w:rsidR="004330DD" w:rsidRDefault="004330DD" w:rsidP="004330DD">
      <w:pPr>
        <w:rPr>
          <w:rStyle w:val="Guidance"/>
        </w:rPr>
      </w:pPr>
      <w:r>
        <w:rPr>
          <w:rStyle w:val="Guidance"/>
        </w:rPr>
        <w:t>For B1, departments</w:t>
      </w:r>
      <w:r w:rsidRPr="009E1655">
        <w:rPr>
          <w:rStyle w:val="Guidance"/>
        </w:rPr>
        <w:t xml:space="preserve"> may refer to </w:t>
      </w:r>
      <w:r>
        <w:rPr>
          <w:rStyle w:val="Guidance"/>
        </w:rPr>
        <w:t xml:space="preserve">their </w:t>
      </w:r>
      <w:r w:rsidRPr="009E1655">
        <w:rPr>
          <w:rStyle w:val="Guidance"/>
        </w:rPr>
        <w:t>procurement or construction policy, any certification schemes they utilise, how the Sustainable Investment Guidelines are implemented, and any relevant quantitative indicators elsewhere in this section.</w:t>
      </w:r>
      <w:r>
        <w:t xml:space="preserve"> </w:t>
      </w:r>
      <w:r w:rsidRPr="00481BB2">
        <w:rPr>
          <w:rStyle w:val="Guidance"/>
        </w:rPr>
        <w:t xml:space="preserve">Where the </w:t>
      </w:r>
      <w:r>
        <w:rPr>
          <w:rStyle w:val="Guidance"/>
        </w:rPr>
        <w:t>Department</w:t>
      </w:r>
      <w:r w:rsidRPr="00481BB2">
        <w:rPr>
          <w:rStyle w:val="Guidance"/>
        </w:rPr>
        <w:t xml:space="preserve"> constructs buildings for </w:t>
      </w:r>
      <w:r>
        <w:rPr>
          <w:rStyle w:val="Guidance"/>
        </w:rPr>
        <w:t>other</w:t>
      </w:r>
      <w:r w:rsidRPr="00481BB2">
        <w:rPr>
          <w:rStyle w:val="Guidance"/>
        </w:rPr>
        <w:t xml:space="preserve"> organisation</w:t>
      </w:r>
      <w:r>
        <w:rPr>
          <w:rStyle w:val="Guidance"/>
        </w:rPr>
        <w:t>s</w:t>
      </w:r>
      <w:r w:rsidRPr="00481BB2">
        <w:rPr>
          <w:rStyle w:val="Guidance"/>
        </w:rPr>
        <w:t>, they should</w:t>
      </w:r>
      <w:r>
        <w:rPr>
          <w:rStyle w:val="Guidance"/>
        </w:rPr>
        <w:t xml:space="preserve"> also</w:t>
      </w:r>
      <w:r w:rsidRPr="00481BB2">
        <w:rPr>
          <w:rStyle w:val="Guidance"/>
        </w:rPr>
        <w:t xml:space="preserve"> report relevant ESD policy at this indicator.</w:t>
      </w:r>
    </w:p>
    <w:p w14:paraId="2B1D2A60" w14:textId="77777777" w:rsidR="004330DD" w:rsidRDefault="004330DD" w:rsidP="004330DD">
      <w:pPr>
        <w:rPr>
          <w:rStyle w:val="Guidance"/>
        </w:rPr>
      </w:pPr>
      <w:r>
        <w:rPr>
          <w:rStyle w:val="Guidance"/>
        </w:rPr>
        <w:t xml:space="preserve">Buildings under B3 and B4 should be documented per item. </w:t>
      </w:r>
    </w:p>
    <w:p w14:paraId="386DBBB6" w14:textId="77777777" w:rsidR="004330DD" w:rsidRDefault="004330DD" w:rsidP="004330DD">
      <w:pPr>
        <w:rPr>
          <w:rStyle w:val="Guidance"/>
        </w:rPr>
      </w:pPr>
      <w:r>
        <w:rPr>
          <w:rStyle w:val="Guidance"/>
        </w:rPr>
        <w:t>In the illustrative disclosure for B5, the Department only has a small number of fixed physical assets (buildings and other infrastructure). As such, the information for B5 is presented as a list of individual facilities (as shown above). For departments with a large number of rated assets, summary tables outlining the number of facilities at each rating value may be a more appropriate means of presenting this information.</w:t>
      </w:r>
    </w:p>
    <w:p w14:paraId="64C6F3FB" w14:textId="77777777" w:rsidR="00741B59" w:rsidRDefault="00741B59">
      <w:pPr>
        <w:pStyle w:val="Heading3"/>
      </w:pPr>
      <w:r>
        <w:t>Sustainable procurement</w:t>
      </w:r>
    </w:p>
    <w:p w14:paraId="5924FCE6" w14:textId="144E2A49" w:rsidR="00741B59" w:rsidRPr="00741B59" w:rsidRDefault="00741B59" w:rsidP="00223BD9">
      <w:r w:rsidRPr="00A42E11">
        <w:t xml:space="preserve">The Department considers sustainable procurement objectives through its implementation of the Social Procurement Framework, which establishes requirements that apply to Victorian Government departments and agencies when they procure goods, </w:t>
      </w:r>
      <w:r w:rsidR="004D71E8" w:rsidRPr="00A42E11">
        <w:t>services</w:t>
      </w:r>
      <w:r w:rsidRPr="00A42E11">
        <w:t xml:space="preserve"> and construction. More details of the Department's implementation of the Social Procurement Framework are contained in the relevant section of the Annual Report.</w:t>
      </w:r>
    </w:p>
    <w:p w14:paraId="65E0F389" w14:textId="77777777" w:rsidR="004330DD" w:rsidRPr="00C32143" w:rsidRDefault="004330DD" w:rsidP="004330DD">
      <w:pPr>
        <w:pStyle w:val="Heading3"/>
      </w:pPr>
      <w:r w:rsidRPr="5AD2932F">
        <w:t xml:space="preserve">Water </w:t>
      </w:r>
      <w:r>
        <w:t>consumption</w:t>
      </w:r>
    </w:p>
    <w:p w14:paraId="01EBCE60" w14:textId="4D443116" w:rsidR="004330DD" w:rsidRDefault="004330DD" w:rsidP="004330DD">
      <w:r>
        <w:t xml:space="preserve">Water use increased by </w:t>
      </w:r>
      <w:r w:rsidRPr="003B1744">
        <w:t>1</w:t>
      </w:r>
      <w:r w:rsidR="003B1744" w:rsidRPr="003B1744">
        <w:t>.9</w:t>
      </w:r>
      <w:r>
        <w:t xml:space="preserve"> per cent f</w:t>
      </w:r>
      <w:r w:rsidRPr="5EA21A3A">
        <w:t xml:space="preserve">rom </w:t>
      </w:r>
      <w:r w:rsidRPr="004B33E7">
        <w:t>20XX-X0 to</w:t>
      </w:r>
      <w:r w:rsidRPr="5EA21A3A">
        <w:t xml:space="preserve"> </w:t>
      </w:r>
      <w:fldSimple w:instr="DOCPROPERTY  FinYearPrevious  \* MERGEFORMAT">
        <w:r w:rsidR="00FA0C53">
          <w:t>20X0</w:t>
        </w:r>
        <w:r w:rsidR="00FA0C53">
          <w:rPr>
            <w:rFonts w:ascii="Cambria Math" w:hAnsi="Cambria Math" w:cs="Cambria Math"/>
          </w:rPr>
          <w:noBreakHyphen/>
        </w:r>
        <w:r w:rsidR="00FA0C53">
          <w:t>X1</w:t>
        </w:r>
      </w:fldSimple>
      <w:r>
        <w:t xml:space="preserve">, </w:t>
      </w:r>
      <w:r w:rsidR="0094724C">
        <w:t xml:space="preserve">and then decreased </w:t>
      </w:r>
      <w:r w:rsidR="0094724C" w:rsidRPr="003B1744">
        <w:t xml:space="preserve">by </w:t>
      </w:r>
      <w:r w:rsidR="003B1744" w:rsidRPr="00BF2540">
        <w:t>5</w:t>
      </w:r>
      <w:r w:rsidR="0094724C" w:rsidRPr="003B1744">
        <w:t>.1</w:t>
      </w:r>
      <w:r w:rsidR="0094724C">
        <w:t xml:space="preserve"> per cent from </w:t>
      </w:r>
      <w:fldSimple w:instr="DOCPROPERTY  FinYearPrevious  \* MERGEFORMAT">
        <w:r w:rsidR="00FA0C53">
          <w:t>20X0</w:t>
        </w:r>
        <w:r w:rsidR="00FA0C53">
          <w:rPr>
            <w:rFonts w:ascii="Cambria Math" w:hAnsi="Cambria Math" w:cs="Cambria Math"/>
          </w:rPr>
          <w:noBreakHyphen/>
        </w:r>
        <w:r w:rsidR="00FA0C53">
          <w:t>X1</w:t>
        </w:r>
      </w:fldSimple>
      <w:r w:rsidR="00276F0F">
        <w:t>. The</w:t>
      </w:r>
      <w:r w:rsidR="00DF60F6">
        <w:t> </w:t>
      </w:r>
      <w:r w:rsidR="00276F0F">
        <w:t>decrease was</w:t>
      </w:r>
      <w:r w:rsidR="0094724C">
        <w:t xml:space="preserve"> </w:t>
      </w:r>
      <w:r>
        <w:t xml:space="preserve">driven by </w:t>
      </w:r>
      <w:r w:rsidRPr="77D25D40">
        <w:t xml:space="preserve">water use efficiency projects which have been implemented by the </w:t>
      </w:r>
      <w:r>
        <w:t>Department</w:t>
      </w:r>
      <w:r w:rsidRPr="008E0431">
        <w:t xml:space="preserve"> </w:t>
      </w:r>
      <w:r w:rsidRPr="77D25D40">
        <w:t xml:space="preserve">since </w:t>
      </w:r>
      <w:r>
        <w:t>[</w:t>
      </w:r>
      <w:r w:rsidR="00276F0F">
        <w:t>20XX</w:t>
      </w:r>
      <w:r>
        <w:t>]</w:t>
      </w:r>
      <w:r w:rsidRPr="77D25D40">
        <w:t>. The</w:t>
      </w:r>
      <w:r>
        <w:t>se</w:t>
      </w:r>
      <w:r w:rsidRPr="77D25D40">
        <w:t xml:space="preserve"> include installation of water-efficient taps with an aerator or flow restrictor</w:t>
      </w:r>
      <w:r>
        <w:t xml:space="preserve"> and</w:t>
      </w:r>
      <w:r w:rsidRPr="77D25D40">
        <w:t xml:space="preserve"> installation of lever or mixer taps</w:t>
      </w:r>
      <w:r>
        <w:t xml:space="preserve"> across some Department sites. Across all sites there are</w:t>
      </w:r>
      <w:r w:rsidRPr="77D25D40">
        <w:t xml:space="preserve"> regular checks to fix leaking taps and replace washers</w:t>
      </w:r>
      <w:r>
        <w:t xml:space="preserve"> to reduce water waste</w:t>
      </w:r>
      <w:r w:rsidRPr="77D25D40">
        <w:t xml:space="preserve">. </w:t>
      </w:r>
      <w:r>
        <w:t>S</w:t>
      </w:r>
      <w:r w:rsidRPr="77D25D40">
        <w:t xml:space="preserve">mart water meters </w:t>
      </w:r>
      <w:r>
        <w:t>were installed in all Department sites in [year] that</w:t>
      </w:r>
      <w:r w:rsidRPr="77D25D40">
        <w:t xml:space="preserve"> allow the Department to identify leaks and other anomalies. In </w:t>
      </w:r>
      <w:fldSimple w:instr="DOCPROPERTY  FinYearCurrent  \* MERGEFORMAT">
        <w:r w:rsidR="00FA0C53">
          <w:t>20X1</w:t>
        </w:r>
        <w:r w:rsidR="00FA0C53">
          <w:rPr>
            <w:rFonts w:ascii="Cambria Math" w:hAnsi="Cambria Math" w:cs="Cambria Math"/>
          </w:rPr>
          <w:noBreakHyphen/>
        </w:r>
        <w:r w:rsidR="00FA0C53">
          <w:t>X2</w:t>
        </w:r>
      </w:fldSimple>
      <w:r w:rsidRPr="77D25D40">
        <w:t xml:space="preserve">, the </w:t>
      </w:r>
      <w:r>
        <w:t>Department</w:t>
      </w:r>
      <w:r w:rsidRPr="008429FA">
        <w:t xml:space="preserve"> </w:t>
      </w:r>
      <w:r w:rsidRPr="77D25D40">
        <w:t>estimated that this helped save around 5</w:t>
      </w:r>
      <w:r>
        <w:t xml:space="preserve"> per cent of potable water</w:t>
      </w:r>
      <w:r w:rsidRPr="77D25D40">
        <w:t>.</w:t>
      </w:r>
      <w:r>
        <w:t xml:space="preserve"> On average, 60 per cent of the Department’s water needs are met with recycled water.</w:t>
      </w:r>
      <w:r w:rsidR="00AA4573">
        <w:t xml:space="preserve"> While water consumption has decreased</w:t>
      </w:r>
      <w:r w:rsidR="00670B65">
        <w:t>,</w:t>
      </w:r>
      <w:r w:rsidR="00AA4573">
        <w:t xml:space="preserve"> a reduction in staff in </w:t>
      </w:r>
      <w:fldSimple w:instr="DOCPROPERTY  FinYearCurrent  \* MERGEFORMAT">
        <w:r w:rsidR="00FA0C53">
          <w:t>20X1</w:t>
        </w:r>
        <w:r w:rsidR="00FA0C53">
          <w:rPr>
            <w:rFonts w:ascii="Cambria Math" w:hAnsi="Cambria Math" w:cs="Cambria Math"/>
          </w:rPr>
          <w:noBreakHyphen/>
        </w:r>
        <w:r w:rsidR="00FA0C53">
          <w:t>X2</w:t>
        </w:r>
      </w:fldSimple>
      <w:r w:rsidR="00AA4573">
        <w:t xml:space="preserve"> has driven </w:t>
      </w:r>
      <w:r w:rsidR="00AA4573" w:rsidRPr="00BF6AD1">
        <w:t>the 2</w:t>
      </w:r>
      <w:r w:rsidR="00BF6AD1" w:rsidRPr="00BF2540">
        <w:t>9</w:t>
      </w:r>
      <w:r w:rsidR="00AA4573" w:rsidRPr="00BF6AD1">
        <w:t xml:space="preserve"> per cent increase</w:t>
      </w:r>
      <w:r w:rsidR="00AA4573">
        <w:t xml:space="preserve"> in water consumption per full-time equivalent employee.</w:t>
      </w:r>
    </w:p>
    <w:p w14:paraId="4E58F92A" w14:textId="2F4CD4FD" w:rsidR="004330DD" w:rsidRDefault="004330DD" w:rsidP="004330DD">
      <w:r>
        <w:t>T</w:t>
      </w:r>
      <w:r w:rsidRPr="77D25D40">
        <w:t xml:space="preserve">he </w:t>
      </w:r>
      <w:r>
        <w:t>Department</w:t>
      </w:r>
      <w:r w:rsidRPr="008429FA">
        <w:t xml:space="preserve"> </w:t>
      </w:r>
      <w:r>
        <w:t>aims</w:t>
      </w:r>
      <w:r w:rsidRPr="77D25D40">
        <w:t xml:space="preserve"> to install water-efficient taps </w:t>
      </w:r>
      <w:r>
        <w:t>at</w:t>
      </w:r>
      <w:r w:rsidRPr="77D25D40">
        <w:t xml:space="preserve"> all its sites </w:t>
      </w:r>
      <w:r>
        <w:t xml:space="preserve">within </w:t>
      </w:r>
      <w:r w:rsidR="00AA4573">
        <w:t xml:space="preserve">two </w:t>
      </w:r>
      <w:r>
        <w:t>years</w:t>
      </w:r>
      <w:r w:rsidRPr="77D25D40">
        <w:t>. The Department is</w:t>
      </w:r>
      <w:r>
        <w:t xml:space="preserve"> also</w:t>
      </w:r>
      <w:r w:rsidRPr="77D25D40">
        <w:t xml:space="preserve"> aiming to increase reusable water consumption to be 80</w:t>
      </w:r>
      <w:r>
        <w:t xml:space="preserve"> per cent </w:t>
      </w:r>
      <w:r w:rsidRPr="77D25D40">
        <w:t xml:space="preserve">of total water consumption </w:t>
      </w:r>
      <w:r>
        <w:t xml:space="preserve">within </w:t>
      </w:r>
      <w:r w:rsidR="00AA4573">
        <w:t xml:space="preserve">three </w:t>
      </w:r>
      <w:r>
        <w:t>years</w:t>
      </w:r>
      <w:r w:rsidRPr="77D25D40">
        <w:t>.</w:t>
      </w:r>
    </w:p>
    <w:tbl>
      <w:tblPr>
        <w:tblStyle w:val="DTFTable"/>
        <w:tblW w:w="8915" w:type="dxa"/>
        <w:tblLook w:val="06A0" w:firstRow="1" w:lastRow="0" w:firstColumn="1" w:lastColumn="0" w:noHBand="1" w:noVBand="1"/>
      </w:tblPr>
      <w:tblGrid>
        <w:gridCol w:w="5256"/>
        <w:gridCol w:w="1180"/>
        <w:gridCol w:w="1299"/>
        <w:gridCol w:w="1180"/>
      </w:tblGrid>
      <w:tr w:rsidR="004330DD" w:rsidRPr="004B33E7" w14:paraId="033FBB94" w14:textId="77777777" w:rsidTr="00E46E3A">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5256" w:type="dxa"/>
            <w:noWrap/>
            <w:vAlign w:val="top"/>
            <w:hideMark/>
          </w:tcPr>
          <w:p w14:paraId="465B9441" w14:textId="77777777" w:rsidR="004330DD" w:rsidRPr="000B61CD" w:rsidRDefault="004330DD" w:rsidP="00E46E3A">
            <w:r w:rsidRPr="000B61CD">
              <w:t xml:space="preserve">Indicator </w:t>
            </w:r>
          </w:p>
        </w:tc>
        <w:tc>
          <w:tcPr>
            <w:tcW w:w="1180" w:type="dxa"/>
            <w:noWrap/>
            <w:hideMark/>
          </w:tcPr>
          <w:p w14:paraId="425363D8" w14:textId="5CDC9B4A" w:rsidR="004330DD" w:rsidRPr="000B61CD" w:rsidRDefault="00FA0C53" w:rsidP="000B61CD">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Pr>
                  <w:rFonts w:ascii="Cambria Math" w:hAnsi="Cambria Math" w:cs="Cambria Math"/>
                </w:rPr>
                <w:noBreakHyphen/>
              </w:r>
              <w:r>
                <w:t>X2</w:t>
              </w:r>
            </w:fldSimple>
          </w:p>
        </w:tc>
        <w:tc>
          <w:tcPr>
            <w:tcW w:w="1299" w:type="dxa"/>
            <w:noWrap/>
            <w:hideMark/>
          </w:tcPr>
          <w:p w14:paraId="142A3455" w14:textId="75F11C30" w:rsidR="004330DD" w:rsidRPr="000B61CD" w:rsidRDefault="00FA0C53" w:rsidP="000B61CD">
            <w:pPr>
              <w:cnfStyle w:val="100000000000" w:firstRow="1" w:lastRow="0" w:firstColumn="0" w:lastColumn="0" w:oddVBand="0" w:evenVBand="0" w:oddHBand="0" w:evenHBand="0" w:firstRowFirstColumn="0" w:firstRowLastColumn="0" w:lastRowFirstColumn="0" w:lastRowLastColumn="0"/>
            </w:pPr>
            <w:fldSimple w:instr="DOCPROPERTY  FinYearPrevious  \* MERGEFORMAT">
              <w:r>
                <w:t>20X0</w:t>
              </w:r>
              <w:r>
                <w:rPr>
                  <w:rFonts w:ascii="Cambria Math" w:hAnsi="Cambria Math" w:cs="Cambria Math"/>
                </w:rPr>
                <w:noBreakHyphen/>
              </w:r>
              <w:r>
                <w:t>X1</w:t>
              </w:r>
            </w:fldSimple>
          </w:p>
        </w:tc>
        <w:tc>
          <w:tcPr>
            <w:tcW w:w="1180" w:type="dxa"/>
            <w:noWrap/>
            <w:hideMark/>
          </w:tcPr>
          <w:p w14:paraId="322652B5" w14:textId="5569A578" w:rsidR="004330DD" w:rsidRPr="004B33E7" w:rsidRDefault="004330DD" w:rsidP="000B61CD">
            <w:pPr>
              <w:cnfStyle w:val="100000000000" w:firstRow="1" w:lastRow="0" w:firstColumn="0" w:lastColumn="0" w:oddVBand="0" w:evenVBand="0" w:oddHBand="0" w:evenHBand="0" w:firstRowFirstColumn="0" w:firstRowLastColumn="0" w:lastRowFirstColumn="0" w:lastRowLastColumn="0"/>
            </w:pPr>
            <w:r w:rsidRPr="004B33E7">
              <w:t xml:space="preserve"> 20XX-X0 </w:t>
            </w:r>
          </w:p>
        </w:tc>
      </w:tr>
      <w:tr w:rsidR="004330DD" w:rsidRPr="000B61CD" w14:paraId="380AAE2B" w14:textId="77777777" w:rsidTr="00E46E3A">
        <w:trPr>
          <w:trHeight w:val="187"/>
        </w:trPr>
        <w:tc>
          <w:tcPr>
            <w:cnfStyle w:val="001000000000" w:firstRow="0" w:lastRow="0" w:firstColumn="1" w:lastColumn="0" w:oddVBand="0" w:evenVBand="0" w:oddHBand="0" w:evenHBand="0" w:firstRowFirstColumn="0" w:firstRowLastColumn="0" w:lastRowFirstColumn="0" w:lastRowLastColumn="0"/>
            <w:tcW w:w="5256" w:type="dxa"/>
            <w:noWrap/>
            <w:vAlign w:val="top"/>
            <w:hideMark/>
          </w:tcPr>
          <w:p w14:paraId="3F0BDDBB" w14:textId="77777777" w:rsidR="004330DD" w:rsidRPr="000B61CD" w:rsidRDefault="004330DD" w:rsidP="00E46E3A">
            <w:r w:rsidRPr="000B61CD">
              <w:t>Total water consumption by an Entity (kilolitres)</w:t>
            </w:r>
            <w:r w:rsidRPr="000B61CD">
              <w:rPr>
                <w:rStyle w:val="Reference"/>
              </w:rPr>
              <w:t> [Indicator W1]</w:t>
            </w:r>
          </w:p>
        </w:tc>
        <w:tc>
          <w:tcPr>
            <w:tcW w:w="1180" w:type="dxa"/>
            <w:noWrap/>
            <w:hideMark/>
          </w:tcPr>
          <w:p w14:paraId="454614EB" w14:textId="0D1825CA" w:rsidR="004330DD" w:rsidRPr="000B61CD" w:rsidRDefault="000B61CD" w:rsidP="000B61CD">
            <w:pPr>
              <w:cnfStyle w:val="000000000000" w:firstRow="0" w:lastRow="0" w:firstColumn="0" w:lastColumn="0" w:oddVBand="0" w:evenVBand="0" w:oddHBand="0" w:evenHBand="0" w:firstRowFirstColumn="0" w:firstRowLastColumn="0" w:lastRowFirstColumn="0" w:lastRowLastColumn="0"/>
            </w:pPr>
            <w:r>
              <w:t xml:space="preserve">3 </w:t>
            </w:r>
            <w:r w:rsidR="0023253F">
              <w:t>322</w:t>
            </w:r>
            <w:r>
              <w:t>.</w:t>
            </w:r>
            <w:r w:rsidR="0023253F">
              <w:t>2</w:t>
            </w:r>
          </w:p>
        </w:tc>
        <w:tc>
          <w:tcPr>
            <w:tcW w:w="1299" w:type="dxa"/>
            <w:noWrap/>
            <w:hideMark/>
          </w:tcPr>
          <w:p w14:paraId="2C9D5EE1" w14:textId="6BFE3DB6" w:rsidR="004330DD" w:rsidRPr="000B61CD" w:rsidRDefault="000B61CD" w:rsidP="000B61CD">
            <w:pPr>
              <w:cnfStyle w:val="000000000000" w:firstRow="0" w:lastRow="0" w:firstColumn="0" w:lastColumn="0" w:oddVBand="0" w:evenVBand="0" w:oddHBand="0" w:evenHBand="0" w:firstRowFirstColumn="0" w:firstRowLastColumn="0" w:lastRowFirstColumn="0" w:lastRowLastColumn="0"/>
            </w:pPr>
            <w:r>
              <w:t>3 501.8</w:t>
            </w:r>
          </w:p>
        </w:tc>
        <w:tc>
          <w:tcPr>
            <w:tcW w:w="1180" w:type="dxa"/>
            <w:noWrap/>
            <w:hideMark/>
          </w:tcPr>
          <w:p w14:paraId="2C4D999C" w14:textId="5B88A12D" w:rsidR="004330DD" w:rsidRPr="000B61CD" w:rsidRDefault="000B61CD" w:rsidP="000B61CD">
            <w:pPr>
              <w:cnfStyle w:val="000000000000" w:firstRow="0" w:lastRow="0" w:firstColumn="0" w:lastColumn="0" w:oddVBand="0" w:evenVBand="0" w:oddHBand="0" w:evenHBand="0" w:firstRowFirstColumn="0" w:firstRowLastColumn="0" w:lastRowFirstColumn="0" w:lastRowLastColumn="0"/>
            </w:pPr>
            <w:r>
              <w:t>3 436.0</w:t>
            </w:r>
          </w:p>
        </w:tc>
      </w:tr>
      <w:tr w:rsidR="0036474E" w:rsidRPr="000B61CD" w14:paraId="1CAFEC6D" w14:textId="77777777" w:rsidTr="00E46E3A">
        <w:trPr>
          <w:trHeight w:val="187"/>
        </w:trPr>
        <w:tc>
          <w:tcPr>
            <w:cnfStyle w:val="001000000000" w:firstRow="0" w:lastRow="0" w:firstColumn="1" w:lastColumn="0" w:oddVBand="0" w:evenVBand="0" w:oddHBand="0" w:evenHBand="0" w:firstRowFirstColumn="0" w:firstRowLastColumn="0" w:lastRowFirstColumn="0" w:lastRowLastColumn="0"/>
            <w:tcW w:w="5256" w:type="dxa"/>
            <w:noWrap/>
            <w:vAlign w:val="top"/>
            <w:hideMark/>
          </w:tcPr>
          <w:p w14:paraId="0F4884A5" w14:textId="77777777" w:rsidR="0036474E" w:rsidRPr="000B61CD" w:rsidRDefault="0036474E" w:rsidP="00E46E3A">
            <w:r w:rsidRPr="000B61CD">
              <w:t>Potable water consumption</w:t>
            </w:r>
          </w:p>
        </w:tc>
        <w:tc>
          <w:tcPr>
            <w:tcW w:w="1180" w:type="dxa"/>
            <w:noWrap/>
            <w:hideMark/>
          </w:tcPr>
          <w:p w14:paraId="6C156DEE" w14:textId="0F9DFD15" w:rsidR="0036474E" w:rsidRPr="000B61CD" w:rsidRDefault="0036474E" w:rsidP="000B61CD">
            <w:pPr>
              <w:cnfStyle w:val="000000000000" w:firstRow="0" w:lastRow="0" w:firstColumn="0" w:lastColumn="0" w:oddVBand="0" w:evenVBand="0" w:oddHBand="0" w:evenHBand="0" w:firstRowFirstColumn="0" w:firstRowLastColumn="0" w:lastRowFirstColumn="0" w:lastRowLastColumn="0"/>
            </w:pPr>
            <w:r>
              <w:t xml:space="preserve">1 </w:t>
            </w:r>
            <w:r w:rsidR="0023253F">
              <w:t>328</w:t>
            </w:r>
            <w:r>
              <w:t>.</w:t>
            </w:r>
            <w:r w:rsidR="0023253F">
              <w:t>8</w:t>
            </w:r>
          </w:p>
        </w:tc>
        <w:tc>
          <w:tcPr>
            <w:tcW w:w="1299" w:type="dxa"/>
            <w:noWrap/>
            <w:hideMark/>
          </w:tcPr>
          <w:p w14:paraId="0D2721F3" w14:textId="0405814A" w:rsidR="0036474E" w:rsidRPr="000B61CD" w:rsidRDefault="0036474E" w:rsidP="000B61CD">
            <w:pPr>
              <w:cnfStyle w:val="000000000000" w:firstRow="0" w:lastRow="0" w:firstColumn="0" w:lastColumn="0" w:oddVBand="0" w:evenVBand="0" w:oddHBand="0" w:evenHBand="0" w:firstRowFirstColumn="0" w:firstRowLastColumn="0" w:lastRowFirstColumn="0" w:lastRowLastColumn="0"/>
            </w:pPr>
            <w:r>
              <w:t>1 400.7</w:t>
            </w:r>
          </w:p>
        </w:tc>
        <w:tc>
          <w:tcPr>
            <w:tcW w:w="1180" w:type="dxa"/>
            <w:noWrap/>
            <w:hideMark/>
          </w:tcPr>
          <w:p w14:paraId="314E1CB4" w14:textId="07B9FD1F" w:rsidR="0036474E" w:rsidRPr="000B61CD" w:rsidRDefault="0036474E" w:rsidP="000B61CD">
            <w:pPr>
              <w:cnfStyle w:val="000000000000" w:firstRow="0" w:lastRow="0" w:firstColumn="0" w:lastColumn="0" w:oddVBand="0" w:evenVBand="0" w:oddHBand="0" w:evenHBand="0" w:firstRowFirstColumn="0" w:firstRowLastColumn="0" w:lastRowFirstColumn="0" w:lastRowLastColumn="0"/>
            </w:pPr>
            <w:r>
              <w:t>1 374.4</w:t>
            </w:r>
          </w:p>
        </w:tc>
      </w:tr>
      <w:tr w:rsidR="0036474E" w:rsidRPr="000B61CD" w14:paraId="49FF70DD" w14:textId="77777777" w:rsidTr="00E46E3A">
        <w:trPr>
          <w:trHeight w:val="187"/>
        </w:trPr>
        <w:tc>
          <w:tcPr>
            <w:cnfStyle w:val="001000000000" w:firstRow="0" w:lastRow="0" w:firstColumn="1" w:lastColumn="0" w:oddVBand="0" w:evenVBand="0" w:oddHBand="0" w:evenHBand="0" w:firstRowFirstColumn="0" w:firstRowLastColumn="0" w:lastRowFirstColumn="0" w:lastRowLastColumn="0"/>
            <w:tcW w:w="5256" w:type="dxa"/>
            <w:noWrap/>
            <w:vAlign w:val="top"/>
            <w:hideMark/>
          </w:tcPr>
          <w:p w14:paraId="20B3CD1E" w14:textId="77777777" w:rsidR="0036474E" w:rsidRPr="000B61CD" w:rsidRDefault="0036474E" w:rsidP="00E46E3A">
            <w:r w:rsidRPr="000B61CD">
              <w:t>Metered reused water consumption</w:t>
            </w:r>
          </w:p>
        </w:tc>
        <w:tc>
          <w:tcPr>
            <w:tcW w:w="1180" w:type="dxa"/>
            <w:noWrap/>
            <w:hideMark/>
          </w:tcPr>
          <w:p w14:paraId="2CD0B5DE" w14:textId="3B02C301" w:rsidR="0036474E" w:rsidRPr="000B61CD" w:rsidRDefault="0023253F" w:rsidP="000B61CD">
            <w:pPr>
              <w:cnfStyle w:val="000000000000" w:firstRow="0" w:lastRow="0" w:firstColumn="0" w:lastColumn="0" w:oddVBand="0" w:evenVBand="0" w:oddHBand="0" w:evenHBand="0" w:firstRowFirstColumn="0" w:firstRowLastColumn="0" w:lastRowFirstColumn="0" w:lastRowLastColumn="0"/>
            </w:pPr>
            <w:r>
              <w:t>1 993.3</w:t>
            </w:r>
          </w:p>
        </w:tc>
        <w:tc>
          <w:tcPr>
            <w:tcW w:w="1299" w:type="dxa"/>
            <w:noWrap/>
            <w:hideMark/>
          </w:tcPr>
          <w:p w14:paraId="5DDDC171" w14:textId="40DBE170" w:rsidR="0036474E" w:rsidRPr="000B61CD" w:rsidRDefault="0036474E" w:rsidP="000B61CD">
            <w:pPr>
              <w:cnfStyle w:val="000000000000" w:firstRow="0" w:lastRow="0" w:firstColumn="0" w:lastColumn="0" w:oddVBand="0" w:evenVBand="0" w:oddHBand="0" w:evenHBand="0" w:firstRowFirstColumn="0" w:firstRowLastColumn="0" w:lastRowFirstColumn="0" w:lastRowLastColumn="0"/>
            </w:pPr>
            <w:r>
              <w:t>2 101.1</w:t>
            </w:r>
          </w:p>
        </w:tc>
        <w:tc>
          <w:tcPr>
            <w:tcW w:w="1180" w:type="dxa"/>
            <w:noWrap/>
            <w:hideMark/>
          </w:tcPr>
          <w:p w14:paraId="1F52E3F2" w14:textId="5F683309" w:rsidR="0036474E" w:rsidRPr="000B61CD" w:rsidRDefault="0036474E" w:rsidP="000B61CD">
            <w:pPr>
              <w:cnfStyle w:val="000000000000" w:firstRow="0" w:lastRow="0" w:firstColumn="0" w:lastColumn="0" w:oddVBand="0" w:evenVBand="0" w:oddHBand="0" w:evenHBand="0" w:firstRowFirstColumn="0" w:firstRowLastColumn="0" w:lastRowFirstColumn="0" w:lastRowLastColumn="0"/>
            </w:pPr>
            <w:r>
              <w:t>2 061.6</w:t>
            </w:r>
          </w:p>
        </w:tc>
      </w:tr>
      <w:tr w:rsidR="004330DD" w:rsidRPr="000B61CD" w14:paraId="3B6E7382" w14:textId="77777777" w:rsidTr="00E46E3A">
        <w:trPr>
          <w:trHeight w:val="187"/>
        </w:trPr>
        <w:tc>
          <w:tcPr>
            <w:cnfStyle w:val="001000000000" w:firstRow="0" w:lastRow="0" w:firstColumn="1" w:lastColumn="0" w:oddVBand="0" w:evenVBand="0" w:oddHBand="0" w:evenHBand="0" w:firstRowFirstColumn="0" w:firstRowLastColumn="0" w:lastRowFirstColumn="0" w:lastRowLastColumn="0"/>
            <w:tcW w:w="5256" w:type="dxa"/>
            <w:noWrap/>
            <w:vAlign w:val="top"/>
            <w:hideMark/>
          </w:tcPr>
          <w:p w14:paraId="062FB63A" w14:textId="77777777" w:rsidR="004330DD" w:rsidRPr="000B61CD" w:rsidRDefault="004330DD" w:rsidP="00E46E3A">
            <w:r w:rsidRPr="000B61CD">
              <w:t xml:space="preserve">Units of metered water consumed normalised by FTE </w:t>
            </w:r>
            <w:r w:rsidRPr="000B61CD">
              <w:rPr>
                <w:rStyle w:val="Reference"/>
              </w:rPr>
              <w:t>[Indicator W2]</w:t>
            </w:r>
          </w:p>
        </w:tc>
        <w:tc>
          <w:tcPr>
            <w:tcW w:w="1180" w:type="dxa"/>
            <w:noWrap/>
            <w:hideMark/>
          </w:tcPr>
          <w:p w14:paraId="6F6E86BD" w14:textId="73FFD5ED" w:rsidR="004330DD" w:rsidRPr="000B61CD" w:rsidRDefault="0023253F" w:rsidP="000B61CD">
            <w:pPr>
              <w:cnfStyle w:val="000000000000" w:firstRow="0" w:lastRow="0" w:firstColumn="0" w:lastColumn="0" w:oddVBand="0" w:evenVBand="0" w:oddHBand="0" w:evenHBand="0" w:firstRowFirstColumn="0" w:firstRowLastColumn="0" w:lastRowFirstColumn="0" w:lastRowLastColumn="0"/>
            </w:pPr>
            <w:r>
              <w:t>9.4</w:t>
            </w:r>
          </w:p>
        </w:tc>
        <w:tc>
          <w:tcPr>
            <w:tcW w:w="1299" w:type="dxa"/>
            <w:noWrap/>
            <w:hideMark/>
          </w:tcPr>
          <w:p w14:paraId="7E33FF49" w14:textId="75BE2EDD" w:rsidR="004330DD" w:rsidRPr="000B61CD" w:rsidRDefault="000B61CD" w:rsidP="000B61CD">
            <w:pPr>
              <w:cnfStyle w:val="000000000000" w:firstRow="0" w:lastRow="0" w:firstColumn="0" w:lastColumn="0" w:oddVBand="0" w:evenVBand="0" w:oddHBand="0" w:evenHBand="0" w:firstRowFirstColumn="0" w:firstRowLastColumn="0" w:lastRowFirstColumn="0" w:lastRowLastColumn="0"/>
            </w:pPr>
            <w:r>
              <w:t>7.3</w:t>
            </w:r>
          </w:p>
        </w:tc>
        <w:tc>
          <w:tcPr>
            <w:tcW w:w="1180" w:type="dxa"/>
            <w:noWrap/>
            <w:hideMark/>
          </w:tcPr>
          <w:p w14:paraId="2BD592D3" w14:textId="7B1CC652" w:rsidR="004330DD" w:rsidRPr="000B61CD" w:rsidRDefault="000B61CD" w:rsidP="000B61CD">
            <w:pPr>
              <w:cnfStyle w:val="000000000000" w:firstRow="0" w:lastRow="0" w:firstColumn="0" w:lastColumn="0" w:oddVBand="0" w:evenVBand="0" w:oddHBand="0" w:evenHBand="0" w:firstRowFirstColumn="0" w:firstRowLastColumn="0" w:lastRowFirstColumn="0" w:lastRowLastColumn="0"/>
            </w:pPr>
            <w:r>
              <w:t>7.3</w:t>
            </w:r>
          </w:p>
        </w:tc>
      </w:tr>
    </w:tbl>
    <w:p w14:paraId="17520750" w14:textId="77777777" w:rsidR="004330DD" w:rsidRPr="00C32143" w:rsidRDefault="004330DD" w:rsidP="004330DD">
      <w:pPr>
        <w:pStyle w:val="Heading3"/>
      </w:pPr>
      <w:r w:rsidRPr="00C0367A">
        <w:t xml:space="preserve">Waste and </w:t>
      </w:r>
      <w:r>
        <w:t>r</w:t>
      </w:r>
      <w:r w:rsidRPr="7FB38937">
        <w:t>ecycling</w:t>
      </w:r>
    </w:p>
    <w:p w14:paraId="4D2547C4" w14:textId="6F4E8851" w:rsidR="004330DD" w:rsidRPr="00587277" w:rsidRDefault="004330DD" w:rsidP="004330DD">
      <w:r w:rsidRPr="00880DA9">
        <w:t xml:space="preserve">Waste management and recycling </w:t>
      </w:r>
      <w:r>
        <w:t>are</w:t>
      </w:r>
      <w:r w:rsidRPr="00880DA9">
        <w:t xml:space="preserve"> key priorities for the </w:t>
      </w:r>
      <w:r>
        <w:t>Department</w:t>
      </w:r>
      <w:r w:rsidRPr="00880DA9">
        <w:t>.</w:t>
      </w:r>
      <w:r>
        <w:t xml:space="preserve"> Focus areas include </w:t>
      </w:r>
      <w:r w:rsidRPr="00880DA9">
        <w:t>efforts to eliminate single</w:t>
      </w:r>
      <w:r w:rsidR="00742DB2">
        <w:noBreakHyphen/>
      </w:r>
      <w:r w:rsidRPr="00880DA9">
        <w:t xml:space="preserve">use plastics, </w:t>
      </w:r>
      <w:r>
        <w:t xml:space="preserve">as well as </w:t>
      </w:r>
      <w:r w:rsidRPr="00880DA9">
        <w:t xml:space="preserve">maximise recycling and minimise </w:t>
      </w:r>
      <w:r>
        <w:t>waste sent to</w:t>
      </w:r>
      <w:r w:rsidRPr="00880DA9">
        <w:t xml:space="preserve"> landfill.</w:t>
      </w:r>
      <w:r w:rsidRPr="004C7C52">
        <w:t xml:space="preserve"> </w:t>
      </w:r>
      <w:r>
        <w:t>T</w:t>
      </w:r>
      <w:r w:rsidRPr="004C7C52">
        <w:t xml:space="preserve">he </w:t>
      </w:r>
      <w:r>
        <w:t>Department</w:t>
      </w:r>
      <w:r w:rsidRPr="008429FA">
        <w:t xml:space="preserve"> </w:t>
      </w:r>
      <w:r>
        <w:t>collected waste data from</w:t>
      </w:r>
      <w:r w:rsidRPr="004C7C52">
        <w:t xml:space="preserve"> invoices and reports from </w:t>
      </w:r>
      <w:r>
        <w:t xml:space="preserve">its </w:t>
      </w:r>
      <w:r w:rsidRPr="004C7C52">
        <w:t xml:space="preserve">waste </w:t>
      </w:r>
      <w:r>
        <w:t xml:space="preserve">management providers. </w:t>
      </w:r>
      <w:r w:rsidR="004035A8">
        <w:t xml:space="preserve">The Department’s waste management and recycling actions have resulted in a </w:t>
      </w:r>
      <w:r w:rsidR="002A3668">
        <w:t>3</w:t>
      </w:r>
      <w:r w:rsidR="004035A8">
        <w:t xml:space="preserve"> per cent decrease in units from 20XX-X0 to </w:t>
      </w:r>
      <w:fldSimple w:instr="DOCPROPERTY  FinYearCurrent  \* MERGEFORMAT">
        <w:r w:rsidR="00FA0C53">
          <w:t>20X1</w:t>
        </w:r>
        <w:r w:rsidR="00FA0C53">
          <w:rPr>
            <w:rFonts w:ascii="Cambria Math" w:hAnsi="Cambria Math" w:cs="Cambria Math"/>
          </w:rPr>
          <w:noBreakHyphen/>
        </w:r>
        <w:r w:rsidR="00FA0C53">
          <w:t>X2</w:t>
        </w:r>
      </w:fldSimple>
      <w:r w:rsidR="004035A8">
        <w:t>. While waste disposal has decreased</w:t>
      </w:r>
      <w:r w:rsidR="0098056D">
        <w:t xml:space="preserve">, a reduction in staff has driven the 20 per cent increase in units of </w:t>
      </w:r>
      <w:r w:rsidRPr="00587277">
        <w:t xml:space="preserve">waste per full-time equivalent </w:t>
      </w:r>
      <w:r w:rsidR="0098056D">
        <w:t xml:space="preserve">employee from </w:t>
      </w:r>
      <w:fldSimple w:instr="DOCPROPERTY  FinYearPrevious  \* MERGEFORMAT">
        <w:r w:rsidR="00DF60F6">
          <w:t>20X0</w:t>
        </w:r>
        <w:r w:rsidR="00DF60F6">
          <w:rPr>
            <w:rFonts w:ascii="Cambria Math" w:hAnsi="Cambria Math" w:cs="Cambria Math"/>
          </w:rPr>
          <w:noBreakHyphen/>
        </w:r>
        <w:r w:rsidR="00DF60F6">
          <w:t>X1</w:t>
        </w:r>
      </w:fldSimple>
      <w:r w:rsidR="0098056D">
        <w:t xml:space="preserve"> to </w:t>
      </w:r>
      <w:fldSimple w:instr="DOCPROPERTY  FinYearCurrent  \* MERGEFORMAT">
        <w:r w:rsidR="00DF60F6">
          <w:t>20X1</w:t>
        </w:r>
        <w:r w:rsidR="00DF60F6">
          <w:rPr>
            <w:rFonts w:ascii="Cambria Math" w:hAnsi="Cambria Math" w:cs="Cambria Math"/>
          </w:rPr>
          <w:noBreakHyphen/>
        </w:r>
        <w:r w:rsidR="00DF60F6">
          <w:t>X2</w:t>
        </w:r>
      </w:fldSimple>
      <w:r w:rsidR="0098056D">
        <w:t>.</w:t>
      </w:r>
      <w:r w:rsidRPr="00587277">
        <w:t xml:space="preserve"> </w:t>
      </w:r>
    </w:p>
    <w:p w14:paraId="2A3F065E" w14:textId="77777777" w:rsidR="004330DD" w:rsidRPr="00587277" w:rsidRDefault="004330DD" w:rsidP="004330DD">
      <w:r w:rsidRPr="00587277">
        <w:t xml:space="preserve">The Department has increased the number of its sites that have dedicated collection services for e-waste, printer cartridges, batteries and soft plastics. The e-waste disposal program supports the repurposing of electronic hardware that can no longer be deployed within regular operations. Once data is cleansed, hardware is either offered to employees at market value or provided to a charity. </w:t>
      </w:r>
    </w:p>
    <w:p w14:paraId="4EE407A9" w14:textId="45F7FDAD" w:rsidR="004330DD" w:rsidRDefault="004330DD" w:rsidP="004330DD">
      <w:r w:rsidRPr="00587277">
        <w:t xml:space="preserve">The Department is aiming to increase its recycling rate to 85 per cent within </w:t>
      </w:r>
      <w:r w:rsidR="003E1A8E">
        <w:t>seven</w:t>
      </w:r>
      <w:r w:rsidR="003E1A8E" w:rsidRPr="00587277">
        <w:t xml:space="preserve"> </w:t>
      </w:r>
      <w:r w:rsidRPr="00587277">
        <w:t>years by increasing dedicated collection services, the use of multi-bin systems at each of its sites and the implementation of circular economy principles into Departmental procurement.</w:t>
      </w:r>
    </w:p>
    <w:tbl>
      <w:tblPr>
        <w:tblStyle w:val="DTFFinancialTable"/>
        <w:tblW w:w="9639" w:type="dxa"/>
        <w:tblLook w:val="06A0" w:firstRow="1" w:lastRow="0" w:firstColumn="1" w:lastColumn="0" w:noHBand="1" w:noVBand="1"/>
      </w:tblPr>
      <w:tblGrid>
        <w:gridCol w:w="4060"/>
        <w:gridCol w:w="854"/>
        <w:gridCol w:w="937"/>
        <w:gridCol w:w="1022"/>
        <w:gridCol w:w="910"/>
        <w:gridCol w:w="994"/>
        <w:gridCol w:w="862"/>
      </w:tblGrid>
      <w:tr w:rsidR="0036474E" w:rsidRPr="000B61CD" w14:paraId="67E257BC" w14:textId="77777777" w:rsidTr="006669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060" w:type="dxa"/>
          </w:tcPr>
          <w:p w14:paraId="78408AA8" w14:textId="77777777" w:rsidR="000B61CD" w:rsidRPr="000B61CD" w:rsidRDefault="000B61CD">
            <w:r w:rsidRPr="000B61CD">
              <w:lastRenderedPageBreak/>
              <w:t xml:space="preserve">Indicator </w:t>
            </w:r>
          </w:p>
        </w:tc>
        <w:tc>
          <w:tcPr>
            <w:tcW w:w="854" w:type="dxa"/>
          </w:tcPr>
          <w:p w14:paraId="5F145573" w14:textId="2FCD6CC2" w:rsidR="000B61CD" w:rsidRPr="000B61CD" w:rsidRDefault="00DF60F6">
            <w:pPr>
              <w:cnfStyle w:val="100000000000" w:firstRow="1" w:lastRow="0" w:firstColumn="0" w:lastColumn="0" w:oddVBand="0" w:evenVBand="0" w:oddHBand="0" w:evenHBand="0" w:firstRowFirstColumn="0" w:firstRowLastColumn="0" w:lastRowFirstColumn="0" w:lastRowLastColumn="0"/>
            </w:pPr>
            <w:fldSimple w:instr="DOCPROPERTY  FinYearCurrent  \* MERGEFORMAT">
              <w:r>
                <w:t>20X1</w:t>
              </w:r>
              <w:r>
                <w:rPr>
                  <w:rFonts w:ascii="Cambria Math" w:hAnsi="Cambria Math" w:cs="Cambria Math"/>
                </w:rPr>
                <w:noBreakHyphen/>
              </w:r>
              <w:r>
                <w:t>X2</w:t>
              </w:r>
            </w:fldSimple>
          </w:p>
        </w:tc>
        <w:tc>
          <w:tcPr>
            <w:tcW w:w="937" w:type="dxa"/>
          </w:tcPr>
          <w:p w14:paraId="2A1F17E3" w14:textId="2A910672" w:rsidR="000B61CD" w:rsidRPr="000B61CD" w:rsidRDefault="000B61CD">
            <w:pPr>
              <w:cnfStyle w:val="100000000000" w:firstRow="1" w:lastRow="0" w:firstColumn="0" w:lastColumn="0" w:oddVBand="0" w:evenVBand="0" w:oddHBand="0" w:evenHBand="0" w:firstRowFirstColumn="0" w:firstRowLastColumn="0" w:lastRowFirstColumn="0" w:lastRowLastColumn="0"/>
            </w:pPr>
            <w:r w:rsidRPr="000B61CD">
              <w:t>%</w:t>
            </w:r>
          </w:p>
        </w:tc>
        <w:tc>
          <w:tcPr>
            <w:tcW w:w="1022" w:type="dxa"/>
          </w:tcPr>
          <w:p w14:paraId="05E423A7" w14:textId="1D639AA3" w:rsidR="000B61CD" w:rsidRPr="000B61CD" w:rsidRDefault="00DF60F6">
            <w:pPr>
              <w:cnfStyle w:val="100000000000" w:firstRow="1" w:lastRow="0" w:firstColumn="0" w:lastColumn="0" w:oddVBand="0" w:evenVBand="0" w:oddHBand="0" w:evenHBand="0" w:firstRowFirstColumn="0" w:firstRowLastColumn="0" w:lastRowFirstColumn="0" w:lastRowLastColumn="0"/>
            </w:pPr>
            <w:fldSimple w:instr="DOCPROPERTY  FinYearPrevious  \* MERGEFORMAT">
              <w:r>
                <w:t>20X0</w:t>
              </w:r>
              <w:r>
                <w:rPr>
                  <w:rFonts w:ascii="Cambria Math" w:hAnsi="Cambria Math" w:cs="Cambria Math"/>
                </w:rPr>
                <w:noBreakHyphen/>
              </w:r>
              <w:r>
                <w:t>X1</w:t>
              </w:r>
            </w:fldSimple>
          </w:p>
        </w:tc>
        <w:tc>
          <w:tcPr>
            <w:tcW w:w="910" w:type="dxa"/>
          </w:tcPr>
          <w:p w14:paraId="1C387C63" w14:textId="22EB298F" w:rsidR="000B61CD" w:rsidRPr="000B61CD" w:rsidRDefault="000B61CD">
            <w:pPr>
              <w:cnfStyle w:val="100000000000" w:firstRow="1" w:lastRow="0" w:firstColumn="0" w:lastColumn="0" w:oddVBand="0" w:evenVBand="0" w:oddHBand="0" w:evenHBand="0" w:firstRowFirstColumn="0" w:firstRowLastColumn="0" w:lastRowFirstColumn="0" w:lastRowLastColumn="0"/>
            </w:pPr>
            <w:r w:rsidRPr="000B61CD">
              <w:t>%</w:t>
            </w:r>
          </w:p>
        </w:tc>
        <w:tc>
          <w:tcPr>
            <w:tcW w:w="994" w:type="dxa"/>
          </w:tcPr>
          <w:p w14:paraId="3E0896B7" w14:textId="77777777" w:rsidR="000B61CD" w:rsidRPr="000B61CD" w:rsidRDefault="000B61CD">
            <w:pPr>
              <w:cnfStyle w:val="100000000000" w:firstRow="1" w:lastRow="0" w:firstColumn="0" w:lastColumn="0" w:oddVBand="0" w:evenVBand="0" w:oddHBand="0" w:evenHBand="0" w:firstRowFirstColumn="0" w:firstRowLastColumn="0" w:lastRowFirstColumn="0" w:lastRowLastColumn="0"/>
            </w:pPr>
            <w:r w:rsidRPr="000B61CD">
              <w:t>20XX-X0</w:t>
            </w:r>
          </w:p>
        </w:tc>
        <w:tc>
          <w:tcPr>
            <w:tcW w:w="862" w:type="dxa"/>
          </w:tcPr>
          <w:p w14:paraId="6A8ABF86" w14:textId="32EA3996" w:rsidR="000B61CD" w:rsidRPr="000B61CD" w:rsidRDefault="000B61CD">
            <w:pPr>
              <w:cnfStyle w:val="100000000000" w:firstRow="1" w:lastRow="0" w:firstColumn="0" w:lastColumn="0" w:oddVBand="0" w:evenVBand="0" w:oddHBand="0" w:evenHBand="0" w:firstRowFirstColumn="0" w:firstRowLastColumn="0" w:lastRowFirstColumn="0" w:lastRowLastColumn="0"/>
            </w:pPr>
            <w:r w:rsidRPr="000B61CD">
              <w:t>%</w:t>
            </w:r>
          </w:p>
        </w:tc>
      </w:tr>
      <w:tr w:rsidR="0036474E" w:rsidRPr="000B61CD" w14:paraId="1083C25E" w14:textId="77777777" w:rsidTr="000B61CD">
        <w:tc>
          <w:tcPr>
            <w:cnfStyle w:val="001000000000" w:firstRow="0" w:lastRow="0" w:firstColumn="1" w:lastColumn="0" w:oddVBand="0" w:evenVBand="0" w:oddHBand="0" w:evenHBand="0" w:firstRowFirstColumn="0" w:firstRowLastColumn="0" w:lastRowFirstColumn="0" w:lastRowLastColumn="0"/>
            <w:tcW w:w="4060" w:type="dxa"/>
          </w:tcPr>
          <w:p w14:paraId="714CC240" w14:textId="77777777" w:rsidR="000B61CD" w:rsidRPr="000B61CD" w:rsidRDefault="000B61CD">
            <w:r w:rsidRPr="000B61CD">
              <w:t xml:space="preserve">Total units of waste disposed (kg and %) </w:t>
            </w:r>
            <w:r w:rsidRPr="000B61CD">
              <w:rPr>
                <w:rStyle w:val="Reference"/>
              </w:rPr>
              <w:t>[Indicator WR1]</w:t>
            </w:r>
          </w:p>
        </w:tc>
        <w:tc>
          <w:tcPr>
            <w:tcW w:w="854" w:type="dxa"/>
          </w:tcPr>
          <w:p w14:paraId="28C5143A" w14:textId="60A58CE1" w:rsidR="000B61CD" w:rsidRPr="000B61CD" w:rsidRDefault="007E71C8">
            <w:pPr>
              <w:cnfStyle w:val="000000000000" w:firstRow="0" w:lastRow="0" w:firstColumn="0" w:lastColumn="0" w:oddVBand="0" w:evenVBand="0" w:oddHBand="0" w:evenHBand="0" w:firstRowFirstColumn="0" w:firstRowLastColumn="0" w:lastRowFirstColumn="0" w:lastRowLastColumn="0"/>
            </w:pPr>
            <w:r>
              <w:t>7 986.4</w:t>
            </w:r>
          </w:p>
        </w:tc>
        <w:tc>
          <w:tcPr>
            <w:tcW w:w="937" w:type="dxa"/>
          </w:tcPr>
          <w:p w14:paraId="2BA5BC07" w14:textId="3508BCE7" w:rsidR="000B61CD" w:rsidRPr="000B61CD" w:rsidRDefault="000B61CD">
            <w:pPr>
              <w:cnfStyle w:val="000000000000" w:firstRow="0" w:lastRow="0" w:firstColumn="0" w:lastColumn="0" w:oddVBand="0" w:evenVBand="0" w:oddHBand="0" w:evenHBand="0" w:firstRowFirstColumn="0" w:firstRowLastColumn="0" w:lastRowFirstColumn="0" w:lastRowLastColumn="0"/>
            </w:pPr>
            <w:r w:rsidRPr="000B61CD">
              <w:t>100.0</w:t>
            </w:r>
          </w:p>
        </w:tc>
        <w:tc>
          <w:tcPr>
            <w:tcW w:w="1022" w:type="dxa"/>
          </w:tcPr>
          <w:p w14:paraId="102B32E9" w14:textId="4A1A6B8E" w:rsidR="000B61CD" w:rsidRPr="000B61CD" w:rsidRDefault="000B61CD">
            <w:pPr>
              <w:cnfStyle w:val="000000000000" w:firstRow="0" w:lastRow="0" w:firstColumn="0" w:lastColumn="0" w:oddVBand="0" w:evenVBand="0" w:oddHBand="0" w:evenHBand="0" w:firstRowFirstColumn="0" w:firstRowLastColumn="0" w:lastRowFirstColumn="0" w:lastRowLastColumn="0"/>
            </w:pPr>
            <w:r>
              <w:t xml:space="preserve">8 </w:t>
            </w:r>
            <w:r w:rsidR="0032239B">
              <w:t>124.5</w:t>
            </w:r>
          </w:p>
        </w:tc>
        <w:tc>
          <w:tcPr>
            <w:tcW w:w="910" w:type="dxa"/>
          </w:tcPr>
          <w:p w14:paraId="644CCA5E" w14:textId="137A7918" w:rsidR="000B61CD" w:rsidRPr="000B61CD" w:rsidRDefault="000B61CD">
            <w:pPr>
              <w:cnfStyle w:val="000000000000" w:firstRow="0" w:lastRow="0" w:firstColumn="0" w:lastColumn="0" w:oddVBand="0" w:evenVBand="0" w:oddHBand="0" w:evenHBand="0" w:firstRowFirstColumn="0" w:firstRowLastColumn="0" w:lastRowFirstColumn="0" w:lastRowLastColumn="0"/>
            </w:pPr>
            <w:r w:rsidRPr="000B61CD">
              <w:t>100.0</w:t>
            </w:r>
          </w:p>
        </w:tc>
        <w:tc>
          <w:tcPr>
            <w:tcW w:w="994" w:type="dxa"/>
          </w:tcPr>
          <w:p w14:paraId="70FC5B0D" w14:textId="267465B5" w:rsidR="000B61CD" w:rsidRPr="000B61CD" w:rsidRDefault="000B61CD">
            <w:pPr>
              <w:cnfStyle w:val="000000000000" w:firstRow="0" w:lastRow="0" w:firstColumn="0" w:lastColumn="0" w:oddVBand="0" w:evenVBand="0" w:oddHBand="0" w:evenHBand="0" w:firstRowFirstColumn="0" w:firstRowLastColumn="0" w:lastRowFirstColumn="0" w:lastRowLastColumn="0"/>
            </w:pPr>
            <w:r>
              <w:t>8 077.0</w:t>
            </w:r>
          </w:p>
        </w:tc>
        <w:tc>
          <w:tcPr>
            <w:tcW w:w="862" w:type="dxa"/>
          </w:tcPr>
          <w:p w14:paraId="1C3DF8F0" w14:textId="1B171483" w:rsidR="000B61CD" w:rsidRPr="000B61CD" w:rsidRDefault="000B61CD">
            <w:pPr>
              <w:cnfStyle w:val="000000000000" w:firstRow="0" w:lastRow="0" w:firstColumn="0" w:lastColumn="0" w:oddVBand="0" w:evenVBand="0" w:oddHBand="0" w:evenHBand="0" w:firstRowFirstColumn="0" w:firstRowLastColumn="0" w:lastRowFirstColumn="0" w:lastRowLastColumn="0"/>
            </w:pPr>
            <w:r w:rsidRPr="000B61CD">
              <w:t>100.0</w:t>
            </w:r>
          </w:p>
        </w:tc>
      </w:tr>
      <w:tr w:rsidR="0036474E" w:rsidRPr="000B61CD" w14:paraId="7177ED93"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39791E51" w14:textId="77777777" w:rsidR="0036474E" w:rsidRPr="000B61CD" w:rsidRDefault="0036474E" w:rsidP="0066691A">
            <w:pPr>
              <w:ind w:left="284"/>
            </w:pPr>
            <w:r w:rsidRPr="000B61CD">
              <w:t>Landfill (disposal)</w:t>
            </w:r>
          </w:p>
        </w:tc>
        <w:tc>
          <w:tcPr>
            <w:tcW w:w="854" w:type="dxa"/>
          </w:tcPr>
          <w:p w14:paraId="768CD1F4" w14:textId="729CFBED" w:rsidR="0036474E" w:rsidRPr="000B61CD" w:rsidRDefault="0036474E">
            <w:pPr>
              <w:cnfStyle w:val="000000000000" w:firstRow="0" w:lastRow="0" w:firstColumn="0" w:lastColumn="0" w:oddVBand="0" w:evenVBand="0" w:oddHBand="0" w:evenHBand="0" w:firstRowFirstColumn="0" w:firstRowLastColumn="0" w:lastRowFirstColumn="0" w:lastRowLastColumn="0"/>
            </w:pPr>
            <w:r>
              <w:t>2</w:t>
            </w:r>
            <w:r w:rsidR="007E71C8">
              <w:t xml:space="preserve"> 167.8</w:t>
            </w:r>
          </w:p>
        </w:tc>
        <w:tc>
          <w:tcPr>
            <w:tcW w:w="937" w:type="dxa"/>
          </w:tcPr>
          <w:p w14:paraId="135F7741" w14:textId="52C220C0" w:rsidR="0036474E" w:rsidRPr="000B61CD" w:rsidRDefault="0036474E">
            <w:pPr>
              <w:cnfStyle w:val="000000000000" w:firstRow="0" w:lastRow="0" w:firstColumn="0" w:lastColumn="0" w:oddVBand="0" w:evenVBand="0" w:oddHBand="0" w:evenHBand="0" w:firstRowFirstColumn="0" w:firstRowLastColumn="0" w:lastRowFirstColumn="0" w:lastRowLastColumn="0"/>
            </w:pPr>
            <w:r w:rsidRPr="000B61CD">
              <w:t>27.4</w:t>
            </w:r>
          </w:p>
        </w:tc>
        <w:tc>
          <w:tcPr>
            <w:tcW w:w="1022" w:type="dxa"/>
          </w:tcPr>
          <w:p w14:paraId="506EA498" w14:textId="0B79AF08" w:rsidR="0036474E" w:rsidRPr="000B61CD" w:rsidRDefault="0036474E">
            <w:pPr>
              <w:cnfStyle w:val="000000000000" w:firstRow="0" w:lastRow="0" w:firstColumn="0" w:lastColumn="0" w:oddVBand="0" w:evenVBand="0" w:oddHBand="0" w:evenHBand="0" w:firstRowFirstColumn="0" w:firstRowLastColumn="0" w:lastRowFirstColumn="0" w:lastRowLastColumn="0"/>
            </w:pPr>
            <w:r>
              <w:t xml:space="preserve">2 </w:t>
            </w:r>
            <w:r w:rsidR="0032239B">
              <w:t>205.3</w:t>
            </w:r>
          </w:p>
        </w:tc>
        <w:tc>
          <w:tcPr>
            <w:tcW w:w="910" w:type="dxa"/>
          </w:tcPr>
          <w:p w14:paraId="3FAD4CF6" w14:textId="6CBD5BCB" w:rsidR="0036474E" w:rsidRPr="000B61CD" w:rsidRDefault="0036474E">
            <w:pPr>
              <w:cnfStyle w:val="000000000000" w:firstRow="0" w:lastRow="0" w:firstColumn="0" w:lastColumn="0" w:oddVBand="0" w:evenVBand="0" w:oddHBand="0" w:evenHBand="0" w:firstRowFirstColumn="0" w:firstRowLastColumn="0" w:lastRowFirstColumn="0" w:lastRowLastColumn="0"/>
            </w:pPr>
            <w:r w:rsidRPr="000B61CD">
              <w:t>27.1</w:t>
            </w:r>
          </w:p>
        </w:tc>
        <w:tc>
          <w:tcPr>
            <w:tcW w:w="994" w:type="dxa"/>
          </w:tcPr>
          <w:p w14:paraId="766E48DD" w14:textId="2E9318CD" w:rsidR="0036474E" w:rsidRPr="000B61CD" w:rsidRDefault="0036474E">
            <w:pPr>
              <w:cnfStyle w:val="000000000000" w:firstRow="0" w:lastRow="0" w:firstColumn="0" w:lastColumn="0" w:oddVBand="0" w:evenVBand="0" w:oddHBand="0" w:evenHBand="0" w:firstRowFirstColumn="0" w:firstRowLastColumn="0" w:lastRowFirstColumn="0" w:lastRowLastColumn="0"/>
            </w:pPr>
            <w:r>
              <w:t>2 192.3</w:t>
            </w:r>
          </w:p>
        </w:tc>
        <w:tc>
          <w:tcPr>
            <w:tcW w:w="862" w:type="dxa"/>
          </w:tcPr>
          <w:p w14:paraId="7FEE3BC5" w14:textId="7C35DD1C" w:rsidR="0036474E" w:rsidRPr="000B61CD" w:rsidRDefault="0036474E">
            <w:pPr>
              <w:cnfStyle w:val="000000000000" w:firstRow="0" w:lastRow="0" w:firstColumn="0" w:lastColumn="0" w:oddVBand="0" w:evenVBand="0" w:oddHBand="0" w:evenHBand="0" w:firstRowFirstColumn="0" w:firstRowLastColumn="0" w:lastRowFirstColumn="0" w:lastRowLastColumn="0"/>
            </w:pPr>
            <w:r w:rsidRPr="000B61CD">
              <w:t>27.1</w:t>
            </w:r>
          </w:p>
        </w:tc>
      </w:tr>
      <w:tr w:rsidR="0036474E" w:rsidRPr="000B61CD" w14:paraId="373E2DC3"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00D768DA" w14:textId="77777777" w:rsidR="0036474E" w:rsidRPr="000B61CD" w:rsidRDefault="0036474E" w:rsidP="0066691A">
            <w:pPr>
              <w:ind w:left="284"/>
            </w:pPr>
            <w:r w:rsidRPr="000B61CD">
              <w:t>Recycling/recovery (disposal)</w:t>
            </w:r>
          </w:p>
        </w:tc>
        <w:tc>
          <w:tcPr>
            <w:tcW w:w="854" w:type="dxa"/>
          </w:tcPr>
          <w:p w14:paraId="62DE2552" w14:textId="563C8A2A" w:rsidR="0036474E" w:rsidRPr="000B61CD" w:rsidRDefault="007E71C8">
            <w:pPr>
              <w:cnfStyle w:val="000000000000" w:firstRow="0" w:lastRow="0" w:firstColumn="0" w:lastColumn="0" w:oddVBand="0" w:evenVBand="0" w:oddHBand="0" w:evenHBand="0" w:firstRowFirstColumn="0" w:firstRowLastColumn="0" w:lastRowFirstColumn="0" w:lastRowLastColumn="0"/>
            </w:pPr>
            <w:r>
              <w:t>5 818.7</w:t>
            </w:r>
          </w:p>
        </w:tc>
        <w:tc>
          <w:tcPr>
            <w:tcW w:w="937" w:type="dxa"/>
          </w:tcPr>
          <w:p w14:paraId="7F4AA87B" w14:textId="0E08F121" w:rsidR="0036474E" w:rsidRPr="000B61CD" w:rsidRDefault="0036474E">
            <w:pPr>
              <w:cnfStyle w:val="000000000000" w:firstRow="0" w:lastRow="0" w:firstColumn="0" w:lastColumn="0" w:oddVBand="0" w:evenVBand="0" w:oddHBand="0" w:evenHBand="0" w:firstRowFirstColumn="0" w:firstRowLastColumn="0" w:lastRowFirstColumn="0" w:lastRowLastColumn="0"/>
            </w:pPr>
            <w:r w:rsidRPr="000B61CD">
              <w:t>72.6</w:t>
            </w:r>
          </w:p>
        </w:tc>
        <w:tc>
          <w:tcPr>
            <w:tcW w:w="1022" w:type="dxa"/>
          </w:tcPr>
          <w:p w14:paraId="6E2E7F5A" w14:textId="6B8D594D" w:rsidR="0036474E" w:rsidRPr="000B61CD" w:rsidRDefault="0036474E">
            <w:pPr>
              <w:cnfStyle w:val="000000000000" w:firstRow="0" w:lastRow="0" w:firstColumn="0" w:lastColumn="0" w:oddVBand="0" w:evenVBand="0" w:oddHBand="0" w:evenHBand="0" w:firstRowFirstColumn="0" w:firstRowLastColumn="0" w:lastRowFirstColumn="0" w:lastRowLastColumn="0"/>
            </w:pPr>
            <w:r>
              <w:t xml:space="preserve">5 </w:t>
            </w:r>
            <w:r w:rsidR="0032239B">
              <w:t>919.3</w:t>
            </w:r>
          </w:p>
        </w:tc>
        <w:tc>
          <w:tcPr>
            <w:tcW w:w="910" w:type="dxa"/>
          </w:tcPr>
          <w:p w14:paraId="08D88587" w14:textId="6EE78849" w:rsidR="0036474E" w:rsidRPr="000B61CD" w:rsidRDefault="0036474E">
            <w:pPr>
              <w:cnfStyle w:val="000000000000" w:firstRow="0" w:lastRow="0" w:firstColumn="0" w:lastColumn="0" w:oddVBand="0" w:evenVBand="0" w:oddHBand="0" w:evenHBand="0" w:firstRowFirstColumn="0" w:firstRowLastColumn="0" w:lastRowFirstColumn="0" w:lastRowLastColumn="0"/>
            </w:pPr>
            <w:r w:rsidRPr="000B61CD">
              <w:t>72.9</w:t>
            </w:r>
          </w:p>
        </w:tc>
        <w:tc>
          <w:tcPr>
            <w:tcW w:w="994" w:type="dxa"/>
          </w:tcPr>
          <w:p w14:paraId="758739D2" w14:textId="7054A91F" w:rsidR="0036474E" w:rsidRPr="000B61CD" w:rsidRDefault="0036474E">
            <w:pPr>
              <w:cnfStyle w:val="000000000000" w:firstRow="0" w:lastRow="0" w:firstColumn="0" w:lastColumn="0" w:oddVBand="0" w:evenVBand="0" w:oddHBand="0" w:evenHBand="0" w:firstRowFirstColumn="0" w:firstRowLastColumn="0" w:lastRowFirstColumn="0" w:lastRowLastColumn="0"/>
            </w:pPr>
            <w:r>
              <w:t>5 884.6</w:t>
            </w:r>
          </w:p>
        </w:tc>
        <w:tc>
          <w:tcPr>
            <w:tcW w:w="862" w:type="dxa"/>
          </w:tcPr>
          <w:p w14:paraId="5FC22CD1" w14:textId="5E8EFF55" w:rsidR="0036474E" w:rsidRPr="000B61CD" w:rsidRDefault="0036474E">
            <w:pPr>
              <w:cnfStyle w:val="000000000000" w:firstRow="0" w:lastRow="0" w:firstColumn="0" w:lastColumn="0" w:oddVBand="0" w:evenVBand="0" w:oddHBand="0" w:evenHBand="0" w:firstRowFirstColumn="0" w:firstRowLastColumn="0" w:lastRowFirstColumn="0" w:lastRowLastColumn="0"/>
            </w:pPr>
            <w:r w:rsidRPr="000B61CD">
              <w:t>72.9</w:t>
            </w:r>
          </w:p>
        </w:tc>
      </w:tr>
      <w:tr w:rsidR="0036474E" w:rsidRPr="000B61CD" w14:paraId="365F2A8E"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207455C5" w14:textId="77777777" w:rsidR="0036474E" w:rsidRPr="000B61CD" w:rsidRDefault="0036474E" w:rsidP="00006881">
            <w:pPr>
              <w:ind w:left="567"/>
            </w:pPr>
            <w:r w:rsidRPr="000B61CD">
              <w:t>Food and garden organics (FOGO)</w:t>
            </w:r>
          </w:p>
        </w:tc>
        <w:tc>
          <w:tcPr>
            <w:tcW w:w="854" w:type="dxa"/>
          </w:tcPr>
          <w:p w14:paraId="2A0B2D13" w14:textId="28A7DC54" w:rsidR="0036474E" w:rsidRPr="000B61CD" w:rsidRDefault="0036474E">
            <w:pPr>
              <w:cnfStyle w:val="000000000000" w:firstRow="0" w:lastRow="0" w:firstColumn="0" w:lastColumn="0" w:oddVBand="0" w:evenVBand="0" w:oddHBand="0" w:evenHBand="0" w:firstRowFirstColumn="0" w:firstRowLastColumn="0" w:lastRowFirstColumn="0" w:lastRowLastColumn="0"/>
            </w:pPr>
            <w:r>
              <w:t xml:space="preserve">1 </w:t>
            </w:r>
            <w:r w:rsidR="007E71C8">
              <w:t>757.3</w:t>
            </w:r>
          </w:p>
        </w:tc>
        <w:tc>
          <w:tcPr>
            <w:tcW w:w="937" w:type="dxa"/>
          </w:tcPr>
          <w:p w14:paraId="09CD08D3"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c>
          <w:tcPr>
            <w:tcW w:w="1022" w:type="dxa"/>
          </w:tcPr>
          <w:p w14:paraId="19D82EBE" w14:textId="4ABC5802" w:rsidR="0036474E" w:rsidRPr="000B61CD" w:rsidRDefault="0036474E">
            <w:pPr>
              <w:cnfStyle w:val="000000000000" w:firstRow="0" w:lastRow="0" w:firstColumn="0" w:lastColumn="0" w:oddVBand="0" w:evenVBand="0" w:oddHBand="0" w:evenHBand="0" w:firstRowFirstColumn="0" w:firstRowLastColumn="0" w:lastRowFirstColumn="0" w:lastRowLastColumn="0"/>
            </w:pPr>
            <w:r>
              <w:t xml:space="preserve">1 </w:t>
            </w:r>
            <w:r w:rsidR="007E71C8">
              <w:t>787.7</w:t>
            </w:r>
          </w:p>
        </w:tc>
        <w:tc>
          <w:tcPr>
            <w:tcW w:w="910" w:type="dxa"/>
          </w:tcPr>
          <w:p w14:paraId="1585E952"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c>
          <w:tcPr>
            <w:tcW w:w="994" w:type="dxa"/>
          </w:tcPr>
          <w:p w14:paraId="4D54AE67" w14:textId="76775207" w:rsidR="0036474E" w:rsidRPr="000B61CD" w:rsidRDefault="0036474E">
            <w:pPr>
              <w:cnfStyle w:val="000000000000" w:firstRow="0" w:lastRow="0" w:firstColumn="0" w:lastColumn="0" w:oddVBand="0" w:evenVBand="0" w:oddHBand="0" w:evenHBand="0" w:firstRowFirstColumn="0" w:firstRowLastColumn="0" w:lastRowFirstColumn="0" w:lastRowLastColumn="0"/>
            </w:pPr>
            <w:r>
              <w:t>1 775.5</w:t>
            </w:r>
          </w:p>
        </w:tc>
        <w:tc>
          <w:tcPr>
            <w:tcW w:w="862" w:type="dxa"/>
          </w:tcPr>
          <w:p w14:paraId="44B3876D"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r>
      <w:tr w:rsidR="0036474E" w:rsidRPr="000B61CD" w14:paraId="1B1C6421"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750C8BCB" w14:textId="77777777" w:rsidR="0036474E" w:rsidRPr="000B61CD" w:rsidRDefault="0036474E" w:rsidP="00006881">
            <w:pPr>
              <w:ind w:left="567"/>
            </w:pPr>
            <w:r w:rsidRPr="000B61CD">
              <w:t>Cardboard</w:t>
            </w:r>
          </w:p>
        </w:tc>
        <w:tc>
          <w:tcPr>
            <w:tcW w:w="854" w:type="dxa"/>
          </w:tcPr>
          <w:p w14:paraId="7D5BDB5C" w14:textId="3689283B" w:rsidR="0036474E" w:rsidRPr="000B61CD" w:rsidRDefault="0036474E">
            <w:pPr>
              <w:cnfStyle w:val="000000000000" w:firstRow="0" w:lastRow="0" w:firstColumn="0" w:lastColumn="0" w:oddVBand="0" w:evenVBand="0" w:oddHBand="0" w:evenHBand="0" w:firstRowFirstColumn="0" w:firstRowLastColumn="0" w:lastRowFirstColumn="0" w:lastRowLastColumn="0"/>
            </w:pPr>
            <w:r>
              <w:t xml:space="preserve">4 </w:t>
            </w:r>
            <w:r w:rsidR="007E71C8">
              <w:t>061.4</w:t>
            </w:r>
          </w:p>
        </w:tc>
        <w:tc>
          <w:tcPr>
            <w:tcW w:w="937" w:type="dxa"/>
          </w:tcPr>
          <w:p w14:paraId="47FB58EC"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c>
          <w:tcPr>
            <w:tcW w:w="1022" w:type="dxa"/>
          </w:tcPr>
          <w:p w14:paraId="108F435C" w14:textId="46D941AA" w:rsidR="0036474E" w:rsidRPr="000B61CD" w:rsidRDefault="0036474E">
            <w:pPr>
              <w:cnfStyle w:val="000000000000" w:firstRow="0" w:lastRow="0" w:firstColumn="0" w:lastColumn="0" w:oddVBand="0" w:evenVBand="0" w:oddHBand="0" w:evenHBand="0" w:firstRowFirstColumn="0" w:firstRowLastColumn="0" w:lastRowFirstColumn="0" w:lastRowLastColumn="0"/>
            </w:pPr>
            <w:r>
              <w:t>4 1</w:t>
            </w:r>
            <w:r w:rsidR="007E71C8">
              <w:t>31.7</w:t>
            </w:r>
          </w:p>
        </w:tc>
        <w:tc>
          <w:tcPr>
            <w:tcW w:w="910" w:type="dxa"/>
          </w:tcPr>
          <w:p w14:paraId="6317C9EE"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c>
          <w:tcPr>
            <w:tcW w:w="994" w:type="dxa"/>
          </w:tcPr>
          <w:p w14:paraId="22AAA16E" w14:textId="4CA88852" w:rsidR="0036474E" w:rsidRPr="000B61CD" w:rsidRDefault="0036474E">
            <w:pPr>
              <w:cnfStyle w:val="000000000000" w:firstRow="0" w:lastRow="0" w:firstColumn="0" w:lastColumn="0" w:oddVBand="0" w:evenVBand="0" w:oddHBand="0" w:evenHBand="0" w:firstRowFirstColumn="0" w:firstRowLastColumn="0" w:lastRowFirstColumn="0" w:lastRowLastColumn="0"/>
            </w:pPr>
            <w:r>
              <w:t>4 109.1</w:t>
            </w:r>
          </w:p>
        </w:tc>
        <w:tc>
          <w:tcPr>
            <w:tcW w:w="862" w:type="dxa"/>
          </w:tcPr>
          <w:p w14:paraId="06FFB701"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r>
      <w:tr w:rsidR="0036474E" w:rsidRPr="000B61CD" w14:paraId="656B33FF" w14:textId="77777777" w:rsidTr="000B61CD">
        <w:tc>
          <w:tcPr>
            <w:cnfStyle w:val="001000000000" w:firstRow="0" w:lastRow="0" w:firstColumn="1" w:lastColumn="0" w:oddVBand="0" w:evenVBand="0" w:oddHBand="0" w:evenHBand="0" w:firstRowFirstColumn="0" w:firstRowLastColumn="0" w:lastRowFirstColumn="0" w:lastRowLastColumn="0"/>
            <w:tcW w:w="4060" w:type="dxa"/>
          </w:tcPr>
          <w:p w14:paraId="7209F039" w14:textId="77777777" w:rsidR="000B61CD" w:rsidRPr="000B61CD" w:rsidRDefault="000B61CD">
            <w:r w:rsidRPr="000B61CD">
              <w:t xml:space="preserve">Percentage of office sites which are covered by dedicated collection services for </w:t>
            </w:r>
            <w:r w:rsidRPr="000B61CD">
              <w:rPr>
                <w:rStyle w:val="Reference"/>
              </w:rPr>
              <w:t>[Indicator WR2]</w:t>
            </w:r>
          </w:p>
        </w:tc>
        <w:tc>
          <w:tcPr>
            <w:tcW w:w="854" w:type="dxa"/>
          </w:tcPr>
          <w:p w14:paraId="0251A21D"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937" w:type="dxa"/>
          </w:tcPr>
          <w:p w14:paraId="10C4D920"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1022" w:type="dxa"/>
          </w:tcPr>
          <w:p w14:paraId="6ACA6901"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910" w:type="dxa"/>
          </w:tcPr>
          <w:p w14:paraId="722B4E09"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994" w:type="dxa"/>
          </w:tcPr>
          <w:p w14:paraId="025DA715"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862" w:type="dxa"/>
          </w:tcPr>
          <w:p w14:paraId="5DDF9530"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r>
      <w:tr w:rsidR="0036474E" w:rsidRPr="000B61CD" w14:paraId="1A0A7F07"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6531BCCF" w14:textId="77777777" w:rsidR="0036474E" w:rsidRPr="000B61CD" w:rsidRDefault="0036474E" w:rsidP="00006881">
            <w:pPr>
              <w:ind w:left="284"/>
            </w:pPr>
            <w:r w:rsidRPr="000B61CD">
              <w:t xml:space="preserve">Printer cartridges </w:t>
            </w:r>
          </w:p>
        </w:tc>
        <w:tc>
          <w:tcPr>
            <w:tcW w:w="854" w:type="dxa"/>
          </w:tcPr>
          <w:p w14:paraId="40253C0C"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937" w:type="dxa"/>
          </w:tcPr>
          <w:p w14:paraId="6F7D72F2"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8B5679">
              <w:t>83.3</w:t>
            </w:r>
          </w:p>
        </w:tc>
        <w:tc>
          <w:tcPr>
            <w:tcW w:w="1022" w:type="dxa"/>
          </w:tcPr>
          <w:p w14:paraId="3AAF9EE8"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910" w:type="dxa"/>
          </w:tcPr>
          <w:p w14:paraId="7E7000D2"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3833F8">
              <w:t>83.3</w:t>
            </w:r>
          </w:p>
        </w:tc>
        <w:tc>
          <w:tcPr>
            <w:tcW w:w="994" w:type="dxa"/>
          </w:tcPr>
          <w:p w14:paraId="29DC70A0"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862" w:type="dxa"/>
          </w:tcPr>
          <w:p w14:paraId="08D9792E"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8B3FBE">
              <w:t>66.7</w:t>
            </w:r>
          </w:p>
        </w:tc>
      </w:tr>
      <w:tr w:rsidR="0036474E" w:rsidRPr="000B61CD" w14:paraId="331A8CF5"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23C547D8" w14:textId="77777777" w:rsidR="0036474E" w:rsidRPr="000B61CD" w:rsidRDefault="0036474E" w:rsidP="00006881">
            <w:pPr>
              <w:ind w:left="284"/>
            </w:pPr>
            <w:r w:rsidRPr="000B61CD">
              <w:t xml:space="preserve">Batteries  </w:t>
            </w:r>
          </w:p>
        </w:tc>
        <w:tc>
          <w:tcPr>
            <w:tcW w:w="854" w:type="dxa"/>
          </w:tcPr>
          <w:p w14:paraId="6261F91E"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937" w:type="dxa"/>
          </w:tcPr>
          <w:p w14:paraId="639ED0F5" w14:textId="5D114B0B"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8B5679">
              <w:t>75.0</w:t>
            </w:r>
          </w:p>
        </w:tc>
        <w:tc>
          <w:tcPr>
            <w:tcW w:w="1022" w:type="dxa"/>
          </w:tcPr>
          <w:p w14:paraId="5EC337C5"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910" w:type="dxa"/>
          </w:tcPr>
          <w:p w14:paraId="023F6892" w14:textId="5B7ABC35"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3833F8">
              <w:t>75.0</w:t>
            </w:r>
          </w:p>
        </w:tc>
        <w:tc>
          <w:tcPr>
            <w:tcW w:w="994" w:type="dxa"/>
          </w:tcPr>
          <w:p w14:paraId="559B6102"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862" w:type="dxa"/>
          </w:tcPr>
          <w:p w14:paraId="44E57DDE" w14:textId="4FD37BAB"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8B3FBE">
              <w:t>58.3</w:t>
            </w:r>
          </w:p>
        </w:tc>
      </w:tr>
      <w:tr w:rsidR="0036474E" w:rsidRPr="000B61CD" w14:paraId="174762F0"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3B5881EA" w14:textId="77777777" w:rsidR="0036474E" w:rsidRPr="000B61CD" w:rsidRDefault="0036474E" w:rsidP="00006881">
            <w:pPr>
              <w:ind w:left="284"/>
            </w:pPr>
            <w:r w:rsidRPr="000B61CD">
              <w:t xml:space="preserve">E-waste </w:t>
            </w:r>
          </w:p>
        </w:tc>
        <w:tc>
          <w:tcPr>
            <w:tcW w:w="854" w:type="dxa"/>
          </w:tcPr>
          <w:p w14:paraId="4D7CCCDE"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937" w:type="dxa"/>
          </w:tcPr>
          <w:p w14:paraId="47CC38D7" w14:textId="7C256A2A"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8B5679">
              <w:t>83.3</w:t>
            </w:r>
          </w:p>
        </w:tc>
        <w:tc>
          <w:tcPr>
            <w:tcW w:w="1022" w:type="dxa"/>
          </w:tcPr>
          <w:p w14:paraId="00AD61EE"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910" w:type="dxa"/>
          </w:tcPr>
          <w:p w14:paraId="1692A86D" w14:textId="54DFE66D"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3833F8">
              <w:t>83.3</w:t>
            </w:r>
          </w:p>
        </w:tc>
        <w:tc>
          <w:tcPr>
            <w:tcW w:w="994" w:type="dxa"/>
          </w:tcPr>
          <w:p w14:paraId="13542396"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862" w:type="dxa"/>
          </w:tcPr>
          <w:p w14:paraId="1DE5E322" w14:textId="5E1D03E3"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8B3FBE">
              <w:t>66.7</w:t>
            </w:r>
          </w:p>
        </w:tc>
      </w:tr>
      <w:tr w:rsidR="0036474E" w:rsidRPr="000B61CD" w14:paraId="63A29006"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3DC48A91" w14:textId="77777777" w:rsidR="0036474E" w:rsidRPr="000B61CD" w:rsidRDefault="0036474E" w:rsidP="00006881">
            <w:pPr>
              <w:ind w:left="284"/>
            </w:pPr>
            <w:r w:rsidRPr="000B61CD">
              <w:t>Soft plastics</w:t>
            </w:r>
          </w:p>
        </w:tc>
        <w:tc>
          <w:tcPr>
            <w:tcW w:w="854" w:type="dxa"/>
          </w:tcPr>
          <w:p w14:paraId="3804AB34"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937" w:type="dxa"/>
          </w:tcPr>
          <w:p w14:paraId="2628AB28" w14:textId="7A94C798"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8B5679">
              <w:t>100.0</w:t>
            </w:r>
          </w:p>
        </w:tc>
        <w:tc>
          <w:tcPr>
            <w:tcW w:w="1022" w:type="dxa"/>
          </w:tcPr>
          <w:p w14:paraId="013AD907"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910" w:type="dxa"/>
          </w:tcPr>
          <w:p w14:paraId="49A49D8F" w14:textId="13EC7EED"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3833F8">
              <w:t>100.0</w:t>
            </w:r>
          </w:p>
        </w:tc>
        <w:tc>
          <w:tcPr>
            <w:tcW w:w="994" w:type="dxa"/>
          </w:tcPr>
          <w:p w14:paraId="4B3D63BF" w14:textId="77777777"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p>
        </w:tc>
        <w:tc>
          <w:tcPr>
            <w:tcW w:w="862" w:type="dxa"/>
          </w:tcPr>
          <w:p w14:paraId="0D2871CD" w14:textId="7BE6E422" w:rsidR="0036474E" w:rsidRPr="000B61CD" w:rsidRDefault="0036474E" w:rsidP="00006881">
            <w:pPr>
              <w:cnfStyle w:val="000000000000" w:firstRow="0" w:lastRow="0" w:firstColumn="0" w:lastColumn="0" w:oddVBand="0" w:evenVBand="0" w:oddHBand="0" w:evenHBand="0" w:firstRowFirstColumn="0" w:firstRowLastColumn="0" w:lastRowFirstColumn="0" w:lastRowLastColumn="0"/>
            </w:pPr>
            <w:r w:rsidRPr="008B3FBE">
              <w:t>83.3</w:t>
            </w:r>
          </w:p>
        </w:tc>
      </w:tr>
      <w:tr w:rsidR="0036474E" w:rsidRPr="000B61CD" w14:paraId="2264D91A" w14:textId="77777777" w:rsidTr="000B61CD">
        <w:tc>
          <w:tcPr>
            <w:cnfStyle w:val="001000000000" w:firstRow="0" w:lastRow="0" w:firstColumn="1" w:lastColumn="0" w:oddVBand="0" w:evenVBand="0" w:oddHBand="0" w:evenHBand="0" w:firstRowFirstColumn="0" w:firstRowLastColumn="0" w:lastRowFirstColumn="0" w:lastRowLastColumn="0"/>
            <w:tcW w:w="4060" w:type="dxa"/>
          </w:tcPr>
          <w:p w14:paraId="2528E6A3" w14:textId="77777777" w:rsidR="000B61CD" w:rsidRPr="000B61CD" w:rsidRDefault="000B61CD">
            <w:r w:rsidRPr="000B61CD">
              <w:t xml:space="preserve">Total units of waste disposed of normalised by FTE (kg/FTE) </w:t>
            </w:r>
            <w:r w:rsidRPr="000B61CD">
              <w:rPr>
                <w:rStyle w:val="Reference"/>
              </w:rPr>
              <w:t>[Indicator WR3]</w:t>
            </w:r>
          </w:p>
        </w:tc>
        <w:tc>
          <w:tcPr>
            <w:tcW w:w="854" w:type="dxa"/>
          </w:tcPr>
          <w:p w14:paraId="2D24BAC1" w14:textId="17B8F59F" w:rsidR="000B61CD" w:rsidRPr="000B61CD" w:rsidRDefault="0060324E">
            <w:pPr>
              <w:cnfStyle w:val="000000000000" w:firstRow="0" w:lastRow="0" w:firstColumn="0" w:lastColumn="0" w:oddVBand="0" w:evenVBand="0" w:oddHBand="0" w:evenHBand="0" w:firstRowFirstColumn="0" w:firstRowLastColumn="0" w:lastRowFirstColumn="0" w:lastRowLastColumn="0"/>
            </w:pPr>
            <w:r>
              <w:t>20.6</w:t>
            </w:r>
          </w:p>
        </w:tc>
        <w:tc>
          <w:tcPr>
            <w:tcW w:w="937" w:type="dxa"/>
          </w:tcPr>
          <w:p w14:paraId="751D5926"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1022" w:type="dxa"/>
          </w:tcPr>
          <w:p w14:paraId="01F1FB3F" w14:textId="5D98CFA2" w:rsidR="000B61CD" w:rsidRPr="000B61CD" w:rsidRDefault="000B61CD">
            <w:pPr>
              <w:cnfStyle w:val="000000000000" w:firstRow="0" w:lastRow="0" w:firstColumn="0" w:lastColumn="0" w:oddVBand="0" w:evenVBand="0" w:oddHBand="0" w:evenHBand="0" w:firstRowFirstColumn="0" w:firstRowLastColumn="0" w:lastRowFirstColumn="0" w:lastRowLastColumn="0"/>
            </w:pPr>
            <w:r>
              <w:t>17.2</w:t>
            </w:r>
          </w:p>
        </w:tc>
        <w:tc>
          <w:tcPr>
            <w:tcW w:w="910" w:type="dxa"/>
          </w:tcPr>
          <w:p w14:paraId="3B405DDA"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994" w:type="dxa"/>
          </w:tcPr>
          <w:p w14:paraId="2F5D565B" w14:textId="74EC9989" w:rsidR="000B61CD" w:rsidRPr="000B61CD" w:rsidRDefault="000B61CD">
            <w:pPr>
              <w:cnfStyle w:val="000000000000" w:firstRow="0" w:lastRow="0" w:firstColumn="0" w:lastColumn="0" w:oddVBand="0" w:evenVBand="0" w:oddHBand="0" w:evenHBand="0" w:firstRowFirstColumn="0" w:firstRowLastColumn="0" w:lastRowFirstColumn="0" w:lastRowLastColumn="0"/>
            </w:pPr>
            <w:r>
              <w:t>17.2</w:t>
            </w:r>
          </w:p>
        </w:tc>
        <w:tc>
          <w:tcPr>
            <w:tcW w:w="862" w:type="dxa"/>
          </w:tcPr>
          <w:p w14:paraId="2AC6A997"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r>
      <w:tr w:rsidR="0036474E" w:rsidRPr="000B61CD" w14:paraId="229F1D76" w14:textId="77777777" w:rsidTr="000B61CD">
        <w:tc>
          <w:tcPr>
            <w:cnfStyle w:val="001000000000" w:firstRow="0" w:lastRow="0" w:firstColumn="1" w:lastColumn="0" w:oddVBand="0" w:evenVBand="0" w:oddHBand="0" w:evenHBand="0" w:firstRowFirstColumn="0" w:firstRowLastColumn="0" w:lastRowFirstColumn="0" w:lastRowLastColumn="0"/>
            <w:tcW w:w="4060" w:type="dxa"/>
          </w:tcPr>
          <w:p w14:paraId="11E98CB8" w14:textId="77777777" w:rsidR="0066691A" w:rsidRPr="000B61CD" w:rsidRDefault="0066691A" w:rsidP="0066691A">
            <w:r w:rsidRPr="000B61CD">
              <w:t xml:space="preserve">Recycling Rate (%) </w:t>
            </w:r>
            <w:r w:rsidRPr="000B61CD">
              <w:rPr>
                <w:rStyle w:val="Reference"/>
              </w:rPr>
              <w:t>[Indicator WR4]</w:t>
            </w:r>
          </w:p>
        </w:tc>
        <w:tc>
          <w:tcPr>
            <w:tcW w:w="854" w:type="dxa"/>
          </w:tcPr>
          <w:p w14:paraId="47C83341" w14:textId="2BEFA306" w:rsidR="0066691A" w:rsidRPr="000B61CD" w:rsidRDefault="0066691A" w:rsidP="0066691A">
            <w:pPr>
              <w:cnfStyle w:val="000000000000" w:firstRow="0" w:lastRow="0" w:firstColumn="0" w:lastColumn="0" w:oddVBand="0" w:evenVBand="0" w:oddHBand="0" w:evenHBand="0" w:firstRowFirstColumn="0" w:firstRowLastColumn="0" w:lastRowFirstColumn="0" w:lastRowLastColumn="0"/>
            </w:pPr>
          </w:p>
        </w:tc>
        <w:tc>
          <w:tcPr>
            <w:tcW w:w="937" w:type="dxa"/>
          </w:tcPr>
          <w:p w14:paraId="6663183B" w14:textId="23E879AC" w:rsidR="0066691A" w:rsidRPr="000B61CD" w:rsidRDefault="0066691A" w:rsidP="0066691A">
            <w:pPr>
              <w:cnfStyle w:val="000000000000" w:firstRow="0" w:lastRow="0" w:firstColumn="0" w:lastColumn="0" w:oddVBand="0" w:evenVBand="0" w:oddHBand="0" w:evenHBand="0" w:firstRowFirstColumn="0" w:firstRowLastColumn="0" w:lastRowFirstColumn="0" w:lastRowLastColumn="0"/>
            </w:pPr>
            <w:r w:rsidRPr="000B61CD">
              <w:t>72.6</w:t>
            </w:r>
          </w:p>
        </w:tc>
        <w:tc>
          <w:tcPr>
            <w:tcW w:w="1022" w:type="dxa"/>
          </w:tcPr>
          <w:p w14:paraId="02A5848D" w14:textId="0F7359CF" w:rsidR="0066691A" w:rsidRPr="000B61CD" w:rsidRDefault="0066691A" w:rsidP="0066691A">
            <w:pPr>
              <w:cnfStyle w:val="000000000000" w:firstRow="0" w:lastRow="0" w:firstColumn="0" w:lastColumn="0" w:oddVBand="0" w:evenVBand="0" w:oddHBand="0" w:evenHBand="0" w:firstRowFirstColumn="0" w:firstRowLastColumn="0" w:lastRowFirstColumn="0" w:lastRowLastColumn="0"/>
            </w:pPr>
          </w:p>
        </w:tc>
        <w:tc>
          <w:tcPr>
            <w:tcW w:w="910" w:type="dxa"/>
          </w:tcPr>
          <w:p w14:paraId="22DAC507" w14:textId="0B83F7D4" w:rsidR="0066691A" w:rsidRPr="000B61CD" w:rsidRDefault="0066691A" w:rsidP="0066691A">
            <w:pPr>
              <w:cnfStyle w:val="000000000000" w:firstRow="0" w:lastRow="0" w:firstColumn="0" w:lastColumn="0" w:oddVBand="0" w:evenVBand="0" w:oddHBand="0" w:evenHBand="0" w:firstRowFirstColumn="0" w:firstRowLastColumn="0" w:lastRowFirstColumn="0" w:lastRowLastColumn="0"/>
            </w:pPr>
            <w:r w:rsidRPr="000B61CD">
              <w:t>72.9</w:t>
            </w:r>
          </w:p>
        </w:tc>
        <w:tc>
          <w:tcPr>
            <w:tcW w:w="994" w:type="dxa"/>
          </w:tcPr>
          <w:p w14:paraId="3DC5730A" w14:textId="550AAB06" w:rsidR="0066691A" w:rsidRPr="000B61CD" w:rsidRDefault="0066691A" w:rsidP="0066691A">
            <w:pPr>
              <w:cnfStyle w:val="000000000000" w:firstRow="0" w:lastRow="0" w:firstColumn="0" w:lastColumn="0" w:oddVBand="0" w:evenVBand="0" w:oddHBand="0" w:evenHBand="0" w:firstRowFirstColumn="0" w:firstRowLastColumn="0" w:lastRowFirstColumn="0" w:lastRowLastColumn="0"/>
            </w:pPr>
          </w:p>
        </w:tc>
        <w:tc>
          <w:tcPr>
            <w:tcW w:w="862" w:type="dxa"/>
          </w:tcPr>
          <w:p w14:paraId="5ADB1AC7" w14:textId="7FF3A197" w:rsidR="0066691A" w:rsidRPr="000B61CD" w:rsidRDefault="0066691A" w:rsidP="0066691A">
            <w:pPr>
              <w:cnfStyle w:val="000000000000" w:firstRow="0" w:lastRow="0" w:firstColumn="0" w:lastColumn="0" w:oddVBand="0" w:evenVBand="0" w:oddHBand="0" w:evenHBand="0" w:firstRowFirstColumn="0" w:firstRowLastColumn="0" w:lastRowFirstColumn="0" w:lastRowLastColumn="0"/>
            </w:pPr>
            <w:r w:rsidRPr="000B61CD">
              <w:t>72.9</w:t>
            </w:r>
          </w:p>
        </w:tc>
      </w:tr>
      <w:tr w:rsidR="0036474E" w:rsidRPr="000B61CD" w14:paraId="321753A1" w14:textId="77777777" w:rsidTr="000B61CD">
        <w:tc>
          <w:tcPr>
            <w:cnfStyle w:val="001000000000" w:firstRow="0" w:lastRow="0" w:firstColumn="1" w:lastColumn="0" w:oddVBand="0" w:evenVBand="0" w:oddHBand="0" w:evenHBand="0" w:firstRowFirstColumn="0" w:firstRowLastColumn="0" w:lastRowFirstColumn="0" w:lastRowLastColumn="0"/>
            <w:tcW w:w="4060" w:type="dxa"/>
          </w:tcPr>
          <w:p w14:paraId="4D39F130" w14:textId="77777777" w:rsidR="000B61CD" w:rsidRPr="000B61CD" w:rsidRDefault="000B61CD">
            <w:r w:rsidRPr="000B61CD">
              <w:t>Greenhouse gas emissions associated with waste disposal (Tonnes CO</w:t>
            </w:r>
            <w:r w:rsidRPr="00006881">
              <w:rPr>
                <w:vertAlign w:val="subscript"/>
              </w:rPr>
              <w:t>2</w:t>
            </w:r>
            <w:r w:rsidRPr="000B61CD">
              <w:t xml:space="preserve">-e) </w:t>
            </w:r>
            <w:r w:rsidRPr="000B61CD">
              <w:rPr>
                <w:rStyle w:val="Reference"/>
              </w:rPr>
              <w:t>[Indicator WR5]</w:t>
            </w:r>
          </w:p>
        </w:tc>
        <w:tc>
          <w:tcPr>
            <w:tcW w:w="854" w:type="dxa"/>
          </w:tcPr>
          <w:p w14:paraId="42E6968E" w14:textId="2DB38697" w:rsidR="000B61CD" w:rsidRPr="000B61CD" w:rsidRDefault="000B61CD">
            <w:pPr>
              <w:cnfStyle w:val="000000000000" w:firstRow="0" w:lastRow="0" w:firstColumn="0" w:lastColumn="0" w:oddVBand="0" w:evenVBand="0" w:oddHBand="0" w:evenHBand="0" w:firstRowFirstColumn="0" w:firstRowLastColumn="0" w:lastRowFirstColumn="0" w:lastRowLastColumn="0"/>
            </w:pPr>
            <w:r>
              <w:t>2.</w:t>
            </w:r>
            <w:r w:rsidR="0060324E">
              <w:t>8</w:t>
            </w:r>
          </w:p>
        </w:tc>
        <w:tc>
          <w:tcPr>
            <w:tcW w:w="937" w:type="dxa"/>
          </w:tcPr>
          <w:p w14:paraId="232A9071"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1022" w:type="dxa"/>
          </w:tcPr>
          <w:p w14:paraId="32F40423" w14:textId="0A4E3548" w:rsidR="000B61CD" w:rsidRPr="000B61CD" w:rsidRDefault="000B61CD">
            <w:pPr>
              <w:cnfStyle w:val="000000000000" w:firstRow="0" w:lastRow="0" w:firstColumn="0" w:lastColumn="0" w:oddVBand="0" w:evenVBand="0" w:oddHBand="0" w:evenHBand="0" w:firstRowFirstColumn="0" w:firstRowLastColumn="0" w:lastRowFirstColumn="0" w:lastRowLastColumn="0"/>
            </w:pPr>
            <w:r>
              <w:t>2.9</w:t>
            </w:r>
          </w:p>
        </w:tc>
        <w:tc>
          <w:tcPr>
            <w:tcW w:w="910" w:type="dxa"/>
          </w:tcPr>
          <w:p w14:paraId="564F7852"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c>
          <w:tcPr>
            <w:tcW w:w="994" w:type="dxa"/>
          </w:tcPr>
          <w:p w14:paraId="41C7D82D" w14:textId="17ACDBD6" w:rsidR="000B61CD" w:rsidRPr="000B61CD" w:rsidRDefault="000B61CD">
            <w:pPr>
              <w:cnfStyle w:val="000000000000" w:firstRow="0" w:lastRow="0" w:firstColumn="0" w:lastColumn="0" w:oddVBand="0" w:evenVBand="0" w:oddHBand="0" w:evenHBand="0" w:firstRowFirstColumn="0" w:firstRowLastColumn="0" w:lastRowFirstColumn="0" w:lastRowLastColumn="0"/>
            </w:pPr>
            <w:r>
              <w:t>2.8</w:t>
            </w:r>
          </w:p>
        </w:tc>
        <w:tc>
          <w:tcPr>
            <w:tcW w:w="862" w:type="dxa"/>
          </w:tcPr>
          <w:p w14:paraId="2ABD0FE3" w14:textId="77777777" w:rsidR="000B61CD" w:rsidRPr="000B61CD" w:rsidRDefault="000B61CD">
            <w:pPr>
              <w:cnfStyle w:val="000000000000" w:firstRow="0" w:lastRow="0" w:firstColumn="0" w:lastColumn="0" w:oddVBand="0" w:evenVBand="0" w:oddHBand="0" w:evenHBand="0" w:firstRowFirstColumn="0" w:firstRowLastColumn="0" w:lastRowFirstColumn="0" w:lastRowLastColumn="0"/>
            </w:pPr>
          </w:p>
        </w:tc>
      </w:tr>
      <w:tr w:rsidR="0036474E" w:rsidRPr="000B61CD" w14:paraId="4A069140" w14:textId="77777777" w:rsidTr="00E0627C">
        <w:tc>
          <w:tcPr>
            <w:cnfStyle w:val="001000000000" w:firstRow="0" w:lastRow="0" w:firstColumn="1" w:lastColumn="0" w:oddVBand="0" w:evenVBand="0" w:oddHBand="0" w:evenHBand="0" w:firstRowFirstColumn="0" w:firstRowLastColumn="0" w:lastRowFirstColumn="0" w:lastRowLastColumn="0"/>
            <w:tcW w:w="4060" w:type="dxa"/>
          </w:tcPr>
          <w:p w14:paraId="0BD9282A" w14:textId="77777777" w:rsidR="0036474E" w:rsidRPr="000B61CD" w:rsidRDefault="0036474E" w:rsidP="00006881">
            <w:pPr>
              <w:ind w:left="284"/>
            </w:pPr>
            <w:r w:rsidRPr="000B61CD">
              <w:t xml:space="preserve">Landfill </w:t>
            </w:r>
          </w:p>
        </w:tc>
        <w:tc>
          <w:tcPr>
            <w:tcW w:w="854" w:type="dxa"/>
          </w:tcPr>
          <w:p w14:paraId="24E67786" w14:textId="5B3F20AD" w:rsidR="0036474E" w:rsidRPr="000B61CD" w:rsidRDefault="0036474E">
            <w:pPr>
              <w:cnfStyle w:val="000000000000" w:firstRow="0" w:lastRow="0" w:firstColumn="0" w:lastColumn="0" w:oddVBand="0" w:evenVBand="0" w:oddHBand="0" w:evenHBand="0" w:firstRowFirstColumn="0" w:firstRowLastColumn="0" w:lastRowFirstColumn="0" w:lastRowLastColumn="0"/>
            </w:pPr>
            <w:r>
              <w:t>2.</w:t>
            </w:r>
            <w:r w:rsidR="0060324E">
              <w:t>8</w:t>
            </w:r>
          </w:p>
        </w:tc>
        <w:tc>
          <w:tcPr>
            <w:tcW w:w="937" w:type="dxa"/>
          </w:tcPr>
          <w:p w14:paraId="38842639"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c>
          <w:tcPr>
            <w:tcW w:w="1022" w:type="dxa"/>
          </w:tcPr>
          <w:p w14:paraId="40BB2AAE"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r>
              <w:t>2.9</w:t>
            </w:r>
          </w:p>
        </w:tc>
        <w:tc>
          <w:tcPr>
            <w:tcW w:w="910" w:type="dxa"/>
          </w:tcPr>
          <w:p w14:paraId="6761241C"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c>
          <w:tcPr>
            <w:tcW w:w="994" w:type="dxa"/>
          </w:tcPr>
          <w:p w14:paraId="14B32A47"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r>
              <w:t>2.8</w:t>
            </w:r>
          </w:p>
        </w:tc>
        <w:tc>
          <w:tcPr>
            <w:tcW w:w="862" w:type="dxa"/>
          </w:tcPr>
          <w:p w14:paraId="3869B30B" w14:textId="77777777" w:rsidR="0036474E" w:rsidRPr="000B61CD" w:rsidRDefault="0036474E">
            <w:pPr>
              <w:cnfStyle w:val="000000000000" w:firstRow="0" w:lastRow="0" w:firstColumn="0" w:lastColumn="0" w:oddVBand="0" w:evenVBand="0" w:oddHBand="0" w:evenHBand="0" w:firstRowFirstColumn="0" w:firstRowLastColumn="0" w:lastRowFirstColumn="0" w:lastRowLastColumn="0"/>
            </w:pPr>
          </w:p>
        </w:tc>
      </w:tr>
    </w:tbl>
    <w:p w14:paraId="25FEE5E3" w14:textId="0D608E8F" w:rsidR="004330DD" w:rsidRDefault="004330DD" w:rsidP="004330DD">
      <w:pPr>
        <w:spacing w:after="0" w:line="240" w:lineRule="auto"/>
      </w:pPr>
    </w:p>
    <w:p w14:paraId="6F078210" w14:textId="0D060FD3" w:rsidR="00DC39DE" w:rsidRPr="00BF2540" w:rsidRDefault="00DC39DE" w:rsidP="00694881">
      <w:pPr>
        <w:pStyle w:val="Heading3"/>
        <w:rPr>
          <w:sz w:val="26"/>
          <w:szCs w:val="26"/>
        </w:rPr>
      </w:pPr>
      <w:bookmarkStart w:id="177" w:name="INDEX_AdditionalInfo"/>
      <w:bookmarkEnd w:id="177"/>
      <w:r w:rsidRPr="00BF2540">
        <w:rPr>
          <w:sz w:val="26"/>
          <w:szCs w:val="26"/>
        </w:rPr>
        <w:t>Additional departmental information available on request</w:t>
      </w:r>
    </w:p>
    <w:p w14:paraId="6ED877E9" w14:textId="36AA0AE4" w:rsidR="00694881" w:rsidRDefault="00694881" w:rsidP="00DC39DE">
      <w:r w:rsidRPr="00694881">
        <w:t xml:space="preserve">In compliance with the requirements of the Standing Directions 2018 under the </w:t>
      </w:r>
      <w:r w:rsidRPr="00694881">
        <w:rPr>
          <w:i/>
          <w:iCs/>
        </w:rPr>
        <w:t>Financial Management Act 1994</w:t>
      </w:r>
      <w:r w:rsidRPr="00694881">
        <w:t xml:space="preserve">, details in respect of the items listed below have been retained by the Department and are available on request, subject to the provisions of the </w:t>
      </w:r>
      <w:r w:rsidRPr="00694881">
        <w:rPr>
          <w:i/>
          <w:iCs/>
        </w:rPr>
        <w:t>Freedom of Information Act 1982</w:t>
      </w:r>
      <w:r w:rsidRPr="00694881">
        <w:t>.</w:t>
      </w:r>
      <w:r>
        <w:t xml:space="preserve"> </w:t>
      </w:r>
      <w:r w:rsidRPr="00694881">
        <w:rPr>
          <w:rStyle w:val="Reference"/>
        </w:rPr>
        <w:t>[FRD 22]</w:t>
      </w:r>
    </w:p>
    <w:p w14:paraId="0E1584F8" w14:textId="5D56F6B1" w:rsidR="00DC39DE" w:rsidRDefault="009261B9" w:rsidP="00310F12">
      <w:pPr>
        <w:pStyle w:val="ListBullet"/>
      </w:pPr>
      <w:r>
        <w:t>A</w:t>
      </w:r>
      <w:r w:rsidR="00DC39DE">
        <w:t xml:space="preserve"> statement that declarations of pecuniary interests have been duly completed by all relevant officers of the Department</w:t>
      </w:r>
      <w:r>
        <w:t>.</w:t>
      </w:r>
    </w:p>
    <w:p w14:paraId="6A9AD9F6" w14:textId="1947D496" w:rsidR="00DC39DE" w:rsidRDefault="4EE8FD5C" w:rsidP="00310F12">
      <w:pPr>
        <w:pStyle w:val="ListBullet"/>
        <w:rPr>
          <w:color w:val="4472C4" w:themeColor="accent1"/>
        </w:rPr>
      </w:pPr>
      <w:r w:rsidRPr="38CB7A70">
        <w:rPr>
          <w:color w:val="4472C4" w:themeColor="accent1"/>
        </w:rPr>
        <w:t>[Insert relevant financial information item</w:t>
      </w:r>
      <w:r w:rsidR="6BA02C32" w:rsidRPr="38CB7A70">
        <w:rPr>
          <w:color w:val="4472C4" w:themeColor="accent1"/>
        </w:rPr>
        <w:t>, where available</w:t>
      </w:r>
      <w:r w:rsidRPr="38CB7A70">
        <w:rPr>
          <w:color w:val="4472C4" w:themeColor="accent1"/>
        </w:rPr>
        <w:t>]</w:t>
      </w:r>
    </w:p>
    <w:p w14:paraId="51A8913A" w14:textId="05478029" w:rsidR="00DC39DE" w:rsidRDefault="4EE8FD5C" w:rsidP="00310F12">
      <w:pPr>
        <w:pStyle w:val="ListBullet"/>
        <w:rPr>
          <w:color w:val="4472C4" w:themeColor="accent1"/>
        </w:rPr>
      </w:pPr>
      <w:r w:rsidRPr="38CB7A70">
        <w:rPr>
          <w:color w:val="4472C4" w:themeColor="accent1"/>
        </w:rPr>
        <w:t>[Insert relevant financial information item</w:t>
      </w:r>
      <w:r w:rsidR="2A34F50D" w:rsidRPr="38CB7A70">
        <w:rPr>
          <w:color w:val="4472C4" w:themeColor="accent1"/>
        </w:rPr>
        <w:t>, where available</w:t>
      </w:r>
      <w:r w:rsidRPr="38CB7A70">
        <w:rPr>
          <w:color w:val="4472C4" w:themeColor="accent1"/>
        </w:rPr>
        <w:t>]</w:t>
      </w:r>
    </w:p>
    <w:p w14:paraId="4AD83643" w14:textId="77777777" w:rsidR="00DC39DE" w:rsidRDefault="00DC39DE" w:rsidP="00DC39DE">
      <w:r>
        <w:t>The information is available on request from:</w:t>
      </w:r>
    </w:p>
    <w:p w14:paraId="712630CD" w14:textId="092CB6DA" w:rsidR="00DC39DE" w:rsidRDefault="00DC39DE" w:rsidP="00FF4F58">
      <w:pPr>
        <w:tabs>
          <w:tab w:val="left" w:pos="851"/>
        </w:tabs>
      </w:pPr>
      <w:r>
        <w:t>Director of Portfolio Services</w:t>
      </w:r>
      <w:r w:rsidR="005D14DF">
        <w:br/>
      </w:r>
      <w:r>
        <w:t>Strategic Policy Advice Division</w:t>
      </w:r>
      <w:r w:rsidR="005D14DF">
        <w:br/>
      </w:r>
      <w:r>
        <w:t xml:space="preserve">Phone: </w:t>
      </w:r>
      <w:r>
        <w:tab/>
        <w:t>(03) 9xxx xxxx</w:t>
      </w:r>
      <w:r w:rsidR="005D14DF">
        <w:br/>
      </w:r>
      <w:r>
        <w:t xml:space="preserve">Email: </w:t>
      </w:r>
      <w:r>
        <w:tab/>
        <w:t>information@dot.vic.gov.au</w:t>
      </w:r>
    </w:p>
    <w:p w14:paraId="612B13D8" w14:textId="72FC0820" w:rsidR="00DC39DE" w:rsidRPr="005D14DF" w:rsidRDefault="00DC39DE" w:rsidP="00DC39DE">
      <w:pPr>
        <w:rPr>
          <w:rStyle w:val="Guidance"/>
        </w:rPr>
      </w:pPr>
      <w:r w:rsidRPr="005D14DF">
        <w:rPr>
          <w:rStyle w:val="Guidance"/>
        </w:rPr>
        <w:t>[Refer to FRD 22 for the latest detailed list of information required to be retained and made available on request to complete the list in the table above.]</w:t>
      </w:r>
    </w:p>
    <w:p w14:paraId="1E51B95E" w14:textId="06EDBC00" w:rsidR="005D14DF" w:rsidRDefault="005D14DF" w:rsidP="005D14DF">
      <w:pPr>
        <w:pStyle w:val="GuidanceBlockHeading"/>
      </w:pPr>
      <w:r>
        <w:t>Guidance – Additional departmental information available on request</w:t>
      </w:r>
    </w:p>
    <w:p w14:paraId="40410DAF" w14:textId="0A3C1134" w:rsidR="005D14DF" w:rsidRDefault="005D14DF" w:rsidP="005D14DF">
      <w:pPr>
        <w:pStyle w:val="GuidanceHeading"/>
      </w:pPr>
      <w:r>
        <w:t>Legislative and documented references</w:t>
      </w:r>
    </w:p>
    <w:p w14:paraId="1AB6D7CE" w14:textId="7014872B" w:rsidR="005D14DF" w:rsidRPr="005D14DF" w:rsidRDefault="005D14DF" w:rsidP="005D14DF">
      <w:pPr>
        <w:rPr>
          <w:rStyle w:val="Guidance"/>
        </w:rPr>
      </w:pPr>
      <w:r w:rsidRPr="005D14DF">
        <w:rPr>
          <w:rStyle w:val="Guidance"/>
        </w:rPr>
        <w:t xml:space="preserve">FRD 22 lists the relevant information, in relation to the financial year, that is to be retained by the Accountable Officer and made available to the relevant minister, Members of Parliament and the public on request, subject to the provisions of the </w:t>
      </w:r>
      <w:r w:rsidRPr="005D14DF">
        <w:rPr>
          <w:rStyle w:val="Guidance"/>
          <w:i/>
          <w:iCs/>
        </w:rPr>
        <w:t>Freedom of Information Act 1982</w:t>
      </w:r>
      <w:r w:rsidRPr="005D14DF">
        <w:rPr>
          <w:rStyle w:val="Guidance"/>
        </w:rPr>
        <w:t>. Refer to FRD 22 for the latest detailed list of information required to be retained and made available on request.</w:t>
      </w:r>
    </w:p>
    <w:p w14:paraId="7381BC85" w14:textId="692D409B" w:rsidR="005D14DF" w:rsidRPr="005D14DF" w:rsidRDefault="005D14DF" w:rsidP="005D14DF">
      <w:pPr>
        <w:rPr>
          <w:rStyle w:val="Guidance"/>
        </w:rPr>
      </w:pPr>
      <w:r w:rsidRPr="005D14DF">
        <w:rPr>
          <w:rStyle w:val="Guidance"/>
        </w:rPr>
        <w:t xml:space="preserve">Entities can refer to the </w:t>
      </w:r>
      <w:hyperlink r:id="rId86" w:history="1">
        <w:r w:rsidRPr="00C24CF1">
          <w:rPr>
            <w:rStyle w:val="Hyperlink"/>
          </w:rPr>
          <w:t>Guidance note for FRD 22</w:t>
        </w:r>
      </w:hyperlink>
      <w:r w:rsidRPr="005D14DF">
        <w:rPr>
          <w:rStyle w:val="Guidance"/>
        </w:rPr>
        <w:t xml:space="preserve"> for further guidance to assist entities to comply with any request for this information. </w:t>
      </w:r>
    </w:p>
    <w:p w14:paraId="4CA52A8C" w14:textId="77777777" w:rsidR="00DC39DE" w:rsidRDefault="00DC39DE" w:rsidP="005D14DF">
      <w:pPr>
        <w:pStyle w:val="GuidanceEnd"/>
      </w:pPr>
    </w:p>
    <w:p w14:paraId="6FCA8080" w14:textId="16318DDF" w:rsidR="00DC39DE" w:rsidRDefault="005D14DF" w:rsidP="000E5049">
      <w:pPr>
        <w:pStyle w:val="Heading2"/>
        <w:pageBreakBefore/>
      </w:pPr>
      <w:bookmarkStart w:id="178" w:name="INDEX_AttestationSD"/>
      <w:bookmarkStart w:id="179" w:name="_Toc199156303"/>
      <w:bookmarkEnd w:id="178"/>
      <w:r>
        <w:lastRenderedPageBreak/>
        <w:t xml:space="preserve">Attestation for financial management compliance with </w:t>
      </w:r>
      <w:r w:rsidR="00976AFC">
        <w:br/>
      </w:r>
      <w:r>
        <w:t>Standing Direction 5.1.4</w:t>
      </w:r>
      <w:bookmarkEnd w:id="179"/>
      <w:r w:rsidR="006B5EA1">
        <w:t xml:space="preserve"> </w:t>
      </w:r>
    </w:p>
    <w:p w14:paraId="46B08EA2" w14:textId="77777777" w:rsidR="00DC39DE" w:rsidRDefault="00DC39DE" w:rsidP="00DC39DE">
      <w:r>
        <w:t>The Responsible Body’s compliance attestation under Direction 5.1.4 must appear in the Annual Report in the following form:</w:t>
      </w:r>
    </w:p>
    <w:p w14:paraId="7E5CB87C" w14:textId="77777777" w:rsidR="00DC39DE" w:rsidRPr="006B5EA1" w:rsidRDefault="00DC39DE" w:rsidP="00DC39DE">
      <w:pPr>
        <w:rPr>
          <w:b/>
          <w:bCs/>
        </w:rPr>
      </w:pPr>
      <w:r w:rsidRPr="006B5EA1">
        <w:rPr>
          <w:b/>
          <w:bCs/>
        </w:rPr>
        <w:t>[Name of the Agency] Financial Management Compliance Attestation Statement</w:t>
      </w:r>
    </w:p>
    <w:p w14:paraId="461E72DE" w14:textId="77777777" w:rsidR="00DC39DE" w:rsidRPr="006B5EA1" w:rsidRDefault="00DC39DE" w:rsidP="00DC39DE">
      <w:pPr>
        <w:rPr>
          <w:rStyle w:val="Guidance"/>
        </w:rPr>
      </w:pPr>
      <w:r w:rsidRPr="006B5EA1">
        <w:rPr>
          <w:rStyle w:val="Guidance"/>
        </w:rPr>
        <w:t>[Where the Agency has not identified a Material Compliance Deficiency in relation to the relevant year:]</w:t>
      </w:r>
    </w:p>
    <w:p w14:paraId="19299860" w14:textId="7C8CD2A5" w:rsidR="00DC39DE" w:rsidRDefault="00DC39DE" w:rsidP="00526486">
      <w:pPr>
        <w:pStyle w:val="ListContinue"/>
      </w:pPr>
      <w:r>
        <w:t xml:space="preserve">I </w:t>
      </w:r>
      <w:r w:rsidRPr="00526486">
        <w:rPr>
          <w:rStyle w:val="Guidance"/>
        </w:rPr>
        <w:t>[name of member of the Responsible Body],</w:t>
      </w:r>
      <w:r>
        <w:t xml:space="preserve"> on behalf of the Responsible Body</w:t>
      </w:r>
      <w:r w:rsidR="006B5EA1">
        <w:rPr>
          <w:rStyle w:val="FootnoteReference"/>
        </w:rPr>
        <w:footnoteReference w:id="5"/>
      </w:r>
      <w:r>
        <w:t xml:space="preserve">, certify that the </w:t>
      </w:r>
      <w:r w:rsidRPr="00526486">
        <w:rPr>
          <w:rStyle w:val="Guidance"/>
        </w:rPr>
        <w:t xml:space="preserve">[name of the Agency] </w:t>
      </w:r>
      <w:r>
        <w:t xml:space="preserve">has no Material Compliance Deficiency with respect to the applicable Standing Directions under the </w:t>
      </w:r>
      <w:r w:rsidRPr="00526486">
        <w:rPr>
          <w:i/>
          <w:iCs/>
        </w:rPr>
        <w:t>Financial Management Act 1994</w:t>
      </w:r>
      <w:r>
        <w:t xml:space="preserve"> and Instructions. </w:t>
      </w:r>
    </w:p>
    <w:p w14:paraId="6BC759AA" w14:textId="77777777" w:rsidR="00DC39DE" w:rsidRDefault="00DC39DE" w:rsidP="00DC39DE">
      <w:r>
        <w:t>or</w:t>
      </w:r>
    </w:p>
    <w:p w14:paraId="59C7B0D6" w14:textId="77777777" w:rsidR="00DC39DE" w:rsidRPr="00526486" w:rsidRDefault="00DC39DE" w:rsidP="00AB5741">
      <w:pPr>
        <w:keepNext/>
        <w:rPr>
          <w:rStyle w:val="Guidance"/>
        </w:rPr>
      </w:pPr>
      <w:r w:rsidRPr="00526486">
        <w:rPr>
          <w:rStyle w:val="Guidance"/>
        </w:rPr>
        <w:t>[Where the Agency has identified one or more Material Compliance Deficiencies in relation to the relevant year:]</w:t>
      </w:r>
    </w:p>
    <w:p w14:paraId="5CD7F91A" w14:textId="5537C9EC" w:rsidR="00DC39DE" w:rsidRDefault="00DC39DE" w:rsidP="00526486">
      <w:pPr>
        <w:pStyle w:val="ListContinue"/>
      </w:pPr>
      <w:r>
        <w:t xml:space="preserve">I </w:t>
      </w:r>
      <w:r w:rsidRPr="00526486">
        <w:rPr>
          <w:rStyle w:val="Guidance"/>
        </w:rPr>
        <w:t>[name of member of the Responsible Body]</w:t>
      </w:r>
      <w:r>
        <w:t>, on behalf of the Responsible Body</w:t>
      </w:r>
      <w:r w:rsidR="00526486">
        <w:rPr>
          <w:rStyle w:val="FootnoteReference"/>
        </w:rPr>
        <w:footnoteReference w:id="6"/>
      </w:r>
      <w:r>
        <w:t xml:space="preserve">, certify that the </w:t>
      </w:r>
      <w:r w:rsidRPr="00526486">
        <w:rPr>
          <w:rStyle w:val="Guidance"/>
        </w:rPr>
        <w:t>[name of the Agency]</w:t>
      </w:r>
      <w:r>
        <w:t xml:space="preserve"> has the following Material Compliance Deficiencies with respect to the applicable Standing Directions under the </w:t>
      </w:r>
      <w:r w:rsidRPr="00526486">
        <w:rPr>
          <w:i/>
          <w:iCs/>
        </w:rPr>
        <w:t>Financial Management Act 1994</w:t>
      </w:r>
      <w:r>
        <w:t xml:space="preserve"> and Instructions.</w:t>
      </w:r>
    </w:p>
    <w:p w14:paraId="647C41D8" w14:textId="77777777" w:rsidR="00DC39DE" w:rsidRPr="00526486" w:rsidRDefault="00DC39DE" w:rsidP="00526486">
      <w:pPr>
        <w:pStyle w:val="ListContinue"/>
        <w:rPr>
          <w:rStyle w:val="Guidance"/>
        </w:rPr>
      </w:pPr>
      <w:r w:rsidRPr="00526486">
        <w:rPr>
          <w:rStyle w:val="Guidance"/>
        </w:rPr>
        <w:t>[Insert reference to relevant Direction or Instruction, e.g. Direction 3.2.1.2(b)]</w:t>
      </w:r>
    </w:p>
    <w:p w14:paraId="0DF6EEC9" w14:textId="77777777" w:rsidR="00DC39DE" w:rsidRPr="00526486" w:rsidRDefault="00DC39DE" w:rsidP="00526486">
      <w:pPr>
        <w:pStyle w:val="ListContinue"/>
        <w:rPr>
          <w:rStyle w:val="Guidance"/>
        </w:rPr>
      </w:pPr>
      <w:r w:rsidRPr="00526486">
        <w:rPr>
          <w:rStyle w:val="Guidance"/>
        </w:rPr>
        <w:t>[Insert brief summary of the reasons for/circumstances of the Material Compliance Deficiency]</w:t>
      </w:r>
    </w:p>
    <w:p w14:paraId="55335D66" w14:textId="77777777" w:rsidR="00DC39DE" w:rsidRPr="00526486" w:rsidRDefault="00DC39DE" w:rsidP="00526486">
      <w:pPr>
        <w:pStyle w:val="ListContinue"/>
        <w:rPr>
          <w:rStyle w:val="Guidance"/>
        </w:rPr>
      </w:pPr>
      <w:r w:rsidRPr="00526486">
        <w:rPr>
          <w:rStyle w:val="Guidance"/>
        </w:rPr>
        <w:t>[Insert details of planned and completed remedial actions]</w:t>
      </w:r>
    </w:p>
    <w:p w14:paraId="5A31EFA4" w14:textId="425B5B28" w:rsidR="00526486" w:rsidRDefault="00526486" w:rsidP="00526486">
      <w:pPr>
        <w:pStyle w:val="GuidanceBlockHeading"/>
      </w:pPr>
      <w:r>
        <w:t>Guidance – Attestation for financial management compliance with Standing Direction 5.1.4</w:t>
      </w:r>
      <w:r w:rsidR="00667760">
        <w:t xml:space="preserve"> </w:t>
      </w:r>
      <w:r w:rsidR="00667760" w:rsidRPr="00CF2CBD">
        <w:rPr>
          <w:rStyle w:val="Reference-Revised"/>
          <w:color w:val="FFF8FF"/>
          <w:sz w:val="20"/>
        </w:rPr>
        <w:t>[REVISED]</w:t>
      </w:r>
    </w:p>
    <w:p w14:paraId="48C34D4E" w14:textId="68330934" w:rsidR="00526486" w:rsidRDefault="00526486" w:rsidP="00526486">
      <w:pPr>
        <w:pStyle w:val="GuidanceHeading"/>
      </w:pPr>
      <w:r>
        <w:t>Legislative and documented references</w:t>
      </w:r>
    </w:p>
    <w:p w14:paraId="0779844D" w14:textId="002D9AB3" w:rsidR="00526486" w:rsidRDefault="00526486" w:rsidP="00526486">
      <w:r>
        <w:t xml:space="preserve">The Standing Directions include an attestation of financial management compliance in an agency’s annual report. The Directions aim to improve compliance through the increased accountability and transparency of a public attestation and strengthened audit committee and internal audit function roles. </w:t>
      </w:r>
      <w:r w:rsidRPr="00526486">
        <w:rPr>
          <w:rStyle w:val="Reference"/>
        </w:rPr>
        <w:t>[SD 5.1.2 to 5.1.4]</w:t>
      </w:r>
    </w:p>
    <w:p w14:paraId="5BD54514" w14:textId="77777777" w:rsidR="00526486" w:rsidRDefault="00526486" w:rsidP="00526486">
      <w:r>
        <w:t>The below annual assessment process and detailed reviews by the internal audit function support the public attestation.</w:t>
      </w:r>
    </w:p>
    <w:p w14:paraId="1FC7F891" w14:textId="0AEF6FA1" w:rsidR="00526486" w:rsidRDefault="00526486" w:rsidP="00526486">
      <w:pPr>
        <w:pStyle w:val="GuidanceHeading"/>
      </w:pPr>
      <w:r>
        <w:t xml:space="preserve">Annual assessment of financial management compliance </w:t>
      </w:r>
      <w:r w:rsidRPr="00526486">
        <w:rPr>
          <w:rStyle w:val="Reference"/>
        </w:rPr>
        <w:t>[SD 5.1.2]</w:t>
      </w:r>
    </w:p>
    <w:p w14:paraId="5597A685" w14:textId="09931086" w:rsidR="00526486" w:rsidRDefault="00526486" w:rsidP="00310F12">
      <w:pPr>
        <w:pStyle w:val="ListBullet"/>
      </w:pPr>
      <w:r>
        <w:t xml:space="preserve">The Responsible Body must conduct an annual assessment of compliance with all applicable requirements in the </w:t>
      </w:r>
      <w:r w:rsidRPr="00526486">
        <w:rPr>
          <w:i/>
          <w:iCs/>
        </w:rPr>
        <w:t>Financial Management Act 1994</w:t>
      </w:r>
      <w:r>
        <w:t>, the Directions and the Instructions.</w:t>
      </w:r>
    </w:p>
    <w:p w14:paraId="35DC1FF9" w14:textId="4A5D49AF" w:rsidR="00526486" w:rsidRDefault="00526486" w:rsidP="00310F12">
      <w:pPr>
        <w:pStyle w:val="ListBullet"/>
      </w:pPr>
      <w:r>
        <w:t>The Audit Committee must review the assessment.</w:t>
      </w:r>
    </w:p>
    <w:p w14:paraId="58C35D43" w14:textId="78C2DDD1" w:rsidR="00526486" w:rsidRDefault="00526486" w:rsidP="00526486">
      <w:pPr>
        <w:pStyle w:val="GuidanceHeading"/>
      </w:pPr>
      <w:r>
        <w:t xml:space="preserve">Detailed periodic review of financial management compliance </w:t>
      </w:r>
      <w:r w:rsidRPr="00526486">
        <w:rPr>
          <w:rStyle w:val="Reference"/>
        </w:rPr>
        <w:t>[SD 5.1.3]</w:t>
      </w:r>
    </w:p>
    <w:p w14:paraId="59DDA9F5" w14:textId="34C0526E" w:rsidR="00526486" w:rsidRPr="00526486" w:rsidRDefault="00526486" w:rsidP="00310F12">
      <w:pPr>
        <w:pStyle w:val="ListBullet"/>
        <w:rPr>
          <w:rStyle w:val="Guidance"/>
          <w:b/>
          <w:sz w:val="20"/>
        </w:rPr>
      </w:pPr>
      <w:r w:rsidRPr="00526486">
        <w:rPr>
          <w:rStyle w:val="Guidance"/>
        </w:rPr>
        <w:t xml:space="preserve">The Responsible Body must ensure that the internal audit function conducts a detailed review of the agency’s compliance with all requirements in the </w:t>
      </w:r>
      <w:r w:rsidRPr="00526486">
        <w:rPr>
          <w:rStyle w:val="Guidance"/>
          <w:i/>
          <w:iCs/>
        </w:rPr>
        <w:t>Financial Management Act 1994</w:t>
      </w:r>
      <w:r w:rsidRPr="00526486">
        <w:rPr>
          <w:rStyle w:val="Guidance"/>
        </w:rPr>
        <w:t xml:space="preserve">, these Directions and the Instructions over the period specified (three or four years). </w:t>
      </w:r>
    </w:p>
    <w:p w14:paraId="27CDF4F2" w14:textId="1260882D" w:rsidR="00526486" w:rsidRPr="00526486" w:rsidRDefault="00526486" w:rsidP="00310F12">
      <w:pPr>
        <w:pStyle w:val="ListBullet"/>
        <w:rPr>
          <w:rStyle w:val="Guidance"/>
        </w:rPr>
      </w:pPr>
      <w:r w:rsidRPr="00526486">
        <w:rPr>
          <w:rStyle w:val="Guidance"/>
        </w:rPr>
        <w:t>The period of review must be the same as the period of the strategic internal audit plan.</w:t>
      </w:r>
    </w:p>
    <w:p w14:paraId="233AB2B2" w14:textId="61C4B577" w:rsidR="00526486" w:rsidRDefault="00526486" w:rsidP="00310F12">
      <w:pPr>
        <w:pStyle w:val="ListBullet"/>
        <w:rPr>
          <w:rStyle w:val="Guidance"/>
        </w:rPr>
      </w:pPr>
      <w:r w:rsidRPr="00526486">
        <w:rPr>
          <w:rStyle w:val="Guidance"/>
        </w:rPr>
        <w:t>A plan for the review must be included in the strategic internal audit plan.</w:t>
      </w:r>
    </w:p>
    <w:p w14:paraId="66EED4CA" w14:textId="241AFC16" w:rsidR="00932039" w:rsidRPr="00932039" w:rsidRDefault="00932039" w:rsidP="00BF2540">
      <w:pPr>
        <w:pStyle w:val="GuidanceHeading"/>
      </w:pPr>
      <w:r w:rsidRPr="00932039">
        <w:t>Financial management compliance attestation</w:t>
      </w:r>
      <w:r w:rsidR="00CC7A6C">
        <w:rPr>
          <w:rStyle w:val="FootnoteReference"/>
        </w:rPr>
        <w:footnoteReference w:id="7"/>
      </w:r>
      <w:r w:rsidRPr="00932039">
        <w:t xml:space="preserve"> </w:t>
      </w:r>
      <w:r w:rsidRPr="00464BA8">
        <w:rPr>
          <w:color w:val="C00000"/>
          <w:sz w:val="16"/>
          <w:szCs w:val="16"/>
        </w:rPr>
        <w:t>[SD 5.1.4]</w:t>
      </w:r>
    </w:p>
    <w:p w14:paraId="1DE614C8" w14:textId="36F9D7D2" w:rsidR="00526486" w:rsidRPr="00526486" w:rsidRDefault="00526486" w:rsidP="00310F12">
      <w:pPr>
        <w:pStyle w:val="ListBullet"/>
        <w:rPr>
          <w:rStyle w:val="Guidance"/>
        </w:rPr>
      </w:pPr>
      <w:r w:rsidRPr="00526486">
        <w:rPr>
          <w:rStyle w:val="Guidance"/>
        </w:rPr>
        <w:t xml:space="preserve">The Responsible Body, or a member of the Responsible Body, must, in the agency’s annual report, in relation to the relevant financial year, attest to the extent of compliance with applicable requirements in the </w:t>
      </w:r>
      <w:r w:rsidRPr="00526486">
        <w:rPr>
          <w:rStyle w:val="Guidance"/>
          <w:i/>
          <w:iCs/>
        </w:rPr>
        <w:t>Financial Management Act 1994</w:t>
      </w:r>
      <w:r w:rsidRPr="00526486">
        <w:rPr>
          <w:rStyle w:val="Guidance"/>
        </w:rPr>
        <w:t xml:space="preserve">, the Directions and the Instructions, and disclose all Material Compliance Deficiencies. </w:t>
      </w:r>
    </w:p>
    <w:p w14:paraId="1EB80663" w14:textId="71CA373B" w:rsidR="00526486" w:rsidRPr="00526486" w:rsidRDefault="00526486" w:rsidP="00310F12">
      <w:pPr>
        <w:pStyle w:val="ListBullet"/>
        <w:rPr>
          <w:rStyle w:val="Guidance"/>
        </w:rPr>
      </w:pPr>
      <w:r w:rsidRPr="00526486">
        <w:rPr>
          <w:rStyle w:val="Guidance"/>
        </w:rPr>
        <w:t xml:space="preserve">The compliance attestation must relate to compliance for the entire period of the relevant financial year. </w:t>
      </w:r>
    </w:p>
    <w:p w14:paraId="581CA315" w14:textId="52B08371" w:rsidR="00DC39DE" w:rsidRPr="00526486" w:rsidRDefault="00526486" w:rsidP="00310F12">
      <w:pPr>
        <w:pStyle w:val="ListBullet"/>
        <w:rPr>
          <w:rStyle w:val="Guidance"/>
        </w:rPr>
      </w:pPr>
      <w:r w:rsidRPr="00526486">
        <w:rPr>
          <w:rStyle w:val="Guidance"/>
        </w:rPr>
        <w:t>The Audit Committee must review the attestation.</w:t>
      </w:r>
    </w:p>
    <w:p w14:paraId="7EDA756E" w14:textId="2CA8FC59" w:rsidR="00526486" w:rsidRDefault="00526486" w:rsidP="000E5049">
      <w:pPr>
        <w:pStyle w:val="GuidanceHeading"/>
      </w:pPr>
      <w:r>
        <w:lastRenderedPageBreak/>
        <w:t>Guidance</w:t>
      </w:r>
    </w:p>
    <w:p w14:paraId="1DD7FAC5" w14:textId="195C8C87" w:rsidR="00526486" w:rsidRPr="00526486" w:rsidRDefault="00526486" w:rsidP="000E5049">
      <w:pPr>
        <w:keepNext/>
        <w:rPr>
          <w:rStyle w:val="Guidance"/>
        </w:rPr>
      </w:pPr>
      <w:r w:rsidRPr="00526486">
        <w:rPr>
          <w:rStyle w:val="Guidance"/>
        </w:rPr>
        <w:t xml:space="preserve">From 2018-19, a public attestation to the extent of compliance with all applicable Standing Directions and Instructions </w:t>
      </w:r>
      <w:r w:rsidR="00EF47E7">
        <w:rPr>
          <w:rStyle w:val="Guidance"/>
        </w:rPr>
        <w:t>are</w:t>
      </w:r>
      <w:r w:rsidR="00F27F11">
        <w:rPr>
          <w:rStyle w:val="Guidance"/>
        </w:rPr>
        <w:t xml:space="preserve"> </w:t>
      </w:r>
      <w:r w:rsidRPr="00526486">
        <w:rPr>
          <w:rStyle w:val="Guidance"/>
        </w:rPr>
        <w:t>required in each agency’s annual report.</w:t>
      </w:r>
    </w:p>
    <w:p w14:paraId="01BC0A26" w14:textId="29D95B4C" w:rsidR="00526486" w:rsidRPr="00526486" w:rsidRDefault="00526486" w:rsidP="00526486">
      <w:pPr>
        <w:rPr>
          <w:rStyle w:val="Guidance"/>
        </w:rPr>
      </w:pPr>
      <w:r w:rsidRPr="00526486">
        <w:rPr>
          <w:rStyle w:val="Guidance"/>
        </w:rPr>
        <w:t>The Responsible Body of an agency (</w:t>
      </w:r>
      <w:r w:rsidR="00CA1BA6">
        <w:rPr>
          <w:rStyle w:val="Guidance"/>
        </w:rPr>
        <w:t>d</w:t>
      </w:r>
      <w:r w:rsidRPr="00526486">
        <w:rPr>
          <w:rStyle w:val="Guidance"/>
        </w:rPr>
        <w:t xml:space="preserve">epartment or </w:t>
      </w:r>
      <w:r w:rsidR="00CA1BA6">
        <w:rPr>
          <w:rStyle w:val="Guidance"/>
        </w:rPr>
        <w:t>p</w:t>
      </w:r>
      <w:r w:rsidRPr="00526486">
        <w:rPr>
          <w:rStyle w:val="Guidance"/>
        </w:rPr>
        <w:t xml:space="preserve">ublic </w:t>
      </w:r>
      <w:r w:rsidR="00CA1BA6">
        <w:rPr>
          <w:rStyle w:val="Guidance"/>
        </w:rPr>
        <w:t>b</w:t>
      </w:r>
      <w:r w:rsidRPr="00526486">
        <w:rPr>
          <w:rStyle w:val="Guidance"/>
        </w:rPr>
        <w:t xml:space="preserve">ody) is responsible for the accuracy and completeness of attestation and must utilise audit committees or other internal governance bodies, where available, to support the view expressed. For a department, the Secretary/Accountable Officer is the Responsible Body. For </w:t>
      </w:r>
      <w:r w:rsidR="00CA1BA6">
        <w:rPr>
          <w:rStyle w:val="Guidance"/>
        </w:rPr>
        <w:t>p</w:t>
      </w:r>
      <w:r w:rsidRPr="00526486">
        <w:rPr>
          <w:rStyle w:val="Guidance"/>
        </w:rPr>
        <w:t xml:space="preserve">ublic </w:t>
      </w:r>
      <w:r w:rsidR="00CA1BA6">
        <w:rPr>
          <w:rStyle w:val="Guidance"/>
        </w:rPr>
        <w:t>b</w:t>
      </w:r>
      <w:r w:rsidRPr="00526486">
        <w:rPr>
          <w:rStyle w:val="Guidance"/>
        </w:rPr>
        <w:t>odies, it is the board or the person with ultimate decision-making authority.</w:t>
      </w:r>
    </w:p>
    <w:p w14:paraId="25DDF839" w14:textId="61EDDD72" w:rsidR="00526486" w:rsidRPr="00526486" w:rsidRDefault="00526486" w:rsidP="00526486">
      <w:pPr>
        <w:rPr>
          <w:rStyle w:val="Guidance"/>
        </w:rPr>
      </w:pPr>
      <w:r w:rsidRPr="00526486">
        <w:rPr>
          <w:rStyle w:val="Guidance"/>
        </w:rPr>
        <w:t>Attestation to the extent of compliance should be made annually in the report of operations and the person making the attestation</w:t>
      </w:r>
      <w:r w:rsidR="00CA1BA6">
        <w:rPr>
          <w:rStyle w:val="Guidance"/>
        </w:rPr>
        <w:t>,</w:t>
      </w:r>
      <w:r w:rsidRPr="00526486">
        <w:rPr>
          <w:rStyle w:val="Guidance"/>
        </w:rPr>
        <w:t xml:space="preserve"> usually the Secretary/Accountable Officer of a </w:t>
      </w:r>
      <w:r w:rsidR="00CA1BA6">
        <w:rPr>
          <w:rStyle w:val="Guidance"/>
        </w:rPr>
        <w:t>d</w:t>
      </w:r>
      <w:r w:rsidRPr="00526486">
        <w:rPr>
          <w:rStyle w:val="Guidance"/>
        </w:rPr>
        <w:t xml:space="preserve">epartment or member of the Responsible Body (for example the Chair of the Board) of a </w:t>
      </w:r>
      <w:r w:rsidR="00CA1BA6">
        <w:rPr>
          <w:rStyle w:val="Guidance"/>
        </w:rPr>
        <w:t>p</w:t>
      </w:r>
      <w:r w:rsidRPr="00526486">
        <w:rPr>
          <w:rStyle w:val="Guidance"/>
        </w:rPr>
        <w:t xml:space="preserve">ublic </w:t>
      </w:r>
      <w:r w:rsidR="00CA1BA6">
        <w:rPr>
          <w:rStyle w:val="Guidance"/>
        </w:rPr>
        <w:t>b</w:t>
      </w:r>
      <w:r w:rsidRPr="00526486">
        <w:rPr>
          <w:rStyle w:val="Guidance"/>
        </w:rPr>
        <w:t>ody, should not make the attestation unless the Audit Committee agrees that such an assurance can be given.</w:t>
      </w:r>
    </w:p>
    <w:p w14:paraId="1C23B4FA" w14:textId="2AC0D56F" w:rsidR="00526486" w:rsidRDefault="00526486" w:rsidP="00526486">
      <w:pPr>
        <w:rPr>
          <w:rStyle w:val="Guidance"/>
        </w:rPr>
      </w:pPr>
      <w:r w:rsidRPr="00526486">
        <w:rPr>
          <w:rStyle w:val="Guidance"/>
        </w:rPr>
        <w:t>An agency must only complete one attestation and the format will depend on whether a Material Compliance Deficiency has been identified (see attached templates).</w:t>
      </w:r>
    </w:p>
    <w:p w14:paraId="42C8D61F" w14:textId="77777777" w:rsidR="00526486" w:rsidRDefault="00526486" w:rsidP="00526486">
      <w:pPr>
        <w:pStyle w:val="GuidanceEnd"/>
        <w:rPr>
          <w:rStyle w:val="Guidance"/>
        </w:rPr>
      </w:pPr>
    </w:p>
    <w:p w14:paraId="78AED43C" w14:textId="77777777" w:rsidR="000E5049" w:rsidRPr="000E5049" w:rsidRDefault="000E5049" w:rsidP="000E5049"/>
    <w:p w14:paraId="53D8417A" w14:textId="2B5EA7FD" w:rsidR="00DC39DE" w:rsidRDefault="00DC39DE" w:rsidP="00526486">
      <w:pPr>
        <w:pStyle w:val="Heading2"/>
      </w:pPr>
      <w:bookmarkStart w:id="180" w:name="_Toc199156304"/>
      <w:r>
        <w:t>Compliance with DataVic Access Policy</w:t>
      </w:r>
      <w:bookmarkEnd w:id="180"/>
      <w:r>
        <w:t xml:space="preserve"> </w:t>
      </w:r>
    </w:p>
    <w:p w14:paraId="2A54B7BE" w14:textId="0924517E" w:rsidR="00DC39DE" w:rsidRDefault="00DC39DE" w:rsidP="00DC39DE">
      <w:r>
        <w:t xml:space="preserve">Consistent with the DataVic Access Policy issued by the Victorian Government in 2012, the </w:t>
      </w:r>
      <w:r w:rsidRPr="00526486">
        <w:rPr>
          <w:rStyle w:val="Guidance"/>
        </w:rPr>
        <w:t>[insert relevant department name]</w:t>
      </w:r>
      <w:r>
        <w:t xml:space="preserve"> made </w:t>
      </w:r>
      <w:r w:rsidRPr="00526486">
        <w:rPr>
          <w:rStyle w:val="Guidance"/>
        </w:rPr>
        <w:t>[insert number]</w:t>
      </w:r>
      <w:r>
        <w:t xml:space="preserve"> data sets available on the DataVic website in </w:t>
      </w:r>
      <w:fldSimple w:instr="DOCPROPERTY  FinYearCurrent  \* MERGEFORMAT">
        <w:r w:rsidR="002831D1">
          <w:t>20X1</w:t>
        </w:r>
        <w:r w:rsidR="002831D1" w:rsidRPr="002831D1">
          <w:rPr>
            <w:rFonts w:ascii="Cambria Math" w:hAnsi="Cambria Math" w:cs="Cambria Math"/>
          </w:rPr>
          <w:t>‑</w:t>
        </w:r>
        <w:r w:rsidR="002831D1">
          <w:t>X2</w:t>
        </w:r>
      </w:fldSimple>
      <w:r>
        <w:t xml:space="preserve">. Information included in this Annual Report will also be available at </w:t>
      </w:r>
      <w:hyperlink r:id="rId87" w:history="1">
        <w:r w:rsidRPr="00526486">
          <w:rPr>
            <w:rStyle w:val="Hyperlink"/>
          </w:rPr>
          <w:t>www.data.vic.gov.au</w:t>
        </w:r>
      </w:hyperlink>
      <w:r>
        <w:t xml:space="preserve"> in electronic readable format. </w:t>
      </w:r>
      <w:r w:rsidRPr="00526486">
        <w:rPr>
          <w:rStyle w:val="Guidance"/>
        </w:rPr>
        <w:t>[Note: suitable formats are CSV, Excel, and XML. PDF and Word are not suitable formats.]</w:t>
      </w:r>
    </w:p>
    <w:p w14:paraId="4B4668D1" w14:textId="0FAFFD02" w:rsidR="00526486" w:rsidRDefault="00526486" w:rsidP="00526486">
      <w:pPr>
        <w:pStyle w:val="GuidanceBlockHeading"/>
      </w:pPr>
      <w:r>
        <w:t>Guidance – DataVic Access Policy</w:t>
      </w:r>
      <w:r w:rsidR="00667760">
        <w:t xml:space="preserve"> </w:t>
      </w:r>
      <w:r w:rsidR="00667760" w:rsidRPr="00CF2CBD">
        <w:rPr>
          <w:rStyle w:val="Reference-Revised"/>
          <w:color w:val="FFF8FF"/>
          <w:sz w:val="20"/>
        </w:rPr>
        <w:t>[REVISED]</w:t>
      </w:r>
    </w:p>
    <w:p w14:paraId="15646AEB" w14:textId="70E5A7C5" w:rsidR="00111D81" w:rsidRDefault="00111D81" w:rsidP="00526486">
      <w:pPr>
        <w:rPr>
          <w:rStyle w:val="Guidance"/>
        </w:rPr>
      </w:pPr>
      <w:r>
        <w:rPr>
          <w:rStyle w:val="Guidance"/>
        </w:rPr>
        <w:t>Entities are encouraged to include the above statement in their annual report if applicable.</w:t>
      </w:r>
    </w:p>
    <w:p w14:paraId="06C59333" w14:textId="12903B71" w:rsidR="00526486" w:rsidRPr="00526486" w:rsidRDefault="00526486" w:rsidP="00526486">
      <w:pPr>
        <w:rPr>
          <w:rStyle w:val="Guidance"/>
        </w:rPr>
      </w:pPr>
      <w:r w:rsidRPr="00526486">
        <w:rPr>
          <w:rStyle w:val="Guidance"/>
        </w:rPr>
        <w:t xml:space="preserve">In August 2012, the Victorian Government released the DataVic Access Policy, which enables the sharing of government data at no </w:t>
      </w:r>
      <w:r w:rsidR="00CA1BA6">
        <w:rPr>
          <w:rStyle w:val="Guidance"/>
        </w:rPr>
        <w:t xml:space="preserve">cost </w:t>
      </w:r>
      <w:r w:rsidRPr="00526486">
        <w:rPr>
          <w:rStyle w:val="Guidance"/>
        </w:rPr>
        <w:t>or minimal cost to users. Government data from all agencies will be progressively supplied in an electronic readable format that will minimise access costs and maximise use and reuse.</w:t>
      </w:r>
      <w:r w:rsidR="0070116B">
        <w:rPr>
          <w:rStyle w:val="Guidance"/>
        </w:rPr>
        <w:t xml:space="preserve"> </w:t>
      </w:r>
    </w:p>
    <w:p w14:paraId="64ACB6AF" w14:textId="77777777" w:rsidR="00526486" w:rsidRPr="00526486" w:rsidRDefault="00526486" w:rsidP="00526486">
      <w:pPr>
        <w:rPr>
          <w:rStyle w:val="Guidance"/>
        </w:rPr>
      </w:pPr>
      <w:r w:rsidRPr="00526486">
        <w:rPr>
          <w:rStyle w:val="Guidance"/>
        </w:rPr>
        <w:t>Agencies are also encouraged to incorporate DataVic Access Policy achievements into their annual report. Suggested items include:</w:t>
      </w:r>
    </w:p>
    <w:p w14:paraId="50E94964" w14:textId="424526CE" w:rsidR="00526486" w:rsidRDefault="00526486" w:rsidP="00310F12">
      <w:pPr>
        <w:pStyle w:val="ListBullet"/>
        <w:rPr>
          <w:rStyle w:val="Guidance"/>
        </w:rPr>
      </w:pPr>
      <w:r w:rsidRPr="00526486">
        <w:rPr>
          <w:rStyle w:val="Guidance"/>
        </w:rPr>
        <w:t xml:space="preserve">outcomes </w:t>
      </w:r>
      <w:r w:rsidR="00793725">
        <w:rPr>
          <w:rStyle w:val="Guidance"/>
        </w:rPr>
        <w:t xml:space="preserve">achieved </w:t>
      </w:r>
      <w:r w:rsidRPr="00526486">
        <w:rPr>
          <w:rStyle w:val="Guidance"/>
        </w:rPr>
        <w:t xml:space="preserve">from the previous year’s program of works </w:t>
      </w:r>
    </w:p>
    <w:p w14:paraId="3D2B4C68" w14:textId="4E190F60" w:rsidR="00296CA3" w:rsidRPr="00526486" w:rsidRDefault="00296CA3" w:rsidP="00296CA3">
      <w:pPr>
        <w:pStyle w:val="ListBullet"/>
        <w:rPr>
          <w:rStyle w:val="Guidance"/>
        </w:rPr>
      </w:pPr>
      <w:r w:rsidRPr="217DE1BA">
        <w:rPr>
          <w:rStyle w:val="Guidance"/>
        </w:rPr>
        <w:t>requests received for datasets to be released and the outcome of those requests, including FOI requested data</w:t>
      </w:r>
    </w:p>
    <w:p w14:paraId="6B18438E" w14:textId="4785015B" w:rsidR="00526486" w:rsidRPr="00526486" w:rsidRDefault="00526486" w:rsidP="00310F12">
      <w:pPr>
        <w:pStyle w:val="ListBullet"/>
        <w:rPr>
          <w:rStyle w:val="Guidance"/>
        </w:rPr>
      </w:pPr>
      <w:r w:rsidRPr="00526486">
        <w:rPr>
          <w:rStyle w:val="Guidance"/>
        </w:rPr>
        <w:t xml:space="preserve">feedback </w:t>
      </w:r>
      <w:r w:rsidR="00296CA3">
        <w:rPr>
          <w:rStyle w:val="Guidance"/>
        </w:rPr>
        <w:t xml:space="preserve">received on </w:t>
      </w:r>
      <w:r w:rsidRPr="00526486">
        <w:rPr>
          <w:rStyle w:val="Guidance"/>
        </w:rPr>
        <w:t xml:space="preserve">datasets </w:t>
      </w:r>
      <w:r w:rsidR="00296CA3">
        <w:rPr>
          <w:rStyle w:val="Guidance"/>
        </w:rPr>
        <w:t>released</w:t>
      </w:r>
      <w:r w:rsidR="00296CA3" w:rsidRPr="00526486">
        <w:rPr>
          <w:rStyle w:val="Guidance"/>
        </w:rPr>
        <w:t xml:space="preserve"> </w:t>
      </w:r>
      <w:r w:rsidRPr="00526486">
        <w:rPr>
          <w:rStyle w:val="Guidance"/>
        </w:rPr>
        <w:t>and the outcome of the feedback</w:t>
      </w:r>
    </w:p>
    <w:p w14:paraId="1CE48251" w14:textId="5F4715D1" w:rsidR="00526486" w:rsidRPr="00526486" w:rsidRDefault="00526486" w:rsidP="00310F12">
      <w:pPr>
        <w:pStyle w:val="ListBullet"/>
        <w:rPr>
          <w:rStyle w:val="Guidance"/>
        </w:rPr>
      </w:pPr>
      <w:r w:rsidRPr="00526486">
        <w:rPr>
          <w:rStyle w:val="Guidance"/>
        </w:rPr>
        <w:t>any known benefits of making datasets available achieved to date</w:t>
      </w:r>
    </w:p>
    <w:p w14:paraId="50E935A5" w14:textId="0423D4E6" w:rsidR="00D832C3" w:rsidRPr="00886269" w:rsidDel="00EB5E91" w:rsidRDefault="00D832C3" w:rsidP="00D832C3">
      <w:pPr>
        <w:pStyle w:val="ListBullet"/>
        <w:rPr>
          <w:rStyle w:val="Guidance"/>
        </w:rPr>
      </w:pPr>
      <w:r>
        <w:rPr>
          <w:rStyle w:val="Guidance"/>
        </w:rPr>
        <w:t xml:space="preserve">proactive open data plans </w:t>
      </w:r>
      <w:r w:rsidRPr="00526486">
        <w:rPr>
          <w:rStyle w:val="Guidance"/>
        </w:rPr>
        <w:t xml:space="preserve">for the coming year, including </w:t>
      </w:r>
      <w:r w:rsidRPr="00886269">
        <w:rPr>
          <w:rStyle w:val="Guidance"/>
        </w:rPr>
        <w:t>potential open data candidates for release</w:t>
      </w:r>
      <w:r>
        <w:rPr>
          <w:rStyle w:val="Guidance"/>
        </w:rPr>
        <w:t xml:space="preserve">. </w:t>
      </w:r>
      <w:r w:rsidRPr="00085268">
        <w:rPr>
          <w:rStyle w:val="Guidance"/>
        </w:rPr>
        <w:t xml:space="preserve">Organisations can </w:t>
      </w:r>
      <w:r>
        <w:rPr>
          <w:rStyle w:val="Guidance"/>
        </w:rPr>
        <w:t xml:space="preserve">now </w:t>
      </w:r>
      <w:r w:rsidRPr="00085268">
        <w:rPr>
          <w:rStyle w:val="Guidance"/>
        </w:rPr>
        <w:t xml:space="preserve">use the </w:t>
      </w:r>
      <w:hyperlink r:id="rId88" w:history="1">
        <w:r w:rsidRPr="00E4604C">
          <w:rPr>
            <w:rStyle w:val="Hyperlink"/>
          </w:rPr>
          <w:t>Public Records Office Information management maturity measurement tool (IM3)</w:t>
        </w:r>
      </w:hyperlink>
      <w:r w:rsidRPr="00085268">
        <w:rPr>
          <w:rStyle w:val="Guidance"/>
        </w:rPr>
        <w:t xml:space="preserve"> to support best practise.</w:t>
      </w:r>
    </w:p>
    <w:p w14:paraId="164E7BBB" w14:textId="5491C96A" w:rsidR="00536B66" w:rsidRDefault="00536B66" w:rsidP="00BF2540">
      <w:pPr>
        <w:pStyle w:val="ListBullet"/>
        <w:numPr>
          <w:ilvl w:val="0"/>
          <w:numId w:val="0"/>
        </w:numPr>
        <w:rPr>
          <w:rStyle w:val="Guidance"/>
        </w:rPr>
      </w:pPr>
      <w:r>
        <w:rPr>
          <w:rStyle w:val="Guidance"/>
        </w:rPr>
        <w:t xml:space="preserve">Departments can access and manage their published datasets via the </w:t>
      </w:r>
      <w:hyperlink r:id="rId89" w:history="1">
        <w:r w:rsidRPr="002125EE">
          <w:rPr>
            <w:rStyle w:val="Hyperlink"/>
          </w:rPr>
          <w:t>VPS Data Directory</w:t>
        </w:r>
      </w:hyperlink>
      <w:r>
        <w:rPr>
          <w:rStyle w:val="Guidance"/>
        </w:rPr>
        <w:t xml:space="preserve"> or </w:t>
      </w:r>
      <w:r w:rsidRPr="217DE1BA">
        <w:rPr>
          <w:rStyle w:val="Guidance"/>
        </w:rPr>
        <w:t xml:space="preserve">contact the DataVic team for </w:t>
      </w:r>
      <w:r>
        <w:rPr>
          <w:rStyle w:val="Guidance"/>
        </w:rPr>
        <w:t xml:space="preserve">assistance at </w:t>
      </w:r>
      <w:hyperlink r:id="rId90" w:history="1">
        <w:r w:rsidR="00E67161" w:rsidRPr="00162360">
          <w:rPr>
            <w:rStyle w:val="Hyperlink"/>
          </w:rPr>
          <w:t>datavic@dpc.vic.gov.au</w:t>
        </w:r>
      </w:hyperlink>
      <w:r w:rsidR="00E67161">
        <w:rPr>
          <w:rStyle w:val="Guidance"/>
        </w:rPr>
        <w:t xml:space="preserve">. </w:t>
      </w:r>
    </w:p>
    <w:p w14:paraId="08C40CE6" w14:textId="1F2AB210" w:rsidR="00526486" w:rsidRPr="00526486" w:rsidRDefault="00526486" w:rsidP="00526486">
      <w:pPr>
        <w:rPr>
          <w:rStyle w:val="Guidance"/>
        </w:rPr>
      </w:pPr>
      <w:r w:rsidRPr="00526486">
        <w:rPr>
          <w:rStyle w:val="Guidance"/>
        </w:rPr>
        <w:t xml:space="preserve">For further information, please see the </w:t>
      </w:r>
      <w:hyperlink r:id="rId91" w:history="1">
        <w:r w:rsidRPr="00C24CF1">
          <w:rPr>
            <w:rStyle w:val="Hyperlink"/>
          </w:rPr>
          <w:t>DataVic Access Policy and Guidelines</w:t>
        </w:r>
      </w:hyperlink>
      <w:r w:rsidR="0070116B">
        <w:rPr>
          <w:rStyle w:val="Guidance"/>
        </w:rPr>
        <w:t>.</w:t>
      </w:r>
      <w:r w:rsidRPr="00526486">
        <w:rPr>
          <w:rStyle w:val="Guidance"/>
        </w:rPr>
        <w:t xml:space="preserve"> </w:t>
      </w:r>
    </w:p>
    <w:p w14:paraId="6ADBF5E3" w14:textId="77777777" w:rsidR="00DC39DE" w:rsidRDefault="00DC39DE" w:rsidP="00526486">
      <w:pPr>
        <w:pStyle w:val="GuidanceEnd"/>
      </w:pPr>
    </w:p>
    <w:p w14:paraId="76FCE9FD" w14:textId="77777777" w:rsidR="00305B6B" w:rsidRDefault="00305B6B">
      <w:pPr>
        <w:keepLines w:val="0"/>
        <w:rPr>
          <w:rFonts w:asciiTheme="majorHAnsi" w:eastAsiaTheme="majorEastAsia" w:hAnsiTheme="majorHAnsi" w:cstheme="majorBidi"/>
          <w:b/>
          <w:sz w:val="26"/>
          <w:szCs w:val="26"/>
        </w:rPr>
      </w:pPr>
      <w:r>
        <w:br w:type="page"/>
      </w:r>
    </w:p>
    <w:p w14:paraId="1374FB55" w14:textId="484800F9" w:rsidR="00DC39DE" w:rsidRDefault="00305B6B" w:rsidP="00305B6B">
      <w:pPr>
        <w:pStyle w:val="Heading2"/>
      </w:pPr>
      <w:bookmarkStart w:id="181" w:name="_Asset_Management_Accountability"/>
      <w:bookmarkStart w:id="182" w:name="INDEX_AMAF"/>
      <w:bookmarkStart w:id="183" w:name="_Toc199156305"/>
      <w:bookmarkEnd w:id="181"/>
      <w:r>
        <w:lastRenderedPageBreak/>
        <w:t>Asset Management Accountability Framework</w:t>
      </w:r>
      <w:bookmarkEnd w:id="182"/>
      <w:r>
        <w:t xml:space="preserve"> (AMAF) maturity assessment</w:t>
      </w:r>
      <w:r w:rsidR="00DD4F97">
        <w:t xml:space="preserve"> </w:t>
      </w:r>
      <w:r w:rsidR="00DD4F97" w:rsidRPr="008A4638">
        <w:rPr>
          <w:rStyle w:val="Reference"/>
        </w:rPr>
        <w:t xml:space="preserve">[FRD </w:t>
      </w:r>
      <w:r w:rsidR="00DD4F97">
        <w:rPr>
          <w:rStyle w:val="Reference"/>
        </w:rPr>
        <w:t>22</w:t>
      </w:r>
      <w:r w:rsidR="00DD4F97" w:rsidRPr="008A4638">
        <w:rPr>
          <w:rStyle w:val="Reference"/>
        </w:rPr>
        <w:t>]</w:t>
      </w:r>
      <w:bookmarkEnd w:id="183"/>
    </w:p>
    <w:p w14:paraId="60FE0873" w14:textId="3F48F73E" w:rsidR="007C4641" w:rsidRDefault="00305B6B" w:rsidP="00305B6B">
      <w:r w:rsidRPr="00305B6B">
        <w:t xml:space="preserve">The following sections summarise the </w:t>
      </w:r>
      <w:r w:rsidR="0070116B">
        <w:t>D</w:t>
      </w:r>
      <w:r w:rsidRPr="00305B6B">
        <w:t xml:space="preserve">epartment's assessment of maturity against the requirements of the Asset Management Accountability Framework (AMAF). </w:t>
      </w:r>
      <w:r w:rsidR="007C4641" w:rsidRPr="007C4641">
        <w:t xml:space="preserve">The AMAF is a non-prescriptive, devolved accountability model of asset management that requires compliance with 41 mandatory requirements. These requirements can be found on the </w:t>
      </w:r>
      <w:hyperlink r:id="rId92" w:history="1">
        <w:r w:rsidR="007C4641" w:rsidRPr="00397010">
          <w:rPr>
            <w:rStyle w:val="Hyperlink"/>
          </w:rPr>
          <w:t>DTF</w:t>
        </w:r>
        <w:r w:rsidR="005D43FA">
          <w:rPr>
            <w:rStyle w:val="Hyperlink"/>
          </w:rPr>
          <w:t> </w:t>
        </w:r>
        <w:r w:rsidR="007C4641" w:rsidRPr="00397010">
          <w:rPr>
            <w:rStyle w:val="Hyperlink"/>
          </w:rPr>
          <w:t>website</w:t>
        </w:r>
      </w:hyperlink>
      <w:r w:rsidR="00397010">
        <w:t>.</w:t>
      </w:r>
    </w:p>
    <w:p w14:paraId="3D01B0C0" w14:textId="32305A86" w:rsidR="00663FDB" w:rsidRDefault="00305B6B" w:rsidP="00305B6B">
      <w:pPr>
        <w:rPr>
          <w:noProof/>
        </w:rPr>
      </w:pPr>
      <w:r w:rsidRPr="00305B6B">
        <w:t xml:space="preserve">The </w:t>
      </w:r>
      <w:r w:rsidR="00E95191">
        <w:t>D</w:t>
      </w:r>
      <w:r w:rsidR="00E95191" w:rsidRPr="00305B6B">
        <w:t xml:space="preserve">epartment's </w:t>
      </w:r>
      <w:r w:rsidRPr="00305B6B">
        <w:t>target maturity rating is 'competence', meaning systems and processes fully in place, consistently applied and systematically meeting the AMAF requirement, including a continuous improvement process to expand system performance above AMAF minimum requirements.</w:t>
      </w:r>
      <w:r w:rsidR="00663FDB" w:rsidRPr="00663FDB">
        <w:rPr>
          <w:noProof/>
        </w:rPr>
        <w:t xml:space="preserve"> </w:t>
      </w:r>
    </w:p>
    <w:p w14:paraId="66244B6A" w14:textId="1D9D7797" w:rsidR="00305B6B" w:rsidRDefault="00663FDB" w:rsidP="00305B6B">
      <w:r>
        <w:rPr>
          <w:noProof/>
        </w:rPr>
        <w:drawing>
          <wp:inline distT="0" distB="0" distL="0" distR="0" wp14:anchorId="6D8858D2" wp14:editId="22C466E7">
            <wp:extent cx="5010150" cy="4087495"/>
            <wp:effectExtent l="0" t="0" r="0" b="0"/>
            <wp:docPr id="17" name="Chart 17">
              <a:extLst xmlns:a="http://schemas.openxmlformats.org/drawingml/2006/main">
                <a:ext uri="{FF2B5EF4-FFF2-40B4-BE49-F238E27FC236}">
                  <a16:creationId xmlns:a16="http://schemas.microsoft.com/office/drawing/2014/main" id="{7AC8AC21-CAE4-4AA6-8BE9-9F0C072AAC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tbl>
      <w:tblPr>
        <w:tblW w:w="5760" w:type="dxa"/>
        <w:tblLook w:val="04A0" w:firstRow="1" w:lastRow="0" w:firstColumn="1" w:lastColumn="0" w:noHBand="0" w:noVBand="1"/>
      </w:tblPr>
      <w:tblGrid>
        <w:gridCol w:w="1380"/>
        <w:gridCol w:w="960"/>
        <w:gridCol w:w="1500"/>
        <w:gridCol w:w="960"/>
        <w:gridCol w:w="960"/>
      </w:tblGrid>
      <w:tr w:rsidR="00663FDB" w:rsidRPr="00663FDB" w14:paraId="3CB99D9B" w14:textId="77777777" w:rsidTr="00663FDB">
        <w:trPr>
          <w:trHeight w:val="278"/>
        </w:trPr>
        <w:tc>
          <w:tcPr>
            <w:tcW w:w="1380" w:type="dxa"/>
            <w:tcBorders>
              <w:top w:val="nil"/>
              <w:left w:val="nil"/>
              <w:bottom w:val="nil"/>
              <w:right w:val="nil"/>
            </w:tcBorders>
            <w:shd w:val="clear" w:color="auto" w:fill="auto"/>
            <w:vAlign w:val="center"/>
            <w:hideMark/>
          </w:tcPr>
          <w:p w14:paraId="4557CBD2" w14:textId="77777777" w:rsidR="00663FDB" w:rsidRPr="00663FDB" w:rsidRDefault="00663FDB" w:rsidP="00663FDB">
            <w:pPr>
              <w:keepLines w:val="0"/>
              <w:spacing w:before="0" w:after="0" w:line="240" w:lineRule="auto"/>
              <w:rPr>
                <w:rFonts w:ascii="Segoe UI" w:eastAsia="Times New Roman" w:hAnsi="Segoe UI" w:cs="Segoe UI"/>
                <w:color w:val="000000"/>
                <w:lang w:eastAsia="en-AU"/>
              </w:rPr>
            </w:pPr>
            <w:r w:rsidRPr="00663FDB">
              <w:rPr>
                <w:rFonts w:ascii="Segoe UI" w:eastAsia="Times New Roman" w:hAnsi="Segoe UI" w:cs="Segoe UI"/>
                <w:color w:val="000000"/>
                <w:lang w:eastAsia="en-AU"/>
              </w:rPr>
              <w:t>Target</w:t>
            </w:r>
          </w:p>
        </w:tc>
        <w:tc>
          <w:tcPr>
            <w:tcW w:w="960" w:type="dxa"/>
            <w:tcBorders>
              <w:top w:val="single" w:sz="12" w:space="0" w:color="FF0000"/>
              <w:left w:val="single" w:sz="12" w:space="0" w:color="FF0000"/>
              <w:bottom w:val="single" w:sz="12" w:space="0" w:color="FF0000"/>
              <w:right w:val="single" w:sz="12" w:space="0" w:color="FF0000"/>
            </w:tcBorders>
            <w:shd w:val="clear" w:color="000000" w:fill="DA9694"/>
            <w:vAlign w:val="center"/>
            <w:hideMark/>
          </w:tcPr>
          <w:p w14:paraId="54330CDB" w14:textId="77777777" w:rsidR="00663FDB" w:rsidRPr="00663FDB" w:rsidRDefault="00663FDB" w:rsidP="00663FDB">
            <w:pPr>
              <w:keepLines w:val="0"/>
              <w:spacing w:before="0" w:after="0" w:line="240" w:lineRule="auto"/>
              <w:rPr>
                <w:rFonts w:ascii="Segoe UI" w:eastAsia="Times New Roman" w:hAnsi="Segoe UI" w:cs="Segoe UI"/>
                <w:color w:val="000000"/>
                <w:lang w:eastAsia="en-AU"/>
              </w:rPr>
            </w:pPr>
            <w:r w:rsidRPr="00663FDB">
              <w:rPr>
                <w:rFonts w:ascii="Segoe UI" w:eastAsia="Times New Roman" w:hAnsi="Segoe UI" w:cs="Segoe UI"/>
                <w:color w:val="000000"/>
                <w:lang w:eastAsia="en-AU"/>
              </w:rPr>
              <w:t> </w:t>
            </w:r>
          </w:p>
        </w:tc>
        <w:tc>
          <w:tcPr>
            <w:tcW w:w="1500" w:type="dxa"/>
            <w:tcBorders>
              <w:top w:val="nil"/>
              <w:left w:val="nil"/>
              <w:bottom w:val="nil"/>
              <w:right w:val="nil"/>
            </w:tcBorders>
            <w:shd w:val="clear" w:color="auto" w:fill="auto"/>
            <w:vAlign w:val="center"/>
            <w:hideMark/>
          </w:tcPr>
          <w:p w14:paraId="45811808" w14:textId="77777777" w:rsidR="00663FDB" w:rsidRPr="00663FDB" w:rsidRDefault="00663FDB" w:rsidP="00663FDB">
            <w:pPr>
              <w:keepLines w:val="0"/>
              <w:spacing w:before="0" w:after="0" w:line="240" w:lineRule="auto"/>
              <w:rPr>
                <w:rFonts w:ascii="Segoe UI" w:eastAsia="Times New Roman" w:hAnsi="Segoe UI" w:cs="Segoe UI"/>
                <w:color w:val="000000"/>
                <w:lang w:eastAsia="en-AU"/>
              </w:rPr>
            </w:pPr>
          </w:p>
        </w:tc>
        <w:tc>
          <w:tcPr>
            <w:tcW w:w="960" w:type="dxa"/>
            <w:tcBorders>
              <w:top w:val="nil"/>
              <w:left w:val="nil"/>
              <w:bottom w:val="nil"/>
              <w:right w:val="nil"/>
            </w:tcBorders>
            <w:shd w:val="clear" w:color="auto" w:fill="auto"/>
            <w:vAlign w:val="center"/>
            <w:hideMark/>
          </w:tcPr>
          <w:p w14:paraId="0483C905" w14:textId="77777777" w:rsidR="00663FDB" w:rsidRPr="00663FDB" w:rsidRDefault="00663FDB" w:rsidP="00663FDB">
            <w:pPr>
              <w:keepLines w:val="0"/>
              <w:spacing w:before="0" w:after="0" w:line="240" w:lineRule="auto"/>
              <w:rPr>
                <w:rFonts w:ascii="Segoe UI" w:eastAsia="Times New Roman" w:hAnsi="Segoe UI" w:cs="Segoe UI"/>
                <w:color w:val="000000"/>
                <w:lang w:eastAsia="en-AU"/>
              </w:rPr>
            </w:pPr>
            <w:r w:rsidRPr="00663FDB">
              <w:rPr>
                <w:rFonts w:ascii="Segoe UI" w:eastAsia="Times New Roman" w:hAnsi="Segoe UI" w:cs="Segoe UI"/>
                <w:color w:val="000000"/>
                <w:lang w:eastAsia="en-AU"/>
              </w:rPr>
              <w:t>Overall</w:t>
            </w:r>
          </w:p>
        </w:tc>
        <w:tc>
          <w:tcPr>
            <w:tcW w:w="960" w:type="dxa"/>
            <w:tcBorders>
              <w:top w:val="single" w:sz="12" w:space="0" w:color="auto"/>
              <w:left w:val="single" w:sz="12" w:space="0" w:color="auto"/>
              <w:bottom w:val="single" w:sz="12" w:space="0" w:color="auto"/>
              <w:right w:val="single" w:sz="12" w:space="0" w:color="auto"/>
            </w:tcBorders>
            <w:shd w:val="clear" w:color="000000" w:fill="BFBFBF"/>
            <w:vAlign w:val="center"/>
            <w:hideMark/>
          </w:tcPr>
          <w:p w14:paraId="4EC37DB0" w14:textId="77777777" w:rsidR="00663FDB" w:rsidRPr="00663FDB" w:rsidRDefault="00663FDB" w:rsidP="00663FDB">
            <w:pPr>
              <w:keepLines w:val="0"/>
              <w:spacing w:before="0" w:after="0" w:line="240" w:lineRule="auto"/>
              <w:rPr>
                <w:rFonts w:ascii="Segoe UI" w:eastAsia="Times New Roman" w:hAnsi="Segoe UI" w:cs="Segoe UI"/>
                <w:color w:val="000000"/>
                <w:lang w:eastAsia="en-AU"/>
              </w:rPr>
            </w:pPr>
            <w:r w:rsidRPr="00663FDB">
              <w:rPr>
                <w:rFonts w:ascii="Segoe UI" w:eastAsia="Times New Roman" w:hAnsi="Segoe UI" w:cs="Segoe UI"/>
                <w:color w:val="000000"/>
                <w:lang w:eastAsia="en-AU"/>
              </w:rPr>
              <w:t> </w:t>
            </w:r>
          </w:p>
        </w:tc>
      </w:tr>
    </w:tbl>
    <w:p w14:paraId="76C4EC26" w14:textId="77777777" w:rsidR="00663FDB" w:rsidRDefault="00663FDB" w:rsidP="00305B6B"/>
    <w:p w14:paraId="01E6F962" w14:textId="3C9E6F77" w:rsidR="00305B6B" w:rsidRDefault="00305B6B" w:rsidP="00663FDB">
      <w:pPr>
        <w:jc w:val="center"/>
      </w:pPr>
    </w:p>
    <w:tbl>
      <w:tblPr>
        <w:tblStyle w:val="DTFFinancialTable"/>
        <w:tblW w:w="0" w:type="auto"/>
        <w:tblLook w:val="06A0" w:firstRow="1" w:lastRow="0" w:firstColumn="1" w:lastColumn="0" w:noHBand="1" w:noVBand="1"/>
      </w:tblPr>
      <w:tblGrid>
        <w:gridCol w:w="1800"/>
        <w:gridCol w:w="559"/>
      </w:tblGrid>
      <w:tr w:rsidR="007C4641" w:rsidRPr="00305B6B" w14:paraId="2CBDBE34" w14:textId="77777777" w:rsidTr="00CF76BC">
        <w:trPr>
          <w:cnfStyle w:val="100000000000" w:firstRow="1" w:lastRow="0" w:firstColumn="0" w:lastColumn="0" w:oddVBand="0" w:evenVBand="0" w:oddHBand="0" w:evenHBand="0" w:firstRowFirstColumn="0" w:firstRowLastColumn="0" w:lastRowFirstColumn="0" w:lastRowLastColumn="0"/>
          <w:trHeight w:val="263"/>
        </w:trPr>
        <w:tc>
          <w:tcPr>
            <w:cnfStyle w:val="001000000100" w:firstRow="0" w:lastRow="0" w:firstColumn="1" w:lastColumn="0" w:oddVBand="0" w:evenVBand="0" w:oddHBand="0" w:evenHBand="0" w:firstRowFirstColumn="1" w:firstRowLastColumn="0" w:lastRowFirstColumn="0" w:lastRowLastColumn="0"/>
            <w:tcW w:w="1800" w:type="dxa"/>
            <w:hideMark/>
          </w:tcPr>
          <w:p w14:paraId="0C7F4FFC" w14:textId="77777777" w:rsidR="007C4641" w:rsidRPr="00305B6B" w:rsidRDefault="007C4641" w:rsidP="00305B6B">
            <w:pPr>
              <w:rPr>
                <w:b/>
              </w:rPr>
            </w:pPr>
            <w:r w:rsidRPr="00305B6B">
              <w:rPr>
                <w:b/>
              </w:rPr>
              <w:t>Legend</w:t>
            </w:r>
          </w:p>
        </w:tc>
        <w:tc>
          <w:tcPr>
            <w:tcW w:w="0" w:type="dxa"/>
            <w:hideMark/>
          </w:tcPr>
          <w:p w14:paraId="0B2C35F1" w14:textId="77777777" w:rsidR="007C4641" w:rsidRPr="00305B6B" w:rsidRDefault="007C4641">
            <w:pPr>
              <w:cnfStyle w:val="100000000000" w:firstRow="1" w:lastRow="0" w:firstColumn="0" w:lastColumn="0" w:oddVBand="0" w:evenVBand="0" w:oddHBand="0" w:evenHBand="0" w:firstRowFirstColumn="0" w:firstRowLastColumn="0" w:lastRowFirstColumn="0" w:lastRowLastColumn="0"/>
              <w:rPr>
                <w:b/>
              </w:rPr>
            </w:pPr>
          </w:p>
        </w:tc>
      </w:tr>
      <w:tr w:rsidR="007C4641" w:rsidRPr="00305B6B" w14:paraId="34495B77" w14:textId="77777777" w:rsidTr="00CF76BC">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06368DF6" w14:textId="77777777" w:rsidR="007C4641" w:rsidRPr="00305B6B" w:rsidRDefault="007C4641">
            <w:pPr>
              <w:rPr>
                <w:b/>
              </w:rPr>
            </w:pPr>
            <w:r w:rsidRPr="00305B6B">
              <w:rPr>
                <w:b/>
              </w:rPr>
              <w:t>Status</w:t>
            </w:r>
          </w:p>
        </w:tc>
        <w:tc>
          <w:tcPr>
            <w:tcW w:w="0" w:type="dxa"/>
            <w:hideMark/>
          </w:tcPr>
          <w:p w14:paraId="75F0CB43" w14:textId="77777777" w:rsidR="007C4641" w:rsidRPr="00305B6B" w:rsidRDefault="007C4641" w:rsidP="00305B6B">
            <w:pPr>
              <w:jc w:val="left"/>
              <w:cnfStyle w:val="000000000000" w:firstRow="0" w:lastRow="0" w:firstColumn="0" w:lastColumn="0" w:oddVBand="0" w:evenVBand="0" w:oddHBand="0" w:evenHBand="0" w:firstRowFirstColumn="0" w:firstRowLastColumn="0" w:lastRowFirstColumn="0" w:lastRowLastColumn="0"/>
              <w:rPr>
                <w:b/>
                <w:bCs/>
              </w:rPr>
            </w:pPr>
            <w:r w:rsidRPr="00305B6B">
              <w:rPr>
                <w:b/>
                <w:bCs/>
              </w:rPr>
              <w:t>Scale</w:t>
            </w:r>
          </w:p>
        </w:tc>
      </w:tr>
      <w:tr w:rsidR="007C4641" w:rsidRPr="00305B6B" w14:paraId="7ABC3883" w14:textId="77777777" w:rsidTr="00CF76BC">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7D46C08A" w14:textId="77777777" w:rsidR="007C4641" w:rsidRPr="00305B6B" w:rsidRDefault="007C4641" w:rsidP="00305B6B">
            <w:r w:rsidRPr="00305B6B">
              <w:t>Not Applicable</w:t>
            </w:r>
          </w:p>
        </w:tc>
        <w:tc>
          <w:tcPr>
            <w:tcW w:w="0" w:type="dxa"/>
            <w:hideMark/>
          </w:tcPr>
          <w:p w14:paraId="1E5565F2" w14:textId="77777777" w:rsidR="007C4641" w:rsidRPr="00305B6B" w:rsidRDefault="007C4641" w:rsidP="00305B6B">
            <w:pPr>
              <w:jc w:val="left"/>
              <w:cnfStyle w:val="000000000000" w:firstRow="0" w:lastRow="0" w:firstColumn="0" w:lastColumn="0" w:oddVBand="0" w:evenVBand="0" w:oddHBand="0" w:evenHBand="0" w:firstRowFirstColumn="0" w:firstRowLastColumn="0" w:lastRowFirstColumn="0" w:lastRowLastColumn="0"/>
            </w:pPr>
            <w:r w:rsidRPr="00305B6B">
              <w:t>N/A</w:t>
            </w:r>
          </w:p>
        </w:tc>
      </w:tr>
      <w:tr w:rsidR="007C4641" w:rsidRPr="00305B6B" w14:paraId="44174A24" w14:textId="77777777" w:rsidTr="00CF76BC">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21D0E676" w14:textId="77777777" w:rsidR="007C4641" w:rsidRPr="00305B6B" w:rsidRDefault="007C4641" w:rsidP="00305B6B">
            <w:r w:rsidRPr="00305B6B">
              <w:t>Innocence</w:t>
            </w:r>
          </w:p>
        </w:tc>
        <w:tc>
          <w:tcPr>
            <w:tcW w:w="0" w:type="dxa"/>
            <w:hideMark/>
          </w:tcPr>
          <w:p w14:paraId="662613DB" w14:textId="77777777" w:rsidR="007C4641" w:rsidRPr="00305B6B" w:rsidRDefault="007C4641" w:rsidP="00305B6B">
            <w:pPr>
              <w:jc w:val="left"/>
              <w:cnfStyle w:val="000000000000" w:firstRow="0" w:lastRow="0" w:firstColumn="0" w:lastColumn="0" w:oddVBand="0" w:evenVBand="0" w:oddHBand="0" w:evenHBand="0" w:firstRowFirstColumn="0" w:firstRowLastColumn="0" w:lastRowFirstColumn="0" w:lastRowLastColumn="0"/>
            </w:pPr>
            <w:r w:rsidRPr="00305B6B">
              <w:t>0</w:t>
            </w:r>
          </w:p>
        </w:tc>
      </w:tr>
      <w:tr w:rsidR="007C4641" w:rsidRPr="00305B6B" w14:paraId="5AF2CA0D" w14:textId="77777777" w:rsidTr="00CF76BC">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4C842D6E" w14:textId="77777777" w:rsidR="007C4641" w:rsidRPr="00305B6B" w:rsidRDefault="007C4641" w:rsidP="00305B6B">
            <w:r w:rsidRPr="00305B6B">
              <w:t>Awareness</w:t>
            </w:r>
          </w:p>
        </w:tc>
        <w:tc>
          <w:tcPr>
            <w:tcW w:w="0" w:type="dxa"/>
            <w:hideMark/>
          </w:tcPr>
          <w:p w14:paraId="05CFB373" w14:textId="77777777" w:rsidR="007C4641" w:rsidRPr="00305B6B" w:rsidRDefault="007C4641" w:rsidP="00305B6B">
            <w:pPr>
              <w:jc w:val="left"/>
              <w:cnfStyle w:val="000000000000" w:firstRow="0" w:lastRow="0" w:firstColumn="0" w:lastColumn="0" w:oddVBand="0" w:evenVBand="0" w:oddHBand="0" w:evenHBand="0" w:firstRowFirstColumn="0" w:firstRowLastColumn="0" w:lastRowFirstColumn="0" w:lastRowLastColumn="0"/>
            </w:pPr>
            <w:r w:rsidRPr="00305B6B">
              <w:t>1</w:t>
            </w:r>
          </w:p>
        </w:tc>
      </w:tr>
      <w:tr w:rsidR="007C4641" w:rsidRPr="00305B6B" w14:paraId="76A933D7" w14:textId="77777777" w:rsidTr="00CF76BC">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2F3E3A2D" w14:textId="77777777" w:rsidR="007C4641" w:rsidRPr="00305B6B" w:rsidRDefault="007C4641" w:rsidP="00305B6B">
            <w:r w:rsidRPr="00305B6B">
              <w:t>Developing</w:t>
            </w:r>
          </w:p>
        </w:tc>
        <w:tc>
          <w:tcPr>
            <w:tcW w:w="0" w:type="dxa"/>
            <w:hideMark/>
          </w:tcPr>
          <w:p w14:paraId="014AA7F1" w14:textId="77777777" w:rsidR="007C4641" w:rsidRPr="00305B6B" w:rsidRDefault="007C4641" w:rsidP="00305B6B">
            <w:pPr>
              <w:jc w:val="left"/>
              <w:cnfStyle w:val="000000000000" w:firstRow="0" w:lastRow="0" w:firstColumn="0" w:lastColumn="0" w:oddVBand="0" w:evenVBand="0" w:oddHBand="0" w:evenHBand="0" w:firstRowFirstColumn="0" w:firstRowLastColumn="0" w:lastRowFirstColumn="0" w:lastRowLastColumn="0"/>
            </w:pPr>
            <w:r w:rsidRPr="00305B6B">
              <w:t>2</w:t>
            </w:r>
          </w:p>
        </w:tc>
      </w:tr>
      <w:tr w:rsidR="007C4641" w:rsidRPr="00305B6B" w14:paraId="264B6E5F" w14:textId="77777777" w:rsidTr="00CF76BC">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5436B3F5" w14:textId="77777777" w:rsidR="007C4641" w:rsidRPr="00305B6B" w:rsidRDefault="007C4641" w:rsidP="00305B6B">
            <w:r w:rsidRPr="00305B6B">
              <w:t>Competence</w:t>
            </w:r>
          </w:p>
        </w:tc>
        <w:tc>
          <w:tcPr>
            <w:tcW w:w="0" w:type="dxa"/>
            <w:hideMark/>
          </w:tcPr>
          <w:p w14:paraId="51A28F00" w14:textId="77777777" w:rsidR="007C4641" w:rsidRPr="00305B6B" w:rsidRDefault="007C4641" w:rsidP="00305B6B">
            <w:pPr>
              <w:jc w:val="left"/>
              <w:cnfStyle w:val="000000000000" w:firstRow="0" w:lastRow="0" w:firstColumn="0" w:lastColumn="0" w:oddVBand="0" w:evenVBand="0" w:oddHBand="0" w:evenHBand="0" w:firstRowFirstColumn="0" w:firstRowLastColumn="0" w:lastRowFirstColumn="0" w:lastRowLastColumn="0"/>
            </w:pPr>
            <w:r w:rsidRPr="00305B6B">
              <w:t>3</w:t>
            </w:r>
          </w:p>
        </w:tc>
      </w:tr>
      <w:tr w:rsidR="007C4641" w:rsidRPr="00305B6B" w14:paraId="07BACA1E" w14:textId="77777777" w:rsidTr="00CF76BC">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36D5FAE5" w14:textId="77777777" w:rsidR="007C4641" w:rsidRPr="00305B6B" w:rsidRDefault="007C4641" w:rsidP="00305B6B">
            <w:r w:rsidRPr="00305B6B">
              <w:t>Optimising</w:t>
            </w:r>
          </w:p>
        </w:tc>
        <w:tc>
          <w:tcPr>
            <w:tcW w:w="0" w:type="dxa"/>
            <w:hideMark/>
          </w:tcPr>
          <w:p w14:paraId="4A06E880" w14:textId="77777777" w:rsidR="007C4641" w:rsidRPr="00305B6B" w:rsidRDefault="007C4641" w:rsidP="00305B6B">
            <w:pPr>
              <w:jc w:val="left"/>
              <w:cnfStyle w:val="000000000000" w:firstRow="0" w:lastRow="0" w:firstColumn="0" w:lastColumn="0" w:oddVBand="0" w:evenVBand="0" w:oddHBand="0" w:evenHBand="0" w:firstRowFirstColumn="0" w:firstRowLastColumn="0" w:lastRowFirstColumn="0" w:lastRowLastColumn="0"/>
            </w:pPr>
            <w:r w:rsidRPr="00305B6B">
              <w:t>4</w:t>
            </w:r>
          </w:p>
        </w:tc>
      </w:tr>
      <w:tr w:rsidR="007C4641" w:rsidRPr="00305B6B" w14:paraId="2D0A93B5" w14:textId="77777777" w:rsidTr="00CF76BC">
        <w:trPr>
          <w:trHeight w:val="263"/>
        </w:trPr>
        <w:tc>
          <w:tcPr>
            <w:cnfStyle w:val="001000000000" w:firstRow="0" w:lastRow="0" w:firstColumn="1" w:lastColumn="0" w:oddVBand="0" w:evenVBand="0" w:oddHBand="0" w:evenHBand="0" w:firstRowFirstColumn="0" w:firstRowLastColumn="0" w:lastRowFirstColumn="0" w:lastRowLastColumn="0"/>
            <w:tcW w:w="1800" w:type="dxa"/>
            <w:hideMark/>
          </w:tcPr>
          <w:p w14:paraId="23E89533" w14:textId="77777777" w:rsidR="007C4641" w:rsidRPr="00305B6B" w:rsidRDefault="007C4641" w:rsidP="00305B6B">
            <w:r w:rsidRPr="00305B6B">
              <w:t>Unassessed</w:t>
            </w:r>
          </w:p>
        </w:tc>
        <w:tc>
          <w:tcPr>
            <w:tcW w:w="0" w:type="dxa"/>
            <w:hideMark/>
          </w:tcPr>
          <w:p w14:paraId="2CB09720" w14:textId="77777777" w:rsidR="007C4641" w:rsidRPr="00305B6B" w:rsidRDefault="007C4641" w:rsidP="00305B6B">
            <w:pPr>
              <w:jc w:val="left"/>
              <w:cnfStyle w:val="000000000000" w:firstRow="0" w:lastRow="0" w:firstColumn="0" w:lastColumn="0" w:oddVBand="0" w:evenVBand="0" w:oddHBand="0" w:evenHBand="0" w:firstRowFirstColumn="0" w:firstRowLastColumn="0" w:lastRowFirstColumn="0" w:lastRowLastColumn="0"/>
            </w:pPr>
            <w:r w:rsidRPr="00305B6B">
              <w:t>U/A</w:t>
            </w:r>
          </w:p>
        </w:tc>
      </w:tr>
    </w:tbl>
    <w:p w14:paraId="09DA94B8" w14:textId="6B2A9460" w:rsidR="00DC39DE" w:rsidRDefault="00DC39DE" w:rsidP="00DC39DE"/>
    <w:p w14:paraId="40273C2B" w14:textId="77777777" w:rsidR="003862A8" w:rsidRDefault="003862A8">
      <w:pPr>
        <w:keepLines w:val="0"/>
        <w:rPr>
          <w:rFonts w:asciiTheme="majorHAnsi" w:eastAsiaTheme="majorEastAsia" w:hAnsiTheme="majorHAnsi" w:cstheme="majorBidi"/>
          <w:b/>
          <w:sz w:val="22"/>
          <w:szCs w:val="24"/>
        </w:rPr>
      </w:pPr>
      <w:r>
        <w:br w:type="page"/>
      </w:r>
    </w:p>
    <w:p w14:paraId="28CD6729" w14:textId="576105C5" w:rsidR="00663FDB" w:rsidRDefault="00305B6B" w:rsidP="00663FDB">
      <w:pPr>
        <w:pStyle w:val="Heading3"/>
      </w:pPr>
      <w:r w:rsidRPr="00305B6B">
        <w:lastRenderedPageBreak/>
        <w:t>Leadership and Accountability (requirements 1-19)</w:t>
      </w:r>
    </w:p>
    <w:p w14:paraId="5CAC84DA" w14:textId="4C32E07E" w:rsidR="00663FDB" w:rsidRDefault="00663FDB" w:rsidP="00663FDB">
      <w:r>
        <w:t xml:space="preserve">The </w:t>
      </w:r>
      <w:r w:rsidR="00373A1A">
        <w:t>D</w:t>
      </w:r>
      <w:r>
        <w:t>epartment has met or exceeded its target maturity level under most requirements within this category.</w:t>
      </w:r>
    </w:p>
    <w:p w14:paraId="23881667" w14:textId="6E9FC574" w:rsidR="00663FDB" w:rsidRDefault="00663FDB" w:rsidP="00663FDB">
      <w:r>
        <w:t xml:space="preserve">The </w:t>
      </w:r>
      <w:r w:rsidR="00373A1A">
        <w:t>D</w:t>
      </w:r>
      <w:r>
        <w:t xml:space="preserve">epartment did not comply with some requirements in the areas of allocating asset management responsibility and other requirement. There </w:t>
      </w:r>
      <w:r w:rsidR="00373A1A">
        <w:t>is</w:t>
      </w:r>
      <w:r>
        <w:t xml:space="preserve"> no material non-compliance reported in this category. A plan for improvement is in place to improve the </w:t>
      </w:r>
      <w:r w:rsidR="00373A1A">
        <w:t>D</w:t>
      </w:r>
      <w:r>
        <w:t xml:space="preserve">epartment's maturity rating in these areas. </w:t>
      </w:r>
    </w:p>
    <w:p w14:paraId="2AF0704B" w14:textId="77777777" w:rsidR="00663FDB" w:rsidRDefault="00663FDB" w:rsidP="00663FDB">
      <w:pPr>
        <w:pStyle w:val="Heading3"/>
      </w:pPr>
      <w:r w:rsidRPr="00663FDB">
        <w:t>Planning (requirements 20-23)</w:t>
      </w:r>
    </w:p>
    <w:p w14:paraId="5CA53464" w14:textId="451FC2B9" w:rsidR="00663FDB" w:rsidRDefault="00663FDB" w:rsidP="00663FDB">
      <w:r w:rsidRPr="00663FDB">
        <w:t xml:space="preserve">The </w:t>
      </w:r>
      <w:r w:rsidR="00373A1A">
        <w:t>D</w:t>
      </w:r>
      <w:r w:rsidRPr="00663FDB">
        <w:t>epartment has met or exceeded its target maturity level in this category.</w:t>
      </w:r>
    </w:p>
    <w:p w14:paraId="434D07AE" w14:textId="7A832529" w:rsidR="00663FDB" w:rsidRDefault="00663FDB" w:rsidP="00663FDB">
      <w:pPr>
        <w:pStyle w:val="Heading3"/>
      </w:pPr>
      <w:r w:rsidRPr="00663FDB">
        <w:t xml:space="preserve">Acquisition (requirements 24 and 25) </w:t>
      </w:r>
    </w:p>
    <w:p w14:paraId="6C7ED84A" w14:textId="238AC8E5" w:rsidR="00663FDB" w:rsidRDefault="00663FDB" w:rsidP="00663FDB">
      <w:r w:rsidRPr="00663FDB">
        <w:t xml:space="preserve">The </w:t>
      </w:r>
      <w:r w:rsidR="00373A1A">
        <w:t>D</w:t>
      </w:r>
      <w:r w:rsidRPr="00663FDB">
        <w:t>epartment has met or exceeded its target maturity level in this category.</w:t>
      </w:r>
    </w:p>
    <w:p w14:paraId="68B592FD" w14:textId="609776A5" w:rsidR="00663FDB" w:rsidRDefault="00663FDB" w:rsidP="00663FDB">
      <w:pPr>
        <w:pStyle w:val="Heading3"/>
      </w:pPr>
      <w:r w:rsidRPr="00663FDB">
        <w:t>Operation (requirements 26-40)</w:t>
      </w:r>
    </w:p>
    <w:p w14:paraId="2DAF8FC1" w14:textId="4388AC8D" w:rsidR="00663FDB" w:rsidRDefault="00663FDB" w:rsidP="00663FDB">
      <w:r w:rsidRPr="00663FDB">
        <w:t xml:space="preserve">The </w:t>
      </w:r>
      <w:r w:rsidR="00373A1A">
        <w:t>D</w:t>
      </w:r>
      <w:r w:rsidRPr="00663FDB">
        <w:t xml:space="preserve">epartment has met or exceeded its target maturity level under most requirements within this category. The </w:t>
      </w:r>
      <w:r w:rsidR="00E95191">
        <w:t>D</w:t>
      </w:r>
      <w:r w:rsidR="00E95191" w:rsidRPr="00663FDB">
        <w:t xml:space="preserve">epartment </w:t>
      </w:r>
      <w:r w:rsidRPr="00663FDB">
        <w:t xml:space="preserve">did not comply with some requirements in the areas of monitoring and preventative action and information management. Monitoring and preventative action is an area of material non-compliance. The </w:t>
      </w:r>
      <w:r w:rsidR="00373A1A">
        <w:t>D</w:t>
      </w:r>
      <w:r w:rsidRPr="00663FDB">
        <w:t>epartment is developing a plan for improvement to establish processes to proactively identify potential asset performance failures and identify options for preventive action.</w:t>
      </w:r>
    </w:p>
    <w:p w14:paraId="431EB53B" w14:textId="55971116" w:rsidR="00663FDB" w:rsidRDefault="00663FDB" w:rsidP="00663FDB">
      <w:pPr>
        <w:pStyle w:val="Heading3"/>
      </w:pPr>
      <w:r w:rsidRPr="00663FDB">
        <w:t>Disposal (requirement 41)</w:t>
      </w:r>
    </w:p>
    <w:p w14:paraId="1F776D6F" w14:textId="03AAB95A" w:rsidR="00663FDB" w:rsidRDefault="00663FDB" w:rsidP="00663FDB">
      <w:r w:rsidRPr="00663FDB">
        <w:t xml:space="preserve">The </w:t>
      </w:r>
      <w:r w:rsidR="00373A1A">
        <w:t>D</w:t>
      </w:r>
      <w:r w:rsidRPr="00663FDB">
        <w:t>epartment has met its target maturity level in this category.</w:t>
      </w:r>
    </w:p>
    <w:p w14:paraId="109C68CE" w14:textId="3062BD10" w:rsidR="00663FDB" w:rsidRPr="002002F4" w:rsidRDefault="00663FDB" w:rsidP="00663FDB">
      <w:pPr>
        <w:pStyle w:val="GuidanceBlockHeading"/>
      </w:pPr>
      <w:r w:rsidRPr="002002F4">
        <w:t xml:space="preserve">Guidance – </w:t>
      </w:r>
      <w:r w:rsidR="00DD4F97">
        <w:t>Asset Management Accountability Framework</w:t>
      </w:r>
      <w:r w:rsidRPr="002002F4">
        <w:t xml:space="preserve"> </w:t>
      </w:r>
      <w:r w:rsidR="007406DC" w:rsidRPr="00CF2CBD">
        <w:rPr>
          <w:color w:val="FFF8FF"/>
        </w:rPr>
        <w:t>[REVISED]</w:t>
      </w:r>
    </w:p>
    <w:p w14:paraId="56D8E794" w14:textId="212B6533" w:rsidR="00373A1A" w:rsidRDefault="00663FDB" w:rsidP="00663FDB">
      <w:pPr>
        <w:rPr>
          <w:rStyle w:val="Guidance"/>
        </w:rPr>
      </w:pPr>
      <w:r w:rsidRPr="00663FDB">
        <w:rPr>
          <w:rStyle w:val="Guidance"/>
        </w:rPr>
        <w:t>Departments are required to summarise the results of the maturity assessments at least every three years</w:t>
      </w:r>
      <w:r w:rsidR="008B3E39">
        <w:rPr>
          <w:rStyle w:val="Guidance"/>
        </w:rPr>
        <w:t>.</w:t>
      </w:r>
      <w:r w:rsidRPr="00663FDB">
        <w:rPr>
          <w:rStyle w:val="Guidance"/>
        </w:rPr>
        <w:t xml:space="preserve"> A rating scale is outlined in the AMAF Guidance Note: Adopting a risk-based approach to AMAF compliance assurance and maturity assessments, which departments should use unless an alternative assessment tool has been discussed with DTF in advance</w:t>
      </w:r>
      <w:r w:rsidR="00E6728C">
        <w:rPr>
          <w:rStyle w:val="Guidance"/>
        </w:rPr>
        <w:t>.</w:t>
      </w:r>
    </w:p>
    <w:p w14:paraId="00999392" w14:textId="3E985D62" w:rsidR="00663FDB" w:rsidRPr="002002F4" w:rsidRDefault="00663FDB" w:rsidP="00663FDB">
      <w:pPr>
        <w:rPr>
          <w:rStyle w:val="Guidance"/>
        </w:rPr>
      </w:pPr>
      <w:r w:rsidRPr="00663FDB">
        <w:rPr>
          <w:rStyle w:val="Guidance"/>
        </w:rPr>
        <w:t xml:space="preserve">A department may summarise its results using the graph as shown above, as an extract of the </w:t>
      </w:r>
      <w:hyperlink r:id="rId94" w:history="1">
        <w:r w:rsidRPr="00C72286">
          <w:rPr>
            <w:rStyle w:val="Hyperlink"/>
          </w:rPr>
          <w:t>Maturity Rating Tool on the DTF website</w:t>
        </w:r>
      </w:hyperlink>
      <w:r w:rsidRPr="00663FDB">
        <w:rPr>
          <w:rStyle w:val="Guidance"/>
        </w:rPr>
        <w:t xml:space="preserve">. A department may describe its performance against the target maturity within the five category areas of leadership and accountability, planning, acquisition, </w:t>
      </w:r>
      <w:r w:rsidR="00373A1A" w:rsidRPr="00663FDB">
        <w:rPr>
          <w:rStyle w:val="Guidance"/>
        </w:rPr>
        <w:t>operation,</w:t>
      </w:r>
      <w:r w:rsidRPr="00663FDB">
        <w:rPr>
          <w:rStyle w:val="Guidance"/>
        </w:rPr>
        <w:t xml:space="preserve"> and disposal. Details should be provided on areas of non-compliance and material non-compliance including the nature of the requirements and can include details for specific asset classes. A department may provide details of the reason for non-compliance, and the plan for and status of improvement</w:t>
      </w:r>
      <w:r w:rsidR="00B661DB" w:rsidRPr="00B661DB">
        <w:rPr>
          <w:rStyle w:val="Guidance"/>
        </w:rPr>
        <w:t>. Agencies are encouraged to follow the same disclosure. For agencies with no asset base, refer to Standing Direction 1.5 for guidance.</w:t>
      </w:r>
    </w:p>
    <w:p w14:paraId="1EBF0927" w14:textId="77777777" w:rsidR="00663FDB" w:rsidRDefault="00663FDB" w:rsidP="00663FDB">
      <w:pPr>
        <w:pStyle w:val="GuidanceEnd"/>
      </w:pPr>
    </w:p>
    <w:p w14:paraId="6DFB489B" w14:textId="77777777" w:rsidR="00663FDB" w:rsidRDefault="00663FDB" w:rsidP="00663FDB"/>
    <w:p w14:paraId="250301D1" w14:textId="77777777" w:rsidR="00663FDB" w:rsidRDefault="00663FDB">
      <w:pPr>
        <w:keepLines w:val="0"/>
        <w:rPr>
          <w:rFonts w:asciiTheme="majorHAnsi" w:eastAsiaTheme="majorEastAsia" w:hAnsiTheme="majorHAnsi" w:cstheme="majorBidi"/>
          <w:b/>
          <w:caps/>
          <w:sz w:val="32"/>
          <w:szCs w:val="32"/>
        </w:rPr>
      </w:pPr>
      <w:bookmarkStart w:id="184" w:name="Disclosure_index"/>
      <w:r>
        <w:br w:type="page"/>
      </w:r>
    </w:p>
    <w:p w14:paraId="21880A19" w14:textId="466F86D0" w:rsidR="00DC39DE" w:rsidRPr="00F6022B" w:rsidRDefault="00F6022B" w:rsidP="00F6022B">
      <w:pPr>
        <w:pStyle w:val="Heading1"/>
      </w:pPr>
      <w:bookmarkStart w:id="185" w:name="_Toc65769758"/>
      <w:bookmarkStart w:id="186" w:name="_Ref192750432"/>
      <w:bookmarkStart w:id="187" w:name="_Toc199156306"/>
      <w:bookmarkStart w:id="188" w:name="_Toc199156554"/>
      <w:r w:rsidRPr="00F6022B">
        <w:lastRenderedPageBreak/>
        <w:t xml:space="preserve">Disclosure </w:t>
      </w:r>
      <w:r w:rsidR="00CF1264">
        <w:t>i</w:t>
      </w:r>
      <w:r w:rsidRPr="00F6022B">
        <w:t>ndex</w:t>
      </w:r>
      <w:bookmarkEnd w:id="184"/>
      <w:bookmarkEnd w:id="185"/>
      <w:r w:rsidR="0084561C">
        <w:t xml:space="preserve"> </w:t>
      </w:r>
      <w:r w:rsidR="0084561C" w:rsidRPr="004E3458">
        <w:rPr>
          <w:rStyle w:val="Reference-Revised"/>
          <w:sz w:val="20"/>
        </w:rPr>
        <w:t>[R</w:t>
      </w:r>
      <w:r w:rsidR="00DC1103">
        <w:rPr>
          <w:rStyle w:val="Reference-Revised"/>
          <w:sz w:val="20"/>
        </w:rPr>
        <w:t>evised</w:t>
      </w:r>
      <w:r w:rsidR="0084561C" w:rsidRPr="004E3458">
        <w:rPr>
          <w:rStyle w:val="Reference-Revised"/>
          <w:sz w:val="20"/>
        </w:rPr>
        <w:t>]</w:t>
      </w:r>
      <w:bookmarkEnd w:id="186"/>
      <w:bookmarkEnd w:id="187"/>
      <w:bookmarkEnd w:id="188"/>
    </w:p>
    <w:p w14:paraId="7AF81DD8" w14:textId="77777777" w:rsidR="00DC39DE" w:rsidRPr="002002F4" w:rsidRDefault="00DC39DE" w:rsidP="00DC39DE">
      <w:pPr>
        <w:rPr>
          <w:rStyle w:val="Guidance"/>
        </w:rPr>
      </w:pPr>
      <w:r w:rsidRPr="002002F4">
        <w:rPr>
          <w:rStyle w:val="Guidance"/>
        </w:rPr>
        <w:t>[The disclosure index is best disclosed as the first appendix of an entity’s annual report.]</w:t>
      </w:r>
    </w:p>
    <w:p w14:paraId="1B9DF396" w14:textId="05D7D880" w:rsidR="00DC39DE" w:rsidRDefault="00DC39DE" w:rsidP="00DC39DE">
      <w:r>
        <w:t xml:space="preserve">The annual report of the Department is prepared in accordance with all relevant Victorian legislations and pronouncements. This index has been prepared to facilitate identification of the Department’s compliance with statutory disclosure requirements. </w:t>
      </w:r>
      <w:r w:rsidRPr="00CD06B1">
        <w:rPr>
          <w:rStyle w:val="Reference"/>
        </w:rPr>
        <w:t>[FRD 10]</w:t>
      </w:r>
    </w:p>
    <w:p w14:paraId="15968EBF" w14:textId="481F1741" w:rsidR="00DC39DE" w:rsidRDefault="00DC39DE" w:rsidP="00DC39DE">
      <w:r>
        <w:t xml:space="preserve">Click on a requirement or legislation title (Ctrl+click in Microsoft Word) to refer to the relevant requirements for the corresponding disclosure requirements, or alternatively, refer to the corresponding page references. </w:t>
      </w:r>
    </w:p>
    <w:tbl>
      <w:tblPr>
        <w:tblStyle w:val="DTFTable"/>
        <w:tblW w:w="9720" w:type="dxa"/>
        <w:tblLayout w:type="fixed"/>
        <w:tblLook w:val="0620" w:firstRow="1" w:lastRow="0" w:firstColumn="0" w:lastColumn="0" w:noHBand="1" w:noVBand="1"/>
      </w:tblPr>
      <w:tblGrid>
        <w:gridCol w:w="1440"/>
        <w:gridCol w:w="6895"/>
        <w:gridCol w:w="29"/>
        <w:gridCol w:w="1356"/>
      </w:tblGrid>
      <w:tr w:rsidR="0013330C" w:rsidRPr="00940E38" w14:paraId="6A83B1AF" w14:textId="77777777" w:rsidTr="0036208D">
        <w:trPr>
          <w:cnfStyle w:val="100000000000" w:firstRow="1" w:lastRow="0" w:firstColumn="0" w:lastColumn="0" w:oddVBand="0" w:evenVBand="0" w:oddHBand="0" w:evenHBand="0" w:firstRowFirstColumn="0" w:firstRowLastColumn="0" w:lastRowFirstColumn="0" w:lastRowLastColumn="0"/>
          <w:trHeight w:val="20"/>
        </w:trPr>
        <w:tc>
          <w:tcPr>
            <w:tcW w:w="1440" w:type="dxa"/>
            <w:tcBorders>
              <w:top w:val="nil"/>
              <w:left w:val="nil"/>
              <w:bottom w:val="nil"/>
              <w:right w:val="nil"/>
            </w:tcBorders>
            <w:hideMark/>
          </w:tcPr>
          <w:p w14:paraId="07370928" w14:textId="77777777" w:rsidR="0013330C" w:rsidRPr="00940E38" w:rsidRDefault="0013330C" w:rsidP="00DD3FE9">
            <w:pPr>
              <w:jc w:val="left"/>
              <w:rPr>
                <w:szCs w:val="17"/>
              </w:rPr>
            </w:pPr>
            <w:r w:rsidRPr="00940E38">
              <w:rPr>
                <w:szCs w:val="17"/>
              </w:rPr>
              <w:t>Legislation</w:t>
            </w:r>
          </w:p>
        </w:tc>
        <w:tc>
          <w:tcPr>
            <w:tcW w:w="6924" w:type="dxa"/>
            <w:gridSpan w:val="2"/>
            <w:tcBorders>
              <w:top w:val="nil"/>
              <w:left w:val="nil"/>
              <w:bottom w:val="nil"/>
              <w:right w:val="nil"/>
            </w:tcBorders>
            <w:hideMark/>
          </w:tcPr>
          <w:p w14:paraId="6566E506" w14:textId="77777777" w:rsidR="0013330C" w:rsidRPr="00940E38" w:rsidRDefault="0013330C" w:rsidP="00DD3FE9">
            <w:pPr>
              <w:jc w:val="left"/>
              <w:rPr>
                <w:szCs w:val="17"/>
              </w:rPr>
            </w:pPr>
            <w:r w:rsidRPr="00940E38">
              <w:rPr>
                <w:szCs w:val="17"/>
              </w:rPr>
              <w:t>Requirement</w:t>
            </w:r>
          </w:p>
        </w:tc>
        <w:tc>
          <w:tcPr>
            <w:tcW w:w="1356" w:type="dxa"/>
            <w:tcBorders>
              <w:top w:val="nil"/>
              <w:left w:val="nil"/>
              <w:bottom w:val="nil"/>
              <w:right w:val="nil"/>
            </w:tcBorders>
            <w:hideMark/>
          </w:tcPr>
          <w:p w14:paraId="376CF870" w14:textId="77777777" w:rsidR="0013330C" w:rsidRPr="00940E38" w:rsidRDefault="0013330C" w:rsidP="00DD3FE9">
            <w:pPr>
              <w:rPr>
                <w:szCs w:val="17"/>
              </w:rPr>
            </w:pPr>
            <w:r w:rsidRPr="00CF76BC">
              <w:rPr>
                <w:szCs w:val="17"/>
              </w:rPr>
              <w:t>Page reference</w:t>
            </w:r>
          </w:p>
        </w:tc>
      </w:tr>
      <w:tr w:rsidR="0013330C" w:rsidRPr="00940E38" w14:paraId="313BDCC6" w14:textId="77777777" w:rsidTr="00BB2F72">
        <w:trPr>
          <w:trHeight w:val="20"/>
        </w:trPr>
        <w:tc>
          <w:tcPr>
            <w:tcW w:w="9720" w:type="dxa"/>
            <w:gridSpan w:val="4"/>
            <w:tcBorders>
              <w:top w:val="nil"/>
              <w:left w:val="nil"/>
              <w:bottom w:val="nil"/>
              <w:right w:val="nil"/>
            </w:tcBorders>
            <w:shd w:val="clear" w:color="auto" w:fill="595959" w:themeFill="text1" w:themeFillTint="A6"/>
            <w:hideMark/>
          </w:tcPr>
          <w:p w14:paraId="59446DF9" w14:textId="2D6E6062" w:rsidR="0013330C" w:rsidRPr="00940E38" w:rsidRDefault="0013330C" w:rsidP="00DD3FE9">
            <w:pPr>
              <w:jc w:val="left"/>
              <w:rPr>
                <w:i/>
                <w:color w:val="FFFFFF" w:themeColor="background1"/>
                <w:szCs w:val="17"/>
              </w:rPr>
            </w:pPr>
            <w:bookmarkStart w:id="189" w:name="_Toc133137617"/>
            <w:bookmarkStart w:id="190" w:name="_Toc133203935"/>
            <w:r w:rsidRPr="00940E38">
              <w:rPr>
                <w:i/>
                <w:color w:val="FFFFFF" w:themeColor="background1"/>
                <w:szCs w:val="17"/>
              </w:rPr>
              <w:t>Standing Directions</w:t>
            </w:r>
            <w:bookmarkEnd w:id="189"/>
            <w:bookmarkEnd w:id="190"/>
            <w:r w:rsidRPr="00940E38">
              <w:rPr>
                <w:i/>
                <w:color w:val="FFFFFF" w:themeColor="background1"/>
                <w:szCs w:val="17"/>
              </w:rPr>
              <w:t xml:space="preserve"> </w:t>
            </w:r>
            <w:r>
              <w:rPr>
                <w:i/>
                <w:color w:val="FFFFFF" w:themeColor="background1"/>
                <w:szCs w:val="17"/>
              </w:rPr>
              <w:t>and</w:t>
            </w:r>
            <w:r w:rsidRPr="00940E38">
              <w:rPr>
                <w:i/>
                <w:color w:val="FFFFFF" w:themeColor="background1"/>
                <w:szCs w:val="17"/>
              </w:rPr>
              <w:t xml:space="preserve"> Financial Reporting Directions</w:t>
            </w:r>
          </w:p>
        </w:tc>
      </w:tr>
      <w:tr w:rsidR="0013330C" w:rsidRPr="00940E38" w14:paraId="4428A25F" w14:textId="77777777" w:rsidTr="00BB2F72">
        <w:trPr>
          <w:trHeight w:val="20"/>
        </w:trPr>
        <w:tc>
          <w:tcPr>
            <w:tcW w:w="9720" w:type="dxa"/>
            <w:gridSpan w:val="4"/>
            <w:tcBorders>
              <w:top w:val="nil"/>
              <w:left w:val="nil"/>
              <w:bottom w:val="nil"/>
              <w:right w:val="nil"/>
            </w:tcBorders>
            <w:shd w:val="clear" w:color="auto" w:fill="EBEBEB"/>
            <w:hideMark/>
          </w:tcPr>
          <w:p w14:paraId="6091604F" w14:textId="77777777" w:rsidR="0013330C" w:rsidRPr="00940E38" w:rsidRDefault="0013330C" w:rsidP="00DD3FE9">
            <w:pPr>
              <w:jc w:val="left"/>
              <w:rPr>
                <w:i/>
                <w:szCs w:val="17"/>
              </w:rPr>
            </w:pPr>
            <w:r w:rsidRPr="00940E38">
              <w:rPr>
                <w:i/>
                <w:szCs w:val="17"/>
              </w:rPr>
              <w:t xml:space="preserve">Report of operations </w:t>
            </w:r>
          </w:p>
        </w:tc>
      </w:tr>
      <w:tr w:rsidR="0013330C" w:rsidRPr="00940E38" w14:paraId="5AD05D34" w14:textId="77777777" w:rsidTr="00BB2F72">
        <w:trPr>
          <w:trHeight w:val="20"/>
        </w:trPr>
        <w:tc>
          <w:tcPr>
            <w:tcW w:w="9720" w:type="dxa"/>
            <w:gridSpan w:val="4"/>
            <w:tcBorders>
              <w:top w:val="nil"/>
              <w:left w:val="nil"/>
              <w:bottom w:val="nil"/>
              <w:right w:val="nil"/>
            </w:tcBorders>
            <w:hideMark/>
          </w:tcPr>
          <w:p w14:paraId="65E9F106" w14:textId="77777777" w:rsidR="0013330C" w:rsidRPr="00940E38" w:rsidRDefault="0013330C" w:rsidP="00DD3FE9">
            <w:pPr>
              <w:jc w:val="left"/>
              <w:rPr>
                <w:b/>
                <w:szCs w:val="17"/>
              </w:rPr>
            </w:pPr>
            <w:r w:rsidRPr="00940E38">
              <w:rPr>
                <w:b/>
                <w:szCs w:val="17"/>
              </w:rPr>
              <w:t>Charter and purpose</w:t>
            </w:r>
          </w:p>
        </w:tc>
      </w:tr>
      <w:tr w:rsidR="0013330C" w:rsidRPr="00940E38" w14:paraId="4635EA7C" w14:textId="77777777" w:rsidTr="00BB2F72">
        <w:trPr>
          <w:trHeight w:val="20"/>
        </w:trPr>
        <w:tc>
          <w:tcPr>
            <w:tcW w:w="1440" w:type="dxa"/>
            <w:tcBorders>
              <w:top w:val="nil"/>
              <w:left w:val="nil"/>
              <w:bottom w:val="nil"/>
              <w:right w:val="nil"/>
            </w:tcBorders>
            <w:hideMark/>
          </w:tcPr>
          <w:p w14:paraId="06946E8F" w14:textId="44996A03"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07620F30" w14:textId="14CB211E" w:rsidR="0013330C" w:rsidRPr="00940E38" w:rsidRDefault="0013330C" w:rsidP="00DD3FE9">
            <w:pPr>
              <w:jc w:val="left"/>
              <w:rPr>
                <w:szCs w:val="17"/>
              </w:rPr>
            </w:pPr>
            <w:hyperlink w:anchor="Report_Section1" w:history="1">
              <w:r w:rsidRPr="00F36951">
                <w:rPr>
                  <w:rStyle w:val="Hyperlink"/>
                </w:rPr>
                <w:t xml:space="preserve">Manner of </w:t>
              </w:r>
              <w:bookmarkStart w:id="191" w:name="_Hlt194490859"/>
              <w:r w:rsidRPr="00F36951">
                <w:rPr>
                  <w:rStyle w:val="Hyperlink"/>
                </w:rPr>
                <w:t>e</w:t>
              </w:r>
              <w:bookmarkEnd w:id="191"/>
              <w:r w:rsidRPr="00F36951">
                <w:rPr>
                  <w:rStyle w:val="Hyperlink"/>
                </w:rPr>
                <w:t>stablishment and the relevant Ministers</w:t>
              </w:r>
            </w:hyperlink>
          </w:p>
        </w:tc>
        <w:tc>
          <w:tcPr>
            <w:tcW w:w="1385" w:type="dxa"/>
            <w:gridSpan w:val="2"/>
            <w:tcBorders>
              <w:top w:val="nil"/>
              <w:left w:val="nil"/>
              <w:bottom w:val="nil"/>
              <w:right w:val="nil"/>
            </w:tcBorders>
          </w:tcPr>
          <w:p w14:paraId="57ED507F" w14:textId="01826D42" w:rsidR="0013330C" w:rsidRPr="00FA4323" w:rsidRDefault="00BE612E" w:rsidP="00DD3FE9">
            <w:fldSimple w:instr="PAGEREF  Report_Section1  \* MERGEFORMAT">
              <w:r w:rsidRPr="00BE612E">
                <w:rPr>
                  <w:noProof/>
                  <w:lang w:val="en-US"/>
                </w:rPr>
                <w:t>12</w:t>
              </w:r>
            </w:fldSimple>
          </w:p>
        </w:tc>
      </w:tr>
      <w:tr w:rsidR="0013330C" w:rsidRPr="00940E38" w14:paraId="3C2650E6" w14:textId="77777777" w:rsidTr="00BB2F72">
        <w:trPr>
          <w:trHeight w:val="20"/>
        </w:trPr>
        <w:tc>
          <w:tcPr>
            <w:tcW w:w="1440" w:type="dxa"/>
            <w:tcBorders>
              <w:top w:val="nil"/>
              <w:left w:val="nil"/>
              <w:bottom w:val="nil"/>
              <w:right w:val="nil"/>
            </w:tcBorders>
            <w:hideMark/>
          </w:tcPr>
          <w:p w14:paraId="1D71626D" w14:textId="4C84C1D1"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21D9BF19" w14:textId="3CD23675" w:rsidR="0013330C" w:rsidRPr="00940E38" w:rsidRDefault="0013330C" w:rsidP="00DD3FE9">
            <w:pPr>
              <w:jc w:val="left"/>
              <w:rPr>
                <w:szCs w:val="17"/>
              </w:rPr>
            </w:pPr>
            <w:hyperlink w:anchor="INDEXPurposeFunc" w:history="1">
              <w:r w:rsidRPr="00F36951">
                <w:rPr>
                  <w:rStyle w:val="Hyperlink"/>
                </w:rPr>
                <w:t>Purpose, functions, powers and duties</w:t>
              </w:r>
            </w:hyperlink>
            <w:r w:rsidRPr="00940E38">
              <w:rPr>
                <w:szCs w:val="17"/>
              </w:rPr>
              <w:t xml:space="preserve"> </w:t>
            </w:r>
          </w:p>
        </w:tc>
        <w:tc>
          <w:tcPr>
            <w:tcW w:w="1385" w:type="dxa"/>
            <w:gridSpan w:val="2"/>
            <w:tcBorders>
              <w:top w:val="nil"/>
              <w:left w:val="nil"/>
              <w:bottom w:val="nil"/>
              <w:right w:val="nil"/>
            </w:tcBorders>
          </w:tcPr>
          <w:p w14:paraId="3984F135" w14:textId="18479335" w:rsidR="0013330C" w:rsidRPr="00FA4323" w:rsidRDefault="00BE612E" w:rsidP="00DD3FE9">
            <w:fldSimple w:instr="PAGEREF  INDEXPurposeFunc  \* MERGEFORMAT">
              <w:r w:rsidRPr="00BE612E">
                <w:rPr>
                  <w:noProof/>
                  <w:lang w:val="en-US"/>
                </w:rPr>
                <w:t>13</w:t>
              </w:r>
            </w:fldSimple>
          </w:p>
        </w:tc>
      </w:tr>
      <w:tr w:rsidR="0013330C" w:rsidRPr="00940E38" w14:paraId="7BC31EDD" w14:textId="77777777" w:rsidTr="00BB2F72">
        <w:trPr>
          <w:trHeight w:val="20"/>
        </w:trPr>
        <w:tc>
          <w:tcPr>
            <w:tcW w:w="1440" w:type="dxa"/>
            <w:tcBorders>
              <w:top w:val="nil"/>
              <w:left w:val="nil"/>
              <w:bottom w:val="nil"/>
              <w:right w:val="nil"/>
            </w:tcBorders>
            <w:hideMark/>
          </w:tcPr>
          <w:p w14:paraId="24FA6ECF" w14:textId="1C0C48C4" w:rsidR="0013330C" w:rsidRPr="00940E38" w:rsidRDefault="0013330C" w:rsidP="00DD3FE9">
            <w:pPr>
              <w:jc w:val="left"/>
              <w:rPr>
                <w:szCs w:val="17"/>
              </w:rPr>
            </w:pPr>
            <w:r w:rsidRPr="00940E38">
              <w:rPr>
                <w:szCs w:val="17"/>
              </w:rPr>
              <w:t xml:space="preserve">FRD 8 </w:t>
            </w:r>
          </w:p>
        </w:tc>
        <w:tc>
          <w:tcPr>
            <w:tcW w:w="6895" w:type="dxa"/>
            <w:tcBorders>
              <w:top w:val="nil"/>
              <w:left w:val="nil"/>
              <w:bottom w:val="nil"/>
              <w:right w:val="nil"/>
            </w:tcBorders>
            <w:hideMark/>
          </w:tcPr>
          <w:p w14:paraId="3679BA37" w14:textId="34C37A2A" w:rsidR="0013330C" w:rsidRPr="00940E38" w:rsidRDefault="0013330C" w:rsidP="00DD3FE9">
            <w:pPr>
              <w:jc w:val="left"/>
              <w:rPr>
                <w:szCs w:val="17"/>
              </w:rPr>
            </w:pPr>
            <w:hyperlink w:anchor="INDEXDeptObj" w:history="1">
              <w:r w:rsidRPr="00F36951">
                <w:rPr>
                  <w:rStyle w:val="Hyperlink"/>
                </w:rPr>
                <w:t>Departmental objectives, indicators and outputs</w:t>
              </w:r>
            </w:hyperlink>
          </w:p>
        </w:tc>
        <w:tc>
          <w:tcPr>
            <w:tcW w:w="1385" w:type="dxa"/>
            <w:gridSpan w:val="2"/>
            <w:tcBorders>
              <w:top w:val="nil"/>
              <w:left w:val="nil"/>
              <w:bottom w:val="nil"/>
              <w:right w:val="nil"/>
            </w:tcBorders>
          </w:tcPr>
          <w:p w14:paraId="76E9A09A" w14:textId="172293E7" w:rsidR="0013330C" w:rsidRPr="00FA4323" w:rsidRDefault="00BE612E" w:rsidP="00DD3FE9">
            <w:fldSimple w:instr="PAGEREF  INDEXDeptObj  \* MERGEFORMAT">
              <w:r w:rsidRPr="00BE612E">
                <w:rPr>
                  <w:noProof/>
                  <w:lang w:val="en-US"/>
                </w:rPr>
                <w:t>16</w:t>
              </w:r>
            </w:fldSimple>
          </w:p>
        </w:tc>
      </w:tr>
      <w:tr w:rsidR="0013330C" w:rsidRPr="00940E38" w14:paraId="7390F92B" w14:textId="77777777" w:rsidTr="00BB2F72">
        <w:trPr>
          <w:trHeight w:val="20"/>
        </w:trPr>
        <w:tc>
          <w:tcPr>
            <w:tcW w:w="1440" w:type="dxa"/>
            <w:tcBorders>
              <w:top w:val="nil"/>
              <w:left w:val="nil"/>
              <w:bottom w:val="nil"/>
              <w:right w:val="nil"/>
            </w:tcBorders>
            <w:hideMark/>
          </w:tcPr>
          <w:p w14:paraId="07840C49" w14:textId="1E5058E1"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6FD7F3B4" w14:textId="2FC7BECC" w:rsidR="0013330C" w:rsidRPr="00940E38" w:rsidRDefault="0013330C" w:rsidP="00DD3FE9">
            <w:pPr>
              <w:jc w:val="left"/>
              <w:rPr>
                <w:szCs w:val="17"/>
              </w:rPr>
            </w:pPr>
            <w:hyperlink w:anchor="INDEXKeyInitiatives" w:history="1">
              <w:r w:rsidRPr="00F36951">
                <w:rPr>
                  <w:rStyle w:val="Hyperlink"/>
                </w:rPr>
                <w:t>Key initiatives and projects</w:t>
              </w:r>
            </w:hyperlink>
          </w:p>
        </w:tc>
        <w:tc>
          <w:tcPr>
            <w:tcW w:w="1385" w:type="dxa"/>
            <w:gridSpan w:val="2"/>
            <w:tcBorders>
              <w:top w:val="nil"/>
              <w:left w:val="nil"/>
              <w:bottom w:val="nil"/>
              <w:right w:val="nil"/>
            </w:tcBorders>
          </w:tcPr>
          <w:p w14:paraId="4AAD4085" w14:textId="5E0C9F42" w:rsidR="0013330C" w:rsidRPr="00FA4323" w:rsidRDefault="00BE612E" w:rsidP="00DD3FE9">
            <w:fldSimple w:instr="PAGEREF  INDEXKeyInitiatives  \* MERGEFORMAT">
              <w:r w:rsidRPr="00BE612E">
                <w:rPr>
                  <w:noProof/>
                  <w:lang w:val="en-US"/>
                </w:rPr>
                <w:t>19</w:t>
              </w:r>
            </w:fldSimple>
          </w:p>
        </w:tc>
      </w:tr>
      <w:tr w:rsidR="0013330C" w:rsidRPr="00940E38" w14:paraId="5BE8A156" w14:textId="77777777" w:rsidTr="00BB2F72">
        <w:trPr>
          <w:trHeight w:val="20"/>
        </w:trPr>
        <w:tc>
          <w:tcPr>
            <w:tcW w:w="1440" w:type="dxa"/>
            <w:tcBorders>
              <w:top w:val="nil"/>
              <w:left w:val="nil"/>
              <w:bottom w:val="nil"/>
              <w:right w:val="nil"/>
            </w:tcBorders>
            <w:hideMark/>
          </w:tcPr>
          <w:p w14:paraId="1BB3D212" w14:textId="0B6E62C5"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5C8EC24C" w14:textId="58F48E73" w:rsidR="0013330C" w:rsidRPr="00940E38" w:rsidRDefault="0013330C" w:rsidP="00DD3FE9">
            <w:pPr>
              <w:jc w:val="left"/>
              <w:rPr>
                <w:szCs w:val="17"/>
              </w:rPr>
            </w:pPr>
            <w:hyperlink w:anchor="Report_Section1" w:history="1">
              <w:r w:rsidRPr="00F36951">
                <w:rPr>
                  <w:rStyle w:val="Hyperlink"/>
                </w:rPr>
                <w:t>Nature and range of services provided</w:t>
              </w:r>
            </w:hyperlink>
          </w:p>
        </w:tc>
        <w:tc>
          <w:tcPr>
            <w:tcW w:w="1385" w:type="dxa"/>
            <w:gridSpan w:val="2"/>
            <w:tcBorders>
              <w:top w:val="nil"/>
              <w:left w:val="nil"/>
              <w:bottom w:val="nil"/>
              <w:right w:val="nil"/>
            </w:tcBorders>
          </w:tcPr>
          <w:p w14:paraId="6BC0BB91" w14:textId="1E721076" w:rsidR="0013330C" w:rsidRPr="00FA4323" w:rsidRDefault="00BE612E" w:rsidP="00DD3FE9">
            <w:fldSimple w:instr="PAGEREF  Report_Section1  \* MERGEFORMAT">
              <w:r w:rsidRPr="00BE612E">
                <w:rPr>
                  <w:noProof/>
                  <w:lang w:val="en-US"/>
                </w:rPr>
                <w:t>12</w:t>
              </w:r>
            </w:fldSimple>
          </w:p>
        </w:tc>
      </w:tr>
      <w:tr w:rsidR="0013330C" w:rsidRPr="00940E38" w14:paraId="4D73C3DE" w14:textId="77777777" w:rsidTr="00BB2F72">
        <w:trPr>
          <w:trHeight w:val="20"/>
        </w:trPr>
        <w:tc>
          <w:tcPr>
            <w:tcW w:w="9720" w:type="dxa"/>
            <w:gridSpan w:val="4"/>
            <w:tcBorders>
              <w:top w:val="nil"/>
              <w:left w:val="nil"/>
              <w:bottom w:val="nil"/>
              <w:right w:val="nil"/>
            </w:tcBorders>
            <w:hideMark/>
          </w:tcPr>
          <w:p w14:paraId="06823D3B" w14:textId="77777777" w:rsidR="0013330C" w:rsidRPr="00940E38" w:rsidRDefault="0013330C" w:rsidP="00DD3FE9">
            <w:pPr>
              <w:jc w:val="left"/>
              <w:rPr>
                <w:b/>
                <w:szCs w:val="17"/>
              </w:rPr>
            </w:pPr>
            <w:r w:rsidRPr="00940E38">
              <w:rPr>
                <w:b/>
                <w:szCs w:val="17"/>
              </w:rPr>
              <w:t>Management and structure</w:t>
            </w:r>
          </w:p>
        </w:tc>
      </w:tr>
      <w:tr w:rsidR="0013330C" w:rsidRPr="00940E38" w14:paraId="36A5E042" w14:textId="77777777" w:rsidTr="00BB2F72">
        <w:trPr>
          <w:trHeight w:val="20"/>
        </w:trPr>
        <w:tc>
          <w:tcPr>
            <w:tcW w:w="1440" w:type="dxa"/>
            <w:tcBorders>
              <w:top w:val="nil"/>
              <w:left w:val="nil"/>
              <w:bottom w:val="nil"/>
              <w:right w:val="nil"/>
            </w:tcBorders>
            <w:hideMark/>
          </w:tcPr>
          <w:p w14:paraId="6D2E07C4" w14:textId="24CFC76E"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19ECEE87" w14:textId="3D5CBCD4" w:rsidR="0013330C" w:rsidRPr="00940E38" w:rsidRDefault="0013330C" w:rsidP="00DD3FE9">
            <w:pPr>
              <w:jc w:val="left"/>
              <w:rPr>
                <w:szCs w:val="17"/>
              </w:rPr>
            </w:pPr>
            <w:hyperlink w:anchor="INDEXOrgStructure" w:history="1">
              <w:r w:rsidRPr="00F36951">
                <w:rPr>
                  <w:rStyle w:val="Hyperlink"/>
                </w:rPr>
                <w:t>Organisational structure</w:t>
              </w:r>
            </w:hyperlink>
            <w:r w:rsidRPr="00940E38">
              <w:rPr>
                <w:szCs w:val="17"/>
              </w:rPr>
              <w:t xml:space="preserve"> </w:t>
            </w:r>
          </w:p>
        </w:tc>
        <w:tc>
          <w:tcPr>
            <w:tcW w:w="1385" w:type="dxa"/>
            <w:gridSpan w:val="2"/>
            <w:tcBorders>
              <w:top w:val="nil"/>
              <w:left w:val="nil"/>
              <w:bottom w:val="nil"/>
              <w:right w:val="nil"/>
            </w:tcBorders>
            <w:hideMark/>
          </w:tcPr>
          <w:p w14:paraId="3187827E" w14:textId="059265B2" w:rsidR="0013330C" w:rsidRPr="00F36951" w:rsidRDefault="00BE612E" w:rsidP="00DD3FE9">
            <w:fldSimple w:instr="PAGEREF  INDEXOrgStructure  \* MERGEFORMAT">
              <w:r w:rsidRPr="00BE612E">
                <w:rPr>
                  <w:b/>
                  <w:noProof/>
                  <w:lang w:val="en-US"/>
                </w:rPr>
                <w:t>34</w:t>
              </w:r>
            </w:fldSimple>
          </w:p>
        </w:tc>
      </w:tr>
      <w:tr w:rsidR="0013330C" w:rsidRPr="00940E38" w14:paraId="51366B4E" w14:textId="77777777" w:rsidTr="00BB2F72">
        <w:trPr>
          <w:trHeight w:val="20"/>
        </w:trPr>
        <w:tc>
          <w:tcPr>
            <w:tcW w:w="9720" w:type="dxa"/>
            <w:gridSpan w:val="4"/>
            <w:tcBorders>
              <w:top w:val="nil"/>
              <w:left w:val="nil"/>
              <w:bottom w:val="nil"/>
              <w:right w:val="nil"/>
            </w:tcBorders>
            <w:hideMark/>
          </w:tcPr>
          <w:p w14:paraId="14991E91" w14:textId="7F363879" w:rsidR="0013330C" w:rsidRPr="00940E38" w:rsidRDefault="0013330C" w:rsidP="00DD3FE9">
            <w:pPr>
              <w:jc w:val="left"/>
              <w:rPr>
                <w:b/>
                <w:szCs w:val="17"/>
              </w:rPr>
            </w:pPr>
            <w:r w:rsidRPr="00940E38">
              <w:rPr>
                <w:b/>
                <w:szCs w:val="17"/>
              </w:rPr>
              <w:t>Financial and other information</w:t>
            </w:r>
          </w:p>
        </w:tc>
      </w:tr>
      <w:tr w:rsidR="0013330C" w:rsidRPr="00940E38" w14:paraId="0A0EA890" w14:textId="77777777" w:rsidTr="00BB2F72">
        <w:trPr>
          <w:trHeight w:val="20"/>
        </w:trPr>
        <w:tc>
          <w:tcPr>
            <w:tcW w:w="1440" w:type="dxa"/>
            <w:tcBorders>
              <w:top w:val="nil"/>
              <w:left w:val="nil"/>
              <w:bottom w:val="nil"/>
              <w:right w:val="nil"/>
            </w:tcBorders>
            <w:hideMark/>
          </w:tcPr>
          <w:p w14:paraId="2FBF65E1" w14:textId="522292B6" w:rsidR="0013330C" w:rsidRPr="00940E38" w:rsidRDefault="0013330C" w:rsidP="00DD3FE9">
            <w:pPr>
              <w:jc w:val="left"/>
              <w:rPr>
                <w:szCs w:val="17"/>
              </w:rPr>
            </w:pPr>
            <w:r w:rsidRPr="00940E38">
              <w:rPr>
                <w:szCs w:val="17"/>
              </w:rPr>
              <w:t>FRD 8</w:t>
            </w:r>
          </w:p>
        </w:tc>
        <w:tc>
          <w:tcPr>
            <w:tcW w:w="6895" w:type="dxa"/>
            <w:tcBorders>
              <w:top w:val="nil"/>
              <w:left w:val="nil"/>
              <w:bottom w:val="nil"/>
              <w:right w:val="nil"/>
            </w:tcBorders>
            <w:hideMark/>
          </w:tcPr>
          <w:p w14:paraId="5CB43AB5" w14:textId="124861AD" w:rsidR="0013330C" w:rsidRPr="00940E38" w:rsidRDefault="0013330C" w:rsidP="00DD3FE9">
            <w:pPr>
              <w:jc w:val="left"/>
              <w:rPr>
                <w:szCs w:val="17"/>
              </w:rPr>
            </w:pPr>
            <w:hyperlink w:anchor="INDEXPerfAgainstOutp" w:history="1">
              <w:r w:rsidRPr="00F36951">
                <w:rPr>
                  <w:rStyle w:val="Hyperlink"/>
                </w:rPr>
                <w:t>Performance against output perfor</w:t>
              </w:r>
              <w:bookmarkStart w:id="192" w:name="_Hlt194490691"/>
              <w:r w:rsidRPr="00F36951">
                <w:rPr>
                  <w:rStyle w:val="Hyperlink"/>
                </w:rPr>
                <w:t>m</w:t>
              </w:r>
              <w:bookmarkEnd w:id="192"/>
              <w:r w:rsidRPr="00F36951">
                <w:rPr>
                  <w:rStyle w:val="Hyperlink"/>
                </w:rPr>
                <w:t>ance measures</w:t>
              </w:r>
            </w:hyperlink>
            <w:r w:rsidRPr="00940E38">
              <w:rPr>
                <w:szCs w:val="17"/>
              </w:rPr>
              <w:t xml:space="preserve"> </w:t>
            </w:r>
          </w:p>
        </w:tc>
        <w:tc>
          <w:tcPr>
            <w:tcW w:w="1385" w:type="dxa"/>
            <w:gridSpan w:val="2"/>
            <w:tcBorders>
              <w:top w:val="nil"/>
              <w:left w:val="nil"/>
              <w:bottom w:val="nil"/>
              <w:right w:val="nil"/>
            </w:tcBorders>
          </w:tcPr>
          <w:p w14:paraId="093D2705" w14:textId="206760A6" w:rsidR="0013330C" w:rsidRPr="00FA4323" w:rsidRDefault="00BE612E" w:rsidP="00DD3FE9">
            <w:fldSimple w:instr="PAGEREF  INDEXPerfAgainstOutp  \* MERGEFORMAT">
              <w:r w:rsidRPr="00BE612E">
                <w:rPr>
                  <w:noProof/>
                  <w:lang w:val="en-US"/>
                </w:rPr>
                <w:t>18</w:t>
              </w:r>
            </w:fldSimple>
          </w:p>
        </w:tc>
      </w:tr>
      <w:tr w:rsidR="0013330C" w:rsidRPr="00940E38" w14:paraId="3AECB839" w14:textId="77777777" w:rsidTr="00BB2F72">
        <w:trPr>
          <w:trHeight w:val="20"/>
        </w:trPr>
        <w:tc>
          <w:tcPr>
            <w:tcW w:w="1440" w:type="dxa"/>
            <w:tcBorders>
              <w:top w:val="nil"/>
              <w:left w:val="nil"/>
              <w:bottom w:val="nil"/>
              <w:right w:val="nil"/>
            </w:tcBorders>
            <w:hideMark/>
          </w:tcPr>
          <w:p w14:paraId="6F654333" w14:textId="13634276" w:rsidR="0013330C" w:rsidRPr="00940E38" w:rsidRDefault="0013330C" w:rsidP="00DD3FE9">
            <w:pPr>
              <w:jc w:val="left"/>
              <w:rPr>
                <w:szCs w:val="17"/>
              </w:rPr>
            </w:pPr>
            <w:r w:rsidRPr="00940E38">
              <w:rPr>
                <w:szCs w:val="17"/>
              </w:rPr>
              <w:t xml:space="preserve">FRD 8 </w:t>
            </w:r>
          </w:p>
        </w:tc>
        <w:tc>
          <w:tcPr>
            <w:tcW w:w="6895" w:type="dxa"/>
            <w:tcBorders>
              <w:top w:val="nil"/>
              <w:left w:val="nil"/>
              <w:bottom w:val="nil"/>
              <w:right w:val="nil"/>
            </w:tcBorders>
            <w:hideMark/>
          </w:tcPr>
          <w:p w14:paraId="1ACFDFC9" w14:textId="2971B843" w:rsidR="0013330C" w:rsidRPr="00940E38" w:rsidRDefault="0013330C" w:rsidP="00DD3FE9">
            <w:pPr>
              <w:jc w:val="left"/>
              <w:rPr>
                <w:szCs w:val="17"/>
              </w:rPr>
            </w:pPr>
            <w:hyperlink w:anchor="INDEXBudgetportfoliooutcomes" w:history="1">
              <w:r w:rsidRPr="00F36951">
                <w:rPr>
                  <w:rStyle w:val="Hyperlink"/>
                </w:rPr>
                <w:t>Budget portfolio ou</w:t>
              </w:r>
              <w:bookmarkStart w:id="193" w:name="_Hlt194490853"/>
              <w:r w:rsidRPr="00F36951">
                <w:rPr>
                  <w:rStyle w:val="Hyperlink"/>
                </w:rPr>
                <w:t>t</w:t>
              </w:r>
              <w:bookmarkEnd w:id="193"/>
              <w:r w:rsidRPr="00F36951">
                <w:rPr>
                  <w:rStyle w:val="Hyperlink"/>
                </w:rPr>
                <w:t>comes</w:t>
              </w:r>
            </w:hyperlink>
          </w:p>
        </w:tc>
        <w:tc>
          <w:tcPr>
            <w:tcW w:w="1385" w:type="dxa"/>
            <w:gridSpan w:val="2"/>
            <w:tcBorders>
              <w:top w:val="nil"/>
              <w:left w:val="nil"/>
              <w:bottom w:val="nil"/>
              <w:right w:val="nil"/>
            </w:tcBorders>
          </w:tcPr>
          <w:p w14:paraId="33C8D6FF" w14:textId="7109362B" w:rsidR="0013330C" w:rsidRPr="00FA4323" w:rsidRDefault="00BE612E" w:rsidP="00DD3FE9">
            <w:fldSimple w:instr="PAGEREF  INDEXBudgetportfoliooutcomes  \* MERGEFORMAT">
              <w:r w:rsidRPr="00BE612E">
                <w:rPr>
                  <w:noProof/>
                  <w:lang w:val="en-US"/>
                </w:rPr>
                <w:t>24</w:t>
              </w:r>
            </w:fldSimple>
          </w:p>
        </w:tc>
      </w:tr>
      <w:tr w:rsidR="0013330C" w:rsidRPr="00940E38" w14:paraId="4E6219C8" w14:textId="77777777" w:rsidTr="00BB2F72">
        <w:trPr>
          <w:trHeight w:val="20"/>
        </w:trPr>
        <w:tc>
          <w:tcPr>
            <w:tcW w:w="1440" w:type="dxa"/>
            <w:tcBorders>
              <w:top w:val="nil"/>
              <w:left w:val="nil"/>
              <w:bottom w:val="nil"/>
              <w:right w:val="nil"/>
            </w:tcBorders>
            <w:hideMark/>
          </w:tcPr>
          <w:p w14:paraId="26643667" w14:textId="61F96362" w:rsidR="0013330C" w:rsidRPr="00940E38" w:rsidRDefault="0013330C" w:rsidP="00DD3FE9">
            <w:pPr>
              <w:jc w:val="left"/>
              <w:rPr>
                <w:szCs w:val="17"/>
              </w:rPr>
            </w:pPr>
            <w:r w:rsidRPr="00940E38">
              <w:rPr>
                <w:szCs w:val="17"/>
              </w:rPr>
              <w:t xml:space="preserve">FRD 10 </w:t>
            </w:r>
          </w:p>
        </w:tc>
        <w:tc>
          <w:tcPr>
            <w:tcW w:w="6895" w:type="dxa"/>
            <w:tcBorders>
              <w:top w:val="nil"/>
              <w:left w:val="nil"/>
              <w:bottom w:val="nil"/>
              <w:right w:val="nil"/>
            </w:tcBorders>
            <w:hideMark/>
          </w:tcPr>
          <w:p w14:paraId="6D87E322" w14:textId="77777777" w:rsidR="0013330C" w:rsidRPr="00940E38" w:rsidRDefault="0013330C" w:rsidP="00DD3FE9">
            <w:pPr>
              <w:jc w:val="left"/>
              <w:rPr>
                <w:szCs w:val="17"/>
              </w:rPr>
            </w:pPr>
            <w:r w:rsidRPr="00940E38">
              <w:rPr>
                <w:szCs w:val="17"/>
              </w:rPr>
              <w:t>Disclosure index</w:t>
            </w:r>
          </w:p>
        </w:tc>
        <w:tc>
          <w:tcPr>
            <w:tcW w:w="1385" w:type="dxa"/>
            <w:gridSpan w:val="2"/>
            <w:tcBorders>
              <w:top w:val="nil"/>
              <w:left w:val="nil"/>
              <w:bottom w:val="nil"/>
              <w:right w:val="nil"/>
            </w:tcBorders>
          </w:tcPr>
          <w:p w14:paraId="112187C4" w14:textId="27D4892A" w:rsidR="0013330C" w:rsidRPr="00FA4323" w:rsidRDefault="00BE612E" w:rsidP="00DD3FE9">
            <w:fldSimple w:instr="PAGEREF  Disclosure_Index  \* MERGEFORMAT">
              <w:r w:rsidRPr="00BE612E">
                <w:rPr>
                  <w:noProof/>
                  <w:lang w:val="en-US"/>
                </w:rPr>
                <w:t>80</w:t>
              </w:r>
            </w:fldSimple>
          </w:p>
        </w:tc>
      </w:tr>
      <w:tr w:rsidR="0013330C" w:rsidRPr="00940E38" w14:paraId="1C73CC91" w14:textId="77777777" w:rsidTr="00BB2F72">
        <w:trPr>
          <w:trHeight w:val="20"/>
        </w:trPr>
        <w:tc>
          <w:tcPr>
            <w:tcW w:w="1440" w:type="dxa"/>
            <w:tcBorders>
              <w:top w:val="nil"/>
              <w:left w:val="nil"/>
              <w:bottom w:val="nil"/>
              <w:right w:val="nil"/>
            </w:tcBorders>
            <w:hideMark/>
          </w:tcPr>
          <w:p w14:paraId="2483F49C" w14:textId="3766A17C" w:rsidR="0013330C" w:rsidRPr="00940E38" w:rsidRDefault="0013330C" w:rsidP="00DD3FE9">
            <w:pPr>
              <w:jc w:val="left"/>
              <w:rPr>
                <w:szCs w:val="17"/>
              </w:rPr>
            </w:pPr>
            <w:r w:rsidRPr="00940E38">
              <w:rPr>
                <w:szCs w:val="17"/>
              </w:rPr>
              <w:t>FRD 12</w:t>
            </w:r>
          </w:p>
        </w:tc>
        <w:tc>
          <w:tcPr>
            <w:tcW w:w="6895" w:type="dxa"/>
            <w:tcBorders>
              <w:top w:val="nil"/>
              <w:left w:val="nil"/>
              <w:bottom w:val="nil"/>
              <w:right w:val="nil"/>
            </w:tcBorders>
            <w:hideMark/>
          </w:tcPr>
          <w:p w14:paraId="754BCE2C" w14:textId="2D0054FB" w:rsidR="0013330C" w:rsidRPr="00940E38" w:rsidRDefault="0013330C" w:rsidP="00DD3FE9">
            <w:pPr>
              <w:jc w:val="left"/>
              <w:rPr>
                <w:szCs w:val="17"/>
              </w:rPr>
            </w:pPr>
            <w:hyperlink w:anchor="INDEXmajorcontract" w:history="1">
              <w:r w:rsidRPr="00F36951">
                <w:rPr>
                  <w:rStyle w:val="Hyperlink"/>
                </w:rPr>
                <w:t>Disclosur</w:t>
              </w:r>
              <w:bookmarkStart w:id="194" w:name="_Hlt194490711"/>
              <w:r w:rsidRPr="00F36951">
                <w:rPr>
                  <w:rStyle w:val="Hyperlink"/>
                </w:rPr>
                <w:t>e</w:t>
              </w:r>
              <w:bookmarkEnd w:id="194"/>
              <w:r w:rsidRPr="00F36951">
                <w:rPr>
                  <w:rStyle w:val="Hyperlink"/>
                </w:rPr>
                <w:t xml:space="preserve"> of major contracts</w:t>
              </w:r>
            </w:hyperlink>
          </w:p>
        </w:tc>
        <w:tc>
          <w:tcPr>
            <w:tcW w:w="1385" w:type="dxa"/>
            <w:gridSpan w:val="2"/>
            <w:tcBorders>
              <w:top w:val="nil"/>
              <w:left w:val="nil"/>
              <w:bottom w:val="nil"/>
              <w:right w:val="nil"/>
            </w:tcBorders>
          </w:tcPr>
          <w:p w14:paraId="78317574" w14:textId="2BDE5168" w:rsidR="0013330C" w:rsidRPr="00FA4323" w:rsidRDefault="00BE612E" w:rsidP="00DD3FE9">
            <w:fldSimple w:instr="PAGEREF  INDEXmajorcontract  \* MERGEFORMAT">
              <w:r w:rsidRPr="00BE612E">
                <w:rPr>
                  <w:noProof/>
                  <w:lang w:val="en-US"/>
                </w:rPr>
                <w:t>54</w:t>
              </w:r>
            </w:fldSimple>
          </w:p>
        </w:tc>
      </w:tr>
      <w:tr w:rsidR="0013330C" w:rsidRPr="00056173" w14:paraId="76B5E191" w14:textId="77777777" w:rsidTr="00BB2F72">
        <w:trPr>
          <w:trHeight w:val="20"/>
        </w:trPr>
        <w:tc>
          <w:tcPr>
            <w:tcW w:w="1440" w:type="dxa"/>
            <w:tcBorders>
              <w:top w:val="nil"/>
              <w:left w:val="nil"/>
              <w:bottom w:val="nil"/>
              <w:right w:val="nil"/>
            </w:tcBorders>
            <w:hideMark/>
          </w:tcPr>
          <w:p w14:paraId="217BA008" w14:textId="774DE7B0" w:rsidR="0013330C" w:rsidRPr="00940E38" w:rsidRDefault="0013330C" w:rsidP="00DD3FE9">
            <w:pPr>
              <w:jc w:val="left"/>
              <w:rPr>
                <w:szCs w:val="17"/>
              </w:rPr>
            </w:pPr>
            <w:r w:rsidRPr="00940E38">
              <w:rPr>
                <w:szCs w:val="17"/>
              </w:rPr>
              <w:t xml:space="preserve">FRD 15 </w:t>
            </w:r>
          </w:p>
        </w:tc>
        <w:tc>
          <w:tcPr>
            <w:tcW w:w="6895" w:type="dxa"/>
            <w:tcBorders>
              <w:top w:val="nil"/>
              <w:left w:val="nil"/>
              <w:bottom w:val="nil"/>
              <w:right w:val="nil"/>
            </w:tcBorders>
            <w:hideMark/>
          </w:tcPr>
          <w:p w14:paraId="1EB72614" w14:textId="7397AA44" w:rsidR="0013330C" w:rsidRPr="00940E38" w:rsidRDefault="0013330C" w:rsidP="00DD3FE9">
            <w:pPr>
              <w:jc w:val="left"/>
              <w:rPr>
                <w:szCs w:val="17"/>
              </w:rPr>
            </w:pPr>
            <w:hyperlink w:anchor="_Executive_data" w:history="1">
              <w:r w:rsidRPr="00F36951">
                <w:rPr>
                  <w:rStyle w:val="Hyperlink"/>
                </w:rPr>
                <w:t>Executive disclosures</w:t>
              </w:r>
            </w:hyperlink>
          </w:p>
        </w:tc>
        <w:tc>
          <w:tcPr>
            <w:tcW w:w="1385" w:type="dxa"/>
            <w:gridSpan w:val="2"/>
            <w:tcBorders>
              <w:top w:val="nil"/>
              <w:left w:val="nil"/>
              <w:bottom w:val="nil"/>
              <w:right w:val="nil"/>
            </w:tcBorders>
          </w:tcPr>
          <w:p w14:paraId="733C9891" w14:textId="2C201609" w:rsidR="0013330C" w:rsidRPr="00056173" w:rsidRDefault="0013330C" w:rsidP="00DD3FE9">
            <w:r w:rsidRPr="00056173">
              <w:fldChar w:fldCharType="begin"/>
            </w:r>
            <w:r w:rsidRPr="00056173">
              <w:instrText xml:space="preserve"> PAGEREF  INDEX</w:instrText>
            </w:r>
            <w:r w:rsidR="00A321CA" w:rsidRPr="00056173">
              <w:instrText>_AMAF</w:instrText>
            </w:r>
            <w:r w:rsidRPr="00056173">
              <w:instrText xml:space="preserve">  \* MERGEFORMAT </w:instrText>
            </w:r>
            <w:r w:rsidRPr="00056173">
              <w:fldChar w:fldCharType="separate"/>
            </w:r>
            <w:r w:rsidR="00BE612E" w:rsidRPr="00BE612E">
              <w:rPr>
                <w:noProof/>
                <w:lang w:val="en-US"/>
              </w:rPr>
              <w:t>78</w:t>
            </w:r>
            <w:r w:rsidRPr="00056173">
              <w:rPr>
                <w:noProof/>
              </w:rPr>
              <w:fldChar w:fldCharType="end"/>
            </w:r>
          </w:p>
        </w:tc>
      </w:tr>
      <w:tr w:rsidR="0013330C" w:rsidRPr="00940E38" w14:paraId="175C3332" w14:textId="77777777" w:rsidTr="00BB2F72">
        <w:trPr>
          <w:trHeight w:val="20"/>
        </w:trPr>
        <w:tc>
          <w:tcPr>
            <w:tcW w:w="1440" w:type="dxa"/>
            <w:tcBorders>
              <w:top w:val="nil"/>
              <w:left w:val="nil"/>
              <w:bottom w:val="nil"/>
              <w:right w:val="nil"/>
            </w:tcBorders>
            <w:hideMark/>
          </w:tcPr>
          <w:p w14:paraId="3A9B7149" w14:textId="571F2F60"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7855CFDD" w14:textId="179E1390" w:rsidR="0013330C" w:rsidRPr="00940E38" w:rsidRDefault="0013330C" w:rsidP="00DD3FE9">
            <w:pPr>
              <w:jc w:val="left"/>
              <w:rPr>
                <w:szCs w:val="17"/>
              </w:rPr>
            </w:pPr>
            <w:hyperlink w:anchor="INDEXemploymentconductprinciples" w:history="1">
              <w:r w:rsidRPr="00F36951">
                <w:rPr>
                  <w:rStyle w:val="Hyperlink"/>
                </w:rPr>
                <w:t>Employment and conduct principles</w:t>
              </w:r>
            </w:hyperlink>
          </w:p>
        </w:tc>
        <w:tc>
          <w:tcPr>
            <w:tcW w:w="1385" w:type="dxa"/>
            <w:gridSpan w:val="2"/>
            <w:tcBorders>
              <w:top w:val="nil"/>
              <w:left w:val="nil"/>
              <w:bottom w:val="nil"/>
              <w:right w:val="nil"/>
            </w:tcBorders>
          </w:tcPr>
          <w:p w14:paraId="0F144308" w14:textId="46B71953" w:rsidR="0013330C" w:rsidRPr="00FA4323" w:rsidRDefault="00BE612E" w:rsidP="00DD3FE9">
            <w:fldSimple w:instr="PAGEREF  INDEXemploymentconductprinciples  \* MERGEFORMAT">
              <w:r w:rsidRPr="00BE612E">
                <w:rPr>
                  <w:noProof/>
                  <w:lang w:val="en-US"/>
                </w:rPr>
                <w:t>39</w:t>
              </w:r>
            </w:fldSimple>
          </w:p>
        </w:tc>
      </w:tr>
      <w:tr w:rsidR="0013330C" w:rsidRPr="00940E38" w14:paraId="57226F85" w14:textId="77777777" w:rsidTr="00BB2F72">
        <w:trPr>
          <w:trHeight w:val="20"/>
        </w:trPr>
        <w:tc>
          <w:tcPr>
            <w:tcW w:w="1440" w:type="dxa"/>
            <w:tcBorders>
              <w:top w:val="nil"/>
              <w:left w:val="nil"/>
              <w:bottom w:val="nil"/>
              <w:right w:val="nil"/>
            </w:tcBorders>
            <w:hideMark/>
          </w:tcPr>
          <w:p w14:paraId="4724BBDD" w14:textId="6269636C"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6747D7B0" w14:textId="5271724D" w:rsidR="0013330C" w:rsidRPr="00940E38" w:rsidRDefault="0013330C" w:rsidP="00DD3FE9">
            <w:pPr>
              <w:jc w:val="left"/>
              <w:rPr>
                <w:szCs w:val="17"/>
              </w:rPr>
            </w:pPr>
            <w:hyperlink w:anchor="INDEX_OHS_policies" w:history="1">
              <w:r w:rsidRPr="00F36951">
                <w:rPr>
                  <w:rStyle w:val="Hyperlink"/>
                </w:rPr>
                <w:t>Occupational health and safety policy</w:t>
              </w:r>
            </w:hyperlink>
          </w:p>
        </w:tc>
        <w:tc>
          <w:tcPr>
            <w:tcW w:w="1385" w:type="dxa"/>
            <w:gridSpan w:val="2"/>
            <w:tcBorders>
              <w:top w:val="nil"/>
              <w:left w:val="nil"/>
              <w:bottom w:val="nil"/>
              <w:right w:val="nil"/>
            </w:tcBorders>
          </w:tcPr>
          <w:p w14:paraId="4A2A62F0" w14:textId="0C3401AF" w:rsidR="0013330C" w:rsidRPr="00FA4323" w:rsidRDefault="00BE612E" w:rsidP="00DD3FE9">
            <w:fldSimple w:instr="PAGEREF  INDEX_OHS_policies  \* MERGEFORMAT">
              <w:r w:rsidRPr="00BE612E">
                <w:rPr>
                  <w:noProof/>
                  <w:lang w:val="en-US"/>
                </w:rPr>
                <w:t>35</w:t>
              </w:r>
            </w:fldSimple>
          </w:p>
        </w:tc>
      </w:tr>
      <w:tr w:rsidR="0013330C" w:rsidRPr="00940E38" w14:paraId="368FFA8E" w14:textId="77777777" w:rsidTr="00BB2F72">
        <w:trPr>
          <w:trHeight w:val="20"/>
        </w:trPr>
        <w:tc>
          <w:tcPr>
            <w:tcW w:w="1440" w:type="dxa"/>
            <w:tcBorders>
              <w:top w:val="nil"/>
              <w:left w:val="nil"/>
              <w:bottom w:val="nil"/>
              <w:right w:val="nil"/>
            </w:tcBorders>
            <w:hideMark/>
          </w:tcPr>
          <w:p w14:paraId="5F1D3574" w14:textId="00180626"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7E9891CE" w14:textId="1D0D22D0" w:rsidR="0013330C" w:rsidRPr="00940E38" w:rsidRDefault="0013330C" w:rsidP="00DD3FE9">
            <w:pPr>
              <w:jc w:val="left"/>
              <w:rPr>
                <w:szCs w:val="17"/>
              </w:rPr>
            </w:pPr>
            <w:hyperlink w:anchor="INDEX_Sum_Fin_Result" w:history="1">
              <w:r w:rsidRPr="00F36951">
                <w:rPr>
                  <w:rStyle w:val="Hyperlink"/>
                </w:rPr>
                <w:t>Summary of the financial results for the year</w:t>
              </w:r>
            </w:hyperlink>
            <w:r w:rsidRPr="00940E38">
              <w:rPr>
                <w:szCs w:val="17"/>
              </w:rPr>
              <w:t xml:space="preserve"> </w:t>
            </w:r>
          </w:p>
        </w:tc>
        <w:tc>
          <w:tcPr>
            <w:tcW w:w="1385" w:type="dxa"/>
            <w:gridSpan w:val="2"/>
            <w:tcBorders>
              <w:top w:val="nil"/>
              <w:left w:val="nil"/>
              <w:bottom w:val="nil"/>
              <w:right w:val="nil"/>
            </w:tcBorders>
          </w:tcPr>
          <w:p w14:paraId="3E1E96E7" w14:textId="7A0F0E14" w:rsidR="0013330C" w:rsidRPr="00FA4323" w:rsidRDefault="00BE612E" w:rsidP="00DD3FE9">
            <w:fldSimple w:instr="PAGEREF  INDEX_Sum_Fin_Result  \* MERGEFORMAT">
              <w:r w:rsidRPr="00BE612E">
                <w:rPr>
                  <w:noProof/>
                  <w:lang w:val="en-US"/>
                </w:rPr>
                <w:t>26</w:t>
              </w:r>
            </w:fldSimple>
          </w:p>
        </w:tc>
      </w:tr>
      <w:tr w:rsidR="0013330C" w:rsidRPr="00940E38" w14:paraId="0932D7B3" w14:textId="77777777" w:rsidTr="00BB2F72">
        <w:trPr>
          <w:trHeight w:val="20"/>
        </w:trPr>
        <w:tc>
          <w:tcPr>
            <w:tcW w:w="1440" w:type="dxa"/>
            <w:tcBorders>
              <w:top w:val="nil"/>
              <w:left w:val="nil"/>
              <w:bottom w:val="nil"/>
              <w:right w:val="nil"/>
            </w:tcBorders>
            <w:hideMark/>
          </w:tcPr>
          <w:p w14:paraId="4C8BDCDF" w14:textId="34B0801A" w:rsidR="0013330C" w:rsidRPr="00940E38" w:rsidRDefault="0013330C" w:rsidP="00DD3FE9">
            <w:pPr>
              <w:jc w:val="left"/>
              <w:rPr>
                <w:szCs w:val="17"/>
              </w:rPr>
            </w:pPr>
            <w:r w:rsidRPr="00940E38">
              <w:rPr>
                <w:szCs w:val="17"/>
              </w:rPr>
              <w:t>FRD 22</w:t>
            </w:r>
          </w:p>
        </w:tc>
        <w:tc>
          <w:tcPr>
            <w:tcW w:w="6895" w:type="dxa"/>
            <w:tcBorders>
              <w:top w:val="nil"/>
              <w:left w:val="nil"/>
              <w:bottom w:val="nil"/>
              <w:right w:val="nil"/>
            </w:tcBorders>
            <w:hideMark/>
          </w:tcPr>
          <w:p w14:paraId="2CA53533" w14:textId="7A4EB6B0" w:rsidR="0013330C" w:rsidRPr="00940E38" w:rsidRDefault="0013330C" w:rsidP="00DD3FE9">
            <w:pPr>
              <w:jc w:val="left"/>
              <w:rPr>
                <w:szCs w:val="17"/>
              </w:rPr>
            </w:pPr>
            <w:hyperlink w:anchor="INDEX_Sig_change_finposition" w:history="1">
              <w:r w:rsidRPr="00F36951">
                <w:rPr>
                  <w:rStyle w:val="Hyperlink"/>
                </w:rPr>
                <w:t>Significa</w:t>
              </w:r>
              <w:bookmarkStart w:id="195" w:name="_Hlt194490847"/>
              <w:r w:rsidRPr="00F36951">
                <w:rPr>
                  <w:rStyle w:val="Hyperlink"/>
                </w:rPr>
                <w:t>n</w:t>
              </w:r>
              <w:bookmarkEnd w:id="195"/>
              <w:r w:rsidRPr="00F36951">
                <w:rPr>
                  <w:rStyle w:val="Hyperlink"/>
                </w:rPr>
                <w:t>t changes in financial position during the year</w:t>
              </w:r>
            </w:hyperlink>
            <w:r w:rsidRPr="00940E38">
              <w:rPr>
                <w:szCs w:val="17"/>
              </w:rPr>
              <w:t xml:space="preserve"> </w:t>
            </w:r>
          </w:p>
        </w:tc>
        <w:tc>
          <w:tcPr>
            <w:tcW w:w="1385" w:type="dxa"/>
            <w:gridSpan w:val="2"/>
            <w:tcBorders>
              <w:top w:val="nil"/>
              <w:left w:val="nil"/>
              <w:bottom w:val="nil"/>
              <w:right w:val="nil"/>
            </w:tcBorders>
          </w:tcPr>
          <w:p w14:paraId="58F6A55D" w14:textId="33BFBC0D" w:rsidR="0013330C" w:rsidRPr="00FA4323" w:rsidRDefault="00BE612E" w:rsidP="00DD3FE9">
            <w:fldSimple w:instr="PAGEREF  INDEX_Sig_change_finposition  \* MERGEFORMAT">
              <w:r w:rsidRPr="00BE612E">
                <w:rPr>
                  <w:noProof/>
                  <w:lang w:val="en-US"/>
                </w:rPr>
                <w:t>25</w:t>
              </w:r>
            </w:fldSimple>
          </w:p>
        </w:tc>
      </w:tr>
      <w:tr w:rsidR="00123EB0" w:rsidRPr="00940E38" w14:paraId="3B9E565E" w14:textId="77777777" w:rsidTr="00BB2F72">
        <w:trPr>
          <w:trHeight w:val="20"/>
        </w:trPr>
        <w:tc>
          <w:tcPr>
            <w:tcW w:w="1440" w:type="dxa"/>
            <w:tcBorders>
              <w:top w:val="nil"/>
              <w:left w:val="nil"/>
              <w:bottom w:val="nil"/>
              <w:right w:val="nil"/>
            </w:tcBorders>
            <w:hideMark/>
          </w:tcPr>
          <w:p w14:paraId="7E89AB9D" w14:textId="722F23EF"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0289B215" w14:textId="233AA65E" w:rsidR="00123EB0" w:rsidRPr="00940E38" w:rsidRDefault="00123EB0" w:rsidP="00123EB0">
            <w:pPr>
              <w:jc w:val="left"/>
              <w:rPr>
                <w:szCs w:val="17"/>
              </w:rPr>
            </w:pPr>
            <w:hyperlink w:anchor="INDEX_Sig_change_finposition" w:history="1">
              <w:r w:rsidRPr="00F36951">
                <w:rPr>
                  <w:rStyle w:val="Hyperlink"/>
                </w:rPr>
                <w:t>Major changes or factors affecting performance</w:t>
              </w:r>
            </w:hyperlink>
            <w:r w:rsidRPr="00940E38">
              <w:rPr>
                <w:szCs w:val="17"/>
              </w:rPr>
              <w:t xml:space="preserve"> </w:t>
            </w:r>
          </w:p>
        </w:tc>
        <w:tc>
          <w:tcPr>
            <w:tcW w:w="1385" w:type="dxa"/>
            <w:gridSpan w:val="2"/>
            <w:tcBorders>
              <w:top w:val="nil"/>
              <w:left w:val="nil"/>
              <w:bottom w:val="nil"/>
              <w:right w:val="nil"/>
            </w:tcBorders>
          </w:tcPr>
          <w:p w14:paraId="77816F78" w14:textId="12949B58" w:rsidR="00123EB0" w:rsidRPr="00FA4323" w:rsidRDefault="00BE612E" w:rsidP="00123EB0">
            <w:fldSimple w:instr="PAGEREF  INDEX_Sig_change_finposition  \* MERGEFORMAT">
              <w:r w:rsidRPr="00BE612E">
                <w:rPr>
                  <w:noProof/>
                  <w:lang w:val="en-US"/>
                </w:rPr>
                <w:t>25</w:t>
              </w:r>
            </w:fldSimple>
          </w:p>
        </w:tc>
      </w:tr>
      <w:tr w:rsidR="00123EB0" w:rsidRPr="00940E38" w14:paraId="730C2DF6" w14:textId="77777777" w:rsidTr="00BB2F72">
        <w:trPr>
          <w:trHeight w:val="20"/>
        </w:trPr>
        <w:tc>
          <w:tcPr>
            <w:tcW w:w="1440" w:type="dxa"/>
            <w:tcBorders>
              <w:top w:val="nil"/>
              <w:left w:val="nil"/>
              <w:bottom w:val="nil"/>
              <w:right w:val="nil"/>
            </w:tcBorders>
            <w:hideMark/>
          </w:tcPr>
          <w:p w14:paraId="446423CC" w14:textId="15828209"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50BE262B" w14:textId="2A38E5A5" w:rsidR="00123EB0" w:rsidRPr="00940E38" w:rsidRDefault="00123EB0" w:rsidP="00123EB0">
            <w:pPr>
              <w:jc w:val="left"/>
              <w:rPr>
                <w:szCs w:val="17"/>
              </w:rPr>
            </w:pPr>
            <w:hyperlink w:anchor="INDEX_SubsequentEvent" w:history="1">
              <w:r w:rsidRPr="00F55632">
                <w:rPr>
                  <w:rStyle w:val="Hyperlink"/>
                </w:rPr>
                <w:t>Subsequent events</w:t>
              </w:r>
            </w:hyperlink>
          </w:p>
        </w:tc>
        <w:tc>
          <w:tcPr>
            <w:tcW w:w="1385" w:type="dxa"/>
            <w:gridSpan w:val="2"/>
            <w:tcBorders>
              <w:top w:val="nil"/>
              <w:left w:val="nil"/>
              <w:bottom w:val="nil"/>
              <w:right w:val="nil"/>
            </w:tcBorders>
          </w:tcPr>
          <w:p w14:paraId="29CB3064" w14:textId="3F791863" w:rsidR="00123EB0" w:rsidRPr="00FA4323" w:rsidRDefault="00BE612E" w:rsidP="00123EB0">
            <w:fldSimple w:instr="PAGEREF  INDEX_SubsequentEvent  \* MERGEFORMAT">
              <w:r w:rsidRPr="00BE612E">
                <w:rPr>
                  <w:noProof/>
                  <w:lang w:val="en-US"/>
                </w:rPr>
                <w:t>32</w:t>
              </w:r>
            </w:fldSimple>
          </w:p>
        </w:tc>
      </w:tr>
      <w:tr w:rsidR="00123EB0" w:rsidRPr="00940E38" w14:paraId="71CB9281" w14:textId="77777777" w:rsidTr="00BB2F72">
        <w:trPr>
          <w:trHeight w:val="20"/>
        </w:trPr>
        <w:tc>
          <w:tcPr>
            <w:tcW w:w="1440" w:type="dxa"/>
            <w:tcBorders>
              <w:top w:val="nil"/>
              <w:left w:val="nil"/>
              <w:bottom w:val="nil"/>
              <w:right w:val="nil"/>
            </w:tcBorders>
            <w:hideMark/>
          </w:tcPr>
          <w:p w14:paraId="354C3B11" w14:textId="4AC350A3"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4882C907" w14:textId="41B88F9E" w:rsidR="00123EB0" w:rsidRPr="00940E38" w:rsidRDefault="00123EB0" w:rsidP="00123EB0">
            <w:pPr>
              <w:jc w:val="left"/>
              <w:rPr>
                <w:szCs w:val="17"/>
              </w:rPr>
            </w:pPr>
            <w:hyperlink w:anchor="INDEX_FOI" w:history="1">
              <w:r w:rsidRPr="00F55632">
                <w:rPr>
                  <w:rStyle w:val="Hyperlink"/>
                </w:rPr>
                <w:t xml:space="preserve">Application and operation of </w:t>
              </w:r>
              <w:r w:rsidRPr="00F55632">
                <w:rPr>
                  <w:rStyle w:val="Hyperlink"/>
                  <w:i/>
                  <w:iCs/>
                </w:rPr>
                <w:t>Freedom of Information Act 1982</w:t>
              </w:r>
            </w:hyperlink>
          </w:p>
        </w:tc>
        <w:tc>
          <w:tcPr>
            <w:tcW w:w="1385" w:type="dxa"/>
            <w:gridSpan w:val="2"/>
            <w:tcBorders>
              <w:top w:val="nil"/>
              <w:left w:val="nil"/>
              <w:bottom w:val="nil"/>
              <w:right w:val="nil"/>
            </w:tcBorders>
          </w:tcPr>
          <w:p w14:paraId="5C66E0D1" w14:textId="31F51E8E" w:rsidR="00123EB0" w:rsidRPr="00FA4323" w:rsidRDefault="00BE612E" w:rsidP="00123EB0">
            <w:fldSimple w:instr="PAGEREF  INDEX_FOI  \* MERGEFORMAT">
              <w:r w:rsidRPr="00BE612E">
                <w:rPr>
                  <w:noProof/>
                  <w:lang w:val="en-US"/>
                </w:rPr>
                <w:t>55</w:t>
              </w:r>
            </w:fldSimple>
          </w:p>
        </w:tc>
      </w:tr>
      <w:tr w:rsidR="00123EB0" w:rsidRPr="00940E38" w14:paraId="7BC8FCEB" w14:textId="77777777" w:rsidTr="00BB2F72">
        <w:trPr>
          <w:trHeight w:val="20"/>
        </w:trPr>
        <w:tc>
          <w:tcPr>
            <w:tcW w:w="1440" w:type="dxa"/>
            <w:tcBorders>
              <w:top w:val="nil"/>
              <w:left w:val="nil"/>
              <w:bottom w:val="nil"/>
              <w:right w:val="nil"/>
            </w:tcBorders>
            <w:hideMark/>
          </w:tcPr>
          <w:p w14:paraId="29C0643D" w14:textId="41F94DFD"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54D237EC" w14:textId="5172CB72" w:rsidR="00123EB0" w:rsidRPr="00940E38" w:rsidRDefault="00123EB0" w:rsidP="00123EB0">
            <w:pPr>
              <w:jc w:val="left"/>
              <w:rPr>
                <w:szCs w:val="17"/>
              </w:rPr>
            </w:pPr>
            <w:hyperlink w:anchor="INDEX_BuildingAct" w:history="1">
              <w:r w:rsidRPr="00F55632">
                <w:rPr>
                  <w:rStyle w:val="Hyperlink"/>
                </w:rPr>
                <w:t xml:space="preserve">Compliance with building and maintenance provisions of </w:t>
              </w:r>
              <w:r w:rsidRPr="00F55632">
                <w:rPr>
                  <w:rStyle w:val="Hyperlink"/>
                  <w:i/>
                  <w:iCs/>
                </w:rPr>
                <w:t>Building Act 1993</w:t>
              </w:r>
            </w:hyperlink>
          </w:p>
        </w:tc>
        <w:tc>
          <w:tcPr>
            <w:tcW w:w="1385" w:type="dxa"/>
            <w:gridSpan w:val="2"/>
            <w:tcBorders>
              <w:top w:val="nil"/>
              <w:left w:val="nil"/>
              <w:bottom w:val="nil"/>
              <w:right w:val="nil"/>
            </w:tcBorders>
          </w:tcPr>
          <w:p w14:paraId="1FB848AE" w14:textId="1A964BAD" w:rsidR="00123EB0" w:rsidRPr="00FA4323" w:rsidRDefault="00BE612E" w:rsidP="00123EB0">
            <w:fldSimple w:instr="PAGEREF  INDEX_BuildingAct  \* MERGEFORMAT">
              <w:r w:rsidRPr="00BE612E">
                <w:rPr>
                  <w:noProof/>
                  <w:lang w:val="en-US"/>
                </w:rPr>
                <w:t>57</w:t>
              </w:r>
            </w:fldSimple>
          </w:p>
        </w:tc>
      </w:tr>
      <w:tr w:rsidR="00123EB0" w:rsidRPr="00940E38" w14:paraId="20C7D47F" w14:textId="77777777" w:rsidTr="00BB2F72">
        <w:trPr>
          <w:trHeight w:val="20"/>
        </w:trPr>
        <w:tc>
          <w:tcPr>
            <w:tcW w:w="1440" w:type="dxa"/>
            <w:tcBorders>
              <w:top w:val="nil"/>
              <w:left w:val="nil"/>
              <w:bottom w:val="nil"/>
              <w:right w:val="nil"/>
            </w:tcBorders>
            <w:hideMark/>
          </w:tcPr>
          <w:p w14:paraId="689BCF09" w14:textId="1431B569"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3C627C4A" w14:textId="14BF1AD0" w:rsidR="00123EB0" w:rsidRPr="00940E38" w:rsidRDefault="00123EB0" w:rsidP="00123EB0">
            <w:pPr>
              <w:jc w:val="left"/>
              <w:rPr>
                <w:szCs w:val="17"/>
              </w:rPr>
            </w:pPr>
            <w:hyperlink w:anchor="INDEX_CompetitiveNeutralityPolicy" w:history="1">
              <w:r w:rsidRPr="00F55632">
                <w:rPr>
                  <w:rStyle w:val="Hyperlink"/>
                </w:rPr>
                <w:t>Statement on National Competition Policy</w:t>
              </w:r>
            </w:hyperlink>
            <w:r w:rsidRPr="00940E38">
              <w:rPr>
                <w:szCs w:val="17"/>
              </w:rPr>
              <w:t xml:space="preserve"> </w:t>
            </w:r>
          </w:p>
        </w:tc>
        <w:tc>
          <w:tcPr>
            <w:tcW w:w="1385" w:type="dxa"/>
            <w:gridSpan w:val="2"/>
            <w:tcBorders>
              <w:top w:val="nil"/>
              <w:left w:val="nil"/>
              <w:bottom w:val="nil"/>
              <w:right w:val="nil"/>
            </w:tcBorders>
          </w:tcPr>
          <w:p w14:paraId="2946EB91" w14:textId="012F8313" w:rsidR="00123EB0" w:rsidRPr="00FA4323" w:rsidRDefault="00BE612E" w:rsidP="00123EB0">
            <w:fldSimple w:instr="PAGEREF  INDEX_CompetitiveNeutralityPolicy  \* MERGEFORMAT">
              <w:r w:rsidRPr="00BE612E">
                <w:rPr>
                  <w:noProof/>
                  <w:lang w:val="en-US"/>
                </w:rPr>
                <w:t>58</w:t>
              </w:r>
            </w:fldSimple>
          </w:p>
        </w:tc>
      </w:tr>
      <w:tr w:rsidR="00123EB0" w:rsidRPr="00940E38" w14:paraId="30EFEEB3" w14:textId="77777777" w:rsidTr="00BB2F72">
        <w:trPr>
          <w:trHeight w:val="20"/>
        </w:trPr>
        <w:tc>
          <w:tcPr>
            <w:tcW w:w="1440" w:type="dxa"/>
            <w:tcBorders>
              <w:top w:val="nil"/>
              <w:left w:val="nil"/>
              <w:bottom w:val="nil"/>
              <w:right w:val="nil"/>
            </w:tcBorders>
            <w:hideMark/>
          </w:tcPr>
          <w:p w14:paraId="2D2FD62B" w14:textId="52093018"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1F37F4C8" w14:textId="22EE3B5A" w:rsidR="00123EB0" w:rsidRPr="00940E38" w:rsidRDefault="00123EB0" w:rsidP="00123EB0">
            <w:pPr>
              <w:jc w:val="left"/>
              <w:rPr>
                <w:szCs w:val="17"/>
              </w:rPr>
            </w:pPr>
            <w:hyperlink w:anchor="INDEX_ProtectedDisclosure" w:history="1">
              <w:r w:rsidRPr="00F55632">
                <w:rPr>
                  <w:rStyle w:val="Hyperlink"/>
                </w:rPr>
                <w:t xml:space="preserve">Application and operation of the </w:t>
              </w:r>
              <w:r w:rsidRPr="00E24FB7">
                <w:rPr>
                  <w:rStyle w:val="Hyperlink"/>
                  <w:i/>
                  <w:iCs/>
                </w:rPr>
                <w:t>Public Interest Disclosures Act</w:t>
              </w:r>
              <w:r w:rsidRPr="00F55632">
                <w:rPr>
                  <w:rStyle w:val="Hyperlink"/>
                  <w:i/>
                  <w:iCs/>
                </w:rPr>
                <w:t xml:space="preserve"> 2012</w:t>
              </w:r>
            </w:hyperlink>
          </w:p>
        </w:tc>
        <w:tc>
          <w:tcPr>
            <w:tcW w:w="1385" w:type="dxa"/>
            <w:gridSpan w:val="2"/>
            <w:tcBorders>
              <w:top w:val="nil"/>
              <w:left w:val="nil"/>
              <w:bottom w:val="nil"/>
              <w:right w:val="nil"/>
            </w:tcBorders>
          </w:tcPr>
          <w:p w14:paraId="40B6693C" w14:textId="7D463524" w:rsidR="00123EB0" w:rsidRPr="00FA4323" w:rsidRDefault="00BE612E" w:rsidP="00123EB0">
            <w:fldSimple w:instr="PAGEREF  INDEX_ProtectedDisclosure  \* MERGEFORMAT">
              <w:r w:rsidRPr="00BE612E">
                <w:rPr>
                  <w:noProof/>
                  <w:lang w:val="en-US"/>
                </w:rPr>
                <w:t>58</w:t>
              </w:r>
            </w:fldSimple>
          </w:p>
        </w:tc>
      </w:tr>
      <w:tr w:rsidR="00123EB0" w:rsidRPr="00940E38" w14:paraId="7FED8A15" w14:textId="77777777" w:rsidTr="00BB2F72">
        <w:trPr>
          <w:trHeight w:val="20"/>
        </w:trPr>
        <w:tc>
          <w:tcPr>
            <w:tcW w:w="1440" w:type="dxa"/>
            <w:tcBorders>
              <w:top w:val="nil"/>
              <w:left w:val="nil"/>
              <w:bottom w:val="nil"/>
              <w:right w:val="nil"/>
            </w:tcBorders>
            <w:hideMark/>
          </w:tcPr>
          <w:p w14:paraId="7FA522F0" w14:textId="4586F657"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7D3A5030" w14:textId="097ADB1B" w:rsidR="00123EB0" w:rsidRPr="00940E38" w:rsidRDefault="00123EB0" w:rsidP="00123EB0">
            <w:pPr>
              <w:jc w:val="left"/>
              <w:rPr>
                <w:szCs w:val="17"/>
              </w:rPr>
            </w:pPr>
            <w:hyperlink w:anchor="INDEX_CarersRecogAct" w:history="1">
              <w:r w:rsidRPr="00F55632">
                <w:rPr>
                  <w:rStyle w:val="Hyperlink"/>
                </w:rPr>
                <w:t xml:space="preserve">Application and operation of the </w:t>
              </w:r>
              <w:r w:rsidRPr="00F55632">
                <w:rPr>
                  <w:rStyle w:val="Hyperlink"/>
                  <w:i/>
                  <w:iCs/>
                </w:rPr>
                <w:t>Carers Recognition Act 2012</w:t>
              </w:r>
            </w:hyperlink>
          </w:p>
        </w:tc>
        <w:tc>
          <w:tcPr>
            <w:tcW w:w="1385" w:type="dxa"/>
            <w:gridSpan w:val="2"/>
            <w:tcBorders>
              <w:top w:val="nil"/>
              <w:left w:val="nil"/>
              <w:bottom w:val="nil"/>
              <w:right w:val="nil"/>
            </w:tcBorders>
          </w:tcPr>
          <w:p w14:paraId="41233D25" w14:textId="67DE1B9C" w:rsidR="00123EB0" w:rsidRPr="00FA4323" w:rsidRDefault="00BE612E" w:rsidP="00123EB0">
            <w:fldSimple w:instr="PAGEREF  INDEX_CarersRecogAct  \* MERGEFORMAT">
              <w:r w:rsidRPr="00BE612E">
                <w:rPr>
                  <w:noProof/>
                  <w:lang w:val="en-US"/>
                </w:rPr>
                <w:t>60</w:t>
              </w:r>
            </w:fldSimple>
          </w:p>
        </w:tc>
      </w:tr>
      <w:tr w:rsidR="00123EB0" w:rsidRPr="00940E38" w14:paraId="3BE22699" w14:textId="77777777" w:rsidTr="00BB2F72">
        <w:trPr>
          <w:trHeight w:val="20"/>
        </w:trPr>
        <w:tc>
          <w:tcPr>
            <w:tcW w:w="1440" w:type="dxa"/>
            <w:tcBorders>
              <w:top w:val="nil"/>
              <w:left w:val="nil"/>
              <w:bottom w:val="nil"/>
              <w:right w:val="nil"/>
            </w:tcBorders>
            <w:hideMark/>
          </w:tcPr>
          <w:p w14:paraId="56D73912" w14:textId="65A5377A"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19B541AE" w14:textId="029BA761" w:rsidR="00123EB0" w:rsidRPr="00940E38" w:rsidRDefault="00123EB0" w:rsidP="00123EB0">
            <w:pPr>
              <w:jc w:val="left"/>
              <w:rPr>
                <w:szCs w:val="17"/>
              </w:rPr>
            </w:pPr>
            <w:hyperlink w:anchor="_Details_of_consultancies" w:history="1">
              <w:r w:rsidRPr="00F55632">
                <w:rPr>
                  <w:rStyle w:val="Hyperlink"/>
                </w:rPr>
                <w:t>Details of consultancies over $10 000</w:t>
              </w:r>
            </w:hyperlink>
            <w:r w:rsidRPr="00940E38">
              <w:rPr>
                <w:szCs w:val="17"/>
              </w:rPr>
              <w:t xml:space="preserve"> </w:t>
            </w:r>
          </w:p>
        </w:tc>
        <w:tc>
          <w:tcPr>
            <w:tcW w:w="1385" w:type="dxa"/>
            <w:gridSpan w:val="2"/>
            <w:tcBorders>
              <w:top w:val="nil"/>
              <w:left w:val="nil"/>
              <w:bottom w:val="nil"/>
              <w:right w:val="nil"/>
            </w:tcBorders>
          </w:tcPr>
          <w:p w14:paraId="59A57764" w14:textId="0742B538" w:rsidR="00123EB0" w:rsidRPr="00FA4323" w:rsidRDefault="00BE612E" w:rsidP="00123EB0">
            <w:fldSimple w:instr="PAGEREF  INDEX_Consultancy  \* MERGEFORMAT">
              <w:r w:rsidRPr="00BE612E">
                <w:rPr>
                  <w:noProof/>
                  <w:lang w:val="en-US"/>
                </w:rPr>
                <w:t>50</w:t>
              </w:r>
            </w:fldSimple>
          </w:p>
        </w:tc>
      </w:tr>
      <w:tr w:rsidR="00123EB0" w:rsidRPr="00940E38" w14:paraId="23601B35" w14:textId="77777777" w:rsidTr="00BB2F72">
        <w:trPr>
          <w:trHeight w:val="20"/>
        </w:trPr>
        <w:tc>
          <w:tcPr>
            <w:tcW w:w="1440" w:type="dxa"/>
            <w:tcBorders>
              <w:top w:val="nil"/>
              <w:left w:val="nil"/>
              <w:bottom w:val="nil"/>
              <w:right w:val="nil"/>
            </w:tcBorders>
            <w:hideMark/>
          </w:tcPr>
          <w:p w14:paraId="6DEF8B4E" w14:textId="0E4E354A"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19C0135E" w14:textId="597A0035" w:rsidR="00123EB0" w:rsidRPr="00940E38" w:rsidRDefault="00123EB0" w:rsidP="00123EB0">
            <w:pPr>
              <w:jc w:val="left"/>
              <w:rPr>
                <w:szCs w:val="17"/>
              </w:rPr>
            </w:pPr>
            <w:hyperlink w:anchor="_Details_of_consultancies_1" w:history="1">
              <w:r w:rsidRPr="00F55632">
                <w:rPr>
                  <w:rStyle w:val="Hyperlink"/>
                </w:rPr>
                <w:t>Details of consultancies under $10 000</w:t>
              </w:r>
            </w:hyperlink>
            <w:r w:rsidRPr="00940E38">
              <w:rPr>
                <w:szCs w:val="17"/>
              </w:rPr>
              <w:t xml:space="preserve"> </w:t>
            </w:r>
          </w:p>
        </w:tc>
        <w:tc>
          <w:tcPr>
            <w:tcW w:w="1385" w:type="dxa"/>
            <w:gridSpan w:val="2"/>
            <w:tcBorders>
              <w:top w:val="nil"/>
              <w:left w:val="nil"/>
              <w:bottom w:val="nil"/>
              <w:right w:val="nil"/>
            </w:tcBorders>
          </w:tcPr>
          <w:p w14:paraId="78B3C381" w14:textId="108BAA1D" w:rsidR="00123EB0" w:rsidRPr="00FA4323" w:rsidRDefault="00BE612E" w:rsidP="00123EB0">
            <w:fldSimple w:instr="PAGEREF  INDEX_Consultancy  \* MERGEFORMAT">
              <w:r w:rsidRPr="00BE612E">
                <w:rPr>
                  <w:noProof/>
                  <w:lang w:val="en-US"/>
                </w:rPr>
                <w:t>50</w:t>
              </w:r>
            </w:fldSimple>
          </w:p>
        </w:tc>
      </w:tr>
      <w:tr w:rsidR="00123EB0" w:rsidRPr="00940E38" w14:paraId="096E75F6" w14:textId="77777777" w:rsidTr="00BB2F72">
        <w:trPr>
          <w:trHeight w:val="20"/>
        </w:trPr>
        <w:tc>
          <w:tcPr>
            <w:tcW w:w="1440" w:type="dxa"/>
            <w:tcBorders>
              <w:top w:val="nil"/>
              <w:left w:val="nil"/>
              <w:bottom w:val="nil"/>
              <w:right w:val="nil"/>
            </w:tcBorders>
            <w:hideMark/>
          </w:tcPr>
          <w:p w14:paraId="39009719" w14:textId="695F15EC" w:rsidR="00123EB0" w:rsidRPr="00940E38" w:rsidRDefault="00123EB0" w:rsidP="00123EB0">
            <w:pPr>
              <w:jc w:val="left"/>
              <w:rPr>
                <w:szCs w:val="17"/>
              </w:rPr>
            </w:pPr>
            <w:r w:rsidRPr="00940E38">
              <w:rPr>
                <w:szCs w:val="17"/>
              </w:rPr>
              <w:t>FRD 22</w:t>
            </w:r>
          </w:p>
        </w:tc>
        <w:tc>
          <w:tcPr>
            <w:tcW w:w="6895" w:type="dxa"/>
            <w:tcBorders>
              <w:top w:val="nil"/>
              <w:left w:val="nil"/>
              <w:bottom w:val="nil"/>
              <w:right w:val="nil"/>
            </w:tcBorders>
            <w:hideMark/>
          </w:tcPr>
          <w:p w14:paraId="66B16190" w14:textId="1657CF5A" w:rsidR="00123EB0" w:rsidRPr="00940E38" w:rsidRDefault="00123EB0" w:rsidP="00123EB0">
            <w:pPr>
              <w:jc w:val="left"/>
              <w:rPr>
                <w:szCs w:val="17"/>
              </w:rPr>
            </w:pPr>
            <w:hyperlink w:anchor="INDEX_AdvertisingExp" w:history="1">
              <w:r w:rsidRPr="00F55632">
                <w:rPr>
                  <w:rStyle w:val="Hyperlink"/>
                </w:rPr>
                <w:t>Disclosure of government advertising expenditure</w:t>
              </w:r>
            </w:hyperlink>
          </w:p>
        </w:tc>
        <w:tc>
          <w:tcPr>
            <w:tcW w:w="1385" w:type="dxa"/>
            <w:gridSpan w:val="2"/>
            <w:tcBorders>
              <w:top w:val="nil"/>
              <w:left w:val="nil"/>
              <w:bottom w:val="nil"/>
              <w:right w:val="nil"/>
            </w:tcBorders>
          </w:tcPr>
          <w:p w14:paraId="3DF8B617" w14:textId="66C9CAED" w:rsidR="00123EB0" w:rsidRPr="00FA4323" w:rsidRDefault="00BE612E" w:rsidP="00123EB0">
            <w:fldSimple w:instr="PAGEREF  INDEX_AdvertisingExp  \* MERGEFORMAT">
              <w:r w:rsidRPr="00BE612E">
                <w:rPr>
                  <w:noProof/>
                  <w:lang w:val="en-US"/>
                </w:rPr>
                <w:t>49</w:t>
              </w:r>
            </w:fldSimple>
          </w:p>
        </w:tc>
      </w:tr>
      <w:tr w:rsidR="007A5D40" w:rsidRPr="00940E38" w14:paraId="4B091AE3" w14:textId="77777777" w:rsidTr="00BB2F72">
        <w:trPr>
          <w:trHeight w:val="20"/>
        </w:trPr>
        <w:tc>
          <w:tcPr>
            <w:tcW w:w="1440" w:type="dxa"/>
            <w:tcBorders>
              <w:top w:val="nil"/>
              <w:left w:val="nil"/>
              <w:bottom w:val="nil"/>
              <w:right w:val="nil"/>
            </w:tcBorders>
          </w:tcPr>
          <w:p w14:paraId="57BC4E77" w14:textId="0217CCEC" w:rsidR="006D3822" w:rsidRDefault="006D3822" w:rsidP="00994C66">
            <w:pPr>
              <w:jc w:val="left"/>
              <w:rPr>
                <w:szCs w:val="17"/>
              </w:rPr>
            </w:pPr>
            <w:r>
              <w:rPr>
                <w:szCs w:val="17"/>
              </w:rPr>
              <w:t>FRD 22</w:t>
            </w:r>
          </w:p>
        </w:tc>
        <w:tc>
          <w:tcPr>
            <w:tcW w:w="6895" w:type="dxa"/>
            <w:tcBorders>
              <w:top w:val="nil"/>
              <w:left w:val="nil"/>
              <w:bottom w:val="nil"/>
              <w:right w:val="nil"/>
            </w:tcBorders>
          </w:tcPr>
          <w:p w14:paraId="6E1B049E" w14:textId="4F11BECE" w:rsidR="006D3822" w:rsidRDefault="006D3822" w:rsidP="00994C66">
            <w:pPr>
              <w:jc w:val="left"/>
            </w:pPr>
            <w:hyperlink w:anchor="INDEX_ICTexp" w:history="1">
              <w:r w:rsidRPr="006D3822">
                <w:rPr>
                  <w:rStyle w:val="Hyperlink"/>
                </w:rPr>
                <w:t>Disclosure of ICT expenditure</w:t>
              </w:r>
            </w:hyperlink>
          </w:p>
        </w:tc>
        <w:tc>
          <w:tcPr>
            <w:tcW w:w="1385" w:type="dxa"/>
            <w:gridSpan w:val="2"/>
            <w:tcBorders>
              <w:top w:val="nil"/>
              <w:left w:val="nil"/>
              <w:bottom w:val="nil"/>
              <w:right w:val="nil"/>
            </w:tcBorders>
          </w:tcPr>
          <w:p w14:paraId="1D8D15FD" w14:textId="10867051" w:rsidR="006D3822" w:rsidRDefault="00BE612E" w:rsidP="00BB2F72">
            <w:fldSimple w:instr="PAGEREF  INDEX_ICTexp  \* MERGEFORMAT">
              <w:r>
                <w:rPr>
                  <w:noProof/>
                </w:rPr>
                <w:t>53</w:t>
              </w:r>
            </w:fldSimple>
          </w:p>
        </w:tc>
      </w:tr>
      <w:tr w:rsidR="007A5D40" w:rsidRPr="00940E38" w14:paraId="73F1C301" w14:textId="77777777" w:rsidTr="00BB2F72">
        <w:trPr>
          <w:trHeight w:val="20"/>
        </w:trPr>
        <w:tc>
          <w:tcPr>
            <w:tcW w:w="1440" w:type="dxa"/>
            <w:tcBorders>
              <w:top w:val="nil"/>
              <w:left w:val="nil"/>
              <w:bottom w:val="nil"/>
              <w:right w:val="nil"/>
            </w:tcBorders>
          </w:tcPr>
          <w:p w14:paraId="384725F8" w14:textId="356F9888" w:rsidR="006D3822" w:rsidRPr="00940E38" w:rsidRDefault="006D3822" w:rsidP="00994C66">
            <w:pPr>
              <w:jc w:val="left"/>
              <w:rPr>
                <w:szCs w:val="17"/>
              </w:rPr>
            </w:pPr>
            <w:r>
              <w:rPr>
                <w:szCs w:val="17"/>
              </w:rPr>
              <w:t>FRD 22</w:t>
            </w:r>
          </w:p>
        </w:tc>
        <w:tc>
          <w:tcPr>
            <w:tcW w:w="6895" w:type="dxa"/>
            <w:tcBorders>
              <w:top w:val="nil"/>
              <w:left w:val="nil"/>
              <w:bottom w:val="nil"/>
              <w:right w:val="nil"/>
            </w:tcBorders>
          </w:tcPr>
          <w:p w14:paraId="1C887F80" w14:textId="13EE3511" w:rsidR="006D3822" w:rsidRDefault="006D3822" w:rsidP="00994C66">
            <w:pPr>
              <w:jc w:val="left"/>
            </w:pPr>
            <w:hyperlink w:anchor="INDEX_ReviewsAndStudiesExp" w:history="1">
              <w:r w:rsidRPr="009C27B8">
                <w:rPr>
                  <w:rStyle w:val="Hyperlink"/>
                </w:rPr>
                <w:t>Reviews and studies expenditure</w:t>
              </w:r>
            </w:hyperlink>
          </w:p>
        </w:tc>
        <w:tc>
          <w:tcPr>
            <w:tcW w:w="1385" w:type="dxa"/>
            <w:gridSpan w:val="2"/>
            <w:tcBorders>
              <w:top w:val="nil"/>
              <w:left w:val="nil"/>
              <w:bottom w:val="nil"/>
              <w:right w:val="nil"/>
            </w:tcBorders>
          </w:tcPr>
          <w:p w14:paraId="3B901443" w14:textId="6DD53679" w:rsidR="006D3822" w:rsidRDefault="00BE612E" w:rsidP="00BB2F72">
            <w:fldSimple w:instr="PAGEREF  INDEX_ReviewsAndStudiesExp  \* MERGEFORMAT">
              <w:r>
                <w:rPr>
                  <w:noProof/>
                </w:rPr>
                <w:t>52</w:t>
              </w:r>
            </w:fldSimple>
          </w:p>
        </w:tc>
      </w:tr>
      <w:tr w:rsidR="006D3822" w:rsidRPr="00940E38" w14:paraId="013D31F2" w14:textId="77777777" w:rsidTr="00BB2F72">
        <w:trPr>
          <w:trHeight w:val="20"/>
        </w:trPr>
        <w:tc>
          <w:tcPr>
            <w:tcW w:w="1440" w:type="dxa"/>
            <w:tcBorders>
              <w:top w:val="nil"/>
              <w:left w:val="nil"/>
              <w:bottom w:val="nil"/>
              <w:right w:val="nil"/>
            </w:tcBorders>
            <w:hideMark/>
          </w:tcPr>
          <w:p w14:paraId="51D0D963" w14:textId="3F43B6B1" w:rsidR="006D3822" w:rsidRPr="00940E38" w:rsidRDefault="006D3822" w:rsidP="006D3822">
            <w:pPr>
              <w:jc w:val="left"/>
              <w:rPr>
                <w:szCs w:val="17"/>
              </w:rPr>
            </w:pPr>
            <w:r w:rsidRPr="00940E38">
              <w:rPr>
                <w:szCs w:val="17"/>
              </w:rPr>
              <w:t>FRD 22</w:t>
            </w:r>
          </w:p>
        </w:tc>
        <w:tc>
          <w:tcPr>
            <w:tcW w:w="6895" w:type="dxa"/>
            <w:tcBorders>
              <w:top w:val="nil"/>
              <w:left w:val="nil"/>
              <w:bottom w:val="nil"/>
              <w:right w:val="nil"/>
            </w:tcBorders>
            <w:hideMark/>
          </w:tcPr>
          <w:p w14:paraId="54307FC8" w14:textId="6DD0935A" w:rsidR="006D3822" w:rsidRPr="00940E38" w:rsidRDefault="006D3822" w:rsidP="006D3822">
            <w:pPr>
              <w:jc w:val="left"/>
              <w:rPr>
                <w:szCs w:val="17"/>
              </w:rPr>
            </w:pPr>
            <w:hyperlink w:anchor="INDEX_AdditionalInfo" w:history="1">
              <w:r w:rsidRPr="00F55632">
                <w:rPr>
                  <w:rStyle w:val="Hyperlink"/>
                </w:rPr>
                <w:t>Statement of availability of other information</w:t>
              </w:r>
            </w:hyperlink>
            <w:r w:rsidRPr="00940E38">
              <w:rPr>
                <w:szCs w:val="17"/>
              </w:rPr>
              <w:t xml:space="preserve"> </w:t>
            </w:r>
          </w:p>
        </w:tc>
        <w:tc>
          <w:tcPr>
            <w:tcW w:w="1385" w:type="dxa"/>
            <w:gridSpan w:val="2"/>
            <w:tcBorders>
              <w:top w:val="nil"/>
              <w:left w:val="nil"/>
              <w:bottom w:val="nil"/>
              <w:right w:val="nil"/>
            </w:tcBorders>
          </w:tcPr>
          <w:p w14:paraId="63A30D2C" w14:textId="04299145" w:rsidR="006D3822" w:rsidRPr="00FA4323" w:rsidRDefault="00BE612E" w:rsidP="006D3822">
            <w:fldSimple w:instr="PAGEREF  INDEX_AdditionalInfo  \* MERGEFORMAT">
              <w:r w:rsidRPr="00BE612E">
                <w:rPr>
                  <w:noProof/>
                  <w:lang w:val="en-US"/>
                </w:rPr>
                <w:t>75</w:t>
              </w:r>
            </w:fldSimple>
          </w:p>
        </w:tc>
      </w:tr>
      <w:tr w:rsidR="006D3822" w:rsidRPr="00940E38" w14:paraId="7AD58E87" w14:textId="77777777" w:rsidTr="00BB2F72">
        <w:trPr>
          <w:trHeight w:val="20"/>
        </w:trPr>
        <w:tc>
          <w:tcPr>
            <w:tcW w:w="1440" w:type="dxa"/>
            <w:tcBorders>
              <w:top w:val="nil"/>
              <w:left w:val="nil"/>
              <w:bottom w:val="nil"/>
              <w:right w:val="nil"/>
            </w:tcBorders>
          </w:tcPr>
          <w:p w14:paraId="5BF5CC03" w14:textId="4421EEA5" w:rsidR="006D3822" w:rsidRPr="00940E38" w:rsidRDefault="006D3822" w:rsidP="006D3822">
            <w:pPr>
              <w:jc w:val="left"/>
              <w:rPr>
                <w:szCs w:val="17"/>
              </w:rPr>
            </w:pPr>
            <w:r w:rsidRPr="00940E38">
              <w:rPr>
                <w:szCs w:val="17"/>
              </w:rPr>
              <w:t>FRD 22</w:t>
            </w:r>
          </w:p>
        </w:tc>
        <w:tc>
          <w:tcPr>
            <w:tcW w:w="6895" w:type="dxa"/>
            <w:tcBorders>
              <w:top w:val="nil"/>
              <w:left w:val="nil"/>
              <w:bottom w:val="nil"/>
              <w:right w:val="nil"/>
            </w:tcBorders>
          </w:tcPr>
          <w:p w14:paraId="7FA083E6" w14:textId="09F0EE50" w:rsidR="006D3822" w:rsidRPr="00EB55E0" w:rsidRDefault="006D3822" w:rsidP="006D3822">
            <w:pPr>
              <w:jc w:val="left"/>
              <w:rPr>
                <w:szCs w:val="16"/>
              </w:rPr>
            </w:pPr>
            <w:hyperlink w:anchor="_Asset_Management_Accountability" w:history="1">
              <w:r w:rsidRPr="00BA0EB9">
                <w:rPr>
                  <w:rStyle w:val="Hyperlink"/>
                  <w:szCs w:val="16"/>
                </w:rPr>
                <w:t>Asset Management Accountability Framework (AMAF) maturity assessment</w:t>
              </w:r>
            </w:hyperlink>
          </w:p>
        </w:tc>
        <w:tc>
          <w:tcPr>
            <w:tcW w:w="1385" w:type="dxa"/>
            <w:gridSpan w:val="2"/>
            <w:tcBorders>
              <w:top w:val="nil"/>
              <w:left w:val="nil"/>
              <w:bottom w:val="nil"/>
              <w:right w:val="nil"/>
            </w:tcBorders>
          </w:tcPr>
          <w:p w14:paraId="4BF11593" w14:textId="7F47DCB6" w:rsidR="006D3822" w:rsidRDefault="00BE612E" w:rsidP="006D3822">
            <w:fldSimple w:instr="PAGEREF  INDEX_AMAF  \* MERGEFORMAT">
              <w:r>
                <w:rPr>
                  <w:noProof/>
                </w:rPr>
                <w:t>78</w:t>
              </w:r>
            </w:fldSimple>
          </w:p>
        </w:tc>
      </w:tr>
      <w:tr w:rsidR="006D3822" w:rsidRPr="00940E38" w14:paraId="4DC5B52B" w14:textId="77777777" w:rsidTr="00BB2F72">
        <w:trPr>
          <w:trHeight w:val="20"/>
        </w:trPr>
        <w:tc>
          <w:tcPr>
            <w:tcW w:w="1440" w:type="dxa"/>
            <w:tcBorders>
              <w:top w:val="nil"/>
              <w:left w:val="nil"/>
              <w:bottom w:val="nil"/>
              <w:right w:val="nil"/>
            </w:tcBorders>
          </w:tcPr>
          <w:p w14:paraId="07187323" w14:textId="134975C9" w:rsidR="006D3822" w:rsidRPr="00940E38" w:rsidRDefault="006D3822" w:rsidP="006D3822">
            <w:pPr>
              <w:tabs>
                <w:tab w:val="left" w:pos="184"/>
              </w:tabs>
              <w:jc w:val="left"/>
              <w:rPr>
                <w:szCs w:val="17"/>
              </w:rPr>
            </w:pPr>
            <w:r>
              <w:rPr>
                <w:szCs w:val="17"/>
              </w:rPr>
              <w:t>FRD 22</w:t>
            </w:r>
          </w:p>
        </w:tc>
        <w:tc>
          <w:tcPr>
            <w:tcW w:w="6895" w:type="dxa"/>
            <w:tcBorders>
              <w:top w:val="nil"/>
              <w:left w:val="nil"/>
              <w:bottom w:val="nil"/>
              <w:right w:val="nil"/>
            </w:tcBorders>
          </w:tcPr>
          <w:p w14:paraId="5005ACFA" w14:textId="7605C876" w:rsidR="006D3822" w:rsidRDefault="006D3822" w:rsidP="006D3822">
            <w:pPr>
              <w:jc w:val="left"/>
            </w:pPr>
            <w:hyperlink w:anchor="INDEX_EmergencyProcurement" w:history="1">
              <w:r w:rsidRPr="006354AB">
                <w:rPr>
                  <w:rStyle w:val="Hyperlink"/>
                  <w:sz w:val="18"/>
                </w:rPr>
                <w:t>D</w:t>
              </w:r>
              <w:r w:rsidRPr="006354AB">
                <w:rPr>
                  <w:rStyle w:val="Hyperlink"/>
                </w:rPr>
                <w:t>isclosure of emergency procurement</w:t>
              </w:r>
            </w:hyperlink>
          </w:p>
        </w:tc>
        <w:tc>
          <w:tcPr>
            <w:tcW w:w="1385" w:type="dxa"/>
            <w:gridSpan w:val="2"/>
            <w:tcBorders>
              <w:top w:val="nil"/>
              <w:left w:val="nil"/>
              <w:bottom w:val="nil"/>
              <w:right w:val="nil"/>
            </w:tcBorders>
          </w:tcPr>
          <w:p w14:paraId="04C9D38F" w14:textId="1335AE21" w:rsidR="006D3822" w:rsidRDefault="00BE612E" w:rsidP="006D3822">
            <w:fldSimple w:instr="PAGEREF  INDEX_EmergencyProcurement  \* MERGEFORMAT">
              <w:r>
                <w:rPr>
                  <w:noProof/>
                </w:rPr>
                <w:t>62</w:t>
              </w:r>
            </w:fldSimple>
          </w:p>
        </w:tc>
      </w:tr>
      <w:tr w:rsidR="005D244C" w:rsidRPr="002C3802" w14:paraId="7E292E27" w14:textId="77777777" w:rsidTr="00BB2F72">
        <w:trPr>
          <w:trHeight w:val="20"/>
        </w:trPr>
        <w:tc>
          <w:tcPr>
            <w:tcW w:w="1440" w:type="dxa"/>
            <w:tcBorders>
              <w:top w:val="nil"/>
              <w:left w:val="nil"/>
              <w:bottom w:val="nil"/>
              <w:right w:val="nil"/>
            </w:tcBorders>
          </w:tcPr>
          <w:p w14:paraId="52EDABC5" w14:textId="77777777" w:rsidR="005D244C" w:rsidRPr="00C3511B" w:rsidRDefault="005D244C" w:rsidP="00E46E3A">
            <w:pPr>
              <w:jc w:val="left"/>
              <w:rPr>
                <w:szCs w:val="17"/>
              </w:rPr>
            </w:pPr>
            <w:r w:rsidRPr="00C3511B">
              <w:rPr>
                <w:szCs w:val="17"/>
              </w:rPr>
              <w:t>FRD 22</w:t>
            </w:r>
          </w:p>
        </w:tc>
        <w:tc>
          <w:tcPr>
            <w:tcW w:w="6895" w:type="dxa"/>
            <w:tcBorders>
              <w:top w:val="nil"/>
              <w:left w:val="nil"/>
              <w:bottom w:val="nil"/>
              <w:right w:val="nil"/>
            </w:tcBorders>
          </w:tcPr>
          <w:p w14:paraId="02E377D1" w14:textId="56E85904" w:rsidR="005D244C" w:rsidRPr="00C3511B" w:rsidRDefault="00210CEA" w:rsidP="00214942">
            <w:pPr>
              <w:tabs>
                <w:tab w:val="left" w:pos="1448"/>
                <w:tab w:val="right" w:pos="6781"/>
              </w:tabs>
              <w:jc w:val="left"/>
            </w:pPr>
            <w:hyperlink w:anchor="_Disclosure_of_social" w:history="1">
              <w:r w:rsidRPr="00C3511B">
                <w:rPr>
                  <w:rStyle w:val="Hyperlink"/>
                  <w:szCs w:val="16"/>
                </w:rPr>
                <w:t>Disclosure of social procurement activities under the Social Procurement Fr</w:t>
              </w:r>
              <w:bookmarkStart w:id="196" w:name="_Hlt191632261"/>
              <w:bookmarkStart w:id="197" w:name="_Hlt191632262"/>
              <w:r w:rsidRPr="00C3511B">
                <w:rPr>
                  <w:rStyle w:val="Hyperlink"/>
                  <w:szCs w:val="16"/>
                </w:rPr>
                <w:t>a</w:t>
              </w:r>
              <w:bookmarkEnd w:id="196"/>
              <w:bookmarkEnd w:id="197"/>
              <w:r w:rsidRPr="00C3511B">
                <w:rPr>
                  <w:rStyle w:val="Hyperlink"/>
                  <w:szCs w:val="16"/>
                </w:rPr>
                <w:t>mework</w:t>
              </w:r>
            </w:hyperlink>
          </w:p>
        </w:tc>
        <w:tc>
          <w:tcPr>
            <w:tcW w:w="1385" w:type="dxa"/>
            <w:gridSpan w:val="2"/>
            <w:tcBorders>
              <w:top w:val="nil"/>
              <w:left w:val="nil"/>
              <w:bottom w:val="nil"/>
              <w:right w:val="nil"/>
            </w:tcBorders>
          </w:tcPr>
          <w:p w14:paraId="6B7838D5" w14:textId="18B2609F" w:rsidR="005D244C" w:rsidRPr="00C3511B" w:rsidRDefault="00D86D94" w:rsidP="00BB2F72">
            <w:pPr>
              <w:tabs>
                <w:tab w:val="left" w:pos="1132"/>
                <w:tab w:val="left" w:pos="1199"/>
              </w:tabs>
            </w:pPr>
            <w:r>
              <w:fldChar w:fldCharType="begin"/>
            </w:r>
            <w:r>
              <w:instrText xml:space="preserve">PAGEREF  </w:instrText>
            </w:r>
            <w:r w:rsidRPr="00D86D94">
              <w:instrText>INDEX_Disclosureofsocialprocurement</w:instrText>
            </w:r>
            <w:r>
              <w:instrText xml:space="preserve">  \* MERGEFORMAT</w:instrText>
            </w:r>
            <w:r>
              <w:fldChar w:fldCharType="separate"/>
            </w:r>
            <w:r w:rsidR="00BE612E">
              <w:rPr>
                <w:noProof/>
              </w:rPr>
              <w:t>63</w:t>
            </w:r>
            <w:r>
              <w:rPr>
                <w:noProof/>
              </w:rPr>
              <w:fldChar w:fldCharType="end"/>
            </w:r>
          </w:p>
        </w:tc>
      </w:tr>
      <w:tr w:rsidR="007A5D40" w:rsidRPr="00940E38" w14:paraId="1DC1B8FA" w14:textId="77777777" w:rsidTr="00BB2F72">
        <w:trPr>
          <w:trHeight w:val="20"/>
        </w:trPr>
        <w:tc>
          <w:tcPr>
            <w:tcW w:w="1440" w:type="dxa"/>
            <w:tcBorders>
              <w:top w:val="nil"/>
              <w:left w:val="nil"/>
              <w:bottom w:val="nil"/>
              <w:right w:val="nil"/>
            </w:tcBorders>
          </w:tcPr>
          <w:p w14:paraId="4AEBC4E4" w14:textId="499D0B44" w:rsidR="005F0EE1" w:rsidRDefault="005F0EE1" w:rsidP="00994C66">
            <w:pPr>
              <w:jc w:val="left"/>
              <w:rPr>
                <w:szCs w:val="17"/>
              </w:rPr>
            </w:pPr>
            <w:r>
              <w:rPr>
                <w:szCs w:val="17"/>
              </w:rPr>
              <w:t>FRD 22</w:t>
            </w:r>
          </w:p>
        </w:tc>
        <w:tc>
          <w:tcPr>
            <w:tcW w:w="6895" w:type="dxa"/>
            <w:tcBorders>
              <w:top w:val="nil"/>
              <w:left w:val="nil"/>
              <w:bottom w:val="nil"/>
              <w:right w:val="nil"/>
            </w:tcBorders>
          </w:tcPr>
          <w:p w14:paraId="51ED349F" w14:textId="7CBF3DBE" w:rsidR="005F0EE1" w:rsidRPr="007B2DAE" w:rsidRDefault="005F0EE1" w:rsidP="00994C66">
            <w:pPr>
              <w:jc w:val="left"/>
              <w:rPr>
                <w:szCs w:val="16"/>
              </w:rPr>
            </w:pPr>
            <w:hyperlink w:anchor="_Disclosure_of_procurement" w:history="1">
              <w:r w:rsidRPr="007B2DAE">
                <w:rPr>
                  <w:rStyle w:val="Hyperlink"/>
                  <w:szCs w:val="16"/>
                </w:rPr>
                <w:t>Disclosure of procurement complaint</w:t>
              </w:r>
              <w:r w:rsidR="0018260B" w:rsidRPr="007B2DAE">
                <w:rPr>
                  <w:rStyle w:val="Hyperlink"/>
                  <w:szCs w:val="16"/>
                </w:rPr>
                <w:t>s</w:t>
              </w:r>
            </w:hyperlink>
          </w:p>
        </w:tc>
        <w:tc>
          <w:tcPr>
            <w:tcW w:w="1385" w:type="dxa"/>
            <w:gridSpan w:val="2"/>
            <w:tcBorders>
              <w:top w:val="nil"/>
              <w:left w:val="nil"/>
              <w:bottom w:val="nil"/>
              <w:right w:val="nil"/>
            </w:tcBorders>
          </w:tcPr>
          <w:p w14:paraId="140890C8" w14:textId="1B773CA0" w:rsidR="005F0EE1" w:rsidRPr="007E1E63" w:rsidRDefault="00BE612E" w:rsidP="00BB2F72">
            <w:fldSimple w:instr="PAGEREF  INDEX_ProcurementComplaints  \* MERGEFORMAT">
              <w:r w:rsidRPr="00BE612E">
                <w:rPr>
                  <w:noProof/>
                  <w:lang w:val="en-US"/>
                </w:rPr>
                <w:t>64</w:t>
              </w:r>
            </w:fldSimple>
          </w:p>
        </w:tc>
      </w:tr>
      <w:tr w:rsidR="006D3822" w:rsidRPr="00940E38" w14:paraId="48228B07" w14:textId="77777777" w:rsidTr="00BB2F72">
        <w:trPr>
          <w:trHeight w:val="20"/>
        </w:trPr>
        <w:tc>
          <w:tcPr>
            <w:tcW w:w="1440" w:type="dxa"/>
            <w:tcBorders>
              <w:top w:val="nil"/>
              <w:left w:val="nil"/>
              <w:bottom w:val="nil"/>
              <w:right w:val="nil"/>
            </w:tcBorders>
          </w:tcPr>
          <w:p w14:paraId="16E3EC1A" w14:textId="293C8FEA" w:rsidR="006D3822" w:rsidRPr="00940E38" w:rsidRDefault="006D3822" w:rsidP="006D3822">
            <w:pPr>
              <w:jc w:val="left"/>
              <w:rPr>
                <w:szCs w:val="17"/>
              </w:rPr>
            </w:pPr>
            <w:r>
              <w:rPr>
                <w:szCs w:val="17"/>
              </w:rPr>
              <w:t>FRD 24</w:t>
            </w:r>
          </w:p>
        </w:tc>
        <w:tc>
          <w:tcPr>
            <w:tcW w:w="6895" w:type="dxa"/>
            <w:tcBorders>
              <w:top w:val="nil"/>
              <w:left w:val="nil"/>
              <w:bottom w:val="nil"/>
              <w:right w:val="nil"/>
            </w:tcBorders>
          </w:tcPr>
          <w:p w14:paraId="40E56FBF" w14:textId="6C998E1D" w:rsidR="006D3822" w:rsidRPr="005F0EE1" w:rsidRDefault="00832E0B" w:rsidP="006D3822">
            <w:pPr>
              <w:jc w:val="left"/>
              <w:rPr>
                <w:szCs w:val="16"/>
              </w:rPr>
            </w:pPr>
            <w:hyperlink w:anchor="INDEX_EnvironmentalReporting" w:history="1">
              <w:r>
                <w:rPr>
                  <w:rStyle w:val="Hyperlink"/>
                  <w:szCs w:val="16"/>
                </w:rPr>
                <w:t>Reporting of environmental data</w:t>
              </w:r>
            </w:hyperlink>
          </w:p>
        </w:tc>
        <w:tc>
          <w:tcPr>
            <w:tcW w:w="1385" w:type="dxa"/>
            <w:gridSpan w:val="2"/>
            <w:tcBorders>
              <w:top w:val="nil"/>
              <w:left w:val="nil"/>
              <w:bottom w:val="nil"/>
              <w:right w:val="nil"/>
            </w:tcBorders>
          </w:tcPr>
          <w:p w14:paraId="3CFCC51C" w14:textId="448AA091" w:rsidR="006D3822" w:rsidRDefault="00BE612E" w:rsidP="006D3822">
            <w:fldSimple w:instr="PAGEREF  INDEX_EnvironmentalReporting  \* MERGEFORMAT">
              <w:r>
                <w:rPr>
                  <w:noProof/>
                </w:rPr>
                <w:t>65</w:t>
              </w:r>
            </w:fldSimple>
          </w:p>
        </w:tc>
      </w:tr>
      <w:tr w:rsidR="006D3822" w:rsidRPr="00940E38" w14:paraId="3FBB631C" w14:textId="77777777" w:rsidTr="00BB2F72">
        <w:trPr>
          <w:trHeight w:val="20"/>
        </w:trPr>
        <w:tc>
          <w:tcPr>
            <w:tcW w:w="1440" w:type="dxa"/>
            <w:tcBorders>
              <w:top w:val="nil"/>
              <w:left w:val="nil"/>
              <w:bottom w:val="nil"/>
              <w:right w:val="nil"/>
            </w:tcBorders>
            <w:hideMark/>
          </w:tcPr>
          <w:p w14:paraId="1A09307B" w14:textId="449AF794" w:rsidR="006D3822" w:rsidRPr="00940E38" w:rsidRDefault="006D3822" w:rsidP="006D3822">
            <w:pPr>
              <w:jc w:val="left"/>
              <w:rPr>
                <w:szCs w:val="17"/>
              </w:rPr>
            </w:pPr>
            <w:r w:rsidRPr="00940E38">
              <w:rPr>
                <w:szCs w:val="17"/>
              </w:rPr>
              <w:t>FRD 25</w:t>
            </w:r>
          </w:p>
        </w:tc>
        <w:tc>
          <w:tcPr>
            <w:tcW w:w="6895" w:type="dxa"/>
            <w:tcBorders>
              <w:top w:val="nil"/>
              <w:left w:val="nil"/>
              <w:bottom w:val="nil"/>
              <w:right w:val="nil"/>
            </w:tcBorders>
            <w:hideMark/>
          </w:tcPr>
          <w:p w14:paraId="6D95AB7C" w14:textId="26B8FC84" w:rsidR="006D3822" w:rsidRPr="00940E38" w:rsidRDefault="006D3822" w:rsidP="006D3822">
            <w:pPr>
              <w:jc w:val="left"/>
              <w:rPr>
                <w:szCs w:val="17"/>
              </w:rPr>
            </w:pPr>
            <w:hyperlink w:anchor="INDEX_VIPP" w:history="1">
              <w:r w:rsidRPr="00F55632">
                <w:rPr>
                  <w:rStyle w:val="Hyperlink"/>
                </w:rPr>
                <w:t>Local Jobs First</w:t>
              </w:r>
            </w:hyperlink>
          </w:p>
        </w:tc>
        <w:tc>
          <w:tcPr>
            <w:tcW w:w="1385" w:type="dxa"/>
            <w:gridSpan w:val="2"/>
            <w:tcBorders>
              <w:top w:val="nil"/>
              <w:left w:val="nil"/>
              <w:bottom w:val="nil"/>
              <w:right w:val="nil"/>
            </w:tcBorders>
          </w:tcPr>
          <w:p w14:paraId="21E094DB" w14:textId="21388248" w:rsidR="006D3822" w:rsidRPr="00FA4323" w:rsidRDefault="00BE612E" w:rsidP="006D3822">
            <w:fldSimple w:instr="PAGEREF  INDEX_VIPP  \* MERGEFORMAT">
              <w:r w:rsidRPr="00BE612E">
                <w:rPr>
                  <w:noProof/>
                  <w:lang w:val="en-US"/>
                </w:rPr>
                <w:t>46</w:t>
              </w:r>
            </w:fldSimple>
          </w:p>
        </w:tc>
      </w:tr>
      <w:tr w:rsidR="006D3822" w:rsidRPr="00940E38" w14:paraId="02E25276" w14:textId="77777777" w:rsidTr="00BB2F72">
        <w:trPr>
          <w:trHeight w:val="20"/>
        </w:trPr>
        <w:tc>
          <w:tcPr>
            <w:tcW w:w="1440" w:type="dxa"/>
            <w:tcBorders>
              <w:top w:val="nil"/>
              <w:left w:val="nil"/>
              <w:bottom w:val="nil"/>
              <w:right w:val="nil"/>
            </w:tcBorders>
            <w:hideMark/>
          </w:tcPr>
          <w:p w14:paraId="12D602F0" w14:textId="0818B6C5" w:rsidR="006D3822" w:rsidRPr="00940E38" w:rsidRDefault="006D3822" w:rsidP="006D3822">
            <w:pPr>
              <w:jc w:val="left"/>
              <w:rPr>
                <w:szCs w:val="17"/>
              </w:rPr>
            </w:pPr>
            <w:r w:rsidRPr="00940E38">
              <w:rPr>
                <w:szCs w:val="17"/>
              </w:rPr>
              <w:t>FRD 29</w:t>
            </w:r>
          </w:p>
        </w:tc>
        <w:tc>
          <w:tcPr>
            <w:tcW w:w="6895" w:type="dxa"/>
            <w:tcBorders>
              <w:top w:val="nil"/>
              <w:left w:val="nil"/>
              <w:bottom w:val="nil"/>
              <w:right w:val="nil"/>
            </w:tcBorders>
            <w:hideMark/>
          </w:tcPr>
          <w:p w14:paraId="373B7BE4" w14:textId="504A08AF" w:rsidR="006D3822" w:rsidRPr="00940E38" w:rsidRDefault="006D3822" w:rsidP="006D3822">
            <w:pPr>
              <w:jc w:val="left"/>
              <w:rPr>
                <w:szCs w:val="17"/>
              </w:rPr>
            </w:pPr>
            <w:hyperlink w:anchor="Report_Section3" w:history="1">
              <w:r w:rsidRPr="00F55632">
                <w:rPr>
                  <w:rStyle w:val="Hyperlink"/>
                </w:rPr>
                <w:t>Workforce Data disclosures</w:t>
              </w:r>
            </w:hyperlink>
          </w:p>
        </w:tc>
        <w:tc>
          <w:tcPr>
            <w:tcW w:w="1385" w:type="dxa"/>
            <w:gridSpan w:val="2"/>
            <w:tcBorders>
              <w:top w:val="nil"/>
              <w:left w:val="nil"/>
              <w:bottom w:val="nil"/>
              <w:right w:val="nil"/>
            </w:tcBorders>
          </w:tcPr>
          <w:p w14:paraId="000CB758" w14:textId="3F7E9AE1" w:rsidR="006D3822" w:rsidRPr="00FA4323" w:rsidRDefault="00BE612E" w:rsidP="006D3822">
            <w:fldSimple w:instr="PAGEREF  Report_Section3  \* MERGEFORMAT">
              <w:r w:rsidRPr="00BE612E">
                <w:rPr>
                  <w:noProof/>
                  <w:lang w:val="en-US"/>
                </w:rPr>
                <w:t>40</w:t>
              </w:r>
            </w:fldSimple>
          </w:p>
        </w:tc>
      </w:tr>
      <w:tr w:rsidR="006D3822" w:rsidRPr="00940E38" w14:paraId="237CD769" w14:textId="77777777" w:rsidTr="00BB2F72">
        <w:trPr>
          <w:trHeight w:val="20"/>
        </w:trPr>
        <w:tc>
          <w:tcPr>
            <w:tcW w:w="1440" w:type="dxa"/>
            <w:tcBorders>
              <w:top w:val="nil"/>
              <w:left w:val="nil"/>
              <w:bottom w:val="nil"/>
              <w:right w:val="nil"/>
            </w:tcBorders>
            <w:hideMark/>
          </w:tcPr>
          <w:p w14:paraId="3F8221C8" w14:textId="77777777" w:rsidR="006D3822" w:rsidRPr="00940E38" w:rsidRDefault="006D3822" w:rsidP="006D3822">
            <w:pPr>
              <w:jc w:val="left"/>
              <w:rPr>
                <w:szCs w:val="17"/>
              </w:rPr>
            </w:pPr>
            <w:r w:rsidRPr="00940E38">
              <w:rPr>
                <w:szCs w:val="17"/>
              </w:rPr>
              <w:t>SD 5.2</w:t>
            </w:r>
          </w:p>
        </w:tc>
        <w:tc>
          <w:tcPr>
            <w:tcW w:w="6895" w:type="dxa"/>
            <w:tcBorders>
              <w:top w:val="nil"/>
              <w:left w:val="nil"/>
              <w:bottom w:val="nil"/>
              <w:right w:val="nil"/>
            </w:tcBorders>
            <w:hideMark/>
          </w:tcPr>
          <w:p w14:paraId="7E56BD87" w14:textId="164C1D81" w:rsidR="006D3822" w:rsidRPr="00940E38" w:rsidRDefault="006D3822" w:rsidP="006D3822">
            <w:pPr>
              <w:jc w:val="left"/>
              <w:rPr>
                <w:szCs w:val="17"/>
              </w:rPr>
            </w:pPr>
            <w:hyperlink w:anchor="RequirementsUnderSD5_2" w:history="1">
              <w:r w:rsidRPr="00F55632">
                <w:rPr>
                  <w:rStyle w:val="Hyperlink"/>
                </w:rPr>
                <w:t>Specific requirements under Standing Direction 5.2</w:t>
              </w:r>
            </w:hyperlink>
          </w:p>
        </w:tc>
        <w:tc>
          <w:tcPr>
            <w:tcW w:w="1385" w:type="dxa"/>
            <w:gridSpan w:val="2"/>
            <w:tcBorders>
              <w:top w:val="nil"/>
              <w:left w:val="nil"/>
              <w:bottom w:val="nil"/>
              <w:right w:val="nil"/>
            </w:tcBorders>
          </w:tcPr>
          <w:p w14:paraId="60B1E3CB" w14:textId="1C509A94" w:rsidR="006D3822" w:rsidRPr="00FA4323" w:rsidRDefault="00BE612E" w:rsidP="006D3822">
            <w:fldSimple w:instr="PAGEREF  RequirementsUnderSD5_2  \* MERGEFORMAT">
              <w:r w:rsidRPr="00BE612E">
                <w:rPr>
                  <w:noProof/>
                  <w:lang w:val="en-US"/>
                </w:rPr>
                <w:t>10</w:t>
              </w:r>
            </w:fldSimple>
          </w:p>
        </w:tc>
      </w:tr>
      <w:tr w:rsidR="006D3822" w:rsidRPr="00940E38" w14:paraId="22617182" w14:textId="77777777" w:rsidTr="00BB2F72">
        <w:trPr>
          <w:trHeight w:val="20"/>
        </w:trPr>
        <w:tc>
          <w:tcPr>
            <w:tcW w:w="9720" w:type="dxa"/>
            <w:gridSpan w:val="4"/>
            <w:tcBorders>
              <w:top w:val="nil"/>
              <w:left w:val="nil"/>
              <w:bottom w:val="nil"/>
              <w:right w:val="nil"/>
            </w:tcBorders>
            <w:hideMark/>
          </w:tcPr>
          <w:p w14:paraId="0760A9DF" w14:textId="77777777" w:rsidR="006D3822" w:rsidRPr="00940E38" w:rsidRDefault="006D3822" w:rsidP="006D3822">
            <w:pPr>
              <w:jc w:val="left"/>
              <w:rPr>
                <w:b/>
                <w:szCs w:val="17"/>
              </w:rPr>
            </w:pPr>
            <w:r w:rsidRPr="00940E38">
              <w:rPr>
                <w:b/>
                <w:szCs w:val="17"/>
              </w:rPr>
              <w:t>Compliance attestation and declaration</w:t>
            </w:r>
          </w:p>
        </w:tc>
      </w:tr>
      <w:tr w:rsidR="006D3822" w:rsidRPr="00940E38" w14:paraId="1D2E0A31" w14:textId="77777777" w:rsidTr="00BB2F72">
        <w:trPr>
          <w:trHeight w:val="20"/>
        </w:trPr>
        <w:tc>
          <w:tcPr>
            <w:tcW w:w="1440" w:type="dxa"/>
            <w:tcBorders>
              <w:top w:val="nil"/>
              <w:left w:val="nil"/>
              <w:bottom w:val="nil"/>
              <w:right w:val="nil"/>
            </w:tcBorders>
            <w:hideMark/>
          </w:tcPr>
          <w:p w14:paraId="0F4C4320" w14:textId="77777777" w:rsidR="006D3822" w:rsidRPr="00940E38" w:rsidRDefault="006D3822" w:rsidP="006D3822">
            <w:pPr>
              <w:jc w:val="left"/>
              <w:rPr>
                <w:szCs w:val="17"/>
              </w:rPr>
            </w:pPr>
            <w:r w:rsidRPr="00940E38">
              <w:rPr>
                <w:szCs w:val="17"/>
              </w:rPr>
              <w:t xml:space="preserve">SD </w:t>
            </w:r>
            <w:r>
              <w:rPr>
                <w:szCs w:val="17"/>
              </w:rPr>
              <w:t>5.4.1</w:t>
            </w:r>
          </w:p>
        </w:tc>
        <w:tc>
          <w:tcPr>
            <w:tcW w:w="6895" w:type="dxa"/>
            <w:tcBorders>
              <w:top w:val="nil"/>
              <w:left w:val="nil"/>
              <w:bottom w:val="nil"/>
              <w:right w:val="nil"/>
            </w:tcBorders>
            <w:hideMark/>
          </w:tcPr>
          <w:p w14:paraId="7BB7CD42" w14:textId="1AD319F2" w:rsidR="006D3822" w:rsidRPr="00940E38" w:rsidRDefault="006D3822" w:rsidP="006D3822">
            <w:pPr>
              <w:jc w:val="left"/>
              <w:rPr>
                <w:szCs w:val="17"/>
              </w:rPr>
            </w:pPr>
            <w:hyperlink w:anchor="INDEX_AttestationSD" w:history="1">
              <w:r w:rsidRPr="00F55632">
                <w:rPr>
                  <w:rStyle w:val="Hyperlink"/>
                </w:rPr>
                <w:t>Attestation for compliance with Ministerial Standing Direction</w:t>
              </w:r>
            </w:hyperlink>
          </w:p>
        </w:tc>
        <w:tc>
          <w:tcPr>
            <w:tcW w:w="1385" w:type="dxa"/>
            <w:gridSpan w:val="2"/>
            <w:tcBorders>
              <w:top w:val="nil"/>
              <w:left w:val="nil"/>
              <w:bottom w:val="nil"/>
              <w:right w:val="nil"/>
            </w:tcBorders>
          </w:tcPr>
          <w:p w14:paraId="554A4460" w14:textId="499B26BE" w:rsidR="006D3822" w:rsidRPr="00FA4323" w:rsidRDefault="00BE612E" w:rsidP="006D3822">
            <w:fldSimple w:instr="PAGEREF  INDEX_AttestationSD  \* MERGEFORMAT">
              <w:r w:rsidRPr="00BE612E">
                <w:rPr>
                  <w:noProof/>
                  <w:lang w:val="en-US"/>
                </w:rPr>
                <w:t>76</w:t>
              </w:r>
            </w:fldSimple>
          </w:p>
        </w:tc>
      </w:tr>
      <w:tr w:rsidR="006D3822" w:rsidRPr="00940E38" w14:paraId="56AD7E8F" w14:textId="77777777" w:rsidTr="00BB2F72">
        <w:trPr>
          <w:trHeight w:val="20"/>
        </w:trPr>
        <w:tc>
          <w:tcPr>
            <w:tcW w:w="1440" w:type="dxa"/>
            <w:tcBorders>
              <w:top w:val="nil"/>
              <w:left w:val="nil"/>
              <w:bottom w:val="nil"/>
              <w:right w:val="nil"/>
            </w:tcBorders>
            <w:hideMark/>
          </w:tcPr>
          <w:p w14:paraId="0A49C22F" w14:textId="77777777" w:rsidR="006D3822" w:rsidRPr="00940E38" w:rsidRDefault="006D3822" w:rsidP="006D3822">
            <w:pPr>
              <w:jc w:val="left"/>
              <w:rPr>
                <w:szCs w:val="17"/>
              </w:rPr>
            </w:pPr>
            <w:r w:rsidRPr="00940E38">
              <w:rPr>
                <w:szCs w:val="17"/>
              </w:rPr>
              <w:t>SD 5.2.3</w:t>
            </w:r>
          </w:p>
        </w:tc>
        <w:tc>
          <w:tcPr>
            <w:tcW w:w="6895" w:type="dxa"/>
            <w:tcBorders>
              <w:top w:val="nil"/>
              <w:left w:val="nil"/>
              <w:bottom w:val="nil"/>
              <w:right w:val="nil"/>
            </w:tcBorders>
            <w:hideMark/>
          </w:tcPr>
          <w:p w14:paraId="4AAB4A62" w14:textId="0ED4C5D1" w:rsidR="006D3822" w:rsidRPr="00940E38" w:rsidRDefault="006D3822" w:rsidP="006D3822">
            <w:pPr>
              <w:jc w:val="left"/>
              <w:rPr>
                <w:szCs w:val="17"/>
              </w:rPr>
            </w:pPr>
            <w:hyperlink w:anchor="DeclarationInRoO" w:history="1">
              <w:r w:rsidRPr="00F55632">
                <w:rPr>
                  <w:rStyle w:val="Hyperlink"/>
                </w:rPr>
                <w:t>Declaration in report of operations</w:t>
              </w:r>
            </w:hyperlink>
          </w:p>
        </w:tc>
        <w:tc>
          <w:tcPr>
            <w:tcW w:w="1385" w:type="dxa"/>
            <w:gridSpan w:val="2"/>
            <w:tcBorders>
              <w:top w:val="nil"/>
              <w:left w:val="nil"/>
              <w:bottom w:val="nil"/>
              <w:right w:val="nil"/>
            </w:tcBorders>
          </w:tcPr>
          <w:p w14:paraId="28516C1E" w14:textId="4D46B86B" w:rsidR="006D3822" w:rsidRPr="00FA4323" w:rsidRDefault="00BE612E" w:rsidP="006D3822">
            <w:fldSimple w:instr="PAGEREF  DeclarationInRoO  \* MERGEFORMAT">
              <w:r w:rsidRPr="00BE612E">
                <w:rPr>
                  <w:noProof/>
                  <w:lang w:val="en-US"/>
                </w:rPr>
                <w:t>11</w:t>
              </w:r>
            </w:fldSimple>
          </w:p>
        </w:tc>
      </w:tr>
      <w:tr w:rsidR="006D3822" w:rsidRPr="00940E38" w14:paraId="474F0F46" w14:textId="77777777" w:rsidTr="00BB2F72">
        <w:trPr>
          <w:trHeight w:val="244"/>
        </w:trPr>
        <w:tc>
          <w:tcPr>
            <w:tcW w:w="8335" w:type="dxa"/>
            <w:gridSpan w:val="2"/>
            <w:tcBorders>
              <w:top w:val="nil"/>
              <w:left w:val="nil"/>
              <w:bottom w:val="nil"/>
              <w:right w:val="nil"/>
            </w:tcBorders>
            <w:shd w:val="clear" w:color="auto" w:fill="EBEBEB"/>
            <w:hideMark/>
          </w:tcPr>
          <w:p w14:paraId="58DD0E9C" w14:textId="77777777" w:rsidR="006D3822" w:rsidRPr="00940E38" w:rsidRDefault="006D3822" w:rsidP="006D3822">
            <w:pPr>
              <w:jc w:val="left"/>
              <w:rPr>
                <w:i/>
                <w:szCs w:val="17"/>
              </w:rPr>
            </w:pPr>
            <w:r w:rsidRPr="00940E38">
              <w:rPr>
                <w:i/>
                <w:szCs w:val="17"/>
              </w:rPr>
              <w:t>Financial statements</w:t>
            </w:r>
          </w:p>
        </w:tc>
        <w:tc>
          <w:tcPr>
            <w:tcW w:w="1385" w:type="dxa"/>
            <w:gridSpan w:val="2"/>
            <w:tcBorders>
              <w:top w:val="nil"/>
              <w:left w:val="nil"/>
              <w:bottom w:val="nil"/>
              <w:right w:val="nil"/>
            </w:tcBorders>
            <w:shd w:val="clear" w:color="auto" w:fill="EBEBEB"/>
          </w:tcPr>
          <w:p w14:paraId="33866EA2" w14:textId="77777777" w:rsidR="006D3822" w:rsidRPr="00940E38" w:rsidRDefault="006D3822" w:rsidP="006D3822">
            <w:pPr>
              <w:rPr>
                <w:i/>
                <w:szCs w:val="17"/>
              </w:rPr>
            </w:pPr>
          </w:p>
        </w:tc>
      </w:tr>
      <w:tr w:rsidR="006D3822" w:rsidRPr="00940E38" w14:paraId="6073C2BF" w14:textId="77777777" w:rsidTr="00BB2F72">
        <w:trPr>
          <w:trHeight w:val="20"/>
        </w:trPr>
        <w:tc>
          <w:tcPr>
            <w:tcW w:w="1440" w:type="dxa"/>
            <w:tcBorders>
              <w:top w:val="nil"/>
              <w:left w:val="nil"/>
              <w:bottom w:val="nil"/>
              <w:right w:val="nil"/>
            </w:tcBorders>
            <w:hideMark/>
          </w:tcPr>
          <w:p w14:paraId="3F09C2C7" w14:textId="77777777" w:rsidR="006D3822" w:rsidRPr="00940E38" w:rsidRDefault="006D3822" w:rsidP="006D3822">
            <w:pPr>
              <w:jc w:val="left"/>
              <w:rPr>
                <w:b/>
                <w:szCs w:val="17"/>
              </w:rPr>
            </w:pPr>
            <w:r w:rsidRPr="00940E38">
              <w:rPr>
                <w:b/>
                <w:szCs w:val="17"/>
              </w:rPr>
              <w:t>Declaration</w:t>
            </w:r>
          </w:p>
        </w:tc>
        <w:tc>
          <w:tcPr>
            <w:tcW w:w="6895" w:type="dxa"/>
            <w:tcBorders>
              <w:top w:val="nil"/>
              <w:left w:val="nil"/>
              <w:bottom w:val="nil"/>
              <w:right w:val="nil"/>
            </w:tcBorders>
          </w:tcPr>
          <w:p w14:paraId="748217AB" w14:textId="77777777" w:rsidR="006D3822" w:rsidRPr="00940E38" w:rsidRDefault="006D3822" w:rsidP="006D3822">
            <w:pPr>
              <w:rPr>
                <w:b/>
                <w:szCs w:val="17"/>
              </w:rPr>
            </w:pPr>
          </w:p>
        </w:tc>
        <w:tc>
          <w:tcPr>
            <w:tcW w:w="1385" w:type="dxa"/>
            <w:gridSpan w:val="2"/>
            <w:tcBorders>
              <w:top w:val="nil"/>
              <w:left w:val="nil"/>
              <w:bottom w:val="nil"/>
              <w:right w:val="nil"/>
            </w:tcBorders>
          </w:tcPr>
          <w:p w14:paraId="3DD2F0FC" w14:textId="77777777" w:rsidR="006D3822" w:rsidRPr="00940E38" w:rsidRDefault="006D3822" w:rsidP="006D3822">
            <w:pPr>
              <w:rPr>
                <w:b/>
                <w:szCs w:val="17"/>
              </w:rPr>
            </w:pPr>
          </w:p>
        </w:tc>
      </w:tr>
      <w:tr w:rsidR="006D3822" w:rsidRPr="00940E38" w14:paraId="6F2A5B1F" w14:textId="77777777" w:rsidTr="00BB2F72">
        <w:trPr>
          <w:trHeight w:val="20"/>
        </w:trPr>
        <w:tc>
          <w:tcPr>
            <w:tcW w:w="1440" w:type="dxa"/>
            <w:tcBorders>
              <w:top w:val="nil"/>
              <w:left w:val="nil"/>
              <w:bottom w:val="single" w:sz="12" w:space="0" w:color="auto"/>
              <w:right w:val="nil"/>
            </w:tcBorders>
            <w:hideMark/>
          </w:tcPr>
          <w:p w14:paraId="5402F300" w14:textId="77777777" w:rsidR="006D3822" w:rsidRPr="00940E38" w:rsidRDefault="006D3822" w:rsidP="006D3822">
            <w:pPr>
              <w:jc w:val="left"/>
              <w:rPr>
                <w:szCs w:val="17"/>
              </w:rPr>
            </w:pPr>
            <w:r w:rsidRPr="00940E38">
              <w:rPr>
                <w:szCs w:val="17"/>
              </w:rPr>
              <w:t>SD 5.2.2</w:t>
            </w:r>
          </w:p>
        </w:tc>
        <w:tc>
          <w:tcPr>
            <w:tcW w:w="6895" w:type="dxa"/>
            <w:tcBorders>
              <w:top w:val="nil"/>
              <w:left w:val="nil"/>
              <w:bottom w:val="single" w:sz="12" w:space="0" w:color="auto"/>
              <w:right w:val="nil"/>
            </w:tcBorders>
            <w:hideMark/>
          </w:tcPr>
          <w:p w14:paraId="10312A22" w14:textId="3EC716F3" w:rsidR="006D3822" w:rsidRPr="00940E38" w:rsidRDefault="006D3822" w:rsidP="006D3822">
            <w:pPr>
              <w:jc w:val="left"/>
              <w:rPr>
                <w:szCs w:val="17"/>
              </w:rPr>
            </w:pPr>
            <w:hyperlink w:anchor="INDEX_ComplianceMinDirection" w:history="1">
              <w:r w:rsidRPr="00BB1FCD">
                <w:rPr>
                  <w:rStyle w:val="Hyperlink"/>
                  <w:szCs w:val="17"/>
                </w:rPr>
                <w:t>Declaration in financial statements</w:t>
              </w:r>
            </w:hyperlink>
          </w:p>
        </w:tc>
        <w:tc>
          <w:tcPr>
            <w:tcW w:w="1385" w:type="dxa"/>
            <w:gridSpan w:val="2"/>
            <w:tcBorders>
              <w:top w:val="nil"/>
              <w:left w:val="nil"/>
              <w:bottom w:val="single" w:sz="12" w:space="0" w:color="auto"/>
              <w:right w:val="nil"/>
            </w:tcBorders>
            <w:hideMark/>
          </w:tcPr>
          <w:p w14:paraId="492A19BE" w14:textId="687AE15C" w:rsidR="006D3822" w:rsidRPr="00FA4323" w:rsidRDefault="006D3822" w:rsidP="006D3822">
            <w:pPr>
              <w:rPr>
                <w:szCs w:val="17"/>
              </w:rPr>
            </w:pPr>
          </w:p>
        </w:tc>
      </w:tr>
    </w:tbl>
    <w:p w14:paraId="4BEEF347" w14:textId="77777777" w:rsidR="00DC39DE" w:rsidRDefault="00DC39DE" w:rsidP="00DC39DE"/>
    <w:p w14:paraId="483358F8" w14:textId="77777777" w:rsidR="00DD3FE9" w:rsidRDefault="00DD3FE9">
      <w:r>
        <w:rPr>
          <w:bCs/>
          <w:i/>
        </w:rPr>
        <w:br w:type="page"/>
      </w:r>
    </w:p>
    <w:tbl>
      <w:tblPr>
        <w:tblStyle w:val="DTFTable"/>
        <w:tblW w:w="9766" w:type="dxa"/>
        <w:tblLayout w:type="fixed"/>
        <w:tblLook w:val="0620" w:firstRow="1" w:lastRow="0" w:firstColumn="0" w:lastColumn="0" w:noHBand="1" w:noVBand="1"/>
      </w:tblPr>
      <w:tblGrid>
        <w:gridCol w:w="1409"/>
        <w:gridCol w:w="6483"/>
        <w:gridCol w:w="642"/>
        <w:gridCol w:w="1232"/>
      </w:tblGrid>
      <w:tr w:rsidR="00DD3FE9" w:rsidRPr="00940E38" w14:paraId="7F12BC3E" w14:textId="77777777" w:rsidTr="1047C9A3">
        <w:trPr>
          <w:cnfStyle w:val="100000000000" w:firstRow="1" w:lastRow="0" w:firstColumn="0" w:lastColumn="0" w:oddVBand="0" w:evenVBand="0" w:oddHBand="0" w:evenHBand="0" w:firstRowFirstColumn="0" w:firstRowLastColumn="0" w:lastRowFirstColumn="0" w:lastRowLastColumn="0"/>
          <w:trHeight w:val="20"/>
        </w:trPr>
        <w:tc>
          <w:tcPr>
            <w:tcW w:w="1409" w:type="dxa"/>
            <w:tcBorders>
              <w:top w:val="nil"/>
              <w:left w:val="nil"/>
              <w:bottom w:val="nil"/>
              <w:right w:val="nil"/>
            </w:tcBorders>
            <w:hideMark/>
          </w:tcPr>
          <w:p w14:paraId="3E4E226B" w14:textId="4F6A9DC4" w:rsidR="00DD3FE9" w:rsidRPr="00940E38" w:rsidRDefault="00DD3FE9" w:rsidP="00DD3FE9">
            <w:pPr>
              <w:jc w:val="left"/>
            </w:pPr>
            <w:r w:rsidRPr="00940E38">
              <w:lastRenderedPageBreak/>
              <w:t>Legislation</w:t>
            </w:r>
          </w:p>
        </w:tc>
        <w:tc>
          <w:tcPr>
            <w:tcW w:w="6483" w:type="dxa"/>
            <w:tcBorders>
              <w:top w:val="nil"/>
              <w:left w:val="nil"/>
              <w:bottom w:val="nil"/>
              <w:right w:val="nil"/>
            </w:tcBorders>
            <w:hideMark/>
          </w:tcPr>
          <w:p w14:paraId="568B2675" w14:textId="77777777" w:rsidR="00DD3FE9" w:rsidRPr="00940E38" w:rsidRDefault="00DD3FE9" w:rsidP="00DD3FE9">
            <w:pPr>
              <w:jc w:val="left"/>
            </w:pPr>
            <w:r w:rsidRPr="00940E38">
              <w:t>Requirement</w:t>
            </w:r>
          </w:p>
        </w:tc>
        <w:tc>
          <w:tcPr>
            <w:tcW w:w="1874" w:type="dxa"/>
            <w:gridSpan w:val="2"/>
            <w:tcBorders>
              <w:top w:val="nil"/>
              <w:left w:val="nil"/>
              <w:bottom w:val="nil"/>
              <w:right w:val="nil"/>
            </w:tcBorders>
            <w:hideMark/>
          </w:tcPr>
          <w:p w14:paraId="334F2A33" w14:textId="77777777" w:rsidR="00DD3FE9" w:rsidRPr="00940E38" w:rsidRDefault="00DD3FE9" w:rsidP="00DD3FE9">
            <w:r w:rsidRPr="00940E38">
              <w:t>Page reference</w:t>
            </w:r>
          </w:p>
        </w:tc>
      </w:tr>
      <w:tr w:rsidR="00DD3FE9" w:rsidRPr="00940E38" w14:paraId="1E943CC5" w14:textId="77777777" w:rsidTr="1047C9A3">
        <w:trPr>
          <w:trHeight w:val="20"/>
        </w:trPr>
        <w:tc>
          <w:tcPr>
            <w:tcW w:w="9766" w:type="dxa"/>
            <w:gridSpan w:val="4"/>
            <w:tcBorders>
              <w:top w:val="nil"/>
              <w:left w:val="nil"/>
              <w:bottom w:val="nil"/>
              <w:right w:val="nil"/>
            </w:tcBorders>
            <w:shd w:val="clear" w:color="auto" w:fill="595959" w:themeFill="text1" w:themeFillTint="A6"/>
            <w:hideMark/>
          </w:tcPr>
          <w:p w14:paraId="0CCC8EF0" w14:textId="77777777" w:rsidR="00DD3FE9" w:rsidRPr="00940E38" w:rsidRDefault="00DD3FE9" w:rsidP="00DD3FE9">
            <w:pPr>
              <w:jc w:val="left"/>
              <w:rPr>
                <w:i/>
                <w:color w:val="FFFFFF" w:themeColor="background1"/>
              </w:rPr>
            </w:pPr>
            <w:r w:rsidRPr="00940E38">
              <w:rPr>
                <w:i/>
                <w:color w:val="FFFFFF" w:themeColor="background1"/>
              </w:rPr>
              <w:t xml:space="preserve">Standing Directions </w:t>
            </w:r>
            <w:r>
              <w:rPr>
                <w:i/>
                <w:color w:val="FFFFFF" w:themeColor="background1"/>
              </w:rPr>
              <w:t>and</w:t>
            </w:r>
            <w:r w:rsidRPr="00940E38">
              <w:rPr>
                <w:i/>
                <w:color w:val="FFFFFF" w:themeColor="background1"/>
              </w:rPr>
              <w:t xml:space="preserve"> Financial Reporting Directions</w:t>
            </w:r>
          </w:p>
        </w:tc>
      </w:tr>
      <w:tr w:rsidR="00DD3FE9" w:rsidRPr="00940E38" w14:paraId="76815208" w14:textId="77777777" w:rsidTr="1047C9A3">
        <w:trPr>
          <w:trHeight w:val="20"/>
        </w:trPr>
        <w:tc>
          <w:tcPr>
            <w:tcW w:w="9766" w:type="dxa"/>
            <w:gridSpan w:val="4"/>
            <w:tcBorders>
              <w:top w:val="nil"/>
              <w:left w:val="nil"/>
              <w:bottom w:val="nil"/>
              <w:right w:val="nil"/>
            </w:tcBorders>
            <w:hideMark/>
          </w:tcPr>
          <w:p w14:paraId="37EC1228" w14:textId="77777777" w:rsidR="00DD3FE9" w:rsidRPr="00940E38" w:rsidRDefault="00DD3FE9" w:rsidP="00DD3FE9">
            <w:pPr>
              <w:jc w:val="left"/>
              <w:rPr>
                <w:b/>
              </w:rPr>
            </w:pPr>
            <w:r w:rsidRPr="00940E38">
              <w:rPr>
                <w:b/>
              </w:rPr>
              <w:t>Other requirements under Standing Directions 5.2</w:t>
            </w:r>
          </w:p>
        </w:tc>
      </w:tr>
      <w:tr w:rsidR="00DD3FE9" w:rsidRPr="00940E38" w14:paraId="2CF270D1" w14:textId="77777777" w:rsidTr="1047C9A3">
        <w:trPr>
          <w:trHeight w:val="20"/>
        </w:trPr>
        <w:tc>
          <w:tcPr>
            <w:tcW w:w="1409" w:type="dxa"/>
            <w:tcBorders>
              <w:top w:val="nil"/>
              <w:left w:val="nil"/>
              <w:bottom w:val="nil"/>
              <w:right w:val="nil"/>
            </w:tcBorders>
            <w:hideMark/>
          </w:tcPr>
          <w:p w14:paraId="5A350460" w14:textId="77777777" w:rsidR="00DD3FE9" w:rsidRPr="00940E38" w:rsidRDefault="00DD3FE9" w:rsidP="00DD3FE9">
            <w:pPr>
              <w:jc w:val="left"/>
            </w:pPr>
            <w:r w:rsidRPr="00940E38">
              <w:t>SD 5.2.1(a)</w:t>
            </w:r>
          </w:p>
        </w:tc>
        <w:tc>
          <w:tcPr>
            <w:tcW w:w="7125" w:type="dxa"/>
            <w:gridSpan w:val="2"/>
            <w:tcBorders>
              <w:top w:val="nil"/>
              <w:left w:val="nil"/>
              <w:bottom w:val="nil"/>
              <w:right w:val="nil"/>
            </w:tcBorders>
            <w:hideMark/>
          </w:tcPr>
          <w:p w14:paraId="3EF5C04D" w14:textId="369719CB" w:rsidR="00DD3FE9" w:rsidRPr="00940E38" w:rsidRDefault="00DD3FE9" w:rsidP="00DD3FE9">
            <w:pPr>
              <w:jc w:val="left"/>
            </w:pPr>
            <w:hyperlink w:anchor="RequirementsUnderSD5_2" w:history="1">
              <w:r w:rsidRPr="00934139">
                <w:rPr>
                  <w:rStyle w:val="Hyperlink"/>
                </w:rPr>
                <w:t>Compliance with Australian accounting standards and other authoritative pronouncements</w:t>
              </w:r>
            </w:hyperlink>
          </w:p>
        </w:tc>
        <w:tc>
          <w:tcPr>
            <w:tcW w:w="1232" w:type="dxa"/>
            <w:tcBorders>
              <w:top w:val="nil"/>
              <w:left w:val="nil"/>
              <w:bottom w:val="nil"/>
              <w:right w:val="nil"/>
            </w:tcBorders>
          </w:tcPr>
          <w:p w14:paraId="74DF1340" w14:textId="6B148CD1" w:rsidR="00DD3FE9" w:rsidRPr="00940E38" w:rsidRDefault="00BE612E" w:rsidP="00DD3FE9">
            <w:fldSimple w:instr="PAGEREF  RequirementsUnderSD5_2  \* MERGEFORMAT">
              <w:r>
                <w:rPr>
                  <w:noProof/>
                </w:rPr>
                <w:t>10</w:t>
              </w:r>
            </w:fldSimple>
          </w:p>
        </w:tc>
      </w:tr>
      <w:tr w:rsidR="00DD3FE9" w:rsidRPr="00940E38" w14:paraId="18A16A73" w14:textId="77777777" w:rsidTr="1047C9A3">
        <w:trPr>
          <w:trHeight w:val="20"/>
        </w:trPr>
        <w:tc>
          <w:tcPr>
            <w:tcW w:w="1409" w:type="dxa"/>
            <w:tcBorders>
              <w:top w:val="nil"/>
              <w:left w:val="nil"/>
              <w:bottom w:val="nil"/>
              <w:right w:val="nil"/>
            </w:tcBorders>
            <w:hideMark/>
          </w:tcPr>
          <w:p w14:paraId="6BDED16C" w14:textId="77777777" w:rsidR="00DD3FE9" w:rsidRPr="00940E38" w:rsidRDefault="00DD3FE9" w:rsidP="00DD3FE9">
            <w:pPr>
              <w:jc w:val="left"/>
            </w:pPr>
            <w:r w:rsidRPr="00940E38">
              <w:t>SD 5.2.1(a)</w:t>
            </w:r>
          </w:p>
        </w:tc>
        <w:tc>
          <w:tcPr>
            <w:tcW w:w="7125" w:type="dxa"/>
            <w:gridSpan w:val="2"/>
            <w:tcBorders>
              <w:top w:val="nil"/>
              <w:left w:val="nil"/>
              <w:bottom w:val="nil"/>
              <w:right w:val="nil"/>
            </w:tcBorders>
            <w:hideMark/>
          </w:tcPr>
          <w:p w14:paraId="5E1511B8" w14:textId="3299DC40" w:rsidR="00DD3FE9" w:rsidRPr="00940E38" w:rsidRDefault="00DD3FE9" w:rsidP="00DD3FE9">
            <w:pPr>
              <w:jc w:val="left"/>
            </w:pPr>
            <w:hyperlink w:anchor="RequirementsUnderSD5_2" w:history="1">
              <w:r w:rsidRPr="00B829A3">
                <w:rPr>
                  <w:rStyle w:val="Hyperlink"/>
                </w:rPr>
                <w:t>Compliance with Standing Directions</w:t>
              </w:r>
            </w:hyperlink>
          </w:p>
        </w:tc>
        <w:tc>
          <w:tcPr>
            <w:tcW w:w="1232" w:type="dxa"/>
            <w:tcBorders>
              <w:top w:val="nil"/>
              <w:left w:val="nil"/>
              <w:bottom w:val="nil"/>
              <w:right w:val="nil"/>
            </w:tcBorders>
          </w:tcPr>
          <w:p w14:paraId="6955B8DA" w14:textId="40683EA6" w:rsidR="00DD3FE9" w:rsidRPr="00940E38" w:rsidRDefault="00BE612E" w:rsidP="00DD3FE9">
            <w:fldSimple w:instr="PAGEREF  RequirementsUnderSD5_2  \* MERGEFORMAT">
              <w:r>
                <w:rPr>
                  <w:noProof/>
                </w:rPr>
                <w:t>10</w:t>
              </w:r>
            </w:fldSimple>
          </w:p>
        </w:tc>
      </w:tr>
      <w:tr w:rsidR="00DD3FE9" w:rsidRPr="00940E38" w14:paraId="48967919" w14:textId="77777777" w:rsidTr="1047C9A3">
        <w:trPr>
          <w:trHeight w:val="20"/>
        </w:trPr>
        <w:tc>
          <w:tcPr>
            <w:tcW w:w="1409" w:type="dxa"/>
            <w:tcBorders>
              <w:top w:val="nil"/>
              <w:left w:val="nil"/>
              <w:bottom w:val="nil"/>
              <w:right w:val="nil"/>
            </w:tcBorders>
            <w:hideMark/>
          </w:tcPr>
          <w:p w14:paraId="037D7CCC" w14:textId="77777777" w:rsidR="00DD3FE9" w:rsidRPr="00940E38" w:rsidRDefault="00DD3FE9" w:rsidP="00DD3FE9">
            <w:pPr>
              <w:jc w:val="left"/>
            </w:pPr>
            <w:r w:rsidRPr="00940E38">
              <w:t>SD 5.2.1(b)</w:t>
            </w:r>
          </w:p>
        </w:tc>
        <w:tc>
          <w:tcPr>
            <w:tcW w:w="7125" w:type="dxa"/>
            <w:gridSpan w:val="2"/>
            <w:tcBorders>
              <w:top w:val="nil"/>
              <w:left w:val="nil"/>
              <w:bottom w:val="nil"/>
              <w:right w:val="nil"/>
            </w:tcBorders>
            <w:hideMark/>
          </w:tcPr>
          <w:p w14:paraId="00294860" w14:textId="1B873999" w:rsidR="00DD3FE9" w:rsidRPr="00940E38" w:rsidRDefault="00DD3FE9" w:rsidP="00DD3FE9">
            <w:pPr>
              <w:jc w:val="left"/>
            </w:pPr>
            <w:hyperlink w:anchor="RequirementsUnderSD5_2" w:history="1">
              <w:r w:rsidRPr="000C7BDF">
                <w:rPr>
                  <w:rStyle w:val="Hyperlink"/>
                </w:rPr>
                <w:t>Compliance with Model Financial Report</w:t>
              </w:r>
            </w:hyperlink>
          </w:p>
        </w:tc>
        <w:tc>
          <w:tcPr>
            <w:tcW w:w="1232" w:type="dxa"/>
            <w:tcBorders>
              <w:top w:val="nil"/>
              <w:left w:val="nil"/>
              <w:bottom w:val="nil"/>
              <w:right w:val="nil"/>
            </w:tcBorders>
          </w:tcPr>
          <w:p w14:paraId="4ACA2912" w14:textId="5C746C6E" w:rsidR="00DD3FE9" w:rsidRPr="00940E38" w:rsidRDefault="00BE612E" w:rsidP="00DD3FE9">
            <w:fldSimple w:instr="PAGEREF  RequirementsUnderSD5_2  \* MERGEFORMAT">
              <w:r>
                <w:rPr>
                  <w:noProof/>
                </w:rPr>
                <w:t>10</w:t>
              </w:r>
            </w:fldSimple>
          </w:p>
        </w:tc>
      </w:tr>
      <w:tr w:rsidR="00DD3FE9" w:rsidRPr="00940E38" w14:paraId="4283B0F1" w14:textId="77777777" w:rsidTr="1047C9A3">
        <w:trPr>
          <w:trHeight w:val="20"/>
        </w:trPr>
        <w:tc>
          <w:tcPr>
            <w:tcW w:w="9766" w:type="dxa"/>
            <w:gridSpan w:val="4"/>
            <w:tcBorders>
              <w:top w:val="nil"/>
              <w:left w:val="nil"/>
              <w:bottom w:val="nil"/>
              <w:right w:val="nil"/>
            </w:tcBorders>
            <w:hideMark/>
          </w:tcPr>
          <w:p w14:paraId="4FB088FA" w14:textId="69023486" w:rsidR="00DD3FE9" w:rsidRPr="00940E38" w:rsidRDefault="00DD3FE9" w:rsidP="00DD3FE9">
            <w:pPr>
              <w:jc w:val="left"/>
              <w:rPr>
                <w:b/>
              </w:rPr>
            </w:pPr>
            <w:r w:rsidRPr="002D0FF6">
              <w:rPr>
                <w:b/>
              </w:rPr>
              <w:t xml:space="preserve">Other disclosures as required by FRDs in notes to the financial statements </w:t>
            </w:r>
            <w:r w:rsidRPr="002D0FF6">
              <w:rPr>
                <w:b/>
                <w:vertAlign w:val="superscript"/>
              </w:rPr>
              <w:t>(a)</w:t>
            </w:r>
            <w:r w:rsidR="004D465F">
              <w:rPr>
                <w:b/>
                <w:vertAlign w:val="superscript"/>
              </w:rPr>
              <w:t>(b)</w:t>
            </w:r>
          </w:p>
        </w:tc>
      </w:tr>
      <w:tr w:rsidR="00DD3FE9" w:rsidRPr="00940E38" w14:paraId="041368AB" w14:textId="77777777" w:rsidTr="1047C9A3">
        <w:trPr>
          <w:trHeight w:val="20"/>
        </w:trPr>
        <w:tc>
          <w:tcPr>
            <w:tcW w:w="1409" w:type="dxa"/>
            <w:tcBorders>
              <w:top w:val="nil"/>
              <w:left w:val="nil"/>
              <w:bottom w:val="nil"/>
              <w:right w:val="nil"/>
            </w:tcBorders>
            <w:hideMark/>
          </w:tcPr>
          <w:p w14:paraId="5127EA63" w14:textId="37285A6A" w:rsidR="00DD3FE9" w:rsidRPr="00940E38" w:rsidRDefault="00DD3FE9" w:rsidP="00DD3FE9">
            <w:pPr>
              <w:jc w:val="left"/>
            </w:pPr>
            <w:r w:rsidRPr="00940E38">
              <w:t>FRD 9</w:t>
            </w:r>
          </w:p>
        </w:tc>
        <w:tc>
          <w:tcPr>
            <w:tcW w:w="7125" w:type="dxa"/>
            <w:gridSpan w:val="2"/>
            <w:tcBorders>
              <w:top w:val="nil"/>
              <w:left w:val="nil"/>
              <w:bottom w:val="nil"/>
              <w:right w:val="nil"/>
            </w:tcBorders>
            <w:hideMark/>
          </w:tcPr>
          <w:p w14:paraId="0357B3D5" w14:textId="5A5285F6" w:rsidR="00DD3FE9" w:rsidRPr="00940E38" w:rsidRDefault="00DD3FE9" w:rsidP="00DD3FE9">
            <w:pPr>
              <w:jc w:val="left"/>
            </w:pPr>
            <w:hyperlink w:anchor="INDEX_DeptAdminAssetsNLiabilities" w:history="1">
              <w:r w:rsidRPr="00AE54F5">
                <w:rPr>
                  <w:rStyle w:val="Hyperlink"/>
                </w:rPr>
                <w:t>Departmental Disclosure of Administered Assets and Liabilities by Activity</w:t>
              </w:r>
            </w:hyperlink>
          </w:p>
        </w:tc>
        <w:tc>
          <w:tcPr>
            <w:tcW w:w="1232" w:type="dxa"/>
            <w:tcBorders>
              <w:top w:val="nil"/>
              <w:left w:val="nil"/>
              <w:bottom w:val="nil"/>
              <w:right w:val="nil"/>
            </w:tcBorders>
          </w:tcPr>
          <w:p w14:paraId="569A9A04" w14:textId="4D2473AB" w:rsidR="00DD3FE9" w:rsidRPr="00FA4323" w:rsidRDefault="00DD3FE9" w:rsidP="00DD3FE9"/>
        </w:tc>
      </w:tr>
      <w:tr w:rsidR="00DD3FE9" w:rsidRPr="00940E38" w14:paraId="4316C946" w14:textId="77777777" w:rsidTr="1047C9A3">
        <w:trPr>
          <w:trHeight w:val="20"/>
        </w:trPr>
        <w:tc>
          <w:tcPr>
            <w:tcW w:w="1409" w:type="dxa"/>
            <w:tcBorders>
              <w:top w:val="nil"/>
              <w:left w:val="nil"/>
              <w:bottom w:val="nil"/>
              <w:right w:val="nil"/>
            </w:tcBorders>
            <w:hideMark/>
          </w:tcPr>
          <w:p w14:paraId="77A31A18" w14:textId="22216CDA" w:rsidR="00DD3FE9" w:rsidRPr="00940E38" w:rsidRDefault="00DD3FE9" w:rsidP="00DD3FE9">
            <w:pPr>
              <w:jc w:val="left"/>
            </w:pPr>
            <w:r w:rsidRPr="00940E38">
              <w:t>FRD 11</w:t>
            </w:r>
          </w:p>
        </w:tc>
        <w:tc>
          <w:tcPr>
            <w:tcW w:w="7125" w:type="dxa"/>
            <w:gridSpan w:val="2"/>
            <w:tcBorders>
              <w:top w:val="nil"/>
              <w:left w:val="nil"/>
              <w:bottom w:val="nil"/>
              <w:right w:val="nil"/>
            </w:tcBorders>
            <w:hideMark/>
          </w:tcPr>
          <w:p w14:paraId="472D10D7" w14:textId="3C636B5D" w:rsidR="00DD3FE9" w:rsidRPr="00940E38" w:rsidRDefault="00DD3FE9" w:rsidP="00DD3FE9">
            <w:pPr>
              <w:jc w:val="left"/>
            </w:pPr>
            <w:hyperlink w:anchor="INDEX_ExGratia" w:history="1">
              <w:r w:rsidRPr="00D04360">
                <w:rPr>
                  <w:rStyle w:val="Hyperlink"/>
                </w:rPr>
                <w:t>Disclosure of Ex gratia Expenses</w:t>
              </w:r>
            </w:hyperlink>
          </w:p>
        </w:tc>
        <w:tc>
          <w:tcPr>
            <w:tcW w:w="1232" w:type="dxa"/>
            <w:tcBorders>
              <w:top w:val="nil"/>
              <w:left w:val="nil"/>
              <w:bottom w:val="nil"/>
              <w:right w:val="nil"/>
            </w:tcBorders>
          </w:tcPr>
          <w:p w14:paraId="26EBE757" w14:textId="0A763A85" w:rsidR="00DD3FE9" w:rsidRPr="00FA4323" w:rsidRDefault="00DD3FE9" w:rsidP="00DD3FE9"/>
        </w:tc>
      </w:tr>
      <w:tr w:rsidR="00DD3FE9" w:rsidRPr="00940E38" w14:paraId="00E8AB50" w14:textId="77777777" w:rsidTr="1047C9A3">
        <w:trPr>
          <w:trHeight w:val="20"/>
        </w:trPr>
        <w:tc>
          <w:tcPr>
            <w:tcW w:w="1409" w:type="dxa"/>
            <w:tcBorders>
              <w:top w:val="nil"/>
              <w:left w:val="nil"/>
              <w:bottom w:val="nil"/>
              <w:right w:val="nil"/>
            </w:tcBorders>
            <w:hideMark/>
          </w:tcPr>
          <w:p w14:paraId="5C346602" w14:textId="77777777" w:rsidR="00DD3FE9" w:rsidRPr="00940E38" w:rsidRDefault="00DD3FE9" w:rsidP="00DD3FE9">
            <w:pPr>
              <w:jc w:val="left"/>
            </w:pPr>
            <w:r w:rsidRPr="00940E38">
              <w:t>FRD 13</w:t>
            </w:r>
          </w:p>
        </w:tc>
        <w:tc>
          <w:tcPr>
            <w:tcW w:w="7125" w:type="dxa"/>
            <w:gridSpan w:val="2"/>
            <w:tcBorders>
              <w:top w:val="nil"/>
              <w:left w:val="nil"/>
              <w:bottom w:val="nil"/>
              <w:right w:val="nil"/>
            </w:tcBorders>
            <w:hideMark/>
          </w:tcPr>
          <w:p w14:paraId="613A43ED" w14:textId="74AFBA28" w:rsidR="00DD3FE9" w:rsidRPr="00940E38" w:rsidRDefault="00DD3FE9" w:rsidP="00DD3FE9">
            <w:pPr>
              <w:jc w:val="left"/>
            </w:pPr>
            <w:hyperlink w:anchor="INDEX_ParApprop" w:history="1">
              <w:r w:rsidRPr="00032938">
                <w:rPr>
                  <w:rStyle w:val="Hyperlink"/>
                </w:rPr>
                <w:t>Disclosure of Parliamentary Appropriations</w:t>
              </w:r>
            </w:hyperlink>
          </w:p>
        </w:tc>
        <w:tc>
          <w:tcPr>
            <w:tcW w:w="1232" w:type="dxa"/>
            <w:tcBorders>
              <w:top w:val="nil"/>
              <w:left w:val="nil"/>
              <w:bottom w:val="nil"/>
              <w:right w:val="nil"/>
            </w:tcBorders>
          </w:tcPr>
          <w:p w14:paraId="134CB5D7" w14:textId="1485996E" w:rsidR="00DD3FE9" w:rsidRPr="00FA4323" w:rsidRDefault="00DD3FE9" w:rsidP="00DD3FE9"/>
        </w:tc>
      </w:tr>
      <w:tr w:rsidR="00DD3FE9" w:rsidRPr="00940E38" w14:paraId="61E58627" w14:textId="77777777" w:rsidTr="1047C9A3">
        <w:trPr>
          <w:trHeight w:val="20"/>
        </w:trPr>
        <w:tc>
          <w:tcPr>
            <w:tcW w:w="1409" w:type="dxa"/>
            <w:tcBorders>
              <w:top w:val="nil"/>
              <w:left w:val="nil"/>
              <w:bottom w:val="nil"/>
              <w:right w:val="nil"/>
            </w:tcBorders>
            <w:hideMark/>
          </w:tcPr>
          <w:p w14:paraId="7900C3FF" w14:textId="7759A096" w:rsidR="00DD3FE9" w:rsidRPr="00940E38" w:rsidRDefault="00DD3FE9" w:rsidP="00DD3FE9">
            <w:pPr>
              <w:jc w:val="left"/>
            </w:pPr>
            <w:r w:rsidRPr="00940E38">
              <w:t>FRD 21</w:t>
            </w:r>
          </w:p>
        </w:tc>
        <w:tc>
          <w:tcPr>
            <w:tcW w:w="7125" w:type="dxa"/>
            <w:gridSpan w:val="2"/>
            <w:tcBorders>
              <w:top w:val="nil"/>
              <w:left w:val="nil"/>
              <w:bottom w:val="nil"/>
              <w:right w:val="nil"/>
            </w:tcBorders>
            <w:hideMark/>
          </w:tcPr>
          <w:p w14:paraId="2D6C06B9" w14:textId="4500F5BA" w:rsidR="00DD3FE9" w:rsidRPr="00940E38" w:rsidRDefault="00DD3FE9" w:rsidP="00DD3FE9">
            <w:pPr>
              <w:jc w:val="left"/>
            </w:pPr>
            <w:hyperlink w:anchor="INDEX_ResponsiblePersons" w:history="1">
              <w:r w:rsidRPr="00B829A3">
                <w:rPr>
                  <w:rStyle w:val="Hyperlink"/>
                </w:rPr>
                <w:t xml:space="preserve">Disclosures of Responsible Persons, Executive Officers and other Personnel </w:t>
              </w:r>
              <w:r>
                <w:rPr>
                  <w:rStyle w:val="Hyperlink"/>
                </w:rPr>
                <w:br/>
              </w:r>
              <w:r w:rsidRPr="00B829A3">
                <w:rPr>
                  <w:rStyle w:val="Hyperlink"/>
                </w:rPr>
                <w:t>(Contractors with Significant Management Responsibilities) in the Financial Report</w:t>
              </w:r>
            </w:hyperlink>
          </w:p>
        </w:tc>
        <w:tc>
          <w:tcPr>
            <w:tcW w:w="1232" w:type="dxa"/>
            <w:tcBorders>
              <w:top w:val="nil"/>
              <w:left w:val="nil"/>
              <w:bottom w:val="nil"/>
              <w:right w:val="nil"/>
            </w:tcBorders>
          </w:tcPr>
          <w:p w14:paraId="244ABA9B" w14:textId="645BBF0A" w:rsidR="00DD3FE9" w:rsidRPr="00FA4323" w:rsidRDefault="00DD3FE9" w:rsidP="00DD3FE9"/>
        </w:tc>
      </w:tr>
      <w:tr w:rsidR="00DD3FE9" w:rsidRPr="00940E38" w14:paraId="4C230329" w14:textId="77777777" w:rsidTr="1047C9A3">
        <w:trPr>
          <w:trHeight w:val="20"/>
        </w:trPr>
        <w:tc>
          <w:tcPr>
            <w:tcW w:w="1409" w:type="dxa"/>
            <w:tcBorders>
              <w:top w:val="nil"/>
              <w:left w:val="nil"/>
              <w:bottom w:val="nil"/>
              <w:right w:val="nil"/>
            </w:tcBorders>
            <w:hideMark/>
          </w:tcPr>
          <w:p w14:paraId="3D5868B3" w14:textId="44729FF1" w:rsidR="00DD3FE9" w:rsidRPr="00940E38" w:rsidRDefault="00DD3FE9" w:rsidP="00DD3FE9">
            <w:pPr>
              <w:jc w:val="left"/>
            </w:pPr>
            <w:r w:rsidRPr="00940E38">
              <w:t>FRD </w:t>
            </w:r>
            <w:r>
              <w:t>103</w:t>
            </w:r>
          </w:p>
        </w:tc>
        <w:tc>
          <w:tcPr>
            <w:tcW w:w="7125" w:type="dxa"/>
            <w:gridSpan w:val="2"/>
            <w:tcBorders>
              <w:top w:val="nil"/>
              <w:left w:val="nil"/>
              <w:bottom w:val="nil"/>
              <w:right w:val="nil"/>
            </w:tcBorders>
            <w:hideMark/>
          </w:tcPr>
          <w:p w14:paraId="03B56F67" w14:textId="55C192E1" w:rsidR="00DD3FE9" w:rsidRPr="00940E38" w:rsidRDefault="00DD3FE9" w:rsidP="00DD3FE9">
            <w:pPr>
              <w:jc w:val="left"/>
            </w:pPr>
            <w:hyperlink w:anchor="INDEX_NonFinAssets" w:history="1">
              <w:r w:rsidRPr="0021569D">
                <w:rPr>
                  <w:rStyle w:val="Hyperlink"/>
                </w:rPr>
                <w:t>Non</w:t>
              </w:r>
              <w:r w:rsidRPr="0021569D">
                <w:rPr>
                  <w:rStyle w:val="Hyperlink"/>
                </w:rPr>
                <w:noBreakHyphen/>
                <w:t>Financial Physical Assets</w:t>
              </w:r>
            </w:hyperlink>
            <w:r w:rsidRPr="00940E38">
              <w:t xml:space="preserve"> </w:t>
            </w:r>
          </w:p>
        </w:tc>
        <w:tc>
          <w:tcPr>
            <w:tcW w:w="1232" w:type="dxa"/>
            <w:tcBorders>
              <w:top w:val="nil"/>
              <w:left w:val="nil"/>
              <w:bottom w:val="nil"/>
              <w:right w:val="nil"/>
            </w:tcBorders>
          </w:tcPr>
          <w:p w14:paraId="627F63C2" w14:textId="2EBCD7AC" w:rsidR="00DD3FE9" w:rsidRPr="00FA4323" w:rsidRDefault="00DD3FE9" w:rsidP="00DD3FE9"/>
        </w:tc>
      </w:tr>
      <w:tr w:rsidR="00DD3FE9" w:rsidRPr="00940E38" w14:paraId="7DF0C663" w14:textId="77777777" w:rsidTr="1047C9A3">
        <w:trPr>
          <w:trHeight w:val="20"/>
        </w:trPr>
        <w:tc>
          <w:tcPr>
            <w:tcW w:w="1409" w:type="dxa"/>
            <w:tcBorders>
              <w:top w:val="nil"/>
              <w:left w:val="nil"/>
              <w:bottom w:val="nil"/>
              <w:right w:val="nil"/>
            </w:tcBorders>
            <w:hideMark/>
          </w:tcPr>
          <w:p w14:paraId="763D1522" w14:textId="7C6EA75B" w:rsidR="00DD3FE9" w:rsidRPr="00940E38" w:rsidRDefault="00DD3FE9" w:rsidP="00DD3FE9">
            <w:pPr>
              <w:jc w:val="left"/>
            </w:pPr>
            <w:r w:rsidRPr="00940E38">
              <w:t xml:space="preserve">FRD 110 </w:t>
            </w:r>
          </w:p>
        </w:tc>
        <w:tc>
          <w:tcPr>
            <w:tcW w:w="7125" w:type="dxa"/>
            <w:gridSpan w:val="2"/>
            <w:tcBorders>
              <w:top w:val="nil"/>
              <w:left w:val="nil"/>
              <w:bottom w:val="nil"/>
              <w:right w:val="nil"/>
            </w:tcBorders>
            <w:hideMark/>
          </w:tcPr>
          <w:p w14:paraId="2060A001" w14:textId="1F51439E" w:rsidR="00DD3FE9" w:rsidRPr="00940E38" w:rsidRDefault="00DD3FE9" w:rsidP="00DD3FE9">
            <w:pPr>
              <w:jc w:val="left"/>
            </w:pPr>
            <w:hyperlink w:anchor="INDEX_CFStats" w:history="1">
              <w:r w:rsidRPr="00A751F0">
                <w:rPr>
                  <w:rStyle w:val="Hyperlink"/>
                </w:rPr>
                <w:t>Cash Flow Statements</w:t>
              </w:r>
            </w:hyperlink>
          </w:p>
        </w:tc>
        <w:tc>
          <w:tcPr>
            <w:tcW w:w="1232" w:type="dxa"/>
            <w:tcBorders>
              <w:top w:val="nil"/>
              <w:left w:val="nil"/>
              <w:bottom w:val="nil"/>
              <w:right w:val="nil"/>
            </w:tcBorders>
          </w:tcPr>
          <w:p w14:paraId="35E71A82" w14:textId="1DAAB0B0" w:rsidR="00DD3FE9" w:rsidRPr="00FA4323" w:rsidRDefault="00DD3FE9" w:rsidP="00DD3FE9"/>
        </w:tc>
      </w:tr>
      <w:tr w:rsidR="00DD3FE9" w:rsidRPr="00940E38" w14:paraId="073D8226" w14:textId="77777777" w:rsidTr="1047C9A3">
        <w:trPr>
          <w:trHeight w:val="20"/>
        </w:trPr>
        <w:tc>
          <w:tcPr>
            <w:tcW w:w="1409" w:type="dxa"/>
            <w:tcBorders>
              <w:top w:val="nil"/>
              <w:left w:val="nil"/>
              <w:bottom w:val="nil"/>
              <w:right w:val="nil"/>
            </w:tcBorders>
            <w:hideMark/>
          </w:tcPr>
          <w:p w14:paraId="18F7CA04" w14:textId="3C1740D9" w:rsidR="00DD3FE9" w:rsidRPr="00940E38" w:rsidRDefault="00DD3FE9" w:rsidP="00DD3FE9">
            <w:pPr>
              <w:jc w:val="left"/>
            </w:pPr>
            <w:r w:rsidRPr="00940E38">
              <w:t>FRD 112</w:t>
            </w:r>
          </w:p>
        </w:tc>
        <w:tc>
          <w:tcPr>
            <w:tcW w:w="7125" w:type="dxa"/>
            <w:gridSpan w:val="2"/>
            <w:tcBorders>
              <w:top w:val="nil"/>
              <w:left w:val="nil"/>
              <w:bottom w:val="nil"/>
              <w:right w:val="nil"/>
            </w:tcBorders>
            <w:hideMark/>
          </w:tcPr>
          <w:p w14:paraId="750DAD47" w14:textId="3C73BD70" w:rsidR="00DD3FE9" w:rsidRPr="00940E38" w:rsidRDefault="00DD3FE9" w:rsidP="00DD3FE9">
            <w:pPr>
              <w:jc w:val="left"/>
            </w:pPr>
            <w:hyperlink w:anchor="INDEX_DBPObligation" w:history="1">
              <w:r w:rsidRPr="00AE54F5">
                <w:rPr>
                  <w:rStyle w:val="Hyperlink"/>
                </w:rPr>
                <w:t>Defined Benefit Superannuation Obligations</w:t>
              </w:r>
            </w:hyperlink>
          </w:p>
        </w:tc>
        <w:tc>
          <w:tcPr>
            <w:tcW w:w="1232" w:type="dxa"/>
            <w:tcBorders>
              <w:top w:val="nil"/>
              <w:left w:val="nil"/>
              <w:bottom w:val="nil"/>
              <w:right w:val="nil"/>
            </w:tcBorders>
          </w:tcPr>
          <w:p w14:paraId="28BD74FB" w14:textId="38490330" w:rsidR="00DD3FE9" w:rsidRPr="00FA4323" w:rsidRDefault="00DD3FE9" w:rsidP="00DD3FE9"/>
        </w:tc>
      </w:tr>
      <w:tr w:rsidR="00DD3FE9" w:rsidRPr="00940E38" w14:paraId="2E27FA17" w14:textId="77777777" w:rsidTr="1047C9A3">
        <w:trPr>
          <w:trHeight w:val="20"/>
        </w:trPr>
        <w:tc>
          <w:tcPr>
            <w:tcW w:w="1409" w:type="dxa"/>
            <w:tcBorders>
              <w:top w:val="nil"/>
              <w:left w:val="nil"/>
              <w:bottom w:val="nil"/>
              <w:right w:val="nil"/>
            </w:tcBorders>
          </w:tcPr>
          <w:p w14:paraId="5DB6B1C9" w14:textId="631FA929" w:rsidR="00DD3FE9" w:rsidRPr="00940E38" w:rsidRDefault="00DD3FE9" w:rsidP="00DD3FE9">
            <w:pPr>
              <w:jc w:val="left"/>
            </w:pPr>
            <w:r>
              <w:t xml:space="preserve">FRD 114 </w:t>
            </w:r>
          </w:p>
        </w:tc>
        <w:tc>
          <w:tcPr>
            <w:tcW w:w="7125" w:type="dxa"/>
            <w:gridSpan w:val="2"/>
            <w:tcBorders>
              <w:top w:val="nil"/>
              <w:left w:val="nil"/>
              <w:bottom w:val="nil"/>
              <w:right w:val="nil"/>
            </w:tcBorders>
          </w:tcPr>
          <w:p w14:paraId="44CF5EE2" w14:textId="79BC8930" w:rsidR="00DD3FE9" w:rsidRPr="00940E38" w:rsidRDefault="00DD3FE9" w:rsidP="309088CC">
            <w:pPr>
              <w:jc w:val="left"/>
              <w:rPr>
                <w:rStyle w:val="Hyperlink"/>
              </w:rPr>
            </w:pPr>
            <w:hyperlink w:anchor="INDEX_FinancialInstruments">
              <w:r w:rsidRPr="1047C9A3">
                <w:rPr>
                  <w:rStyle w:val="Hyperlink"/>
                </w:rPr>
                <w:t>Financial Instruments – general government entities and public non-financial corporations</w:t>
              </w:r>
            </w:hyperlink>
          </w:p>
        </w:tc>
        <w:tc>
          <w:tcPr>
            <w:tcW w:w="1232" w:type="dxa"/>
            <w:tcBorders>
              <w:top w:val="nil"/>
              <w:left w:val="nil"/>
              <w:bottom w:val="nil"/>
              <w:right w:val="nil"/>
            </w:tcBorders>
          </w:tcPr>
          <w:p w14:paraId="6277EF66" w14:textId="640C2B91" w:rsidR="00DD3FE9" w:rsidRPr="00FA4323" w:rsidRDefault="00DD3FE9" w:rsidP="00DD3FE9"/>
        </w:tc>
      </w:tr>
      <w:tr w:rsidR="00DD3FE9" w:rsidRPr="00940E38" w14:paraId="15807C6E" w14:textId="77777777" w:rsidTr="1047C9A3">
        <w:trPr>
          <w:trHeight w:val="20"/>
        </w:trPr>
        <w:tc>
          <w:tcPr>
            <w:tcW w:w="9766" w:type="dxa"/>
            <w:gridSpan w:val="4"/>
            <w:tcBorders>
              <w:top w:val="nil"/>
              <w:left w:val="nil"/>
              <w:bottom w:val="nil"/>
              <w:right w:val="nil"/>
            </w:tcBorders>
            <w:hideMark/>
          </w:tcPr>
          <w:p w14:paraId="2200D88E" w14:textId="21C2D68E" w:rsidR="00DA7D7C" w:rsidRPr="00940E38" w:rsidRDefault="00DA7D7C" w:rsidP="00464BA8">
            <w:pPr>
              <w:pStyle w:val="Note"/>
              <w:ind w:left="398" w:firstLine="0"/>
            </w:pPr>
          </w:p>
        </w:tc>
      </w:tr>
      <w:tr w:rsidR="00DD3FE9" w:rsidRPr="00940E38" w14:paraId="4E072468" w14:textId="77777777" w:rsidTr="1047C9A3">
        <w:trPr>
          <w:trHeight w:val="20"/>
        </w:trPr>
        <w:tc>
          <w:tcPr>
            <w:tcW w:w="8534" w:type="dxa"/>
            <w:gridSpan w:val="3"/>
            <w:tcBorders>
              <w:top w:val="nil"/>
              <w:left w:val="nil"/>
              <w:bottom w:val="nil"/>
              <w:right w:val="nil"/>
            </w:tcBorders>
            <w:shd w:val="clear" w:color="auto" w:fill="EBEBEB"/>
            <w:hideMark/>
          </w:tcPr>
          <w:p w14:paraId="7D324E51" w14:textId="77777777" w:rsidR="00DD3FE9" w:rsidRPr="00940E38" w:rsidRDefault="00DD3FE9" w:rsidP="00DD3FE9">
            <w:pPr>
              <w:jc w:val="left"/>
              <w:rPr>
                <w:i/>
              </w:rPr>
            </w:pPr>
            <w:r w:rsidRPr="00940E38">
              <w:rPr>
                <w:i/>
              </w:rPr>
              <w:t>Legislation</w:t>
            </w:r>
          </w:p>
        </w:tc>
        <w:tc>
          <w:tcPr>
            <w:tcW w:w="1232" w:type="dxa"/>
            <w:tcBorders>
              <w:top w:val="nil"/>
              <w:left w:val="nil"/>
              <w:bottom w:val="nil"/>
              <w:right w:val="nil"/>
            </w:tcBorders>
            <w:shd w:val="clear" w:color="auto" w:fill="EBEBEB"/>
          </w:tcPr>
          <w:p w14:paraId="0DF368C6" w14:textId="77777777" w:rsidR="00DD3FE9" w:rsidRPr="00940E38" w:rsidRDefault="00DD3FE9" w:rsidP="00DD3FE9">
            <w:pPr>
              <w:rPr>
                <w:i/>
              </w:rPr>
            </w:pPr>
          </w:p>
        </w:tc>
      </w:tr>
      <w:tr w:rsidR="00DD3FE9" w:rsidRPr="00940E38" w14:paraId="49E5B886" w14:textId="77777777" w:rsidTr="1047C9A3">
        <w:trPr>
          <w:trHeight w:val="20"/>
        </w:trPr>
        <w:tc>
          <w:tcPr>
            <w:tcW w:w="8534" w:type="dxa"/>
            <w:gridSpan w:val="3"/>
            <w:tcBorders>
              <w:top w:val="nil"/>
              <w:left w:val="nil"/>
              <w:bottom w:val="nil"/>
              <w:right w:val="nil"/>
            </w:tcBorders>
            <w:hideMark/>
          </w:tcPr>
          <w:p w14:paraId="030C97A1" w14:textId="7A615F15" w:rsidR="00DD3FE9" w:rsidRPr="0032149C" w:rsidRDefault="005F0EE1" w:rsidP="00DD3FE9">
            <w:pPr>
              <w:jc w:val="left"/>
              <w:rPr>
                <w:i/>
                <w:iCs/>
              </w:rPr>
            </w:pPr>
            <w:hyperlink w:anchor="INDEX_FOI" w:history="1">
              <w:r>
                <w:rPr>
                  <w:rStyle w:val="Hyperlink"/>
                  <w:i/>
                  <w:iCs/>
                </w:rPr>
                <w:t xml:space="preserve">Freedom of Information Act 1982 (Vic) (FOI Act) </w:t>
              </w:r>
            </w:hyperlink>
          </w:p>
        </w:tc>
        <w:tc>
          <w:tcPr>
            <w:tcW w:w="1232" w:type="dxa"/>
            <w:tcBorders>
              <w:top w:val="nil"/>
              <w:left w:val="nil"/>
              <w:bottom w:val="nil"/>
              <w:right w:val="nil"/>
            </w:tcBorders>
            <w:hideMark/>
          </w:tcPr>
          <w:p w14:paraId="1521B9E8" w14:textId="6F59AE59" w:rsidR="00DD3FE9" w:rsidRPr="00940E38" w:rsidRDefault="00BE612E" w:rsidP="00DD3FE9">
            <w:fldSimple w:instr="PAGEREF  INDEX_FOI  \* MERGEFORMAT">
              <w:r>
                <w:rPr>
                  <w:noProof/>
                </w:rPr>
                <w:t>55</w:t>
              </w:r>
            </w:fldSimple>
          </w:p>
        </w:tc>
      </w:tr>
      <w:tr w:rsidR="00DD3FE9" w:rsidRPr="00940E38" w14:paraId="76C557A7" w14:textId="77777777" w:rsidTr="1047C9A3">
        <w:trPr>
          <w:trHeight w:val="20"/>
        </w:trPr>
        <w:tc>
          <w:tcPr>
            <w:tcW w:w="8534" w:type="dxa"/>
            <w:gridSpan w:val="3"/>
            <w:tcBorders>
              <w:top w:val="nil"/>
              <w:left w:val="nil"/>
              <w:bottom w:val="nil"/>
              <w:right w:val="nil"/>
            </w:tcBorders>
            <w:hideMark/>
          </w:tcPr>
          <w:p w14:paraId="0CE4C2DA" w14:textId="7BA3719A" w:rsidR="00DD3FE9" w:rsidRPr="0032149C" w:rsidRDefault="00DD3FE9" w:rsidP="00DD3FE9">
            <w:pPr>
              <w:jc w:val="left"/>
              <w:rPr>
                <w:i/>
                <w:iCs/>
              </w:rPr>
            </w:pPr>
            <w:hyperlink w:anchor="INDEX_BuildingAct" w:history="1">
              <w:r w:rsidRPr="0032149C">
                <w:rPr>
                  <w:rStyle w:val="Hyperlink"/>
                  <w:i/>
                  <w:iCs/>
                </w:rPr>
                <w:t>Building Act 1993</w:t>
              </w:r>
            </w:hyperlink>
          </w:p>
        </w:tc>
        <w:tc>
          <w:tcPr>
            <w:tcW w:w="1232" w:type="dxa"/>
            <w:tcBorders>
              <w:top w:val="nil"/>
              <w:left w:val="nil"/>
              <w:bottom w:val="nil"/>
              <w:right w:val="nil"/>
            </w:tcBorders>
            <w:hideMark/>
          </w:tcPr>
          <w:p w14:paraId="3F13D453" w14:textId="4F8A4A35" w:rsidR="00DD3FE9" w:rsidRPr="00940E38" w:rsidRDefault="00BE612E" w:rsidP="00DD3FE9">
            <w:fldSimple w:instr="PAGEREF  INDEX_BuildingAct  \* MERGEFORMAT">
              <w:r>
                <w:rPr>
                  <w:noProof/>
                </w:rPr>
                <w:t>57</w:t>
              </w:r>
            </w:fldSimple>
          </w:p>
        </w:tc>
      </w:tr>
      <w:tr w:rsidR="00DD3FE9" w:rsidRPr="00940E38" w14:paraId="26C77B97" w14:textId="77777777" w:rsidTr="1047C9A3">
        <w:trPr>
          <w:trHeight w:val="20"/>
        </w:trPr>
        <w:tc>
          <w:tcPr>
            <w:tcW w:w="8534" w:type="dxa"/>
            <w:gridSpan w:val="3"/>
            <w:tcBorders>
              <w:top w:val="nil"/>
              <w:left w:val="nil"/>
              <w:bottom w:val="nil"/>
              <w:right w:val="nil"/>
            </w:tcBorders>
            <w:hideMark/>
          </w:tcPr>
          <w:p w14:paraId="0BC0AA44" w14:textId="193245F3" w:rsidR="00DD3FE9" w:rsidRPr="0032149C" w:rsidRDefault="00DD3FE9" w:rsidP="00DD3FE9">
            <w:pPr>
              <w:jc w:val="left"/>
              <w:rPr>
                <w:i/>
                <w:iCs/>
              </w:rPr>
            </w:pPr>
            <w:hyperlink w:anchor="INDEX_ProtectedDisclosure" w:history="1">
              <w:r w:rsidRPr="00E24FB7">
                <w:rPr>
                  <w:rStyle w:val="Hyperlink"/>
                  <w:i/>
                  <w:iCs/>
                </w:rPr>
                <w:t>Public Interest Disclosures Act</w:t>
              </w:r>
              <w:r>
                <w:rPr>
                  <w:rStyle w:val="Hyperlink"/>
                  <w:i/>
                  <w:iCs/>
                </w:rPr>
                <w:t xml:space="preserve"> </w:t>
              </w:r>
              <w:r w:rsidRPr="0032149C">
                <w:rPr>
                  <w:rStyle w:val="Hyperlink"/>
                  <w:i/>
                  <w:iCs/>
                </w:rPr>
                <w:t>2012</w:t>
              </w:r>
            </w:hyperlink>
          </w:p>
        </w:tc>
        <w:tc>
          <w:tcPr>
            <w:tcW w:w="1232" w:type="dxa"/>
            <w:tcBorders>
              <w:top w:val="nil"/>
              <w:left w:val="nil"/>
              <w:bottom w:val="nil"/>
              <w:right w:val="nil"/>
            </w:tcBorders>
            <w:hideMark/>
          </w:tcPr>
          <w:p w14:paraId="7950AB45" w14:textId="4C044BB9" w:rsidR="00DD3FE9" w:rsidRPr="00940E38" w:rsidRDefault="00BE612E" w:rsidP="00DD3FE9">
            <w:fldSimple w:instr="PAGEREF  INDEX_ProtectedDisclosure  \* MERGEFORMAT">
              <w:r>
                <w:rPr>
                  <w:noProof/>
                </w:rPr>
                <w:t>58</w:t>
              </w:r>
            </w:fldSimple>
          </w:p>
        </w:tc>
      </w:tr>
      <w:tr w:rsidR="00DD3FE9" w:rsidRPr="00940E38" w14:paraId="6A0E8520" w14:textId="77777777" w:rsidTr="1047C9A3">
        <w:trPr>
          <w:trHeight w:val="20"/>
        </w:trPr>
        <w:tc>
          <w:tcPr>
            <w:tcW w:w="8534" w:type="dxa"/>
            <w:gridSpan w:val="3"/>
            <w:tcBorders>
              <w:top w:val="nil"/>
              <w:left w:val="nil"/>
              <w:bottom w:val="nil"/>
              <w:right w:val="nil"/>
            </w:tcBorders>
            <w:hideMark/>
          </w:tcPr>
          <w:p w14:paraId="4DDD1DB5" w14:textId="0A4FB720" w:rsidR="00DD3FE9" w:rsidRPr="0032149C" w:rsidRDefault="00DD3FE9" w:rsidP="00DD3FE9">
            <w:pPr>
              <w:jc w:val="left"/>
              <w:rPr>
                <w:i/>
                <w:iCs/>
              </w:rPr>
            </w:pPr>
            <w:hyperlink w:anchor="INDEX_CarersRecogAct" w:history="1">
              <w:r w:rsidRPr="0032149C">
                <w:rPr>
                  <w:rStyle w:val="Hyperlink"/>
                  <w:i/>
                  <w:iCs/>
                </w:rPr>
                <w:t>Carers Recognition Act 2012</w:t>
              </w:r>
            </w:hyperlink>
          </w:p>
        </w:tc>
        <w:tc>
          <w:tcPr>
            <w:tcW w:w="1232" w:type="dxa"/>
            <w:tcBorders>
              <w:top w:val="nil"/>
              <w:left w:val="nil"/>
              <w:bottom w:val="nil"/>
              <w:right w:val="nil"/>
            </w:tcBorders>
            <w:hideMark/>
          </w:tcPr>
          <w:p w14:paraId="36C97807" w14:textId="5041B22D" w:rsidR="00DD3FE9" w:rsidRPr="00FA4323" w:rsidRDefault="00BE612E" w:rsidP="00DD3FE9">
            <w:fldSimple w:instr="PAGEREF  INDEX_CarersRecogAct  \* MERGEFORMAT">
              <w:r>
                <w:rPr>
                  <w:noProof/>
                </w:rPr>
                <w:t>60</w:t>
              </w:r>
            </w:fldSimple>
          </w:p>
        </w:tc>
      </w:tr>
      <w:tr w:rsidR="00DD3FE9" w:rsidRPr="00940E38" w14:paraId="26CC75C4" w14:textId="77777777" w:rsidTr="1047C9A3">
        <w:trPr>
          <w:trHeight w:val="20"/>
        </w:trPr>
        <w:tc>
          <w:tcPr>
            <w:tcW w:w="8534" w:type="dxa"/>
            <w:gridSpan w:val="3"/>
            <w:tcBorders>
              <w:top w:val="nil"/>
              <w:left w:val="nil"/>
              <w:bottom w:val="nil"/>
              <w:right w:val="nil"/>
            </w:tcBorders>
          </w:tcPr>
          <w:p w14:paraId="4A15FBA2" w14:textId="4055FD5E" w:rsidR="00DD3FE9" w:rsidRPr="0032149C" w:rsidRDefault="00DD3FE9" w:rsidP="00DD3FE9">
            <w:pPr>
              <w:jc w:val="left"/>
              <w:rPr>
                <w:i/>
                <w:iCs/>
              </w:rPr>
            </w:pPr>
            <w:hyperlink w:anchor="INDEX_CompliianceDisabilityAct" w:history="1">
              <w:r w:rsidRPr="0032149C">
                <w:rPr>
                  <w:rStyle w:val="Hyperlink"/>
                  <w:i/>
                  <w:iCs/>
                </w:rPr>
                <w:t>Disability Act 2006</w:t>
              </w:r>
            </w:hyperlink>
          </w:p>
        </w:tc>
        <w:tc>
          <w:tcPr>
            <w:tcW w:w="1232" w:type="dxa"/>
            <w:tcBorders>
              <w:top w:val="nil"/>
              <w:left w:val="nil"/>
              <w:bottom w:val="nil"/>
              <w:right w:val="nil"/>
            </w:tcBorders>
          </w:tcPr>
          <w:p w14:paraId="48635BFB" w14:textId="2ACCA81B" w:rsidR="00DD3FE9" w:rsidRPr="00FA4323" w:rsidRDefault="00BE612E" w:rsidP="00DD3FE9">
            <w:fldSimple w:instr="PAGEREF  INDEX_CompliianceDisabilityAct  \* MERGEFORMAT">
              <w:r w:rsidRPr="00BE612E">
                <w:rPr>
                  <w:noProof/>
                  <w:lang w:val="en-US"/>
                </w:rPr>
                <w:t>60</w:t>
              </w:r>
            </w:fldSimple>
          </w:p>
        </w:tc>
      </w:tr>
      <w:tr w:rsidR="00DD3FE9" w:rsidRPr="00940E38" w14:paraId="54228DB7" w14:textId="77777777" w:rsidTr="1047C9A3">
        <w:trPr>
          <w:trHeight w:val="20"/>
        </w:trPr>
        <w:tc>
          <w:tcPr>
            <w:tcW w:w="8534" w:type="dxa"/>
            <w:gridSpan w:val="3"/>
            <w:tcBorders>
              <w:top w:val="nil"/>
              <w:left w:val="nil"/>
              <w:bottom w:val="nil"/>
              <w:right w:val="nil"/>
            </w:tcBorders>
            <w:hideMark/>
          </w:tcPr>
          <w:p w14:paraId="0CCEA1EB" w14:textId="38265C26" w:rsidR="00DD3FE9" w:rsidRPr="0032149C" w:rsidRDefault="00DD3FE9" w:rsidP="00DD3FE9">
            <w:pPr>
              <w:jc w:val="left"/>
              <w:rPr>
                <w:i/>
                <w:iCs/>
              </w:rPr>
            </w:pPr>
            <w:hyperlink w:anchor="INDEX_VIPP" w:history="1">
              <w:r w:rsidRPr="0032149C">
                <w:rPr>
                  <w:rStyle w:val="Hyperlink"/>
                  <w:i/>
                  <w:iCs/>
                </w:rPr>
                <w:t>Local Jobs Act 2003</w:t>
              </w:r>
            </w:hyperlink>
          </w:p>
        </w:tc>
        <w:tc>
          <w:tcPr>
            <w:tcW w:w="1232" w:type="dxa"/>
            <w:tcBorders>
              <w:top w:val="nil"/>
              <w:left w:val="nil"/>
              <w:bottom w:val="nil"/>
              <w:right w:val="nil"/>
            </w:tcBorders>
            <w:hideMark/>
          </w:tcPr>
          <w:p w14:paraId="6E26734F" w14:textId="77EE654D" w:rsidR="00DD3FE9" w:rsidRPr="00FA4323" w:rsidRDefault="00BE612E" w:rsidP="00DD3FE9">
            <w:fldSimple w:instr="PAGEREF  INDEX_VIPP  \* MERGEFORMAT">
              <w:r>
                <w:rPr>
                  <w:noProof/>
                </w:rPr>
                <w:t>46</w:t>
              </w:r>
            </w:fldSimple>
          </w:p>
        </w:tc>
      </w:tr>
      <w:tr w:rsidR="00DD3FE9" w:rsidRPr="00940E38" w14:paraId="257E8735" w14:textId="77777777" w:rsidTr="00464BA8">
        <w:trPr>
          <w:trHeight w:val="20"/>
        </w:trPr>
        <w:tc>
          <w:tcPr>
            <w:tcW w:w="0" w:type="dxa"/>
            <w:gridSpan w:val="3"/>
            <w:tcBorders>
              <w:top w:val="nil"/>
              <w:left w:val="nil"/>
              <w:bottom w:val="single" w:sz="12" w:space="0" w:color="000000" w:themeColor="text1"/>
              <w:right w:val="nil"/>
            </w:tcBorders>
            <w:hideMark/>
          </w:tcPr>
          <w:p w14:paraId="4CA39499" w14:textId="22B74AE6" w:rsidR="00DD3FE9" w:rsidRPr="0032149C" w:rsidRDefault="00DD3FE9" w:rsidP="309088CC">
            <w:pPr>
              <w:jc w:val="left"/>
              <w:rPr>
                <w:i/>
                <w:iCs/>
              </w:rPr>
            </w:pPr>
            <w:hyperlink w:anchor="INDEX_ComplianceAASB">
              <w:r w:rsidRPr="309088CC">
                <w:rPr>
                  <w:rStyle w:val="Hyperlink"/>
                  <w:i/>
                  <w:iCs/>
                </w:rPr>
                <w:t>Financial Management Act 1994</w:t>
              </w:r>
            </w:hyperlink>
            <w:r w:rsidR="004514CE">
              <w:t xml:space="preserve"> </w:t>
            </w:r>
            <w:r w:rsidR="004514CE">
              <w:rPr>
                <w:b/>
                <w:vertAlign w:val="superscript"/>
              </w:rPr>
              <w:t>(b)</w:t>
            </w:r>
          </w:p>
        </w:tc>
        <w:tc>
          <w:tcPr>
            <w:tcW w:w="0" w:type="dxa"/>
            <w:tcBorders>
              <w:top w:val="nil"/>
              <w:left w:val="nil"/>
              <w:bottom w:val="single" w:sz="12" w:space="0" w:color="000000" w:themeColor="text1"/>
              <w:right w:val="nil"/>
            </w:tcBorders>
          </w:tcPr>
          <w:p w14:paraId="3A8899BC" w14:textId="3F842804" w:rsidR="00DD3FE9" w:rsidRPr="00FA4323" w:rsidRDefault="00DD3FE9" w:rsidP="00DD3FE9"/>
        </w:tc>
      </w:tr>
    </w:tbl>
    <w:p w14:paraId="41FF9BD6" w14:textId="2A802294" w:rsidR="004514CE" w:rsidRPr="00940E38" w:rsidRDefault="004514CE" w:rsidP="004514CE">
      <w:pPr>
        <w:pStyle w:val="Note"/>
      </w:pPr>
      <w:r w:rsidRPr="00940E38">
        <w:t>Note</w:t>
      </w:r>
      <w:r w:rsidR="002D1445">
        <w:t>s</w:t>
      </w:r>
      <w:r w:rsidRPr="00940E38">
        <w:t xml:space="preserve">: </w:t>
      </w:r>
    </w:p>
    <w:p w14:paraId="060A2AED" w14:textId="77777777" w:rsidR="004514CE" w:rsidRDefault="004514CE" w:rsidP="004514CE">
      <w:pPr>
        <w:pStyle w:val="Note"/>
        <w:numPr>
          <w:ilvl w:val="0"/>
          <w:numId w:val="64"/>
        </w:numPr>
      </w:pPr>
      <w:r w:rsidRPr="00940E38">
        <w:t xml:space="preserve">References to FRDs have been removed from the Disclosure Index if the specific FRDs do not contain requirements that are </w:t>
      </w:r>
      <w:r>
        <w:t>in</w:t>
      </w:r>
      <w:r w:rsidRPr="00940E38">
        <w:t xml:space="preserve"> the nature of disclosure.</w:t>
      </w:r>
    </w:p>
    <w:p w14:paraId="4F1D72D4" w14:textId="4ED2450D" w:rsidR="004514CE" w:rsidRDefault="004514CE" w:rsidP="004514CE">
      <w:pPr>
        <w:pStyle w:val="Note"/>
        <w:numPr>
          <w:ilvl w:val="0"/>
          <w:numId w:val="64"/>
        </w:numPr>
      </w:pPr>
      <w:r>
        <w:t xml:space="preserve">Refer to the </w:t>
      </w:r>
      <w:r w:rsidRPr="009D51F4">
        <w:rPr>
          <w:iCs/>
        </w:rPr>
        <w:t>Model financial statements</w:t>
      </w:r>
      <w:r>
        <w:t xml:space="preserve"> section (</w:t>
      </w:r>
      <w:r w:rsidR="00347FA2">
        <w:t>Part two</w:t>
      </w:r>
      <w:r>
        <w:t>) for further details.</w:t>
      </w:r>
    </w:p>
    <w:p w14:paraId="44730A32" w14:textId="77777777" w:rsidR="00DC39DE" w:rsidRDefault="00DC39DE" w:rsidP="00DC39DE"/>
    <w:p w14:paraId="0C5AFC1B" w14:textId="77777777" w:rsidR="00DC39DE" w:rsidRPr="002002F4" w:rsidRDefault="00DC39DE" w:rsidP="002002F4">
      <w:pPr>
        <w:pStyle w:val="GuidanceBlockHeading"/>
      </w:pPr>
      <w:r w:rsidRPr="002002F4">
        <w:t xml:space="preserve">Guidance – Disclosure Index </w:t>
      </w:r>
    </w:p>
    <w:p w14:paraId="1986466B" w14:textId="055EDCBD" w:rsidR="00DC39DE" w:rsidRPr="002002F4" w:rsidRDefault="00DC39DE" w:rsidP="00DC39DE">
      <w:pPr>
        <w:rPr>
          <w:rStyle w:val="Guidance"/>
        </w:rPr>
      </w:pPr>
      <w:r w:rsidRPr="002002F4">
        <w:rPr>
          <w:rStyle w:val="Guidance"/>
          <w:b/>
          <w:bCs/>
        </w:rPr>
        <w:t>FRD 10</w:t>
      </w:r>
      <w:r w:rsidRPr="002002F4">
        <w:rPr>
          <w:rStyle w:val="Guidance"/>
        </w:rPr>
        <w:t xml:space="preserve"> </w:t>
      </w:r>
      <w:r w:rsidR="00970F95" w:rsidRPr="00CD6499">
        <w:rPr>
          <w:rStyle w:val="Guidance"/>
          <w:i/>
          <w:iCs/>
        </w:rPr>
        <w:t>Disclosure index</w:t>
      </w:r>
      <w:r w:rsidR="00970F95">
        <w:rPr>
          <w:rStyle w:val="Guidance"/>
        </w:rPr>
        <w:t xml:space="preserve"> </w:t>
      </w:r>
      <w:r w:rsidRPr="002002F4">
        <w:rPr>
          <w:rStyle w:val="Guidance"/>
        </w:rPr>
        <w:t>requires entities to include a disclosure index in their annual report that report</w:t>
      </w:r>
      <w:r w:rsidR="00436E90">
        <w:rPr>
          <w:rStyle w:val="Guidance"/>
        </w:rPr>
        <w:t>s</w:t>
      </w:r>
      <w:r w:rsidRPr="002002F4">
        <w:rPr>
          <w:rStyle w:val="Guidance"/>
        </w:rPr>
        <w:t xml:space="preserve"> the following:</w:t>
      </w:r>
    </w:p>
    <w:p w14:paraId="4F482999" w14:textId="4BFFE796" w:rsidR="00DC39DE" w:rsidRPr="002002F4" w:rsidRDefault="001C3F2F" w:rsidP="00310F12">
      <w:pPr>
        <w:pStyle w:val="ListBullet"/>
        <w:rPr>
          <w:rStyle w:val="Guidance"/>
        </w:rPr>
      </w:pPr>
      <w:r>
        <w:rPr>
          <w:rStyle w:val="Guidance"/>
        </w:rPr>
        <w:t>A</w:t>
      </w:r>
      <w:r w:rsidR="00DC39DE" w:rsidRPr="002002F4">
        <w:rPr>
          <w:rStyle w:val="Guidance"/>
        </w:rPr>
        <w:t xml:space="preserve"> list identifying the relevant clauses of Victorian legislation with statutory disclosure requirements that the entity </w:t>
      </w:r>
      <w:r w:rsidR="00954261">
        <w:rPr>
          <w:rStyle w:val="Guidance"/>
        </w:rPr>
        <w:t>must</w:t>
      </w:r>
      <w:r w:rsidR="00DC39DE" w:rsidRPr="002002F4">
        <w:rPr>
          <w:rStyle w:val="Guidance"/>
        </w:rPr>
        <w:t xml:space="preserve"> comply with</w:t>
      </w:r>
    </w:p>
    <w:p w14:paraId="1E70AB4D" w14:textId="33643FEF" w:rsidR="00DC39DE" w:rsidRPr="002002F4" w:rsidRDefault="001C3F2F" w:rsidP="00310F12">
      <w:pPr>
        <w:pStyle w:val="ListBullet"/>
        <w:rPr>
          <w:rStyle w:val="Guidance"/>
        </w:rPr>
      </w:pPr>
      <w:r>
        <w:rPr>
          <w:rStyle w:val="Guidance"/>
        </w:rPr>
        <w:t>A</w:t>
      </w:r>
      <w:r w:rsidR="00DC39DE" w:rsidRPr="002002F4">
        <w:rPr>
          <w:rStyle w:val="Guidance"/>
        </w:rPr>
        <w:t xml:space="preserve"> short description of the relevant requirements </w:t>
      </w:r>
    </w:p>
    <w:p w14:paraId="63685ED8" w14:textId="27F57085" w:rsidR="00DC39DE" w:rsidRPr="002002F4" w:rsidRDefault="001C3F2F" w:rsidP="00310F12">
      <w:pPr>
        <w:pStyle w:val="ListBullet"/>
        <w:rPr>
          <w:rStyle w:val="Guidance"/>
        </w:rPr>
      </w:pPr>
      <w:r>
        <w:rPr>
          <w:rStyle w:val="Guidance"/>
        </w:rPr>
        <w:t>T</w:t>
      </w:r>
      <w:r w:rsidR="00DC39DE" w:rsidRPr="002002F4">
        <w:rPr>
          <w:rStyle w:val="Guidance"/>
        </w:rPr>
        <w:t>he page in the annual report where the disclosure for each requirement is made.</w:t>
      </w:r>
    </w:p>
    <w:p w14:paraId="360B7550" w14:textId="77777777" w:rsidR="00DC39DE" w:rsidRPr="002002F4" w:rsidRDefault="00DC39DE" w:rsidP="00DC39DE">
      <w:pPr>
        <w:rPr>
          <w:rStyle w:val="Guidance"/>
        </w:rPr>
      </w:pPr>
      <w:r w:rsidRPr="002002F4">
        <w:rPr>
          <w:rStyle w:val="Guidance"/>
        </w:rPr>
        <w:t>The disclosure index is usually presented as the first appendix at the end of the annual report.</w:t>
      </w:r>
    </w:p>
    <w:p w14:paraId="70A046AA" w14:textId="45ED2760" w:rsidR="00DC39DE" w:rsidRPr="002002F4" w:rsidRDefault="00DC39DE" w:rsidP="00DC39DE">
      <w:pPr>
        <w:rPr>
          <w:rStyle w:val="Guidance"/>
        </w:rPr>
      </w:pPr>
      <w:r w:rsidRPr="002002F4">
        <w:rPr>
          <w:rStyle w:val="Guidance"/>
        </w:rPr>
        <w:t xml:space="preserve">The Model Report is based on information at a point in time before 30 June and may not reflect the latest AASs and FRDs. Therefore, it is the responsibility of the preparer to refer back to the </w:t>
      </w:r>
      <w:hyperlink r:id="rId95" w:history="1">
        <w:r w:rsidR="002002F4" w:rsidRPr="00A250D0">
          <w:rPr>
            <w:rStyle w:val="Hyperlink"/>
          </w:rPr>
          <w:t>DTF website</w:t>
        </w:r>
      </w:hyperlink>
      <w:r w:rsidR="002002F4" w:rsidRPr="00BF2540">
        <w:rPr>
          <w:rStyle w:val="Hyperlink"/>
          <w:u w:val="none"/>
        </w:rPr>
        <w:t xml:space="preserve"> </w:t>
      </w:r>
      <w:r w:rsidRPr="00EE27A1">
        <w:rPr>
          <w:rStyle w:val="Guidance"/>
        </w:rPr>
        <w:t>for</w:t>
      </w:r>
      <w:r w:rsidRPr="002002F4">
        <w:rPr>
          <w:rStyle w:val="Guidance"/>
        </w:rPr>
        <w:t xml:space="preserve"> the most up</w:t>
      </w:r>
      <w:r w:rsidR="00E95191">
        <w:rPr>
          <w:rStyle w:val="Guidance"/>
        </w:rPr>
        <w:t>-</w:t>
      </w:r>
      <w:r w:rsidRPr="002002F4">
        <w:rPr>
          <w:rStyle w:val="Guidance"/>
        </w:rPr>
        <w:t>to</w:t>
      </w:r>
      <w:r w:rsidR="00E95191">
        <w:rPr>
          <w:rStyle w:val="Guidance"/>
        </w:rPr>
        <w:t>-</w:t>
      </w:r>
      <w:r w:rsidRPr="002002F4">
        <w:rPr>
          <w:rStyle w:val="Guidance"/>
        </w:rPr>
        <w:t>date references when finalising their annual reports.</w:t>
      </w:r>
    </w:p>
    <w:p w14:paraId="6E528D54" w14:textId="77777777" w:rsidR="003719CD" w:rsidRDefault="003719CD" w:rsidP="0024192E">
      <w:pPr>
        <w:pStyle w:val="GuidanceEnd"/>
      </w:pPr>
    </w:p>
    <w:bookmarkEnd w:id="65"/>
    <w:p w14:paraId="1ED1C3AC" w14:textId="77777777" w:rsidR="00D50FC9" w:rsidRDefault="00D50FC9" w:rsidP="00A67B8A"/>
    <w:sectPr w:rsidR="00D50FC9" w:rsidSect="005A1ACA">
      <w:headerReference w:type="even" r:id="rId96"/>
      <w:headerReference w:type="default" r:id="rId97"/>
      <w:footerReference w:type="even" r:id="rId98"/>
      <w:footerReference w:type="default" r:id="rId99"/>
      <w:headerReference w:type="first" r:id="rId100"/>
      <w:footerReference w:type="first" r:id="rId101"/>
      <w:pgSz w:w="11906" w:h="16838"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122D" w14:textId="77777777" w:rsidR="007B53DE" w:rsidRDefault="007B53DE" w:rsidP="00F51427">
      <w:pPr>
        <w:spacing w:before="0" w:after="0" w:line="240" w:lineRule="auto"/>
      </w:pPr>
      <w:r>
        <w:separator/>
      </w:r>
    </w:p>
  </w:endnote>
  <w:endnote w:type="continuationSeparator" w:id="0">
    <w:p w14:paraId="0B331F09" w14:textId="77777777" w:rsidR="007B53DE" w:rsidRDefault="007B53DE" w:rsidP="00F51427">
      <w:pPr>
        <w:spacing w:before="0" w:after="0" w:line="240" w:lineRule="auto"/>
      </w:pPr>
      <w:r>
        <w:continuationSeparator/>
      </w:r>
    </w:p>
  </w:endnote>
  <w:endnote w:type="continuationNotice" w:id="1">
    <w:p w14:paraId="318A879C" w14:textId="77777777" w:rsidR="007B53DE" w:rsidRDefault="007B53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A67C" w14:textId="6F5A0097" w:rsidR="00A545BA" w:rsidRDefault="00D164CD" w:rsidP="007D536F">
    <w:pPr>
      <w:pStyle w:val="Spacer"/>
    </w:pPr>
    <w:r>
      <w:rPr>
        <w:noProof/>
      </w:rPr>
      <mc:AlternateContent>
        <mc:Choice Requires="wps">
          <w:drawing>
            <wp:anchor distT="0" distB="0" distL="114300" distR="114300" simplePos="0" relativeHeight="251658279" behindDoc="0" locked="0" layoutInCell="0" allowOverlap="1" wp14:anchorId="700354EB" wp14:editId="6DFF1F20">
              <wp:simplePos x="0" y="0"/>
              <wp:positionH relativeFrom="page">
                <wp:align>left</wp:align>
              </wp:positionH>
              <wp:positionV relativeFrom="page">
                <wp:align>bottom</wp:align>
              </wp:positionV>
              <wp:extent cx="7772400" cy="463550"/>
              <wp:effectExtent l="0" t="0" r="0" b="0"/>
              <wp:wrapNone/>
              <wp:docPr id="144517969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44D4C22F" w14:textId="2840BBA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0354EB" id="_x0000_t202" coordsize="21600,21600" o:spt="202" path="m,l,21600r21600,l21600,xe">
              <v:stroke joinstyle="miter"/>
              <v:path gradientshapeok="t" o:connecttype="rect"/>
            </v:shapetype>
            <v:shape id="Text Box 71" o:spid="_x0000_s1042" type="#_x0000_t202" style="position:absolute;margin-left:0;margin-top:0;width:612pt;height:36.5pt;z-index:25165827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" o:allowincell="f" filled="f" stroked="f" strokeweight=".5pt">
              <v:textbox inset="20pt,0,,0">
                <w:txbxContent>
                  <w:p w14:paraId="44D4C22F" w14:textId="2840BBA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9" behindDoc="0" locked="0" layoutInCell="0" allowOverlap="1" wp14:anchorId="015F0267" wp14:editId="7E12985D">
              <wp:simplePos x="0" y="0"/>
              <wp:positionH relativeFrom="page">
                <wp:align>left</wp:align>
              </wp:positionH>
              <wp:positionV relativeFrom="page">
                <wp:align>bottom</wp:align>
              </wp:positionV>
              <wp:extent cx="7772400" cy="463550"/>
              <wp:effectExtent l="0" t="0" r="0" b="0"/>
              <wp:wrapNone/>
              <wp:docPr id="2394564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FCB562C" w14:textId="326206A7"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5F0267" id="Text Box 70" o:spid="_x0000_s1043" type="#_x0000_t202" style="position:absolute;margin-left:0;margin-top:0;width:612pt;height:36.5pt;z-index:25165826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ITKA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" o:allowincell="f" filled="f" stroked="f" strokeweight=".5pt">
              <v:textbox inset="20pt,0,,0">
                <w:txbxContent>
                  <w:p w14:paraId="0FCB562C" w14:textId="326206A7"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6" behindDoc="0" locked="0" layoutInCell="0" allowOverlap="1" wp14:anchorId="43F00CC3" wp14:editId="4E7DAB97">
              <wp:simplePos x="0" y="0"/>
              <wp:positionH relativeFrom="page">
                <wp:align>left</wp:align>
              </wp:positionH>
              <wp:positionV relativeFrom="page">
                <wp:align>bottom</wp:align>
              </wp:positionV>
              <wp:extent cx="7772400" cy="463550"/>
              <wp:effectExtent l="0" t="0" r="0" b="0"/>
              <wp:wrapNone/>
              <wp:docPr id="9271736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71573BD4" w14:textId="52B245E9"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F00CC3" id="Text Box 69" o:spid="_x0000_s1044" type="#_x0000_t202" style="position:absolute;margin-left:0;margin-top:0;width:612pt;height:36.5pt;z-index:2516582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2PaN9KQIAAEcEAAAOAAAAAAAAAAAAAAAAAC4CAABkcnMvZTJvRG9j&#10;LnhtbFBLAQItABQABgAIAAAAIQD+9Y2b2gAAAAUBAAAPAAAAAAAAAAAAAAAAAIMEAABkcnMvZG93&#10;bnJldi54bWxQSwUGAAAAAAQABADzAAAAigUAAAAA&#10;" o:allowincell="f" filled="f" stroked="f" strokeweight=".5pt">
              <v:textbox inset="20pt,0,,0">
                <w:txbxContent>
                  <w:p w14:paraId="71573BD4" w14:textId="52B245E9"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3E96AA25" wp14:editId="692FA046">
              <wp:simplePos x="0" y="0"/>
              <wp:positionH relativeFrom="page">
                <wp:align>left</wp:align>
              </wp:positionH>
              <wp:positionV relativeFrom="page">
                <wp:align>bottom</wp:align>
              </wp:positionV>
              <wp:extent cx="7772400" cy="463550"/>
              <wp:effectExtent l="0" t="0" r="0" b="0"/>
              <wp:wrapNone/>
              <wp:docPr id="10308774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3337521" w14:textId="5CA1B664"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96AA25" id="Text Box 68" o:spid="_x0000_s1045" type="#_x0000_t202" style="position:absolute;margin-left:0;margin-top:0;width:612pt;height:36.5pt;z-index:25165824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cecPuKQIAAEcEAAAOAAAAAAAAAAAAAAAAAC4CAABkcnMvZTJvRG9j&#10;LnhtbFBLAQItABQABgAIAAAAIQD+9Y2b2gAAAAUBAAAPAAAAAAAAAAAAAAAAAIMEAABkcnMvZG93&#10;bnJldi54bWxQSwUGAAAAAAQABADzAAAAigUAAAAA&#10;" o:allowincell="f" filled="f" stroked="f" strokeweight=".5pt">
              <v:textbox inset="20pt,0,,0">
                <w:txbxContent>
                  <w:p w14:paraId="03337521" w14:textId="5CA1B664"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p>
  <w:p w14:paraId="787CD4B6" w14:textId="77777777" w:rsidR="00A545BA" w:rsidRDefault="00A545BA" w:rsidP="007D53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B9FD" w14:textId="3A5EADBA" w:rsidR="00796B53" w:rsidRPr="00C02C51" w:rsidRDefault="00796B53" w:rsidP="00C02C5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2BA2" w14:textId="5CEA1CDF" w:rsidR="00205DD1" w:rsidRDefault="00205DD1" w:rsidP="00CF76BC">
    <w:pPr>
      <w:pStyle w:val="Footer"/>
      <w:pBdr>
        <w:top w:val="none" w:sz="0" w:space="0" w:color="auto"/>
      </w:pBd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EB35" w14:textId="6F2BE052" w:rsidR="00A545BA" w:rsidRPr="00D332B9" w:rsidRDefault="00D164CD" w:rsidP="007D536F">
    <w:pPr>
      <w:pStyle w:val="Footer"/>
    </w:pPr>
    <w:r>
      <w:rPr>
        <w:noProof/>
      </w:rPr>
      <mc:AlternateContent>
        <mc:Choice Requires="wps">
          <w:drawing>
            <wp:anchor distT="0" distB="0" distL="114300" distR="114300" simplePos="0" relativeHeight="251658280" behindDoc="0" locked="0" layoutInCell="0" allowOverlap="1" wp14:anchorId="25A3F155" wp14:editId="4E397C4F">
              <wp:simplePos x="0" y="0"/>
              <wp:positionH relativeFrom="page">
                <wp:align>left</wp:align>
              </wp:positionH>
              <wp:positionV relativeFrom="page">
                <wp:align>bottom</wp:align>
              </wp:positionV>
              <wp:extent cx="7772400" cy="463550"/>
              <wp:effectExtent l="0" t="0" r="0" b="0"/>
              <wp:wrapNone/>
              <wp:docPr id="18773412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AA68BA5" w14:textId="37A006C9" w:rsidR="008D680A"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A3F155" id="_x0000_t202" coordsize="21600,21600" o:spt="202" path="m,l,21600r21600,l21600,xe">
              <v:stroke joinstyle="miter"/>
              <v:path gradientshapeok="t" o:connecttype="rect"/>
            </v:shapetype>
            <v:shape id="Text Box 39" o:spid="_x0000_s1072" type="#_x0000_t202" style="position:absolute;margin-left:0;margin-top:0;width:612pt;height:36.5pt;z-index:25165828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1GLTyyoCAABIBAAADgAAAAAAAAAAAAAAAAAuAgAAZHJzL2Uyb0Rv&#10;Yy54bWxQSwECLQAUAAYACAAAACEA/vWNm9oAAAAFAQAADwAAAAAAAAAAAAAAAACEBAAAZHJzL2Rv&#10;d25yZXYueG1sUEsFBgAAAAAEAAQA8wAAAIsFAAAAAA==&#10;" o:allowincell="f" filled="f" stroked="f" strokeweight=".5pt">
              <v:textbox inset="20pt,0,,0">
                <w:txbxContent>
                  <w:p w14:paraId="5AA68BA5" w14:textId="37A006C9" w:rsidR="008D680A"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7" behindDoc="0" locked="0" layoutInCell="0" allowOverlap="1" wp14:anchorId="1955116A" wp14:editId="00D7B83B">
              <wp:simplePos x="0" y="0"/>
              <wp:positionH relativeFrom="page">
                <wp:align>left</wp:align>
              </wp:positionH>
              <wp:positionV relativeFrom="page">
                <wp:align>bottom</wp:align>
              </wp:positionV>
              <wp:extent cx="7772400" cy="463550"/>
              <wp:effectExtent l="0" t="0" r="0" b="0"/>
              <wp:wrapNone/>
              <wp:docPr id="7673199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C25B34F" w14:textId="03CC9CE1"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55116A" id="Text Box 38" o:spid="_x0000_s1073" type="#_x0000_t202" style="position:absolute;margin-left:0;margin-top:0;width:612pt;height:36.5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L4ms1grAgAASAQAAA4AAAAAAAAAAAAAAAAALgIAAGRycy9lMm9E&#10;b2MueG1sUEsBAi0AFAAGAAgAAAAhAP71jZvaAAAABQEAAA8AAAAAAAAAAAAAAAAAhQQAAGRycy9k&#10;b3ducmV2LnhtbFBLBQYAAAAABAAEAPMAAACMBQAAAAA=&#10;" o:allowincell="f" filled="f" stroked="f" strokeweight=".5pt">
              <v:textbox inset="20pt,0,,0">
                <w:txbxContent>
                  <w:p w14:paraId="5C25B34F" w14:textId="03CC9CE1"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8" behindDoc="0" locked="0" layoutInCell="0" allowOverlap="1" wp14:anchorId="34B57D83" wp14:editId="35C0AEE6">
              <wp:simplePos x="0" y="0"/>
              <wp:positionH relativeFrom="page">
                <wp:align>left</wp:align>
              </wp:positionH>
              <wp:positionV relativeFrom="page">
                <wp:align>bottom</wp:align>
              </wp:positionV>
              <wp:extent cx="7772400" cy="463550"/>
              <wp:effectExtent l="0" t="0" r="0" b="0"/>
              <wp:wrapNone/>
              <wp:docPr id="14541770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7C2FC018" w14:textId="28943F0D" w:rsidR="00A545BA" w:rsidRPr="0018561A" w:rsidRDefault="0018561A" w:rsidP="0018561A">
                          <w:pPr>
                            <w:spacing w:before="0" w:after="0"/>
                            <w:rPr>
                              <w:rFonts w:ascii="Calibri" w:hAnsi="Calibri" w:cs="Calibri"/>
                              <w:color w:val="000000"/>
                              <w:sz w:val="22"/>
                            </w:rPr>
                          </w:pPr>
                          <w:r w:rsidRPr="0018561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B57D83" id="Text Box 37" o:spid="_x0000_s1074" type="#_x0000_t202" style="position:absolute;margin-left:0;margin-top:0;width:612pt;height:36.5pt;z-index:25165825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EHsYjYrAgAASAQAAA4AAAAAAAAAAAAAAAAALgIAAGRycy9lMm9E&#10;b2MueG1sUEsBAi0AFAAGAAgAAAAhAP71jZvaAAAABQEAAA8AAAAAAAAAAAAAAAAAhQQAAGRycy9k&#10;b3ducmV2LnhtbFBLBQYAAAAABAAEAPMAAACMBQAAAAA=&#10;" o:allowincell="f" filled="f" stroked="f" strokeweight=".5pt">
              <v:textbox inset="20pt,0,,0">
                <w:txbxContent>
                  <w:p w14:paraId="7C2FC018" w14:textId="28943F0D" w:rsidR="00A545BA" w:rsidRPr="0018561A" w:rsidRDefault="0018561A" w:rsidP="0018561A">
                    <w:pPr>
                      <w:spacing w:before="0" w:after="0"/>
                      <w:rPr>
                        <w:rFonts w:ascii="Calibri" w:hAnsi="Calibri" w:cs="Calibri"/>
                        <w:color w:val="000000"/>
                        <w:sz w:val="22"/>
                      </w:rPr>
                    </w:pPr>
                    <w:r w:rsidRPr="0018561A">
                      <w:rPr>
                        <w:rFonts w:ascii="Calibri" w:hAnsi="Calibri" w:cs="Calibri"/>
                        <w:color w:val="000000"/>
                        <w:sz w:val="22"/>
                      </w:rPr>
                      <w:t>OFFICIAL</w:t>
                    </w:r>
                  </w:p>
                </w:txbxContent>
              </v:textbox>
              <w10:wrap anchorx="page" anchory="page"/>
            </v:shape>
          </w:pict>
        </mc:Fallback>
      </mc:AlternateContent>
    </w:r>
    <w:r w:rsidR="00A545BA" w:rsidRPr="00D332B9">
      <w:fldChar w:fldCharType="begin"/>
    </w:r>
    <w:r w:rsidR="00A545BA" w:rsidRPr="00D332B9">
      <w:instrText xml:space="preserve"> PAGE   \* MERGEFORMAT </w:instrText>
    </w:r>
    <w:r w:rsidR="00A545BA" w:rsidRPr="00D332B9">
      <w:fldChar w:fldCharType="separate"/>
    </w:r>
    <w:r w:rsidR="00A545BA">
      <w:t>40</w:t>
    </w:r>
    <w:r w:rsidR="00A545BA" w:rsidRPr="00D332B9">
      <w:fldChar w:fldCharType="end"/>
    </w:r>
    <w:r w:rsidR="00A545BA">
      <w:tab/>
    </w:r>
    <w:fldSimple w:instr="STYLEREF  Title  \* MERGEFORMAT">
      <w:r w:rsidR="00A54997">
        <w:rPr>
          <w:noProof/>
        </w:rPr>
        <w:t>Model Report for Victorian Government Departments</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45DA" w14:textId="7EE24C4B" w:rsidR="00A545BA" w:rsidRPr="00D332B9" w:rsidRDefault="00D164CD" w:rsidP="007D536F">
    <w:pPr>
      <w:pStyle w:val="Footer"/>
    </w:pPr>
    <w:r>
      <w:rPr>
        <w:noProof/>
      </w:rPr>
      <mc:AlternateContent>
        <mc:Choice Requires="wps">
          <w:drawing>
            <wp:anchor distT="0" distB="0" distL="114300" distR="114300" simplePos="0" relativeHeight="251658276" behindDoc="0" locked="0" layoutInCell="0" allowOverlap="1" wp14:anchorId="36A9C956" wp14:editId="10BC67F8">
              <wp:simplePos x="0" y="0"/>
              <wp:positionH relativeFrom="page">
                <wp:align>left</wp:align>
              </wp:positionH>
              <wp:positionV relativeFrom="page">
                <wp:align>bottom</wp:align>
              </wp:positionV>
              <wp:extent cx="7772400" cy="463550"/>
              <wp:effectExtent l="0" t="0" r="0" b="0"/>
              <wp:wrapNone/>
              <wp:docPr id="16214955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DF59054" w14:textId="1152FC17" w:rsidR="008D680A"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A9C956" id="_x0000_t202" coordsize="21600,21600" o:spt="202" path="m,l,21600r21600,l21600,xe">
              <v:stroke joinstyle="miter"/>
              <v:path gradientshapeok="t" o:connecttype="rect"/>
            </v:shapetype>
            <v:shape id="Text Box 36" o:spid="_x0000_s1075" type="#_x0000_t202" style="position:absolute;margin-left:0;margin-top:0;width:612pt;height:36.5pt;z-index:25165827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CuoAqUrAgAASAQAAA4AAAAAAAAAAAAAAAAALgIAAGRycy9lMm9E&#10;b2MueG1sUEsBAi0AFAAGAAgAAAAhAP71jZvaAAAABQEAAA8AAAAAAAAAAAAAAAAAhQQAAGRycy9k&#10;b3ducmV2LnhtbFBLBQYAAAAABAAEAPMAAACMBQAAAAA=&#10;" o:allowincell="f" filled="f" stroked="f" strokeweight=".5pt">
              <v:textbox inset="20pt,0,,0">
                <w:txbxContent>
                  <w:p w14:paraId="6DF59054" w14:textId="1152FC17" w:rsidR="008D680A"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9" behindDoc="0" locked="0" layoutInCell="0" allowOverlap="1" wp14:anchorId="3296998D" wp14:editId="27A34F2C">
              <wp:simplePos x="0" y="0"/>
              <wp:positionH relativeFrom="page">
                <wp:align>left</wp:align>
              </wp:positionH>
              <wp:positionV relativeFrom="page">
                <wp:align>bottom</wp:align>
              </wp:positionV>
              <wp:extent cx="7772400" cy="463550"/>
              <wp:effectExtent l="0" t="0" r="0" b="0"/>
              <wp:wrapNone/>
              <wp:docPr id="11042230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58F340A" w14:textId="64DB2C20"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96998D" id="Text Box 35" o:spid="_x0000_s1076" type="#_x0000_t202" style="position:absolute;margin-left:0;margin-top:0;width:612pt;height:36.5pt;z-index:25165825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L95wesrAgAASAQAAA4AAAAAAAAAAAAAAAAALgIAAGRycy9lMm9E&#10;b2MueG1sUEsBAi0AFAAGAAgAAAAhAP71jZvaAAAABQEAAA8AAAAAAAAAAAAAAAAAhQQAAGRycy9k&#10;b3ducmV2LnhtbFBLBQYAAAAABAAEAPMAAACMBQAAAAA=&#10;" o:allowincell="f" filled="f" stroked="f" strokeweight=".5pt">
              <v:textbox inset="20pt,0,,0">
                <w:txbxContent>
                  <w:p w14:paraId="558F340A" w14:textId="64DB2C20"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0" behindDoc="0" locked="0" layoutInCell="0" allowOverlap="1" wp14:anchorId="1FEAE33D" wp14:editId="4F0BE2D8">
              <wp:simplePos x="0" y="0"/>
              <wp:positionH relativeFrom="page">
                <wp:align>left</wp:align>
              </wp:positionH>
              <wp:positionV relativeFrom="page">
                <wp:align>bottom</wp:align>
              </wp:positionV>
              <wp:extent cx="7772400" cy="463550"/>
              <wp:effectExtent l="0" t="0" r="0" b="0"/>
              <wp:wrapNone/>
              <wp:docPr id="7868063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45DA944C" w14:textId="49BFF1BC" w:rsidR="00A545BA" w:rsidRPr="0018561A" w:rsidRDefault="0018561A" w:rsidP="0018561A">
                          <w:pPr>
                            <w:spacing w:before="0" w:after="0"/>
                            <w:rPr>
                              <w:rFonts w:ascii="Calibri" w:hAnsi="Calibri" w:cs="Calibri"/>
                              <w:color w:val="000000"/>
                              <w:sz w:val="22"/>
                            </w:rPr>
                          </w:pPr>
                          <w:r w:rsidRPr="0018561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EAE33D" id="Text Box 34" o:spid="_x0000_s1077" type="#_x0000_t202" style="position:absolute;margin-left:0;margin-top:0;width:612pt;height:36.5pt;z-index:2516582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NU9oXgrAgAASAQAAA4AAAAAAAAAAAAAAAAALgIAAGRycy9lMm9E&#10;b2MueG1sUEsBAi0AFAAGAAgAAAAhAP71jZvaAAAABQEAAA8AAAAAAAAAAAAAAAAAhQQAAGRycy9k&#10;b3ducmV2LnhtbFBLBQYAAAAABAAEAPMAAACMBQAAAAA=&#10;" o:allowincell="f" filled="f" stroked="f" strokeweight=".5pt">
              <v:textbox inset="20pt,0,,0">
                <w:txbxContent>
                  <w:p w14:paraId="45DA944C" w14:textId="49BFF1BC" w:rsidR="00A545BA" w:rsidRPr="0018561A" w:rsidRDefault="0018561A" w:rsidP="0018561A">
                    <w:pPr>
                      <w:spacing w:before="0" w:after="0"/>
                      <w:rPr>
                        <w:rFonts w:ascii="Calibri" w:hAnsi="Calibri" w:cs="Calibri"/>
                        <w:color w:val="000000"/>
                        <w:sz w:val="22"/>
                      </w:rPr>
                    </w:pPr>
                    <w:r w:rsidRPr="0018561A">
                      <w:rPr>
                        <w:rFonts w:ascii="Calibri" w:hAnsi="Calibri" w:cs="Calibri"/>
                        <w:color w:val="000000"/>
                        <w:sz w:val="22"/>
                      </w:rPr>
                      <w:t>OFFICIAL</w:t>
                    </w:r>
                  </w:p>
                </w:txbxContent>
              </v:textbox>
              <w10:wrap anchorx="page" anchory="page"/>
            </v:shape>
          </w:pict>
        </mc:Fallback>
      </mc:AlternateContent>
    </w:r>
    <w:fldSimple w:instr="STYLEREF  Title  \* MERGEFORMAT">
      <w:r w:rsidR="00A54997">
        <w:rPr>
          <w:noProof/>
        </w:rPr>
        <w:t>Model Report for Victorian Government Departments</w:t>
      </w:r>
    </w:fldSimple>
    <w:r w:rsidR="00A545BA" w:rsidRPr="00D332B9">
      <w:tab/>
    </w:r>
    <w:r w:rsidR="00A545BA" w:rsidRPr="00D332B9">
      <w:fldChar w:fldCharType="begin"/>
    </w:r>
    <w:r w:rsidR="00A545BA" w:rsidRPr="00D332B9">
      <w:instrText xml:space="preserve"> PAGE   \* MERGEFORMAT </w:instrText>
    </w:r>
    <w:r w:rsidR="00A545BA" w:rsidRPr="00D332B9">
      <w:fldChar w:fldCharType="separate"/>
    </w:r>
    <w:r w:rsidR="00A545BA" w:rsidRPr="00D332B9">
      <w:t>7</w:t>
    </w:r>
    <w:r w:rsidR="00A545BA" w:rsidRPr="00D332B9">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6F59" w14:textId="6F1BD46E" w:rsidR="00A545BA" w:rsidRDefault="00D164CD">
    <w:pPr>
      <w:pStyle w:val="Footer"/>
    </w:pPr>
    <w:r>
      <w:rPr>
        <w:noProof/>
      </w:rPr>
      <mc:AlternateContent>
        <mc:Choice Requires="wps">
          <w:drawing>
            <wp:anchor distT="0" distB="0" distL="114300" distR="114300" simplePos="0" relativeHeight="251658278" behindDoc="0" locked="0" layoutInCell="0" allowOverlap="1" wp14:anchorId="42E9763E" wp14:editId="6B1065BC">
              <wp:simplePos x="0" y="0"/>
              <wp:positionH relativeFrom="page">
                <wp:align>left</wp:align>
              </wp:positionH>
              <wp:positionV relativeFrom="page">
                <wp:align>bottom</wp:align>
              </wp:positionV>
              <wp:extent cx="7772400" cy="463550"/>
              <wp:effectExtent l="0" t="0" r="0" b="0"/>
              <wp:wrapNone/>
              <wp:docPr id="38897437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51B4985" w14:textId="23AB7268" w:rsidR="008D680A"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E9763E" id="_x0000_t202" coordsize="21600,21600" o:spt="202" path="m,l,21600r21600,l21600,xe">
              <v:stroke joinstyle="miter"/>
              <v:path gradientshapeok="t" o:connecttype="rect"/>
            </v:shapetype>
            <v:shape id="Text Box 33" o:spid="_x0000_s1078" type="#_x0000_t202" style="position:absolute;margin-left:0;margin-top:0;width:612pt;height:36.5pt;z-index:25165827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Cr3cBYrAgAASAQAAA4AAAAAAAAAAAAAAAAALgIAAGRycy9lMm9E&#10;b2MueG1sUEsBAi0AFAAGAAgAAAAhAP71jZvaAAAABQEAAA8AAAAAAAAAAAAAAAAAhQQAAGRycy9k&#10;b3ducmV2LnhtbFBLBQYAAAAABAAEAPMAAACMBQAAAAA=&#10;" o:allowincell="f" filled="f" stroked="f" strokeweight=".5pt">
              <v:textbox inset="20pt,0,,0">
                <w:txbxContent>
                  <w:p w14:paraId="551B4985" w14:textId="23AB7268" w:rsidR="008D680A"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1" behindDoc="0" locked="0" layoutInCell="0" allowOverlap="1" wp14:anchorId="165FADCD" wp14:editId="44CB264C">
              <wp:simplePos x="0" y="0"/>
              <wp:positionH relativeFrom="page">
                <wp:align>left</wp:align>
              </wp:positionH>
              <wp:positionV relativeFrom="page">
                <wp:align>bottom</wp:align>
              </wp:positionV>
              <wp:extent cx="7772400" cy="463550"/>
              <wp:effectExtent l="0" t="0" r="0" b="0"/>
              <wp:wrapNone/>
              <wp:docPr id="11263020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6A9BDB0" w14:textId="42FAA7CE"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5FADCD" id="Text Box 32" o:spid="_x0000_s1079" type="#_x0000_t202" style="position:absolute;margin-left:0;margin-top:0;width:612pt;height:36.5pt;z-index:25165826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ECzEIUrAgAASAQAAA4AAAAAAAAAAAAAAAAALgIAAGRycy9lMm9E&#10;b2MueG1sUEsBAi0AFAAGAAgAAAAhAP71jZvaAAAABQEAAA8AAAAAAAAAAAAAAAAAhQQAAGRycy9k&#10;b3ducmV2LnhtbFBLBQYAAAAABAAEAPMAAACMBQAAAAA=&#10;" o:allowincell="f" filled="f" stroked="f" strokeweight=".5pt">
              <v:textbox inset="20pt,0,,0">
                <w:txbxContent>
                  <w:p w14:paraId="56A9BDB0" w14:textId="42FAA7CE"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2" behindDoc="0" locked="0" layoutInCell="0" allowOverlap="1" wp14:anchorId="5E114DB1" wp14:editId="58147BB4">
              <wp:simplePos x="0" y="0"/>
              <wp:positionH relativeFrom="page">
                <wp:align>left</wp:align>
              </wp:positionH>
              <wp:positionV relativeFrom="page">
                <wp:align>bottom</wp:align>
              </wp:positionV>
              <wp:extent cx="7772400" cy="463550"/>
              <wp:effectExtent l="0" t="0" r="0" b="0"/>
              <wp:wrapNone/>
              <wp:docPr id="46986387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12809B44" w14:textId="1349063E" w:rsidR="00A545BA" w:rsidRPr="0018561A" w:rsidRDefault="0018561A" w:rsidP="0018561A">
                          <w:pPr>
                            <w:spacing w:before="0" w:after="0"/>
                            <w:rPr>
                              <w:rFonts w:ascii="Calibri" w:hAnsi="Calibri" w:cs="Calibri"/>
                              <w:color w:val="000000"/>
                              <w:sz w:val="22"/>
                            </w:rPr>
                          </w:pPr>
                          <w:r w:rsidRPr="0018561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114DB1" id="Text Box 31" o:spid="_x0000_s1080" type="#_x0000_t202" style="position:absolute;margin-left:0;margin-top:0;width:612pt;height:36.5pt;z-index:25165826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AJU94srAgAASAQAAA4AAAAAAAAAAAAAAAAALgIAAGRycy9lMm9E&#10;b2MueG1sUEsBAi0AFAAGAAgAAAAhAP71jZvaAAAABQEAAA8AAAAAAAAAAAAAAAAAhQQAAGRycy9k&#10;b3ducmV2LnhtbFBLBQYAAAAABAAEAPMAAACMBQAAAAA=&#10;" o:allowincell="f" filled="f" stroked="f" strokeweight=".5pt">
              <v:textbox inset="20pt,0,,0">
                <w:txbxContent>
                  <w:p w14:paraId="12809B44" w14:textId="1349063E" w:rsidR="00A545BA" w:rsidRPr="0018561A" w:rsidRDefault="0018561A" w:rsidP="0018561A">
                    <w:pPr>
                      <w:spacing w:before="0" w:after="0"/>
                      <w:rPr>
                        <w:rFonts w:ascii="Calibri" w:hAnsi="Calibri" w:cs="Calibri"/>
                        <w:color w:val="000000"/>
                        <w:sz w:val="22"/>
                      </w:rPr>
                    </w:pPr>
                    <w:r w:rsidRPr="0018561A">
                      <w:rPr>
                        <w:rFonts w:ascii="Calibri" w:hAnsi="Calibri" w:cs="Calibri"/>
                        <w:color w:val="000000"/>
                        <w:sz w:val="22"/>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AF49" w14:textId="24032F9E" w:rsidR="009D5AA9" w:rsidRPr="00D332B9" w:rsidRDefault="009D5AA9" w:rsidP="007D536F">
    <w:pPr>
      <w:pStyle w:val="Footer"/>
    </w:pPr>
    <w:r>
      <w:rPr>
        <w:noProof/>
      </w:rPr>
      <mc:AlternateContent>
        <mc:Choice Requires="wps">
          <w:drawing>
            <wp:anchor distT="0" distB="0" distL="114300" distR="114300" simplePos="0" relativeHeight="251658286" behindDoc="0" locked="0" layoutInCell="0" allowOverlap="1" wp14:anchorId="67792636" wp14:editId="2DBBC347">
              <wp:simplePos x="0" y="0"/>
              <wp:positionH relativeFrom="page">
                <wp:align>left</wp:align>
              </wp:positionH>
              <wp:positionV relativeFrom="page">
                <wp:align>bottom</wp:align>
              </wp:positionV>
              <wp:extent cx="7772400" cy="463550"/>
              <wp:effectExtent l="0" t="0" r="0" b="0"/>
              <wp:wrapNone/>
              <wp:docPr id="98137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4DC160BD" w14:textId="77777777" w:rsidR="009D5AA9" w:rsidRPr="000B2686" w:rsidRDefault="009D5AA9"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792636" id="_x0000_t202" coordsize="21600,21600" o:spt="202" path="m,l,21600r21600,l21600,xe">
              <v:stroke joinstyle="miter"/>
              <v:path gradientshapeok="t" o:connecttype="rect"/>
            </v:shapetype>
            <v:shape id="_x0000_s1083" type="#_x0000_t202" style="position:absolute;margin-left:0;margin-top:0;width:612pt;height:36.5pt;z-index:25165828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MrKfryoCAABIBAAADgAAAAAAAAAAAAAAAAAuAgAAZHJzL2Uyb0Rv&#10;Yy54bWxQSwECLQAUAAYACAAAACEA/vWNm9oAAAAFAQAADwAAAAAAAAAAAAAAAACEBAAAZHJzL2Rv&#10;d25yZXYueG1sUEsFBgAAAAAEAAQA8wAAAIsFAAAAAA==&#10;" o:allowincell="f" filled="f" stroked="f" strokeweight=".5pt">
              <v:textbox inset="20pt,0,,0">
                <w:txbxContent>
                  <w:p w14:paraId="4DC160BD" w14:textId="77777777" w:rsidR="009D5AA9" w:rsidRPr="000B2686" w:rsidRDefault="009D5AA9"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84" behindDoc="0" locked="0" layoutInCell="0" allowOverlap="1" wp14:anchorId="173F5695" wp14:editId="73E95928">
              <wp:simplePos x="0" y="0"/>
              <wp:positionH relativeFrom="page">
                <wp:align>left</wp:align>
              </wp:positionH>
              <wp:positionV relativeFrom="page">
                <wp:align>bottom</wp:align>
              </wp:positionV>
              <wp:extent cx="7772400" cy="463550"/>
              <wp:effectExtent l="0" t="0" r="0" b="0"/>
              <wp:wrapNone/>
              <wp:docPr id="3779226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9CF53F5" w14:textId="77777777" w:rsidR="009D5AA9" w:rsidRPr="00764024" w:rsidRDefault="009D5AA9"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F5695" id="_x0000_s1084" type="#_x0000_t202" style="position:absolute;margin-left:0;margin-top:0;width:612pt;height:36.5pt;z-index:2516582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7BKg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UvsIguU&#10;h6M9lGcc3EKvCWf4psYmtsz5Z2ZRBNg3Cts/4SIVYDEYLEoqsD//dh7ikRv0UtKiqArqfhyZFZSo&#10;rxpZy+YIR5Bh3KFho/FpOpvhZj+e6mNzDyjYK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zXhOwSoCAABIBAAADgAAAAAAAAAAAAAAAAAuAgAAZHJzL2Uyb0Rv&#10;Yy54bWxQSwECLQAUAAYACAAAACEA/vWNm9oAAAAFAQAADwAAAAAAAAAAAAAAAACEBAAAZHJzL2Rv&#10;d25yZXYueG1sUEsFBgAAAAAEAAQA8wAAAIsFAAAAAA==&#10;" o:allowincell="f" filled="f" stroked="f" strokeweight=".5pt">
              <v:textbox inset="20pt,0,,0">
                <w:txbxContent>
                  <w:p w14:paraId="09CF53F5" w14:textId="77777777" w:rsidR="009D5AA9" w:rsidRPr="00764024" w:rsidRDefault="009D5AA9"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85" behindDoc="0" locked="0" layoutInCell="0" allowOverlap="1" wp14:anchorId="5A0E5B3A" wp14:editId="73CE981C">
              <wp:simplePos x="0" y="0"/>
              <wp:positionH relativeFrom="page">
                <wp:align>left</wp:align>
              </wp:positionH>
              <wp:positionV relativeFrom="page">
                <wp:align>bottom</wp:align>
              </wp:positionV>
              <wp:extent cx="7772400" cy="463550"/>
              <wp:effectExtent l="0" t="0" r="0" b="0"/>
              <wp:wrapNone/>
              <wp:docPr id="109163836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073E92A" w14:textId="77777777" w:rsidR="009D5AA9" w:rsidRPr="0018561A" w:rsidRDefault="009D5AA9" w:rsidP="0018561A">
                          <w:pPr>
                            <w:spacing w:before="0" w:after="0"/>
                            <w:rPr>
                              <w:rFonts w:ascii="Calibri" w:hAnsi="Calibri" w:cs="Calibri"/>
                              <w:color w:val="000000"/>
                              <w:sz w:val="22"/>
                            </w:rPr>
                          </w:pPr>
                          <w:r w:rsidRPr="0018561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0E5B3A" id="_x0000_s1085" type="#_x0000_t202" style="position:absolute;margin-left:0;margin-top:0;width:612pt;height:36.5pt;z-index:25165828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pzwuUioCAABIBAAADgAAAAAAAAAAAAAAAAAuAgAAZHJzL2Uyb0Rv&#10;Yy54bWxQSwECLQAUAAYACAAAACEA/vWNm9oAAAAFAQAADwAAAAAAAAAAAAAAAACEBAAAZHJzL2Rv&#10;d25yZXYueG1sUEsFBgAAAAAEAAQA8wAAAIsFAAAAAA==&#10;" o:allowincell="f" filled="f" stroked="f" strokeweight=".5pt">
              <v:textbox inset="20pt,0,,0">
                <w:txbxContent>
                  <w:p w14:paraId="0073E92A" w14:textId="77777777" w:rsidR="009D5AA9" w:rsidRPr="0018561A" w:rsidRDefault="009D5AA9" w:rsidP="0018561A">
                    <w:pPr>
                      <w:spacing w:before="0" w:after="0"/>
                      <w:rPr>
                        <w:rFonts w:ascii="Calibri" w:hAnsi="Calibri" w:cs="Calibri"/>
                        <w:color w:val="000000"/>
                        <w:sz w:val="22"/>
                      </w:rPr>
                    </w:pPr>
                    <w:r w:rsidRPr="0018561A">
                      <w:rPr>
                        <w:rFonts w:ascii="Calibri" w:hAnsi="Calibri" w:cs="Calibri"/>
                        <w:color w:val="000000"/>
                        <w:sz w:val="22"/>
                      </w:rPr>
                      <w:t>OFFICIAL</w:t>
                    </w:r>
                  </w:p>
                </w:txbxContent>
              </v:textbox>
              <w10:wrap anchorx="page" anchory="page"/>
            </v:shape>
          </w:pict>
        </mc:Fallback>
      </mc:AlternateContent>
    </w:r>
    <w:r w:rsidDel="009D5AA9">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6A8E" w14:textId="53891480" w:rsidR="00A545BA" w:rsidRPr="00D332B9" w:rsidRDefault="00A545BA" w:rsidP="007D536F">
    <w:pPr>
      <w:pStyle w:val="Footer"/>
    </w:pPr>
    <w:r w:rsidRPr="00D332B9">
      <w:fldChar w:fldCharType="begin"/>
    </w:r>
    <w:r w:rsidRPr="00D332B9">
      <w:instrText xml:space="preserve"> PAGE   \* MERGEFORMAT </w:instrText>
    </w:r>
    <w:r w:rsidRPr="00D332B9">
      <w:fldChar w:fldCharType="separate"/>
    </w:r>
    <w:r>
      <w:t>40</w:t>
    </w:r>
    <w:r w:rsidRPr="00D332B9">
      <w:fldChar w:fldCharType="end"/>
    </w:r>
    <w:r>
      <w:tab/>
    </w:r>
    <w:fldSimple w:instr="STYLEREF  Title  \* MERGEFORMAT">
      <w:r w:rsidR="00A54997">
        <w:rPr>
          <w:noProof/>
        </w:rPr>
        <w:t>Model Report for Victorian Government Departments</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CA17" w14:textId="70765310" w:rsidR="00A545BA" w:rsidRPr="0021384F" w:rsidRDefault="00BE612E" w:rsidP="00314307">
    <w:pPr>
      <w:pStyle w:val="Footer"/>
    </w:pPr>
    <w:fldSimple w:instr="STYLEREF  Title  \* MERGEFORMAT">
      <w:r w:rsidR="00A54997">
        <w:rPr>
          <w:noProof/>
        </w:rPr>
        <w:t>Model Report for Victorian Government Departments</w:t>
      </w:r>
    </w:fldSimple>
    <w:r w:rsidR="00A545BA">
      <w:rPr>
        <w:noProof/>
      </w:rPr>
      <w:tab/>
    </w:r>
    <w:r w:rsidR="00A545BA" w:rsidRPr="00D332B9">
      <w:fldChar w:fldCharType="begin"/>
    </w:r>
    <w:r w:rsidR="00A545BA" w:rsidRPr="00D332B9">
      <w:instrText xml:space="preserve"> PAGE   \* MERGEFORMAT </w:instrText>
    </w:r>
    <w:r w:rsidR="00A545BA" w:rsidRPr="00D332B9">
      <w:fldChar w:fldCharType="separate"/>
    </w:r>
    <w:r w:rsidR="00A545BA">
      <w:t>95</w:t>
    </w:r>
    <w:r w:rsidR="00A545BA" w:rsidRPr="00D332B9">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C371" w14:textId="77777777" w:rsidR="009D5AA9" w:rsidRDefault="009D5AA9">
    <w:pPr>
      <w:pStyle w:val="Footer"/>
    </w:pPr>
    <w:r>
      <w:rPr>
        <w:noProof/>
      </w:rPr>
      <mc:AlternateContent>
        <mc:Choice Requires="wps">
          <w:drawing>
            <wp:anchor distT="0" distB="0" distL="114300" distR="114300" simplePos="0" relativeHeight="251658283" behindDoc="0" locked="0" layoutInCell="0" allowOverlap="1" wp14:anchorId="22679361" wp14:editId="7A8DB518">
              <wp:simplePos x="0" y="0"/>
              <wp:positionH relativeFrom="page">
                <wp:align>left</wp:align>
              </wp:positionH>
              <wp:positionV relativeFrom="page">
                <wp:align>bottom</wp:align>
              </wp:positionV>
              <wp:extent cx="7772400" cy="463550"/>
              <wp:effectExtent l="0" t="0" r="0" b="0"/>
              <wp:wrapNone/>
              <wp:docPr id="36145250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F6478BA" w14:textId="77777777" w:rsidR="009D5AA9" w:rsidRPr="000B2686" w:rsidRDefault="009D5AA9"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679361" id="_x0000_t202" coordsize="21600,21600" o:spt="202" path="m,l,21600r21600,l21600,xe">
              <v:stroke joinstyle="miter"/>
              <v:path gradientshapeok="t" o:connecttype="rect"/>
            </v:shapetype>
            <v:shape id="_x0000_s1086" type="#_x0000_t202" style="position:absolute;margin-left:0;margin-top:0;width:612pt;height:36.5pt;z-index:25165828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M+3tHCoCAABIBAAADgAAAAAAAAAAAAAAAAAuAgAAZHJzL2Uyb0Rv&#10;Yy54bWxQSwECLQAUAAYACAAAACEA/vWNm9oAAAAFAQAADwAAAAAAAAAAAAAAAACEBAAAZHJzL2Rv&#10;d25yZXYueG1sUEsFBgAAAAAEAAQA8wAAAIsFAAAAAA==&#10;" o:allowincell="f" filled="f" stroked="f" strokeweight=".5pt">
              <v:textbox inset="20pt,0,,0">
                <w:txbxContent>
                  <w:p w14:paraId="3F6478BA" w14:textId="77777777" w:rsidR="009D5AA9" w:rsidRPr="000B2686" w:rsidRDefault="009D5AA9"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81" behindDoc="0" locked="0" layoutInCell="0" allowOverlap="1" wp14:anchorId="29695727" wp14:editId="49412957">
              <wp:simplePos x="0" y="0"/>
              <wp:positionH relativeFrom="page">
                <wp:align>left</wp:align>
              </wp:positionH>
              <wp:positionV relativeFrom="page">
                <wp:align>bottom</wp:align>
              </wp:positionV>
              <wp:extent cx="7772400" cy="463550"/>
              <wp:effectExtent l="0" t="0" r="0" b="0"/>
              <wp:wrapNone/>
              <wp:docPr id="19673092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7F6A9438" w14:textId="77777777" w:rsidR="009D5AA9" w:rsidRPr="00764024" w:rsidRDefault="009D5AA9"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695727" id="_x0000_s1087" type="#_x0000_t202" style="position:absolute;margin-left:0;margin-top:0;width:612pt;height:36.5pt;z-index:25165828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WamNjyoCAABIBAAADgAAAAAAAAAAAAAAAAAuAgAAZHJzL2Uyb0Rv&#10;Yy54bWxQSwECLQAUAAYACAAAACEA/vWNm9oAAAAFAQAADwAAAAAAAAAAAAAAAACEBAAAZHJzL2Rv&#10;d25yZXYueG1sUEsFBgAAAAAEAAQA8wAAAIsFAAAAAA==&#10;" o:allowincell="f" filled="f" stroked="f" strokeweight=".5pt">
              <v:textbox inset="20pt,0,,0">
                <w:txbxContent>
                  <w:p w14:paraId="7F6A9438" w14:textId="77777777" w:rsidR="009D5AA9" w:rsidRPr="00764024" w:rsidRDefault="009D5AA9"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82" behindDoc="0" locked="0" layoutInCell="0" allowOverlap="1" wp14:anchorId="63DBD4F5" wp14:editId="0385997E">
              <wp:simplePos x="0" y="0"/>
              <wp:positionH relativeFrom="page">
                <wp:align>left</wp:align>
              </wp:positionH>
              <wp:positionV relativeFrom="page">
                <wp:align>bottom</wp:align>
              </wp:positionV>
              <wp:extent cx="7772400" cy="463550"/>
              <wp:effectExtent l="0" t="0" r="0" b="0"/>
              <wp:wrapNone/>
              <wp:docPr id="1335366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41DFD4FE" w14:textId="77777777" w:rsidR="009D5AA9" w:rsidRPr="0018561A" w:rsidRDefault="009D5AA9" w:rsidP="0018561A">
                          <w:pPr>
                            <w:spacing w:before="0" w:after="0"/>
                            <w:rPr>
                              <w:rFonts w:ascii="Calibri" w:hAnsi="Calibri" w:cs="Calibri"/>
                              <w:color w:val="000000"/>
                              <w:sz w:val="22"/>
                            </w:rPr>
                          </w:pPr>
                          <w:r w:rsidRPr="0018561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DBD4F5" id="_x0000_s1088" type="#_x0000_t202" style="position:absolute;margin-left:0;margin-top:0;width:612pt;height:36.5pt;z-index:25165828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pmNc4SoCAABIBAAADgAAAAAAAAAAAAAAAAAuAgAAZHJzL2Uyb0Rv&#10;Yy54bWxQSwECLQAUAAYACAAAACEA/vWNm9oAAAAFAQAADwAAAAAAAAAAAAAAAACEBAAAZHJzL2Rv&#10;d25yZXYueG1sUEsFBgAAAAAEAAQA8wAAAIsFAAAAAA==&#10;" o:allowincell="f" filled="f" stroked="f" strokeweight=".5pt">
              <v:textbox inset="20pt,0,,0">
                <w:txbxContent>
                  <w:p w14:paraId="41DFD4FE" w14:textId="77777777" w:rsidR="009D5AA9" w:rsidRPr="0018561A" w:rsidRDefault="009D5AA9" w:rsidP="0018561A">
                    <w:pPr>
                      <w:spacing w:before="0" w:after="0"/>
                      <w:rPr>
                        <w:rFonts w:ascii="Calibri" w:hAnsi="Calibri" w:cs="Calibri"/>
                        <w:color w:val="000000"/>
                        <w:sz w:val="22"/>
                      </w:rPr>
                    </w:pPr>
                    <w:r w:rsidRPr="0018561A">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DB47" w14:textId="02567266" w:rsidR="00A545BA" w:rsidRDefault="00D164CD" w:rsidP="007D536F">
    <w:pPr>
      <w:pStyle w:val="Spacer"/>
    </w:pPr>
    <w:r>
      <w:rPr>
        <w:noProof/>
      </w:rPr>
      <mc:AlternateContent>
        <mc:Choice Requires="wps">
          <w:drawing>
            <wp:anchor distT="0" distB="0" distL="114300" distR="114300" simplePos="0" relativeHeight="251658272" behindDoc="0" locked="0" layoutInCell="0" allowOverlap="1" wp14:anchorId="2520F495" wp14:editId="77152C6E">
              <wp:simplePos x="0" y="0"/>
              <wp:positionH relativeFrom="page">
                <wp:align>left</wp:align>
              </wp:positionH>
              <wp:positionV relativeFrom="page">
                <wp:align>bottom</wp:align>
              </wp:positionV>
              <wp:extent cx="7772400" cy="463550"/>
              <wp:effectExtent l="0" t="0" r="0" b="0"/>
              <wp:wrapNone/>
              <wp:docPr id="171906650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DD3D6EB" w14:textId="1BFB8C1A" w:rsidR="00A72378" w:rsidRPr="000B2686" w:rsidRDefault="00A72378" w:rsidP="000B2686">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20F495" id="_x0000_t202" coordsize="21600,21600" o:spt="202" path="m,l,21600r21600,l21600,xe">
              <v:stroke joinstyle="miter"/>
              <v:path gradientshapeok="t" o:connecttype="rect"/>
            </v:shapetype>
            <v:shape id="Text Box 67" o:spid="_x0000_s1046" type="#_x0000_t202" style="position:absolute;margin-left:0;margin-top:0;width:612pt;height:36.5pt;z-index:2516582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CgKQ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ruIjMeb&#10;HVQnnNvBWRLe8rXCHjbMh2fmUAPYNuo6POEiNWAt6C1KanA//3Yf45Ea9FLSoqZK6n8cmBOU6K8G&#10;SZvMEI2ownRCwyXj03g6xcNuuDWH5h5Qr2P8OpYnM8YGPZjSQfOKul/FcuhihmPRkvLghsN9OIsc&#10;fw4Xq1UKQ8VZFjZma/nAdAT3pXtlzvYMBOTuEQbhseINEefYMxWrQwCpEktXQHvkUa2JvP5nxe/w&#10;+zlFXf//8hcA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CIqACgKQIAAEcEAAAOAAAAAAAAAAAAAAAAAC4CAABkcnMvZTJvRG9j&#10;LnhtbFBLAQItABQABgAIAAAAIQD+9Y2b2gAAAAUBAAAPAAAAAAAAAAAAAAAAAIMEAABkcnMvZG93&#10;bnJldi54bWxQSwUGAAAAAAQABADzAAAAigUAAAAA&#10;" o:allowincell="f" filled="f" stroked="f" strokeweight=".5pt">
              <v:textbox inset="20pt,0,,0">
                <w:txbxContent>
                  <w:p w14:paraId="6DD3D6EB" w14:textId="1BFB8C1A" w:rsidR="00A72378" w:rsidRPr="000B2686" w:rsidRDefault="00A72378" w:rsidP="000B2686">
                    <w:pPr>
                      <w:spacing w:before="0" w:after="0"/>
                      <w:rPr>
                        <w:rFonts w:ascii="Calibri" w:hAnsi="Calibri" w:cs="Calibri"/>
                        <w:color w:val="000000"/>
                        <w:sz w:val="22"/>
                      </w:rPr>
                    </w:pPr>
                  </w:p>
                </w:txbxContent>
              </v:textbox>
              <w10:wrap anchorx="page" anchory="page"/>
            </v:shape>
          </w:pict>
        </mc:Fallback>
      </mc:AlternateContent>
    </w:r>
    <w:r>
      <w:rPr>
        <w:noProof/>
      </w:rPr>
      <mc:AlternateContent>
        <mc:Choice Requires="wps">
          <w:drawing>
            <wp:anchor distT="0" distB="0" distL="114300" distR="114300" simplePos="0" relativeHeight="251658264" behindDoc="0" locked="0" layoutInCell="0" allowOverlap="1" wp14:anchorId="5B2E44CF" wp14:editId="337B8F0F">
              <wp:simplePos x="0" y="0"/>
              <wp:positionH relativeFrom="page">
                <wp:align>left</wp:align>
              </wp:positionH>
              <wp:positionV relativeFrom="page">
                <wp:align>bottom</wp:align>
              </wp:positionV>
              <wp:extent cx="7772400" cy="463550"/>
              <wp:effectExtent l="0" t="0" r="0" b="0"/>
              <wp:wrapNone/>
              <wp:docPr id="7211410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199C77E8" w14:textId="140F057A"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2E44CF" id="Text Box 66" o:spid="_x0000_s1047" type="#_x0000_t202" style="position:absolute;margin-left:0;margin-top:0;width:612pt;height:36.5pt;z-index:251658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zKQ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qqSzyHi8&#10;2UF1wrkdnCXhLV8r7GHDfHhmDjWAbaOuwxMuUgPWgt6ipAb382/3MR6pQS8lLWqqpP7HgTlBif5q&#10;kLTJDNGIKkwnNFwyPo2nUzzshltzaO4B9TrGr2N5MmNs0IMpHTSvqPtVLIcuZjgWLSkPbjjch7PI&#10;8edwsVqlMFScZWFjtpYPTEdwX7pX5mzPQEDuHmEQHiveEHGOPVOxOgSQKrF0BbRHHtWayOt/VvwO&#10;v59T1PX/L38B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Di7GAzKQIAAEcEAAAOAAAAAAAAAAAAAAAAAC4CAABkcnMvZTJvRG9j&#10;LnhtbFBLAQItABQABgAIAAAAIQD+9Y2b2gAAAAUBAAAPAAAAAAAAAAAAAAAAAIMEAABkcnMvZG93&#10;bnJldi54bWxQSwUGAAAAAAQABADzAAAAigUAAAAA&#10;" o:allowincell="f" filled="f" stroked="f" strokeweight=".5pt">
              <v:textbox inset="20pt,0,,0">
                <w:txbxContent>
                  <w:p w14:paraId="199C77E8" w14:textId="140F057A"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3" behindDoc="0" locked="0" layoutInCell="0" allowOverlap="1" wp14:anchorId="6EDA2DD0" wp14:editId="5B442BF8">
              <wp:simplePos x="0" y="0"/>
              <wp:positionH relativeFrom="page">
                <wp:align>left</wp:align>
              </wp:positionH>
              <wp:positionV relativeFrom="page">
                <wp:align>bottom</wp:align>
              </wp:positionV>
              <wp:extent cx="7772400" cy="463550"/>
              <wp:effectExtent l="0" t="0" r="0" b="0"/>
              <wp:wrapNone/>
              <wp:docPr id="12583093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FD86CEF" w14:textId="409D246E" w:rsidR="00FE7DFF" w:rsidRPr="00FE7DFF" w:rsidRDefault="00FE7DFF" w:rsidP="00FE7DFF">
                          <w:pPr>
                            <w:spacing w:before="0" w:after="0"/>
                            <w:rPr>
                              <w:rFonts w:ascii="Calibri" w:hAnsi="Calibri" w:cs="Calibri"/>
                              <w:color w:val="000000"/>
                              <w:sz w:val="22"/>
                            </w:rPr>
                          </w:pPr>
                          <w:r w:rsidRPr="00FE7DF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DA2DD0" id="Text Box 65" o:spid="_x0000_s1048" type="#_x0000_t202" style="position:absolute;margin-left:0;margin-top:0;width:612pt;height:36.5pt;z-index:25165826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FdKA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" o:allowincell="f" filled="f" stroked="f" strokeweight=".5pt">
              <v:textbox inset="20pt,0,,0">
                <w:txbxContent>
                  <w:p w14:paraId="3FD86CEF" w14:textId="409D246E" w:rsidR="00FE7DFF" w:rsidRPr="00FE7DFF" w:rsidRDefault="00FE7DFF" w:rsidP="00FE7DFF">
                    <w:pPr>
                      <w:spacing w:before="0" w:after="0"/>
                      <w:rPr>
                        <w:rFonts w:ascii="Calibri" w:hAnsi="Calibri" w:cs="Calibri"/>
                        <w:color w:val="000000"/>
                        <w:sz w:val="22"/>
                      </w:rPr>
                    </w:pPr>
                    <w:r w:rsidRPr="00FE7DFF">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4" behindDoc="0" locked="0" layoutInCell="0" allowOverlap="1" wp14:anchorId="305704D8" wp14:editId="6F61086F">
              <wp:simplePos x="0" y="0"/>
              <wp:positionH relativeFrom="page">
                <wp:align>left</wp:align>
              </wp:positionH>
              <wp:positionV relativeFrom="page">
                <wp:align>bottom</wp:align>
              </wp:positionV>
              <wp:extent cx="7772400" cy="463550"/>
              <wp:effectExtent l="0" t="0" r="0" b="0"/>
              <wp:wrapNone/>
              <wp:docPr id="151653869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45DDB86B" w14:textId="1B2BE370"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704D8" id="Text Box 64" o:spid="_x0000_s1049" type="#_x0000_t202" style="position:absolute;margin-left:0;margin-top:0;width:612pt;height:36.5pt;z-index:25165825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HOKQ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luKjMeb&#10;HVQnnNvBWRLe8rXCHjbMh2fmUAPYNuo6POEiNWAt6C1KanA//3Yf45Ea9FLSoqZK6n8cmBOU6K8G&#10;SZvMEI2ownRCwyXj03g6xcNuuDWH5h5Qr2P8OpYnM8YGPZjSQfOKul/FcuhihmPRkvLghsN9OIsc&#10;fw4Xq1UKQ8VZFjZma/nAdAT3pXtlzvYMBOTuEQbhseINEefYMxWrQwCpEktXQHvkUa2JvP5nxe/w&#10;+zlFXf//8hcA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3YtHOKQIAAEcEAAAOAAAAAAAAAAAAAAAAAC4CAABkcnMvZTJvRG9j&#10;LnhtbFBLAQItABQABgAIAAAAIQD+9Y2b2gAAAAUBAAAPAAAAAAAAAAAAAAAAAIMEAABkcnMvZG93&#10;bnJldi54bWxQSwUGAAAAAAQABADzAAAAigUAAAAA&#10;" o:allowincell="f" filled="f" stroked="f" strokeweight=".5pt">
              <v:textbox inset="20pt,0,,0">
                <w:txbxContent>
                  <w:p w14:paraId="45DDB86B" w14:textId="1B2BE370"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sidR="00A545BA">
      <w:rPr>
        <w:noProof/>
      </w:rPr>
      <w:drawing>
        <wp:anchor distT="0" distB="0" distL="114300" distR="114300" simplePos="0" relativeHeight="251658253" behindDoc="0" locked="0" layoutInCell="1" allowOverlap="1" wp14:anchorId="5EB60B27" wp14:editId="3AB9E91A">
          <wp:simplePos x="0" y="0"/>
          <wp:positionH relativeFrom="page">
            <wp:posOffset>5314820</wp:posOffset>
          </wp:positionH>
          <wp:positionV relativeFrom="page">
            <wp:posOffset>9811910</wp:posOffset>
          </wp:positionV>
          <wp:extent cx="1536192" cy="457200"/>
          <wp:effectExtent l="0" t="0" r="698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7E5C2E45" w14:textId="77777777" w:rsidR="00A545BA" w:rsidRDefault="00A545BA" w:rsidP="00F602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6377" w14:textId="10CD7852" w:rsidR="00A545BA" w:rsidRDefault="00D164CD">
    <w:pPr>
      <w:pStyle w:val="Footer"/>
    </w:pPr>
    <w:r>
      <w:rPr>
        <w:noProof/>
      </w:rPr>
      <mc:AlternateContent>
        <mc:Choice Requires="wps">
          <w:drawing>
            <wp:anchor distT="0" distB="0" distL="114300" distR="114300" simplePos="0" relativeHeight="251658273" behindDoc="0" locked="0" layoutInCell="0" allowOverlap="1" wp14:anchorId="54D4C104" wp14:editId="57F944B3">
              <wp:simplePos x="0" y="0"/>
              <wp:positionH relativeFrom="page">
                <wp:align>left</wp:align>
              </wp:positionH>
              <wp:positionV relativeFrom="page">
                <wp:align>bottom</wp:align>
              </wp:positionV>
              <wp:extent cx="7772400" cy="463550"/>
              <wp:effectExtent l="0" t="0" r="0" b="0"/>
              <wp:wrapNone/>
              <wp:docPr id="121697010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BC0F247" w14:textId="78487754"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4C104" id="_x0000_t202" coordsize="21600,21600" o:spt="202" path="m,l,21600r21600,l21600,xe">
              <v:stroke joinstyle="miter"/>
              <v:path gradientshapeok="t" o:connecttype="rect"/>
            </v:shapetype>
            <v:shape id="Text Box 63" o:spid="_x0000_s1050" type="#_x0000_t202" style="position:absolute;margin-left:0;margin-top:0;width:612pt;height:36.5pt;z-index:25165827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1hTbAKQIAAEcEAAAOAAAAAAAAAAAAAAAAAC4CAABkcnMvZTJvRG9j&#10;LnhtbFBLAQItABQABgAIAAAAIQD+9Y2b2gAAAAUBAAAPAAAAAAAAAAAAAAAAAIMEAABkcnMvZG93&#10;bnJldi54bWxQSwUGAAAAAAQABADzAAAAigUAAAAA&#10;" o:allowincell="f" filled="f" stroked="f" strokeweight=".5pt">
              <v:textbox inset="20pt,0,,0">
                <w:txbxContent>
                  <w:p w14:paraId="0BC0F247" w14:textId="78487754"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5" behindDoc="0" locked="0" layoutInCell="0" allowOverlap="1" wp14:anchorId="5A4F6BDD" wp14:editId="0B04A61D">
              <wp:simplePos x="0" y="0"/>
              <wp:positionH relativeFrom="page">
                <wp:align>left</wp:align>
              </wp:positionH>
              <wp:positionV relativeFrom="page">
                <wp:align>bottom</wp:align>
              </wp:positionV>
              <wp:extent cx="7772400" cy="463550"/>
              <wp:effectExtent l="0" t="0" r="0" b="0"/>
              <wp:wrapNone/>
              <wp:docPr id="4043596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7D79814" w14:textId="1D21E93E"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4F6BDD" id="Text Box 62" o:spid="_x0000_s1051" type="#_x0000_t202" style="position:absolute;margin-left:0;margin-top:0;width:612pt;height:36.5pt;z-index:25165826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fwVZTKQIAAEcEAAAOAAAAAAAAAAAAAAAAAC4CAABkcnMvZTJvRG9j&#10;LnhtbFBLAQItABQABgAIAAAAIQD+9Y2b2gAAAAUBAAAPAAAAAAAAAAAAAAAAAIMEAABkcnMvZG93&#10;bnJldi54bWxQSwUGAAAAAAQABADzAAAAigUAAAAA&#10;" o:allowincell="f" filled="f" stroked="f" strokeweight=".5pt">
              <v:textbox inset="20pt,0,,0">
                <w:txbxContent>
                  <w:p w14:paraId="37D79814" w14:textId="1D21E93E"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5" behindDoc="0" locked="0" layoutInCell="0" allowOverlap="1" wp14:anchorId="198A5879" wp14:editId="66CF92C0">
              <wp:simplePos x="0" y="0"/>
              <wp:positionH relativeFrom="page">
                <wp:align>left</wp:align>
              </wp:positionH>
              <wp:positionV relativeFrom="page">
                <wp:align>bottom</wp:align>
              </wp:positionV>
              <wp:extent cx="7772400" cy="463550"/>
              <wp:effectExtent l="0" t="0" r="0" b="0"/>
              <wp:wrapNone/>
              <wp:docPr id="13118234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B30D883" w14:textId="7A8CC152"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A5879" id="Text Box 61" o:spid="_x0000_s1052" type="#_x0000_t202" style="position:absolute;margin-left:0;margin-top:0;width:612pt;height:36.5pt;z-index:25165825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CRtEtLKQIAAEgEAAAOAAAAAAAAAAAAAAAAAC4CAABkcnMvZTJvRG9j&#10;LnhtbFBLAQItABQABgAIAAAAIQD+9Y2b2gAAAAUBAAAPAAAAAAAAAAAAAAAAAIMEAABkcnMvZG93&#10;bnJldi54bWxQSwUGAAAAAAQABADzAAAAigUAAAAA&#10;" o:allowincell="f" filled="f" stroked="f" strokeweight=".5pt">
              <v:textbox inset="20pt,0,,0">
                <w:txbxContent>
                  <w:p w14:paraId="5B30D883" w14:textId="7A8CC152"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21C7330F" wp14:editId="061666EB">
              <wp:simplePos x="0" y="0"/>
              <wp:positionH relativeFrom="page">
                <wp:align>left</wp:align>
              </wp:positionH>
              <wp:positionV relativeFrom="page">
                <wp:align>bottom</wp:align>
              </wp:positionV>
              <wp:extent cx="7772400" cy="463550"/>
              <wp:effectExtent l="0" t="0" r="0" b="0"/>
              <wp:wrapNone/>
              <wp:docPr id="11868794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188F3FA1" w14:textId="75A63E4D"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7330F" id="Text Box 60" o:spid="_x0000_s1053" type="#_x0000_t202" style="position:absolute;margin-left:0;margin-top:0;width:612pt;height:36.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Ar2CoCAABIBAAADgAAAAAAAAAAAAAAAAAuAgAAZHJzL2Uyb0Rv&#10;Yy54bWxQSwECLQAUAAYACAAAACEA/vWNm9oAAAAFAQAADwAAAAAAAAAAAAAAAACEBAAAZHJzL2Rv&#10;d25yZXYueG1sUEsFBgAAAAAEAAQA8wAAAIsFAAAAAA==&#10;" o:allowincell="f" filled="f" stroked="f" strokeweight=".5pt">
              <v:textbox inset="20pt,0,,0">
                <w:txbxContent>
                  <w:p w14:paraId="188F3FA1" w14:textId="75A63E4D"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E15B" w14:textId="48AFED8B" w:rsidR="00A545BA" w:rsidRPr="00F6022B" w:rsidRDefault="00D164CD" w:rsidP="00F6022B">
    <w:r>
      <w:rPr>
        <w:noProof/>
      </w:rPr>
      <mc:AlternateContent>
        <mc:Choice Requires="wps">
          <w:drawing>
            <wp:anchor distT="0" distB="0" distL="114300" distR="114300" simplePos="0" relativeHeight="251658277" behindDoc="0" locked="0" layoutInCell="0" allowOverlap="1" wp14:anchorId="3EBAA2CC" wp14:editId="15B7D696">
              <wp:simplePos x="0" y="0"/>
              <wp:positionH relativeFrom="page">
                <wp:align>left</wp:align>
              </wp:positionH>
              <wp:positionV relativeFrom="page">
                <wp:align>bottom</wp:align>
              </wp:positionV>
              <wp:extent cx="7772400" cy="463550"/>
              <wp:effectExtent l="0" t="0" r="0" b="0"/>
              <wp:wrapNone/>
              <wp:docPr id="132094927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9571B3A" w14:textId="1C3A9272" w:rsidR="00A72378" w:rsidRPr="000B2686" w:rsidRDefault="00A72378" w:rsidP="000B2686">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BAA2CC" id="_x0000_t202" coordsize="21600,21600" o:spt="202" path="m,l,21600r21600,l21600,xe">
              <v:stroke joinstyle="miter"/>
              <v:path gradientshapeok="t" o:connecttype="rect"/>
            </v:shapetype>
            <v:shape id="Text Box 59" o:spid="_x0000_s1054" type="#_x0000_t202" style="position:absolute;margin-left:0;margin-top:0;width:612pt;height:36.5pt;z-index:25165827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q2Kg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UscMAuU&#10;h6M9lGcc3EKvCWf4psYmtsz5Z2ZRBNg3Cts/4SIVYDEYLEoqsD//dh7ikRv0UtKiqArqfhyZFZSo&#10;rxpZy+YIR5Bh3KFho/FpOpvhZj+e6mNzDyjYK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BDr6tioCAABIBAAADgAAAAAAAAAAAAAAAAAuAgAAZHJzL2Uyb0Rv&#10;Yy54bWxQSwECLQAUAAYACAAAACEA/vWNm9oAAAAFAQAADwAAAAAAAAAAAAAAAACEBAAAZHJzL2Rv&#10;d25yZXYueG1sUEsFBgAAAAAEAAQA8wAAAIsFAAAAAA==&#10;" o:allowincell="f" filled="f" stroked="f" strokeweight=".5pt">
              <v:textbox inset="20pt,0,,0">
                <w:txbxContent>
                  <w:p w14:paraId="59571B3A" w14:textId="1C3A9272" w:rsidR="00A72378" w:rsidRPr="000B2686" w:rsidRDefault="00A72378" w:rsidP="000B2686">
                    <w:pPr>
                      <w:spacing w:before="0" w:after="0"/>
                      <w:rPr>
                        <w:rFonts w:ascii="Calibri" w:hAnsi="Calibri" w:cs="Calibri"/>
                        <w:color w:val="000000"/>
                        <w:sz w:val="22"/>
                      </w:rPr>
                    </w:pPr>
                  </w:p>
                </w:txbxContent>
              </v:textbox>
              <w10:wrap anchorx="page" anchory="page"/>
            </v:shape>
          </w:pict>
        </mc:Fallback>
      </mc:AlternateContent>
    </w:r>
    <w:r>
      <w:rPr>
        <w:noProof/>
      </w:rPr>
      <mc:AlternateContent>
        <mc:Choice Requires="wps">
          <w:drawing>
            <wp:anchor distT="0" distB="0" distL="114300" distR="114300" simplePos="0" relativeHeight="251658268" behindDoc="0" locked="0" layoutInCell="0" allowOverlap="1" wp14:anchorId="1CCACF79" wp14:editId="30278FD7">
              <wp:simplePos x="0" y="0"/>
              <wp:positionH relativeFrom="page">
                <wp:align>left</wp:align>
              </wp:positionH>
              <wp:positionV relativeFrom="page">
                <wp:align>bottom</wp:align>
              </wp:positionV>
              <wp:extent cx="7772400" cy="463550"/>
              <wp:effectExtent l="0" t="0" r="0" b="0"/>
              <wp:wrapNone/>
              <wp:docPr id="94510958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F87B8B0" w14:textId="036CB4A2"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CACF79" id="Text Box 58" o:spid="_x0000_s1055" type="#_x0000_t202" style="position:absolute;margin-left:0;margin-top:0;width:612pt;height:36.5pt;z-index:2516582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bn6aJSoCAABIBAAADgAAAAAAAAAAAAAAAAAuAgAAZHJzL2Uyb0Rv&#10;Yy54bWxQSwECLQAUAAYACAAAACEA/vWNm9oAAAAFAQAADwAAAAAAAAAAAAAAAACEBAAAZHJzL2Rv&#10;d25yZXYueG1sUEsFBgAAAAAEAAQA8wAAAIsFAAAAAA==&#10;" o:allowincell="f" filled="f" stroked="f" strokeweight=".5pt">
              <v:textbox inset="20pt,0,,0">
                <w:txbxContent>
                  <w:p w14:paraId="6F87B8B0" w14:textId="036CB4A2"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2" behindDoc="0" locked="0" layoutInCell="0" allowOverlap="1" wp14:anchorId="51910050" wp14:editId="6B4B7618">
              <wp:simplePos x="0" y="0"/>
              <wp:positionH relativeFrom="page">
                <wp:align>left</wp:align>
              </wp:positionH>
              <wp:positionV relativeFrom="page">
                <wp:align>bottom</wp:align>
              </wp:positionV>
              <wp:extent cx="7772400" cy="463550"/>
              <wp:effectExtent l="0" t="0" r="0" b="0"/>
              <wp:wrapNone/>
              <wp:docPr id="116218518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F3FE1C1" w14:textId="3A16DB71"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910050" id="Text Box 57" o:spid="_x0000_s1056" type="#_x0000_t202" style="position:absolute;margin-left:0;margin-top:0;width:612pt;height:36.5pt;z-index:2516582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q9ZayoCAABIBAAADgAAAAAAAAAAAAAAAAAuAgAAZHJzL2Uyb0Rv&#10;Yy54bWxQSwECLQAUAAYACAAAACEA/vWNm9oAAAAFAQAADwAAAAAAAAAAAAAAAACEBAAAZHJzL2Rv&#10;d25yZXYueG1sUEsFBgAAAAAEAAQA8wAAAIsFAAAAAA==&#10;" o:allowincell="f" filled="f" stroked="f" strokeweight=".5pt">
              <v:textbox inset="20pt,0,,0">
                <w:txbxContent>
                  <w:p w14:paraId="6F3FE1C1" w14:textId="3A16DB71"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732E2495" wp14:editId="3214C0AD">
              <wp:simplePos x="0" y="0"/>
              <wp:positionH relativeFrom="page">
                <wp:align>left</wp:align>
              </wp:positionH>
              <wp:positionV relativeFrom="page">
                <wp:align>bottom</wp:align>
              </wp:positionV>
              <wp:extent cx="7772400" cy="463550"/>
              <wp:effectExtent l="0" t="0" r="0" b="0"/>
              <wp:wrapNone/>
              <wp:docPr id="119361055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87F29AB" w14:textId="09BABC71"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E2495" id="Text Box 56" o:spid="_x0000_s1057" type="#_x0000_t202" style="position:absolute;margin-left:0;margin-top:0;width:612pt;height:36.5pt;z-index:2516582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kOs5+CoCAABIBAAADgAAAAAAAAAAAAAAAAAuAgAAZHJzL2Uyb0Rv&#10;Yy54bWxQSwECLQAUAAYACAAAACEA/vWNm9oAAAAFAQAADwAAAAAAAAAAAAAAAACEBAAAZHJzL2Rv&#10;d25yZXYueG1sUEsFBgAAAAAEAAQA8wAAAIsFAAAAAA==&#10;" o:allowincell="f" filled="f" stroked="f" strokeweight=".5pt">
              <v:textbox inset="20pt,0,,0">
                <w:txbxContent>
                  <w:p w14:paraId="687F29AB" w14:textId="09BABC71"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C3DD" w14:textId="61ADBF03" w:rsidR="00A545BA" w:rsidRPr="00394ED6" w:rsidRDefault="00D164CD" w:rsidP="00394ED6">
    <w:pPr>
      <w:pStyle w:val="Footer"/>
    </w:pPr>
    <w:r>
      <w:rPr>
        <w:noProof/>
      </w:rPr>
      <mc:AlternateContent>
        <mc:Choice Requires="wps">
          <w:drawing>
            <wp:anchor distT="0" distB="0" distL="114300" distR="114300" simplePos="0" relativeHeight="251658274" behindDoc="0" locked="0" layoutInCell="0" allowOverlap="1" wp14:anchorId="146ED68F" wp14:editId="3D831910">
              <wp:simplePos x="0" y="0"/>
              <wp:positionH relativeFrom="page">
                <wp:align>left</wp:align>
              </wp:positionH>
              <wp:positionV relativeFrom="page">
                <wp:align>bottom</wp:align>
              </wp:positionV>
              <wp:extent cx="7772400" cy="463550"/>
              <wp:effectExtent l="0" t="0" r="0" b="0"/>
              <wp:wrapNone/>
              <wp:docPr id="52489270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27FE316" w14:textId="2713D1C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6ED68F" id="_x0000_t202" coordsize="21600,21600" o:spt="202" path="m,l,21600r21600,l21600,xe">
              <v:stroke joinstyle="miter"/>
              <v:path gradientshapeok="t" o:connecttype="rect"/>
            </v:shapetype>
            <v:shape id="Text Box 55" o:spid="_x0000_s1058" type="#_x0000_t202" style="position:absolute;margin-left:0;margin-top:0;width:612pt;height:36.5pt;z-index:25165827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byHolioCAABIBAAADgAAAAAAAAAAAAAAAAAuAgAAZHJzL2Uyb0Rv&#10;Yy54bWxQSwECLQAUAAYACAAAACEA/vWNm9oAAAAFAQAADwAAAAAAAAAAAAAAAACEBAAAZHJzL2Rv&#10;d25yZXYueG1sUEsFBgAAAAAEAAQA8wAAAIsFAAAAAA==&#10;" o:allowincell="f" filled="f" stroked="f" strokeweight=".5pt">
              <v:textbox inset="20pt,0,,0">
                <w:txbxContent>
                  <w:p w14:paraId="227FE316" w14:textId="2713D1C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6" behindDoc="0" locked="0" layoutInCell="0" allowOverlap="1" wp14:anchorId="123AE1A9" wp14:editId="35EE14F0">
              <wp:simplePos x="0" y="0"/>
              <wp:positionH relativeFrom="page">
                <wp:align>left</wp:align>
              </wp:positionH>
              <wp:positionV relativeFrom="page">
                <wp:align>bottom</wp:align>
              </wp:positionV>
              <wp:extent cx="7772400" cy="463550"/>
              <wp:effectExtent l="0" t="0" r="0" b="0"/>
              <wp:wrapNone/>
              <wp:docPr id="23720358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1F59CCA" w14:textId="422900F8"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3AE1A9" id="Text Box 54" o:spid="_x0000_s1059" type="#_x0000_t202" style="position:absolute;margin-left:0;margin-top:0;width:612pt;height:36.5pt;z-index:25165826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BWWIBSoCAABIBAAADgAAAAAAAAAAAAAAAAAuAgAAZHJzL2Uyb0Rv&#10;Yy54bWxQSwECLQAUAAYACAAAACEA/vWNm9oAAAAFAQAADwAAAAAAAAAAAAAAAACEBAAAZHJzL2Rv&#10;d25yZXYueG1sUEsFBgAAAAAEAAQA8wAAAIsFAAAAAA==&#10;" o:allowincell="f" filled="f" stroked="f" strokeweight=".5pt">
              <v:textbox inset="20pt,0,,0">
                <w:txbxContent>
                  <w:p w14:paraId="01F59CCA" w14:textId="422900F8"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0" behindDoc="0" locked="0" layoutInCell="0" allowOverlap="1" wp14:anchorId="342847D0" wp14:editId="1F72ED7C">
              <wp:simplePos x="0" y="0"/>
              <wp:positionH relativeFrom="page">
                <wp:align>left</wp:align>
              </wp:positionH>
              <wp:positionV relativeFrom="page">
                <wp:align>bottom</wp:align>
              </wp:positionV>
              <wp:extent cx="7772400" cy="463550"/>
              <wp:effectExtent l="0" t="0" r="0" b="0"/>
              <wp:wrapNone/>
              <wp:docPr id="15398642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48AD35E" w14:textId="78EC1F81"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2847D0" id="Text Box 53" o:spid="_x0000_s1060" type="#_x0000_t202" style="position:absolute;margin-left:0;margin-top:0;width:612pt;height:36.5pt;z-index:25165825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R4JvCyoCAABIBAAADgAAAAAAAAAAAAAAAAAuAgAAZHJzL2Uyb0Rv&#10;Yy54bWxQSwECLQAUAAYACAAAACEA/vWNm9oAAAAFAQAADwAAAAAAAAAAAAAAAACEBAAAZHJzL2Rv&#10;d25yZXYueG1sUEsFBgAAAAAEAAQA8wAAAIsFAAAAAA==&#10;" o:allowincell="f" filled="f" stroked="f" strokeweight=".5pt">
              <v:textbox inset="20pt,0,,0">
                <w:txbxContent>
                  <w:p w14:paraId="648AD35E" w14:textId="78EC1F81"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0" allowOverlap="1" wp14:anchorId="2323E0C7" wp14:editId="1A7C3F33">
              <wp:simplePos x="0" y="0"/>
              <wp:positionH relativeFrom="page">
                <wp:align>left</wp:align>
              </wp:positionH>
              <wp:positionV relativeFrom="page">
                <wp:align>bottom</wp:align>
              </wp:positionV>
              <wp:extent cx="7772400" cy="463550"/>
              <wp:effectExtent l="0" t="0" r="0" b="0"/>
              <wp:wrapNone/>
              <wp:docPr id="6037910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E252A6C" w14:textId="296743BE"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3E0C7" id="Text Box 52" o:spid="_x0000_s1061" type="#_x0000_t202" style="position:absolute;margin-left:0;margin-top:0;width:612pt;height:36.5pt;z-index:25165824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LcYPmCoCAABIBAAADgAAAAAAAAAAAAAAAAAuAgAAZHJzL2Uyb0Rv&#10;Yy54bWxQSwECLQAUAAYACAAAACEA/vWNm9oAAAAFAQAADwAAAAAAAAAAAAAAAACEBAAAZHJzL2Rv&#10;d25yZXYueG1sUEsFBgAAAAAEAAQA8wAAAIsFAAAAAA==&#10;" o:allowincell="f" filled="f" stroked="f" strokeweight=".5pt">
              <v:textbox inset="20pt,0,,0">
                <w:txbxContent>
                  <w:p w14:paraId="3E252A6C" w14:textId="296743BE"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04D9046F" wp14:editId="6F1ACDAB">
              <wp:simplePos x="0" y="0"/>
              <wp:positionH relativeFrom="page">
                <wp:align>left</wp:align>
              </wp:positionH>
              <wp:positionV relativeFrom="page">
                <wp:align>bottom</wp:align>
              </wp:positionV>
              <wp:extent cx="7772400" cy="463550"/>
              <wp:effectExtent l="0" t="0" r="0" b="0"/>
              <wp:wrapNone/>
              <wp:docPr id="18498644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16228A7" w14:textId="567397CF"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D9046F" id="Text Box 51" o:spid="_x0000_s1062" type="#_x0000_t202" style="position:absolute;margin-left:0;margin-top:0;width:612pt;height:36.5pt;z-index:2516582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dmKg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cuCZrGD&#10;cLSH8oyDW+g14Qzf1NjEljn/zCyKAPtGYfsnXKQCLAaDRUkF9uffzkM8coNeSloUVUHdjyOzghL1&#10;VSNr2RzhCDKMOzRsND5NZzPc7MdTfWzuAQU7xbdjeDRDrFejKS00ryj8dSiHLqY5Fi0o93bc3Pte&#10;5fh0uFivYxhKzjC/1TvDR6oDui/dK7NmoMAjeY8wKo/lb5joY3su1kcPso40XQEdoEe5RvaGpxXe&#10;w+/7GHX9Aax+AQ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1oonZioCAABIBAAADgAAAAAAAAAAAAAAAAAuAgAAZHJzL2Uyb0Rv&#10;Yy54bWxQSwECLQAUAAYACAAAACEA/vWNm9oAAAAFAQAADwAAAAAAAAAAAAAAAACEBAAAZHJzL2Rv&#10;d25yZXYueG1sUEsFBgAAAAAEAAQA8wAAAIsFAAAAAA==&#10;" o:allowincell="f" filled="f" stroked="f" strokeweight=".5pt">
              <v:textbox inset="20pt,0,,0">
                <w:txbxContent>
                  <w:p w14:paraId="216228A7" w14:textId="567397CF"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fldSimple w:instr="STYLEREF  Title  \* MERGEFORMAT">
      <w:r w:rsidR="00BE612E">
        <w:rPr>
          <w:noProof/>
        </w:rPr>
        <w:t>Model Report for Victorian Government Departments</w:t>
      </w:r>
    </w:fldSimple>
    <w:r w:rsidR="00A545BA" w:rsidRPr="00394ED6">
      <w:tab/>
    </w:r>
    <w:r w:rsidR="00A545BA" w:rsidRPr="00394ED6">
      <w:fldChar w:fldCharType="begin"/>
    </w:r>
    <w:r w:rsidR="00A545BA" w:rsidRPr="00394ED6">
      <w:instrText xml:space="preserve"> PAGE   \* MERGEFORMAT </w:instrText>
    </w:r>
    <w:r w:rsidR="00A545BA" w:rsidRPr="00394ED6">
      <w:fldChar w:fldCharType="separate"/>
    </w:r>
    <w:r w:rsidR="00A545BA" w:rsidRPr="00394ED6">
      <w:t>7</w:t>
    </w:r>
    <w:r w:rsidR="00A545BA" w:rsidRPr="00394ED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08A4" w14:textId="64168876" w:rsidR="00A545BA" w:rsidRDefault="00D164CD">
    <w:pPr>
      <w:pStyle w:val="Footer"/>
    </w:pPr>
    <w:r>
      <w:rPr>
        <w:noProof/>
      </w:rPr>
      <mc:AlternateContent>
        <mc:Choice Requires="wps">
          <w:drawing>
            <wp:anchor distT="0" distB="0" distL="114300" distR="114300" simplePos="0" relativeHeight="251658275" behindDoc="0" locked="0" layoutInCell="0" allowOverlap="1" wp14:anchorId="5B54CC0D" wp14:editId="5D3F104B">
              <wp:simplePos x="0" y="0"/>
              <wp:positionH relativeFrom="page">
                <wp:align>left</wp:align>
              </wp:positionH>
              <wp:positionV relativeFrom="page">
                <wp:align>bottom</wp:align>
              </wp:positionV>
              <wp:extent cx="7772400" cy="463550"/>
              <wp:effectExtent l="0" t="0" r="0" b="0"/>
              <wp:wrapNone/>
              <wp:docPr id="115143793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A7C5F21" w14:textId="6502B63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54CC0D" id="_x0000_t202" coordsize="21600,21600" o:spt="202" path="m,l,21600r21600,l21600,xe">
              <v:stroke joinstyle="miter"/>
              <v:path gradientshapeok="t" o:connecttype="rect"/>
            </v:shapetype>
            <v:shape id="Text Box 50" o:spid="_x0000_s1063" type="#_x0000_t202" style="position:absolute;margin-left:0;margin-top:0;width:612pt;height:36.5pt;z-index:25165827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LzOR/UrAgAASAQAAA4AAAAAAAAAAAAAAAAALgIAAGRycy9lMm9E&#10;b2MueG1sUEsBAi0AFAAGAAgAAAAhAP71jZvaAAAABQEAAA8AAAAAAAAAAAAAAAAAhQQAAGRycy9k&#10;b3ducmV2LnhtbFBLBQYAAAAABAAEAPMAAACMBQAAAAA=&#10;" o:allowincell="f" filled="f" stroked="f" strokeweight=".5pt">
              <v:textbox inset="20pt,0,,0">
                <w:txbxContent>
                  <w:p w14:paraId="3A7C5F21" w14:textId="6502B63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7" behindDoc="0" locked="0" layoutInCell="0" allowOverlap="1" wp14:anchorId="529342C3" wp14:editId="0D3EF591">
              <wp:simplePos x="0" y="0"/>
              <wp:positionH relativeFrom="page">
                <wp:align>left</wp:align>
              </wp:positionH>
              <wp:positionV relativeFrom="page">
                <wp:align>bottom</wp:align>
              </wp:positionV>
              <wp:extent cx="7772400" cy="463550"/>
              <wp:effectExtent l="0" t="0" r="0" b="0"/>
              <wp:wrapNone/>
              <wp:docPr id="202729688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26F8F54" w14:textId="3E2F4538"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9342C3" id="Text Box 49" o:spid="_x0000_s1064" type="#_x0000_t202" style="position:absolute;margin-left:0;margin-top:0;width:612pt;height:36.5pt;z-index:25165826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abKw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cuCZlmg&#10;PBztoTzj4BZ6TTjDNzU2sWXOPzOLIsC+Udj+CRepAIvBYFFSgf35t/MQj9ygl5IWRVVQ9+PIrKBE&#10;fdXIWjZHOIIM4w4NG41P09kMN/vxVB+be0DBTvHtGB7NEOvVaEoLzSsKfx3KoYtpjkULyr0dN/e+&#10;Vzk+HS7W6xiGkjPMb/XO8JHqgO5L98qsGSjwSN4jjMpj+Rsm+tiei/XRg6wjTVdAB+hRrpG94WmF&#10;9/D7PkZdfwCrXwA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EMElpsrAgAASAQAAA4AAAAAAAAAAAAAAAAALgIAAGRycy9lMm9E&#10;b2MueG1sUEsBAi0AFAAGAAgAAAAhAP71jZvaAAAABQEAAA8AAAAAAAAAAAAAAAAAhQQAAGRycy9k&#10;b3ducmV2LnhtbFBLBQYAAAAABAAEAPMAAACMBQAAAAA=&#10;" o:allowincell="f" filled="f" stroked="f" strokeweight=".5pt">
              <v:textbox inset="20pt,0,,0">
                <w:txbxContent>
                  <w:p w14:paraId="026F8F54" w14:textId="3E2F4538"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1" behindDoc="0" locked="0" layoutInCell="0" allowOverlap="1" wp14:anchorId="138FD172" wp14:editId="11BB7AF9">
              <wp:simplePos x="0" y="0"/>
              <wp:positionH relativeFrom="page">
                <wp:align>left</wp:align>
              </wp:positionH>
              <wp:positionV relativeFrom="page">
                <wp:align>bottom</wp:align>
              </wp:positionV>
              <wp:extent cx="7772400" cy="463550"/>
              <wp:effectExtent l="0" t="0" r="0" b="0"/>
              <wp:wrapNone/>
              <wp:docPr id="16305423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A6EABF9" w14:textId="57B0716F"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8FD172" id="Text Box 48" o:spid="_x0000_s1065" type="#_x0000_t202" style="position:absolute;margin-left:0;margin-top:0;width:612pt;height:36.5pt;z-index:25165825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ClA9ggrAgAASAQAAA4AAAAAAAAAAAAAAAAALgIAAGRycy9lMm9E&#10;b2MueG1sUEsBAi0AFAAGAAgAAAAhAP71jZvaAAAABQEAAA8AAAAAAAAAAAAAAAAAhQQAAGRycy9k&#10;b3ducmV2LnhtbFBLBQYAAAAABAAEAPMAAACMBQAAAAA=&#10;" o:allowincell="f" filled="f" stroked="f" strokeweight=".5pt">
              <v:textbox inset="20pt,0,,0">
                <w:txbxContent>
                  <w:p w14:paraId="3A6EABF9" w14:textId="57B0716F"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0" allowOverlap="1" wp14:anchorId="009D8E1E" wp14:editId="2E65A978">
              <wp:simplePos x="0" y="0"/>
              <wp:positionH relativeFrom="page">
                <wp:align>left</wp:align>
              </wp:positionH>
              <wp:positionV relativeFrom="page">
                <wp:align>bottom</wp:align>
              </wp:positionV>
              <wp:extent cx="7772400" cy="463550"/>
              <wp:effectExtent l="0" t="0" r="0" b="0"/>
              <wp:wrapNone/>
              <wp:docPr id="16099237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F3E46ED" w14:textId="66F7E913"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9D8E1E" id="Text Box 47" o:spid="_x0000_s1066" type="#_x0000_t202" style="position:absolute;margin-left:0;margin-top:0;width:612pt;height:36.5pt;z-index:25165824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VGKw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cuCZrNA&#10;eTjaQ3nGwS30mnCGb2psYsucf2YWRYB9o7D9Ey5SARaDwaKkAvvzb+chHrlBLyUtiqqg7seRWUGJ&#10;+qqRtWyOcAQZxh0aNhqfprMZbvbjqT4294CCneLbMTyaIdar0ZQWmlcU/jqUQxfTHIsWlHs7bu59&#10;r3J8Olys1zEMJWeY3+qd4SPVAd2X7pVZM1DgkbxHGJXH8jdM9LE9F+ujB1lHmq6ADtCjXCN7w9MK&#10;7+H3fYy6/gBWvwA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L2RNUYrAgAASAQAAA4AAAAAAAAAAAAAAAAALgIAAGRycy9lMm9E&#10;b2MueG1sUEsBAi0AFAAGAAgAAAAhAP71jZvaAAAABQEAAA8AAAAAAAAAAAAAAAAAhQQAAGRycy9k&#10;b3ducmV2LnhtbFBLBQYAAAAABAAEAPMAAACMBQAAAAA=&#10;" o:allowincell="f" filled="f" stroked="f" strokeweight=".5pt">
              <v:textbox inset="20pt,0,,0">
                <w:txbxContent>
                  <w:p w14:paraId="6F3E46ED" w14:textId="66F7E913"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fldSimple w:instr="STYLEREF  Title  \* MERGEFORMAT">
      <w:r w:rsidR="00BE612E">
        <w:rPr>
          <w:noProof/>
        </w:rPr>
        <w:t>Model Report for Victorian Government Departments</w:t>
      </w:r>
    </w:fldSimple>
    <w:r w:rsidR="00A545BA" w:rsidRPr="00394ED6">
      <w:tab/>
    </w:r>
    <w:r w:rsidR="00A545BA" w:rsidRPr="00394ED6">
      <w:fldChar w:fldCharType="begin"/>
    </w:r>
    <w:r w:rsidR="00A545BA" w:rsidRPr="00394ED6">
      <w:instrText xml:space="preserve"> PAGE   \* MERGEFORMAT </w:instrText>
    </w:r>
    <w:r w:rsidR="00A545BA" w:rsidRPr="00394ED6">
      <w:fldChar w:fldCharType="separate"/>
    </w:r>
    <w:r w:rsidR="00A545BA">
      <w:t>iii</w:t>
    </w:r>
    <w:r w:rsidR="00A545BA" w:rsidRPr="00394ED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CD7" w14:textId="626713D0" w:rsidR="00A545BA" w:rsidRDefault="00A545BA">
    <w:pPr>
      <w:pStyle w:val="Footer"/>
    </w:pPr>
    <w:r>
      <w:fldChar w:fldCharType="begin"/>
    </w:r>
    <w:r>
      <w:instrText xml:space="preserve"> PAGE   \* MERGEFORMAT </w:instrText>
    </w:r>
    <w:r>
      <w:fldChar w:fldCharType="separate"/>
    </w:r>
    <w:r>
      <w:t>10</w:t>
    </w:r>
    <w:r>
      <w:fldChar w:fldCharType="end"/>
    </w:r>
    <w:r>
      <w:tab/>
    </w:r>
    <w:fldSimple w:instr="STYLEREF  Title  \* MERGEFORMAT">
      <w:r w:rsidR="00A54997">
        <w:rPr>
          <w:noProof/>
        </w:rPr>
        <w:t>Model Report for Victorian Government Departments</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1B08" w14:textId="02B104BF" w:rsidR="00A545BA" w:rsidRPr="00394ED6" w:rsidRDefault="00D164CD" w:rsidP="00394ED6">
    <w:pPr>
      <w:pStyle w:val="Footer"/>
    </w:pPr>
    <w:r>
      <w:rPr>
        <w:noProof/>
      </w:rPr>
      <mc:AlternateContent>
        <mc:Choice Requires="wps">
          <w:drawing>
            <wp:anchor distT="0" distB="0" distL="114300" distR="114300" simplePos="0" relativeHeight="251658240" behindDoc="1" locked="0" layoutInCell="0" allowOverlap="1" wp14:anchorId="416D0586" wp14:editId="16F3C1A8">
              <wp:simplePos x="0" y="0"/>
              <wp:positionH relativeFrom="page">
                <wp:align>left</wp:align>
              </wp:positionH>
              <wp:positionV relativeFrom="page">
                <wp:align>bottom</wp:align>
              </wp:positionV>
              <wp:extent cx="7772400" cy="466344"/>
              <wp:effectExtent l="0" t="0" r="0" b="10160"/>
              <wp:wrapNone/>
              <wp:docPr id="200799844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6344"/>
                      </a:xfrm>
                      <a:prstGeom prst="rect">
                        <a:avLst/>
                      </a:prstGeom>
                      <a:noFill/>
                      <a:ln w="6350">
                        <a:noFill/>
                      </a:ln>
                    </wps:spPr>
                    <wps:txbx>
                      <w:txbxContent>
                        <w:p w14:paraId="0CF23D07" w14:textId="59D29AEE"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6D0586" id="_x0000_t202" coordsize="21600,21600" o:spt="202" path="m,l,21600r21600,l21600,xe">
              <v:stroke joinstyle="miter"/>
              <v:path gradientshapeok="t" o:connecttype="rect"/>
            </v:shapetype>
            <v:shape id="Text Box 44" o:spid="_x0000_s1067" type="#_x0000_t202" style="position:absolute;margin-left:0;margin-top:0;width:612pt;height:36.7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" o:allowincell="f" filled="f" stroked="f" strokeweight=".5pt">
              <v:textbox inset="20pt,0,,0">
                <w:txbxContent>
                  <w:p w14:paraId="0CF23D07" w14:textId="59D29AEE"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fldSimple w:instr="STYLEREF  Title  \* MERGEFORMAT">
      <w:r w:rsidR="00A54997">
        <w:rPr>
          <w:noProof/>
        </w:rPr>
        <w:t>Model Report for Victorian Government Departments</w:t>
      </w:r>
    </w:fldSimple>
    <w:r w:rsidR="00A545BA" w:rsidRPr="00394ED6">
      <w:tab/>
    </w:r>
    <w:r w:rsidR="00A545BA" w:rsidRPr="00394ED6">
      <w:fldChar w:fldCharType="begin"/>
    </w:r>
    <w:r w:rsidR="00A545BA" w:rsidRPr="00394ED6">
      <w:instrText xml:space="preserve"> PAGE   \* MERGEFORMAT </w:instrText>
    </w:r>
    <w:r w:rsidR="00A545BA" w:rsidRPr="00394ED6">
      <w:fldChar w:fldCharType="separate"/>
    </w:r>
    <w:r w:rsidR="00A545BA" w:rsidRPr="00394ED6">
      <w:t>7</w:t>
    </w:r>
    <w:r w:rsidR="00A545BA" w:rsidRPr="00394ED6">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233E" w14:textId="729F3BC3" w:rsidR="00A545BA" w:rsidRDefault="00BE612E">
    <w:pPr>
      <w:pStyle w:val="Footer"/>
    </w:pPr>
    <w:fldSimple w:instr="STYLEREF  Title  \* MERGEFORMAT">
      <w:r w:rsidR="00A54997">
        <w:rPr>
          <w:noProof/>
        </w:rPr>
        <w:t>Model Report for Victorian Government Departments</w:t>
      </w:r>
    </w:fldSimple>
    <w:r w:rsidR="00FF66A8" w:rsidRPr="00394ED6">
      <w:tab/>
    </w:r>
    <w:r w:rsidR="00FF66A8" w:rsidRPr="00394ED6">
      <w:fldChar w:fldCharType="begin"/>
    </w:r>
    <w:r w:rsidR="00FF66A8" w:rsidRPr="00394ED6">
      <w:instrText xml:space="preserve"> PAGE   \* MERGEFORMAT </w:instrText>
    </w:r>
    <w:r w:rsidR="00FF66A8" w:rsidRPr="00394ED6">
      <w:fldChar w:fldCharType="separate"/>
    </w:r>
    <w:r w:rsidR="00FF66A8">
      <w:t>3</w:t>
    </w:r>
    <w:r w:rsidR="00FF66A8" w:rsidRPr="00394E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A73F4" w14:textId="77777777" w:rsidR="007B53DE" w:rsidRDefault="007B53DE" w:rsidP="00F51427">
      <w:pPr>
        <w:spacing w:before="0" w:after="0" w:line="240" w:lineRule="auto"/>
      </w:pPr>
      <w:r>
        <w:separator/>
      </w:r>
    </w:p>
  </w:footnote>
  <w:footnote w:type="continuationSeparator" w:id="0">
    <w:p w14:paraId="0FF5D34F" w14:textId="77777777" w:rsidR="007B53DE" w:rsidRDefault="007B53DE" w:rsidP="00F51427">
      <w:pPr>
        <w:spacing w:before="0" w:after="0" w:line="240" w:lineRule="auto"/>
      </w:pPr>
      <w:r>
        <w:continuationSeparator/>
      </w:r>
    </w:p>
  </w:footnote>
  <w:footnote w:type="continuationNotice" w:id="1">
    <w:p w14:paraId="08DBE1AE" w14:textId="77777777" w:rsidR="007B53DE" w:rsidRDefault="007B53DE">
      <w:pPr>
        <w:spacing w:before="0" w:after="0" w:line="240" w:lineRule="auto"/>
      </w:pPr>
    </w:p>
  </w:footnote>
  <w:footnote w:id="2">
    <w:p w14:paraId="56E38204" w14:textId="7FDF9B45" w:rsidR="00A545BA" w:rsidRDefault="00A545BA">
      <w:pPr>
        <w:pStyle w:val="FootnoteText"/>
      </w:pPr>
      <w:r>
        <w:rPr>
          <w:rStyle w:val="FootnoteReference"/>
        </w:rPr>
        <w:footnoteRef/>
      </w:r>
      <w:r>
        <w:t xml:space="preserve"> </w:t>
      </w:r>
      <w:r>
        <w:tab/>
      </w:r>
      <w:r w:rsidRPr="00F51427">
        <w:t>DTF provides the State’s consolidated financial data to the ABS based on the Australian System of Government Finance Statistics: Concepts, Sources and Methods, 2005 (Catalogue No. 5514.0), published by the ABS.</w:t>
      </w:r>
    </w:p>
  </w:footnote>
  <w:footnote w:id="3">
    <w:p w14:paraId="625616AF" w14:textId="1EDC0201" w:rsidR="00A545BA" w:rsidRDefault="00A545BA">
      <w:pPr>
        <w:pStyle w:val="FootnoteText"/>
      </w:pPr>
      <w:r>
        <w:rPr>
          <w:rStyle w:val="FootnoteReference"/>
        </w:rPr>
        <w:footnoteRef/>
      </w:r>
      <w:r>
        <w:t xml:space="preserve"> </w:t>
      </w:r>
      <w:r w:rsidR="006F45DE">
        <w:tab/>
      </w:r>
      <w:r w:rsidRPr="006C62FF">
        <w:t xml:space="preserve">FRDs are located on the DTF website at: </w:t>
      </w:r>
      <w:hyperlink r:id="rId1" w:history="1">
        <w:r w:rsidR="00E74307" w:rsidRPr="00E74307">
          <w:rPr>
            <w:rStyle w:val="Hyperlink"/>
          </w:rPr>
          <w:t>https://www.dtf.vic.gov.au/financial-reporting-policy/financial-reporting-directions-and-guidance</w:t>
        </w:r>
      </w:hyperlink>
    </w:p>
  </w:footnote>
  <w:footnote w:id="4">
    <w:p w14:paraId="4A669481" w14:textId="0F96829E" w:rsidR="00A545BA" w:rsidRDefault="00A545BA">
      <w:pPr>
        <w:pStyle w:val="FootnoteText"/>
      </w:pPr>
      <w:r>
        <w:rPr>
          <w:rStyle w:val="FootnoteReference"/>
        </w:rPr>
        <w:footnoteRef/>
      </w:r>
      <w:r>
        <w:t xml:space="preserve"> </w:t>
      </w:r>
      <w:r w:rsidR="005D4A31">
        <w:tab/>
      </w:r>
      <w:r w:rsidRPr="00562221">
        <w:t xml:space="preserve">The System of National Accounts </w:t>
      </w:r>
      <w:r>
        <w:t>2008</w:t>
      </w:r>
      <w:r w:rsidRPr="00562221">
        <w:t xml:space="preserve"> was released under the auspices of the Commission of the European Communities, the International Monetary Fund, the Organisation for Economic Cooperation and Development, the United Nations and the World Bank.</w:t>
      </w:r>
    </w:p>
  </w:footnote>
  <w:footnote w:id="5">
    <w:p w14:paraId="4179F130" w14:textId="1F0E027D" w:rsidR="00A545BA" w:rsidRDefault="00A545BA">
      <w:pPr>
        <w:pStyle w:val="FootnoteText"/>
      </w:pPr>
      <w:r>
        <w:rPr>
          <w:rStyle w:val="FootnoteReference"/>
        </w:rPr>
        <w:footnoteRef/>
      </w:r>
      <w:r>
        <w:t xml:space="preserve"> </w:t>
      </w:r>
      <w:r>
        <w:tab/>
      </w:r>
      <w:r w:rsidRPr="006B5EA1">
        <w:t>The words ‘on behalf of the Responsible Body’ should be removed if the Responsible Body is the Accountable Office</w:t>
      </w:r>
      <w:r w:rsidR="007953E8">
        <w:t>r</w:t>
      </w:r>
      <w:r w:rsidRPr="006B5EA1">
        <w:t xml:space="preserve"> </w:t>
      </w:r>
      <w:r w:rsidR="00DF60F6">
        <w:br/>
      </w:r>
      <w:r w:rsidRPr="006B5EA1">
        <w:t>e.g. the department Secretary.</w:t>
      </w:r>
    </w:p>
  </w:footnote>
  <w:footnote w:id="6">
    <w:p w14:paraId="584A4F4E" w14:textId="612084D1" w:rsidR="00A545BA" w:rsidRDefault="00A545BA">
      <w:pPr>
        <w:pStyle w:val="FootnoteText"/>
      </w:pPr>
      <w:r>
        <w:rPr>
          <w:rStyle w:val="FootnoteReference"/>
        </w:rPr>
        <w:footnoteRef/>
      </w:r>
      <w:r>
        <w:t xml:space="preserve"> </w:t>
      </w:r>
      <w:r>
        <w:tab/>
      </w:r>
      <w:r w:rsidRPr="00526486">
        <w:t>The words ‘on behalf of the Responsible Body’ should be removed if the Responsible Body is the Accountable Office</w:t>
      </w:r>
      <w:r w:rsidR="00C05A68">
        <w:t>r</w:t>
      </w:r>
      <w:r w:rsidRPr="00526486">
        <w:t xml:space="preserve"> </w:t>
      </w:r>
      <w:r w:rsidR="00DF60F6">
        <w:br/>
      </w:r>
      <w:r w:rsidRPr="00526486">
        <w:t>e.g. the department Secretary.</w:t>
      </w:r>
    </w:p>
  </w:footnote>
  <w:footnote w:id="7">
    <w:p w14:paraId="3A45961C" w14:textId="66225657" w:rsidR="00CC7A6C" w:rsidRDefault="00CC7A6C">
      <w:pPr>
        <w:pStyle w:val="FootnoteText"/>
      </w:pPr>
      <w:r>
        <w:rPr>
          <w:rStyle w:val="FootnoteReference"/>
        </w:rPr>
        <w:footnoteRef/>
      </w:r>
      <w:r>
        <w:t xml:space="preserve"> </w:t>
      </w:r>
      <w:r w:rsidR="00E074F2">
        <w:t xml:space="preserve"> </w:t>
      </w:r>
      <w:r>
        <w:t>This attestation should take into account the advice from the Audit Commit</w:t>
      </w:r>
      <w:r w:rsidR="00C27F49">
        <w: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4A32" w14:textId="3B054883" w:rsidR="00A545BA" w:rsidRDefault="00D164CD" w:rsidP="007D536F">
    <w:pPr>
      <w:pStyle w:val="Header"/>
    </w:pPr>
    <w:r>
      <w:rPr>
        <w:noProof/>
      </w:rPr>
      <mc:AlternateContent>
        <mc:Choice Requires="wpg">
          <w:drawing>
            <wp:anchor distT="0" distB="0" distL="114300" distR="114300" simplePos="0" relativeHeight="251658243" behindDoc="1" locked="1" layoutInCell="1" allowOverlap="1" wp14:anchorId="76618185" wp14:editId="6F8777A1">
              <wp:simplePos x="0" y="0"/>
              <wp:positionH relativeFrom="page">
                <wp:posOffset>-19050</wp:posOffset>
              </wp:positionH>
              <wp:positionV relativeFrom="page">
                <wp:posOffset>1110615</wp:posOffset>
              </wp:positionV>
              <wp:extent cx="7077075" cy="7292340"/>
              <wp:effectExtent l="0" t="5715" r="9525" b="7620"/>
              <wp:wrapNone/>
              <wp:docPr id="117255366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7292340"/>
                        <a:chOff x="9144" y="9096"/>
                        <a:chExt cx="52970" cy="54490"/>
                      </a:xfrm>
                    </wpg:grpSpPr>
                    <wps:wsp>
                      <wps:cNvPr id="233625032" name="Freeform: Shape 21"/>
                      <wps:cNvSpPr>
                        <a:spLocks/>
                      </wps:cNvSpPr>
                      <wps:spPr bwMode="auto">
                        <a:xfrm>
                          <a:off x="9239" y="9096"/>
                          <a:ext cx="50108" cy="54453"/>
                        </a:xfrm>
                        <a:custGeom>
                          <a:avLst/>
                          <a:gdLst>
                            <a:gd name="T0" fmla="*/ 5010817 w 5010816"/>
                            <a:gd name="T1" fmla="*/ 0 h 5445251"/>
                            <a:gd name="T2" fmla="*/ 943165 w 5010816"/>
                            <a:gd name="T3" fmla="*/ 0 h 5445251"/>
                            <a:gd name="T4" fmla="*/ 0 w 5010816"/>
                            <a:gd name="T5" fmla="*/ 1995297 h 5445251"/>
                            <a:gd name="T6" fmla="*/ 0 w 5010816"/>
                            <a:gd name="T7" fmla="*/ 5445252 h 5445251"/>
                            <a:gd name="T8" fmla="*/ 2436876 w 5010816"/>
                            <a:gd name="T9" fmla="*/ 5445252 h 54452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10816" h="5445251">
                              <a:moveTo>
                                <a:pt x="5010817" y="0"/>
                              </a:moveTo>
                              <a:lnTo>
                                <a:pt x="943165" y="0"/>
                              </a:lnTo>
                              <a:lnTo>
                                <a:pt x="0" y="1995297"/>
                              </a:lnTo>
                              <a:lnTo>
                                <a:pt x="0" y="5445252"/>
                              </a:lnTo>
                              <a:lnTo>
                                <a:pt x="2436876" y="5445252"/>
                              </a:lnTo>
                              <a:lnTo>
                                <a:pt x="5010817" y="0"/>
                              </a:lnTo>
                              <a:close/>
                            </a:path>
                          </a:pathLst>
                        </a:custGeom>
                        <a:solidFill>
                          <a:srgbClr val="232B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002383176" name="Freeform: Shape 22"/>
                      <wps:cNvSpPr>
                        <a:spLocks/>
                      </wps:cNvSpPr>
                      <wps:spPr bwMode="auto">
                        <a:xfrm>
                          <a:off x="9239" y="21423"/>
                          <a:ext cx="52875" cy="42163"/>
                        </a:xfrm>
                        <a:custGeom>
                          <a:avLst/>
                          <a:gdLst>
                            <a:gd name="T0" fmla="*/ 5287518 w 5287517"/>
                            <a:gd name="T1" fmla="*/ 4216337 h 4216336"/>
                            <a:gd name="T2" fmla="*/ 3294507 w 5287517"/>
                            <a:gd name="T3" fmla="*/ 0 h 4216336"/>
                            <a:gd name="T4" fmla="*/ 0 w 5287517"/>
                            <a:gd name="T5" fmla="*/ 0 h 4216336"/>
                            <a:gd name="T6" fmla="*/ 0 w 5287517"/>
                            <a:gd name="T7" fmla="*/ 4216337 h 421633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87517" h="4216336">
                              <a:moveTo>
                                <a:pt x="5287518" y="4216337"/>
                              </a:moveTo>
                              <a:lnTo>
                                <a:pt x="3294507" y="0"/>
                              </a:lnTo>
                              <a:lnTo>
                                <a:pt x="0" y="0"/>
                              </a:lnTo>
                              <a:lnTo>
                                <a:pt x="0" y="4216337"/>
                              </a:lnTo>
                              <a:lnTo>
                                <a:pt x="5287518" y="4216337"/>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060262128" name="Freeform: Shape 23"/>
                      <wps:cNvSpPr>
                        <a:spLocks/>
                      </wps:cNvSpPr>
                      <wps:spPr bwMode="auto">
                        <a:xfrm>
                          <a:off x="9144" y="14682"/>
                          <a:ext cx="38612" cy="41109"/>
                        </a:xfrm>
                        <a:custGeom>
                          <a:avLst/>
                          <a:gdLst>
                            <a:gd name="T0" fmla="*/ 0 w 3861244"/>
                            <a:gd name="T1" fmla="*/ 0 h 4110894"/>
                            <a:gd name="T2" fmla="*/ 0 w 3861244"/>
                            <a:gd name="T3" fmla="*/ 2650712 h 4110894"/>
                            <a:gd name="T4" fmla="*/ 690182 w 3861244"/>
                            <a:gd name="T5" fmla="*/ 4110895 h 4110894"/>
                            <a:gd name="T6" fmla="*/ 3861245 w 3861244"/>
                            <a:gd name="T7" fmla="*/ 4110895 h 4110894"/>
                            <a:gd name="T8" fmla="*/ 3861245 w 3861244"/>
                            <a:gd name="T9" fmla="*/ 0 h 4110894"/>
                            <a:gd name="T10" fmla="*/ 0 w 3861244"/>
                            <a:gd name="T11" fmla="*/ 0 h 4110894"/>
                            <a:gd name="T12" fmla="*/ 3590925 w 3861244"/>
                            <a:gd name="T13" fmla="*/ 3055144 h 4110894"/>
                            <a:gd name="T14" fmla="*/ 3038475 w 3861244"/>
                            <a:gd name="T15" fmla="*/ 3055144 h 4110894"/>
                            <a:gd name="T16" fmla="*/ 3038475 w 3861244"/>
                            <a:gd name="T17" fmla="*/ 3026569 h 4110894"/>
                            <a:gd name="T18" fmla="*/ 3590925 w 3861244"/>
                            <a:gd name="T19" fmla="*/ 3026569 h 4110894"/>
                            <a:gd name="T20" fmla="*/ 3590925 w 3861244"/>
                            <a:gd name="T21" fmla="*/ 3055144 h 411089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9F3E6E" id="Group 20" o:spid="_x0000_s1026" alt="&quot;&quot;" style="position:absolute;margin-left:-1.5pt;margin-top:87.45pt;width:557.25pt;height:574.2pt;z-index:-251658237;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">
              <v:shape id="Freeform: Shape 21"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" path="m5010817,l943165,,,1995297,,5445252r2436876,l5010817,xe" fillcolor="#232b39" stroked="f">
                <v:stroke joinstyle="miter"/>
                <v:path arrowok="t" o:connecttype="custom" o:connectlocs="50108,0;9432,0;0,19953;0,54453;24369,54453" o:connectangles="0,0,0,0,0"/>
              </v:shape>
              <v:shape id="Freeform: Shape 22"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" path="m5287518,4216337l3294507,,,,,4216337r5287518,xe" fillcolor="#4472c4 [3204]" stroked="f">
                <v:stroke joinstyle="miter"/>
                <v:path arrowok="t" o:connecttype="custom" o:connectlocs="52875,42163;32945,0;0,0;0,42163" o:connectangles="0,0,0,0"/>
              </v:shape>
              <v:shape id="Freeform: Shape 23"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" path="m,l,2650712,690182,4110895r3171063,l3861245,,,xm3590925,3055144r-552450,l3038475,3026569r552450,l3590925,3055144xe" stroked="f">
                <v:stroke joinstyle="miter"/>
                <v:path arrowok="t" o:connecttype="custom" o:connectlocs="0,0;0,26507;6902,41109;38612,41109;38612,0;0,0;35909,30551;30384,30551;30384,30266;35909,30266;35909,30551" o:connectangles="0,0,0,0,0,0,0,0,0,0,0"/>
              </v:shape>
              <w10:wrap anchorx="page" anchory="page"/>
              <w10:anchorlock/>
            </v:group>
          </w:pict>
        </mc:Fallback>
      </mc:AlternateContent>
    </w:r>
    <w:r w:rsidR="00A545BA">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B7FA" w14:textId="7B5D2DB9" w:rsidR="00A545BA" w:rsidRDefault="00A545BA">
    <w:pPr>
      <w:pStyle w:val="Header"/>
    </w:pPr>
    <w:r w:rsidRPr="00CF1264">
      <w:t>DEPARTMENT OF TECHNOLOGY – MODEL REPORT OF OPERATIONS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4465" w14:textId="49EE0E58" w:rsidR="00A545BA" w:rsidRDefault="00A545BA" w:rsidP="00CF1264">
    <w:pPr>
      <w:pStyle w:val="Header"/>
      <w:jc w:val="right"/>
    </w:pPr>
    <w:r w:rsidRPr="00CF1264">
      <w:t>DEPARTMENT OF TECHNOLOGY – MODEL REPORT OF OPERATIONS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2A7F" w14:textId="77777777" w:rsidR="00A545BA" w:rsidRDefault="00A545B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86A0" w14:textId="77777777" w:rsidR="009D5AA9" w:rsidRDefault="009D5AA9" w:rsidP="009D5AA9">
    <w:pPr>
      <w:pStyle w:val="Header"/>
    </w:pPr>
    <w:r>
      <w:rPr>
        <w:noProof/>
      </w:rPr>
      <mc:AlternateContent>
        <mc:Choice Requires="wps">
          <w:drawing>
            <wp:anchor distT="0" distB="0" distL="114300" distR="114300" simplePos="0" relativeHeight="251658288" behindDoc="0" locked="0" layoutInCell="1" allowOverlap="1" wp14:anchorId="0E63985F" wp14:editId="1DD92BBC">
              <wp:simplePos x="0" y="0"/>
              <wp:positionH relativeFrom="column">
                <wp:posOffset>-518160</wp:posOffset>
              </wp:positionH>
              <wp:positionV relativeFrom="paragraph">
                <wp:posOffset>257810</wp:posOffset>
              </wp:positionV>
              <wp:extent cx="393065" cy="6189980"/>
              <wp:effectExtent l="0" t="0" r="0" b="0"/>
              <wp:wrapNone/>
              <wp:docPr id="17423761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6D41E" w14:textId="00E8F429" w:rsidR="009D5AA9" w:rsidRPr="00D90086" w:rsidRDefault="009D5AA9" w:rsidP="009D5AA9">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rPr>
                            <w:t>41</w:t>
                          </w:r>
                          <w:r w:rsidRPr="00D90086">
                            <w:rPr>
                              <w:rStyle w:val="PageNumber"/>
                            </w:rPr>
                            <w:fldChar w:fldCharType="end"/>
                          </w:r>
                          <w:r>
                            <w:rPr>
                              <w:rStyle w:val="PageNumber"/>
                            </w:rPr>
                            <w:tab/>
                          </w:r>
                          <w:fldSimple w:instr="STYLEREF  Title  \* MERGEFORMAT">
                            <w:r w:rsidR="00A54997">
                              <w:rPr>
                                <w:noProof/>
                              </w:rPr>
                              <w:t>Model Report for Victorian Government Departments</w:t>
                            </w:r>
                          </w:fldSimple>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3985F" id="_x0000_t202" coordsize="21600,21600" o:spt="202" path="m,l,21600r21600,l21600,xe">
              <v:stroke joinstyle="miter"/>
              <v:path gradientshapeok="t" o:connecttype="rect"/>
            </v:shapetype>
            <v:shape id="_x0000_s1081" type="#_x0000_t202" style="position:absolute;margin-left:-40.8pt;margin-top:20.3pt;width:30.95pt;height:487.4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" filled="f" stroked="f" strokeweight=".5pt">
              <v:textbox style="layout-flow:vertical">
                <w:txbxContent>
                  <w:p w14:paraId="25F6D41E" w14:textId="00E8F429" w:rsidR="009D5AA9" w:rsidRPr="00D90086" w:rsidRDefault="009D5AA9" w:rsidP="009D5AA9">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rPr>
                      <w:t>41</w:t>
                    </w:r>
                    <w:r w:rsidRPr="00D90086">
                      <w:rPr>
                        <w:rStyle w:val="PageNumber"/>
                      </w:rPr>
                      <w:fldChar w:fldCharType="end"/>
                    </w:r>
                    <w:r>
                      <w:rPr>
                        <w:rStyle w:val="PageNumber"/>
                      </w:rPr>
                      <w:tab/>
                    </w:r>
                    <w:fldSimple w:instr="STYLEREF  Title  \* MERGEFORMAT">
                      <w:r w:rsidR="00A54997">
                        <w:rPr>
                          <w:noProof/>
                        </w:rPr>
                        <w:t>Model Report for Victorian Government Departments</w:t>
                      </w:r>
                    </w:fldSimple>
                  </w:p>
                </w:txbxContent>
              </v:textbox>
            </v:shape>
          </w:pict>
        </mc:Fallback>
      </mc:AlternateContent>
    </w:r>
    <w:r>
      <w:rPr>
        <w:noProof/>
      </w:rPr>
      <mc:AlternateContent>
        <mc:Choice Requires="wps">
          <w:drawing>
            <wp:anchor distT="0" distB="0" distL="114300" distR="114300" simplePos="0" relativeHeight="251658287" behindDoc="0" locked="0" layoutInCell="1" allowOverlap="1" wp14:anchorId="2F6FA01E" wp14:editId="685E6A0D">
              <wp:simplePos x="0" y="0"/>
              <wp:positionH relativeFrom="column">
                <wp:posOffset>9276715</wp:posOffset>
              </wp:positionH>
              <wp:positionV relativeFrom="paragraph">
                <wp:posOffset>295275</wp:posOffset>
              </wp:positionV>
              <wp:extent cx="391795" cy="6188075"/>
              <wp:effectExtent l="0" t="0" r="0" b="0"/>
              <wp:wrapNone/>
              <wp:docPr id="10070907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6188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4EB6F" w14:textId="77777777" w:rsidR="009D5AA9" w:rsidRPr="00C6270B" w:rsidRDefault="009D5AA9" w:rsidP="009D5AA9">
                          <w:pPr>
                            <w:pStyle w:val="Header"/>
                          </w:pPr>
                          <w:r w:rsidRPr="00C6270B">
                            <w:t>Department of Technology – Model report of operations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A01E" id="_x0000_s1082" type="#_x0000_t202" style="position:absolute;margin-left:730.45pt;margin-top:23.25pt;width:30.85pt;height:487.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" filled="f" stroked="f" strokeweight=".5pt">
              <v:textbox style="layout-flow:vertical">
                <w:txbxContent>
                  <w:p w14:paraId="33B4EB6F" w14:textId="77777777" w:rsidR="009D5AA9" w:rsidRPr="00C6270B" w:rsidRDefault="009D5AA9" w:rsidP="009D5AA9">
                    <w:pPr>
                      <w:pStyle w:val="Header"/>
                    </w:pPr>
                    <w:r w:rsidRPr="00C6270B">
                      <w:t>Department of Technology – Model report of operations</w:t>
                    </w:r>
                  </w:p>
                </w:txbxContent>
              </v:textbox>
            </v:shape>
          </w:pict>
        </mc:Fallback>
      </mc:AlternateContent>
    </w:r>
  </w:p>
  <w:p w14:paraId="5E3A5D48" w14:textId="37B03735" w:rsidR="00386096" w:rsidRDefault="00386096" w:rsidP="00CF1264">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292B" w14:textId="2A6B8A42" w:rsidR="00A545BA" w:rsidRPr="00D372E9" w:rsidRDefault="005A1ACA" w:rsidP="005A1ACA">
    <w:pPr>
      <w:pStyle w:val="Header"/>
    </w:pPr>
    <w:r w:rsidRPr="00CF1264">
      <w:t>DEPARTMENT OF TECHNOLOGY – MODEL REPORT OF OPERATIONS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3FA7" w14:textId="604EE7DC" w:rsidR="00A545BA" w:rsidRPr="00D372E9" w:rsidRDefault="005A1ACA" w:rsidP="00CF76BC">
    <w:pPr>
      <w:pStyle w:val="Header"/>
      <w:jc w:val="right"/>
    </w:pPr>
    <w:r w:rsidRPr="00CF1264">
      <w:t>DEPARTMENT OF TECHNOLOGY – MODEL REPORT OF OPERATIONS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7241" w14:textId="77777777" w:rsidR="00386096" w:rsidRDefault="00386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2DDC" w14:textId="7A8E1B8B" w:rsidR="00A545BA" w:rsidRDefault="00A5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DCAA" w14:textId="325942F7" w:rsidR="00A545BA" w:rsidRDefault="00A545BA" w:rsidP="00A353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546E" w14:textId="77B0536E" w:rsidR="00A545BA" w:rsidRDefault="00A545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4CC3" w14:textId="1F942AED" w:rsidR="00A545BA" w:rsidRDefault="00A545BA" w:rsidP="00C633DD">
    <w:pPr>
      <w:pStyle w:val="Header"/>
    </w:pPr>
    <w:r>
      <w:t>Department of Technology – Model Report of Operations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FF98" w14:textId="5C5E26ED" w:rsidR="00A545BA" w:rsidRPr="00CF1264" w:rsidRDefault="00A545BA" w:rsidP="00C633DD">
    <w:pPr>
      <w:pStyle w:val="Header"/>
      <w:jc w:val="right"/>
    </w:pPr>
    <w:r w:rsidRPr="00CF1264">
      <w:t>DEPARTMENT OF TECHNOLOGY – MODEL REPORT OF OPERATIONS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725D" w14:textId="74F4390C" w:rsidR="00A545BA" w:rsidRDefault="00A545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17F7" w14:textId="094425E2" w:rsidR="00796B53" w:rsidRPr="00C02C51" w:rsidRDefault="00D164CD" w:rsidP="00C02C51">
    <w:pPr>
      <w:pStyle w:val="Header"/>
    </w:pPr>
    <w:r>
      <w:rPr>
        <w:noProof/>
      </w:rPr>
      <mc:AlternateContent>
        <mc:Choice Requires="wps">
          <w:drawing>
            <wp:anchor distT="0" distB="0" distL="114300" distR="114300" simplePos="0" relativeHeight="251658271" behindDoc="0" locked="0" layoutInCell="1" allowOverlap="1" wp14:anchorId="1C3F4C53" wp14:editId="3D9B48C9">
              <wp:simplePos x="0" y="0"/>
              <wp:positionH relativeFrom="column">
                <wp:posOffset>9343390</wp:posOffset>
              </wp:positionH>
              <wp:positionV relativeFrom="paragraph">
                <wp:posOffset>243205</wp:posOffset>
              </wp:positionV>
              <wp:extent cx="393065" cy="6189980"/>
              <wp:effectExtent l="0" t="0" r="0" b="0"/>
              <wp:wrapNone/>
              <wp:docPr id="8004381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0F2E9" w14:textId="77777777" w:rsidR="003F7856" w:rsidRDefault="003F7856" w:rsidP="003F7856">
                          <w:pPr>
                            <w:pStyle w:val="Header"/>
                          </w:pPr>
                          <w:r w:rsidRPr="00CF1264">
                            <w:t>DEPARTMENT OF TECHNOLOGY – MODEL REPORT OF OPERATIONS</w:t>
                          </w:r>
                        </w:p>
                        <w:p w14:paraId="44F42D76" w14:textId="77777777" w:rsidR="003F7856" w:rsidRPr="00D90086" w:rsidRDefault="003F7856" w:rsidP="003F7856"/>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F4C53" id="_x0000_t202" coordsize="21600,21600" o:spt="202" path="m,l,21600r21600,l21600,xe">
              <v:stroke joinstyle="miter"/>
              <v:path gradientshapeok="t" o:connecttype="rect"/>
            </v:shapetype>
            <v:shape id="Text Box 43" o:spid="_x0000_s1068" type="#_x0000_t202" style="position:absolute;margin-left:735.7pt;margin-top:19.15pt;width:30.95pt;height:487.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" filled="f" stroked="f" strokeweight=".5pt">
              <v:textbox style="layout-flow:vertical">
                <w:txbxContent>
                  <w:p w14:paraId="00F0F2E9" w14:textId="77777777" w:rsidR="003F7856" w:rsidRDefault="003F7856" w:rsidP="003F7856">
                    <w:pPr>
                      <w:pStyle w:val="Header"/>
                    </w:pPr>
                    <w:r w:rsidRPr="00CF1264">
                      <w:t>DEPARTMENT OF TECHNOLOGY – MODEL REPORT OF OPERATIONS</w:t>
                    </w:r>
                  </w:p>
                  <w:p w14:paraId="44F42D76" w14:textId="77777777" w:rsidR="003F7856" w:rsidRPr="00D90086" w:rsidRDefault="003F7856" w:rsidP="003F7856"/>
                </w:txbxContent>
              </v:textbox>
            </v:shape>
          </w:pict>
        </mc:Fallback>
      </mc:AlternateContent>
    </w:r>
    <w:r>
      <w:rPr>
        <w:noProof/>
      </w:rPr>
      <mc:AlternateContent>
        <mc:Choice Requires="wps">
          <w:drawing>
            <wp:anchor distT="0" distB="0" distL="114300" distR="114300" simplePos="0" relativeHeight="251658270" behindDoc="0" locked="0" layoutInCell="1" allowOverlap="1" wp14:anchorId="0F4A6B37" wp14:editId="06FAF4B4">
              <wp:simplePos x="0" y="0"/>
              <wp:positionH relativeFrom="column">
                <wp:posOffset>-559435</wp:posOffset>
              </wp:positionH>
              <wp:positionV relativeFrom="paragraph">
                <wp:posOffset>243205</wp:posOffset>
              </wp:positionV>
              <wp:extent cx="393065" cy="6189980"/>
              <wp:effectExtent l="0" t="0" r="0" b="0"/>
              <wp:wrapNone/>
              <wp:docPr id="164635336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4500C" w14:textId="35B455A0" w:rsidR="003F7856" w:rsidRPr="00D90086" w:rsidRDefault="003F7856" w:rsidP="003F7856">
                          <w:pPr>
                            <w:pStyle w:val="Footereven"/>
                          </w:pPr>
                          <w:r>
                            <w:fldChar w:fldCharType="begin"/>
                          </w:r>
                          <w:r>
                            <w:instrText xml:space="preserve"> PAGE   \* MERGEFORMAT </w:instrText>
                          </w:r>
                          <w:r>
                            <w:fldChar w:fldCharType="separate"/>
                          </w:r>
                          <w:r>
                            <w:rPr>
                              <w:noProof/>
                            </w:rPr>
                            <w:t>43</w:t>
                          </w:r>
                          <w:r>
                            <w:fldChar w:fldCharType="end"/>
                          </w:r>
                          <w:r>
                            <w:tab/>
                          </w:r>
                          <w:fldSimple w:instr="STYLEREF  Title  \* MERGEFORMAT">
                            <w:r w:rsidR="00BE612E">
                              <w:rPr>
                                <w:noProof/>
                              </w:rPr>
                              <w:t>Model Report for Victorian Government Departments</w:t>
                            </w:r>
                          </w:fldSimple>
                        </w:p>
                        <w:p w14:paraId="672FD96A" w14:textId="77777777" w:rsidR="003F7856" w:rsidRPr="00D90086" w:rsidRDefault="003F7856" w:rsidP="003F7856">
                          <w:pPr>
                            <w:pStyle w:val="Footereven"/>
                            <w:jc w:val="both"/>
                          </w:pPr>
                          <w:r>
                            <w:tab/>
                          </w:r>
                          <w:r>
                            <w:fldChar w:fldCharType="begin"/>
                          </w:r>
                          <w:r>
                            <w:instrText xml:space="preserve"> PAGE   \* MERGEFORMAT </w:instrText>
                          </w:r>
                          <w:r>
                            <w:fldChar w:fldCharType="separate"/>
                          </w:r>
                          <w:r>
                            <w:rPr>
                              <w:noProof/>
                            </w:rPr>
                            <w:t>120</w:t>
                          </w:r>
                          <w:r>
                            <w:fldChar w:fldCharType="end"/>
                          </w:r>
                          <w:r>
                            <w:tab/>
                          </w:r>
                        </w:p>
                        <w:p w14:paraId="31B4977E" w14:textId="77777777" w:rsidR="003F7856" w:rsidRPr="00D90086" w:rsidRDefault="003F7856" w:rsidP="003F7856">
                          <w:pPr>
                            <w:pStyle w:val="Footereven"/>
                          </w:pPr>
                          <w:r>
                            <w:rPr>
                              <w:rStyle w:val="PageNumber"/>
                            </w:rPr>
                            <w:tab/>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6B37" id="Text Box 42" o:spid="_x0000_s1069" type="#_x0000_t202" style="position:absolute;margin-left:-44.05pt;margin-top:19.15pt;width:30.95pt;height:487.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" filled="f" stroked="f" strokeweight=".5pt">
              <v:textbox style="layout-flow:vertical">
                <w:txbxContent>
                  <w:p w14:paraId="7674500C" w14:textId="35B455A0" w:rsidR="003F7856" w:rsidRPr="00D90086" w:rsidRDefault="003F7856" w:rsidP="003F7856">
                    <w:pPr>
                      <w:pStyle w:val="Footereven"/>
                    </w:pPr>
                    <w:r>
                      <w:fldChar w:fldCharType="begin"/>
                    </w:r>
                    <w:r>
                      <w:instrText xml:space="preserve"> PAGE   \* MERGEFORMAT </w:instrText>
                    </w:r>
                    <w:r>
                      <w:fldChar w:fldCharType="separate"/>
                    </w:r>
                    <w:r>
                      <w:rPr>
                        <w:noProof/>
                      </w:rPr>
                      <w:t>43</w:t>
                    </w:r>
                    <w:r>
                      <w:fldChar w:fldCharType="end"/>
                    </w:r>
                    <w:r>
                      <w:tab/>
                    </w:r>
                    <w:fldSimple w:instr="STYLEREF  Title  \* MERGEFORMAT">
                      <w:r w:rsidR="00BE612E">
                        <w:rPr>
                          <w:noProof/>
                        </w:rPr>
                        <w:t>Model Report for Victorian Government Departments</w:t>
                      </w:r>
                    </w:fldSimple>
                  </w:p>
                  <w:p w14:paraId="672FD96A" w14:textId="77777777" w:rsidR="003F7856" w:rsidRPr="00D90086" w:rsidRDefault="003F7856" w:rsidP="003F7856">
                    <w:pPr>
                      <w:pStyle w:val="Footereven"/>
                      <w:jc w:val="both"/>
                    </w:pPr>
                    <w:r>
                      <w:tab/>
                    </w:r>
                    <w:r>
                      <w:fldChar w:fldCharType="begin"/>
                    </w:r>
                    <w:r>
                      <w:instrText xml:space="preserve"> PAGE   \* MERGEFORMAT </w:instrText>
                    </w:r>
                    <w:r>
                      <w:fldChar w:fldCharType="separate"/>
                    </w:r>
                    <w:r>
                      <w:rPr>
                        <w:noProof/>
                      </w:rPr>
                      <w:t>120</w:t>
                    </w:r>
                    <w:r>
                      <w:fldChar w:fldCharType="end"/>
                    </w:r>
                    <w:r>
                      <w:tab/>
                    </w:r>
                  </w:p>
                  <w:p w14:paraId="31B4977E" w14:textId="77777777" w:rsidR="003F7856" w:rsidRPr="00D90086" w:rsidRDefault="003F7856" w:rsidP="003F7856">
                    <w:pPr>
                      <w:pStyle w:val="Footereven"/>
                    </w:pPr>
                    <w:r>
                      <w:rPr>
                        <w:rStyle w:val="PageNumber"/>
                      </w:rPr>
                      <w:tab/>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ADD6" w14:textId="13AD4B39" w:rsidR="00A545BA" w:rsidRDefault="00D164CD">
    <w:pPr>
      <w:pStyle w:val="Header"/>
    </w:pPr>
    <w:r>
      <w:rPr>
        <w:noProof/>
      </w:rPr>
      <mc:AlternateContent>
        <mc:Choice Requires="wps">
          <w:drawing>
            <wp:anchor distT="0" distB="0" distL="114300" distR="114300" simplePos="0" relativeHeight="251658246" behindDoc="0" locked="0" layoutInCell="1" allowOverlap="1" wp14:anchorId="7DEFA9E3" wp14:editId="028DC438">
              <wp:simplePos x="0" y="0"/>
              <wp:positionH relativeFrom="column">
                <wp:posOffset>-518160</wp:posOffset>
              </wp:positionH>
              <wp:positionV relativeFrom="paragraph">
                <wp:posOffset>257810</wp:posOffset>
              </wp:positionV>
              <wp:extent cx="393065" cy="6189980"/>
              <wp:effectExtent l="0" t="0" r="0" b="0"/>
              <wp:wrapNone/>
              <wp:docPr id="19096987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04E9B" w14:textId="10114BF3" w:rsidR="00A545BA" w:rsidRPr="00D90086" w:rsidRDefault="00A545BA" w:rsidP="00DC763C">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rPr>
                            <w:t>41</w:t>
                          </w:r>
                          <w:r w:rsidRPr="00D90086">
                            <w:rPr>
                              <w:rStyle w:val="PageNumber"/>
                            </w:rPr>
                            <w:fldChar w:fldCharType="end"/>
                          </w:r>
                          <w:r>
                            <w:rPr>
                              <w:rStyle w:val="PageNumber"/>
                            </w:rPr>
                            <w:tab/>
                          </w:r>
                          <w:fldSimple w:instr="STYLEREF  Title  \* MERGEFORMAT">
                            <w:r w:rsidR="00A54997">
                              <w:rPr>
                                <w:noProof/>
                              </w:rPr>
                              <w:t>Model Report for Victorian Government Departments</w:t>
                            </w:r>
                          </w:fldSimple>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A9E3" id="_x0000_t202" coordsize="21600,21600" o:spt="202" path="m,l,21600r21600,l21600,xe">
              <v:stroke joinstyle="miter"/>
              <v:path gradientshapeok="t" o:connecttype="rect"/>
            </v:shapetype>
            <v:shape id="Text Box 41" o:spid="_x0000_s1070" type="#_x0000_t202" style="position:absolute;margin-left:-40.8pt;margin-top:20.3pt;width:30.95pt;height:487.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" filled="f" stroked="f" strokeweight=".5pt">
              <v:textbox style="layout-flow:vertical">
                <w:txbxContent>
                  <w:p w14:paraId="61404E9B" w14:textId="10114BF3" w:rsidR="00A545BA" w:rsidRPr="00D90086" w:rsidRDefault="00A545BA" w:rsidP="00DC763C">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rPr>
                      <w:t>41</w:t>
                    </w:r>
                    <w:r w:rsidRPr="00D90086">
                      <w:rPr>
                        <w:rStyle w:val="PageNumber"/>
                      </w:rPr>
                      <w:fldChar w:fldCharType="end"/>
                    </w:r>
                    <w:r>
                      <w:rPr>
                        <w:rStyle w:val="PageNumber"/>
                      </w:rPr>
                      <w:tab/>
                    </w:r>
                    <w:fldSimple w:instr="STYLEREF  Title  \* MERGEFORMAT">
                      <w:r w:rsidR="00A54997">
                        <w:rPr>
                          <w:noProof/>
                        </w:rPr>
                        <w:t>Model Report for Victorian Government Departments</w:t>
                      </w:r>
                    </w:fldSimple>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7CD913CC" wp14:editId="05814B3F">
              <wp:simplePos x="0" y="0"/>
              <wp:positionH relativeFrom="column">
                <wp:posOffset>9276715</wp:posOffset>
              </wp:positionH>
              <wp:positionV relativeFrom="paragraph">
                <wp:posOffset>295275</wp:posOffset>
              </wp:positionV>
              <wp:extent cx="391795" cy="6188075"/>
              <wp:effectExtent l="0" t="0" r="0" b="0"/>
              <wp:wrapNone/>
              <wp:docPr id="11857926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6188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18562" w14:textId="77777777" w:rsidR="00A545BA" w:rsidRPr="00C6270B" w:rsidRDefault="00A545BA" w:rsidP="00C6270B">
                          <w:pPr>
                            <w:pStyle w:val="Header"/>
                          </w:pPr>
                          <w:r w:rsidRPr="00C6270B">
                            <w:t>Department of Technology – Model report of operations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13CC" id="Text Box 40" o:spid="_x0000_s1071" type="#_x0000_t202" style="position:absolute;margin-left:730.45pt;margin-top:23.25pt;width:30.85pt;height:48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" filled="f" stroked="f" strokeweight=".5pt">
              <v:textbox style="layout-flow:vertical">
                <w:txbxContent>
                  <w:p w14:paraId="44418562" w14:textId="77777777" w:rsidR="00A545BA" w:rsidRPr="00C6270B" w:rsidRDefault="00A545BA" w:rsidP="00C6270B">
                    <w:pPr>
                      <w:pStyle w:val="Header"/>
                    </w:pPr>
                    <w:r w:rsidRPr="00C6270B">
                      <w:t>Department of Technology – Model report of operations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96858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1B058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EA444A"/>
    <w:multiLevelType w:val="hybridMultilevel"/>
    <w:tmpl w:val="F9EC8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06150C01"/>
    <w:multiLevelType w:val="hybridMultilevel"/>
    <w:tmpl w:val="64D0F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C5DE5"/>
    <w:multiLevelType w:val="multilevel"/>
    <w:tmpl w:val="F692EE2A"/>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1191" w:hanging="397"/>
      </w:pPr>
      <w:rPr>
        <w:rFonts w:hint="default"/>
      </w:rPr>
    </w:lvl>
    <w:lvl w:ilvl="2">
      <w:start w:val="1"/>
      <w:numFmt w:val="lowerRoman"/>
      <w:pStyle w:val="ListNumber3"/>
      <w:lvlText w:val="%3."/>
      <w:lvlJc w:val="left"/>
      <w:pPr>
        <w:ind w:left="1588" w:hanging="397"/>
      </w:pPr>
      <w:rPr>
        <w:rFonts w:hint="default"/>
      </w:rPr>
    </w:lvl>
    <w:lvl w:ilvl="3">
      <w:start w:val="1"/>
      <w:numFmt w:val="decimal"/>
      <w:pStyle w:val="ListNumber4"/>
      <w:lvlText w:val="%4."/>
      <w:lvlJc w:val="left"/>
      <w:pPr>
        <w:ind w:left="1985" w:hanging="397"/>
      </w:pPr>
      <w:rPr>
        <w:rFonts w:hint="default"/>
      </w:rPr>
    </w:lvl>
    <w:lvl w:ilvl="4">
      <w:start w:val="1"/>
      <w:numFmt w:val="lowerLetter"/>
      <w:pStyle w:val="ListNumber5"/>
      <w:lvlText w:val="%5."/>
      <w:lvlJc w:val="left"/>
      <w:pPr>
        <w:ind w:left="2382" w:hanging="397"/>
      </w:pPr>
      <w:rPr>
        <w:rFonts w:hint="default"/>
      </w:rPr>
    </w:lvl>
    <w:lvl w:ilvl="5">
      <w:start w:val="1"/>
      <w:numFmt w:val="lowerRoman"/>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Roman"/>
      <w:lvlText w:val="%9."/>
      <w:lvlJc w:val="left"/>
      <w:pPr>
        <w:ind w:left="3970" w:hanging="397"/>
      </w:pPr>
      <w:rPr>
        <w:rFonts w:hint="default"/>
      </w:rPr>
    </w:lvl>
  </w:abstractNum>
  <w:abstractNum w:abstractNumId="5" w15:restartNumberingAfterBreak="0">
    <w:nsid w:val="077137DA"/>
    <w:multiLevelType w:val="hybridMultilevel"/>
    <w:tmpl w:val="DA0A5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C675CF"/>
    <w:multiLevelType w:val="hybridMultilevel"/>
    <w:tmpl w:val="9502D7D0"/>
    <w:lvl w:ilvl="0" w:tplc="BEF8E9DA">
      <w:numFmt w:val="bullet"/>
      <w:lvlText w:val=""/>
      <w:lvlJc w:val="left"/>
      <w:pPr>
        <w:ind w:left="405"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33389F"/>
    <w:multiLevelType w:val="hybridMultilevel"/>
    <w:tmpl w:val="23AE38E0"/>
    <w:lvl w:ilvl="0" w:tplc="45BEDFF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465E37"/>
    <w:multiLevelType w:val="hybridMultilevel"/>
    <w:tmpl w:val="5B8A2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B7545E2"/>
    <w:multiLevelType w:val="multilevel"/>
    <w:tmpl w:val="6298CC6A"/>
    <w:styleLink w:val="BulletListStyle"/>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rPr>
        <w:rFonts w:hint="default"/>
      </w:r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10" w15:restartNumberingAfterBreak="0">
    <w:nsid w:val="0C8032DF"/>
    <w:multiLevelType w:val="hybridMultilevel"/>
    <w:tmpl w:val="F87EB73A"/>
    <w:lvl w:ilvl="0" w:tplc="0C090001">
      <w:start w:val="1"/>
      <w:numFmt w:val="bullet"/>
      <w:lvlText w:val=""/>
      <w:lvlJc w:val="left"/>
      <w:pPr>
        <w:ind w:left="360" w:hanging="360"/>
      </w:pPr>
      <w:rPr>
        <w:rFonts w:ascii="Symbol" w:hAnsi="Symbol" w:hint="default"/>
      </w:rPr>
    </w:lvl>
    <w:lvl w:ilvl="1" w:tplc="98A21368">
      <w:start w:val="1"/>
      <w:numFmt w:val="bullet"/>
      <w:lvlText w:val="–"/>
      <w:lvlJc w:val="left"/>
      <w:pPr>
        <w:ind w:left="720"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6A4162"/>
    <w:multiLevelType w:val="multilevel"/>
    <w:tmpl w:val="C024DAA4"/>
    <w:styleLink w:val="ListBulletAlphaStyle"/>
    <w:lvl w:ilvl="0">
      <w:start w:val="1"/>
      <w:numFmt w:val="lowerLetter"/>
      <w:pStyle w:val="ListAlpha"/>
      <w:lvlText w:val="(%1)"/>
      <w:lvlJc w:val="left"/>
      <w:pPr>
        <w:tabs>
          <w:tab w:val="num" w:pos="284"/>
        </w:tabs>
        <w:ind w:left="284" w:hanging="284"/>
      </w:pPr>
      <w:rPr>
        <w:rFonts w:hint="default"/>
      </w:rPr>
    </w:lvl>
    <w:lvl w:ilvl="1">
      <w:start w:val="1"/>
      <w:numFmt w:val="lowerRoman"/>
      <w:pStyle w:val="ListAlpha2"/>
      <w:lvlText w:val="(%2)"/>
      <w:lvlJc w:val="left"/>
      <w:pPr>
        <w:tabs>
          <w:tab w:val="num" w:pos="568"/>
        </w:tabs>
        <w:ind w:left="568" w:hanging="284"/>
      </w:pPr>
      <w:rPr>
        <w:rFonts w:hint="default"/>
      </w:rPr>
    </w:lvl>
    <w:lvl w:ilvl="2">
      <w:start w:val="1"/>
      <w:numFmt w:val="upperLetter"/>
      <w:pStyle w:val="ListAlpha3"/>
      <w:lvlText w:val="(%3)"/>
      <w:lvlJc w:val="left"/>
      <w:pPr>
        <w:tabs>
          <w:tab w:val="num" w:pos="852"/>
        </w:tabs>
        <w:ind w:left="852" w:hanging="284"/>
      </w:pPr>
      <w:rPr>
        <w:rFont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15:restartNumberingAfterBreak="0">
    <w:nsid w:val="0DB46A9D"/>
    <w:multiLevelType w:val="hybridMultilevel"/>
    <w:tmpl w:val="F2E29072"/>
    <w:lvl w:ilvl="0" w:tplc="5DA02304">
      <w:start w:val="1"/>
      <w:numFmt w:val="bullet"/>
      <w:pStyle w:val="ListBullet2"/>
      <w:lvlText w:val="-"/>
      <w:lvlJc w:val="left"/>
      <w:pPr>
        <w:ind w:left="720"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3" w15:restartNumberingAfterBreak="0">
    <w:nsid w:val="0DFF17FE"/>
    <w:multiLevelType w:val="hybridMultilevel"/>
    <w:tmpl w:val="4B0C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7821C7"/>
    <w:multiLevelType w:val="hybridMultilevel"/>
    <w:tmpl w:val="2010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1F675F"/>
    <w:multiLevelType w:val="hybridMultilevel"/>
    <w:tmpl w:val="E738F22C"/>
    <w:lvl w:ilvl="0" w:tplc="F462E6B8">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0048EC"/>
    <w:multiLevelType w:val="hybridMultilevel"/>
    <w:tmpl w:val="95402D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5656B82"/>
    <w:multiLevelType w:val="hybridMultilevel"/>
    <w:tmpl w:val="63C4C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3D2CF2"/>
    <w:multiLevelType w:val="hybridMultilevel"/>
    <w:tmpl w:val="DBFE3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513927"/>
    <w:multiLevelType w:val="hybridMultilevel"/>
    <w:tmpl w:val="7C22B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BDA2842"/>
    <w:multiLevelType w:val="hybridMultilevel"/>
    <w:tmpl w:val="6DA4B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D42166"/>
    <w:multiLevelType w:val="hybridMultilevel"/>
    <w:tmpl w:val="DF2A0DF2"/>
    <w:lvl w:ilvl="0" w:tplc="EAEE4C9A">
      <w:start w:val="1"/>
      <w:numFmt w:val="bullet"/>
      <w:lvlText w:val="-"/>
      <w:lvlJc w:val="left"/>
      <w:pPr>
        <w:ind w:left="720" w:hanging="360"/>
      </w:pPr>
      <w:rPr>
        <w:rFonts w:ascii="Courier New" w:hAnsi="Courier New" w:hint="default"/>
      </w:rPr>
    </w:lvl>
    <w:lvl w:ilvl="1" w:tplc="EAEE4C9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31414C"/>
    <w:multiLevelType w:val="hybridMultilevel"/>
    <w:tmpl w:val="9D58B3A4"/>
    <w:lvl w:ilvl="0" w:tplc="1772DCFA">
      <w:start w:val="1"/>
      <w:numFmt w:val="bullet"/>
      <w:lvlText w:val=""/>
      <w:lvlJc w:val="left"/>
      <w:pPr>
        <w:ind w:left="1080" w:hanging="360"/>
      </w:pPr>
      <w:rPr>
        <w:rFonts w:ascii="Symbol" w:hAnsi="Symbol"/>
      </w:rPr>
    </w:lvl>
    <w:lvl w:ilvl="1" w:tplc="1B1E98C2">
      <w:start w:val="1"/>
      <w:numFmt w:val="bullet"/>
      <w:lvlText w:val=""/>
      <w:lvlJc w:val="left"/>
      <w:pPr>
        <w:ind w:left="1080" w:hanging="360"/>
      </w:pPr>
      <w:rPr>
        <w:rFonts w:ascii="Symbol" w:hAnsi="Symbol"/>
      </w:rPr>
    </w:lvl>
    <w:lvl w:ilvl="2" w:tplc="F834AEC0">
      <w:start w:val="1"/>
      <w:numFmt w:val="bullet"/>
      <w:lvlText w:val=""/>
      <w:lvlJc w:val="left"/>
      <w:pPr>
        <w:ind w:left="1080" w:hanging="360"/>
      </w:pPr>
      <w:rPr>
        <w:rFonts w:ascii="Symbol" w:hAnsi="Symbol"/>
      </w:rPr>
    </w:lvl>
    <w:lvl w:ilvl="3" w:tplc="9F7271BE">
      <w:start w:val="1"/>
      <w:numFmt w:val="bullet"/>
      <w:lvlText w:val=""/>
      <w:lvlJc w:val="left"/>
      <w:pPr>
        <w:ind w:left="1080" w:hanging="360"/>
      </w:pPr>
      <w:rPr>
        <w:rFonts w:ascii="Symbol" w:hAnsi="Symbol"/>
      </w:rPr>
    </w:lvl>
    <w:lvl w:ilvl="4" w:tplc="251AA07A">
      <w:start w:val="1"/>
      <w:numFmt w:val="bullet"/>
      <w:lvlText w:val=""/>
      <w:lvlJc w:val="left"/>
      <w:pPr>
        <w:ind w:left="1080" w:hanging="360"/>
      </w:pPr>
      <w:rPr>
        <w:rFonts w:ascii="Symbol" w:hAnsi="Symbol"/>
      </w:rPr>
    </w:lvl>
    <w:lvl w:ilvl="5" w:tplc="E87A3DEE">
      <w:start w:val="1"/>
      <w:numFmt w:val="bullet"/>
      <w:lvlText w:val=""/>
      <w:lvlJc w:val="left"/>
      <w:pPr>
        <w:ind w:left="1080" w:hanging="360"/>
      </w:pPr>
      <w:rPr>
        <w:rFonts w:ascii="Symbol" w:hAnsi="Symbol"/>
      </w:rPr>
    </w:lvl>
    <w:lvl w:ilvl="6" w:tplc="5394C61E">
      <w:start w:val="1"/>
      <w:numFmt w:val="bullet"/>
      <w:lvlText w:val=""/>
      <w:lvlJc w:val="left"/>
      <w:pPr>
        <w:ind w:left="1080" w:hanging="360"/>
      </w:pPr>
      <w:rPr>
        <w:rFonts w:ascii="Symbol" w:hAnsi="Symbol"/>
      </w:rPr>
    </w:lvl>
    <w:lvl w:ilvl="7" w:tplc="2570B162">
      <w:start w:val="1"/>
      <w:numFmt w:val="bullet"/>
      <w:lvlText w:val=""/>
      <w:lvlJc w:val="left"/>
      <w:pPr>
        <w:ind w:left="1080" w:hanging="360"/>
      </w:pPr>
      <w:rPr>
        <w:rFonts w:ascii="Symbol" w:hAnsi="Symbol"/>
      </w:rPr>
    </w:lvl>
    <w:lvl w:ilvl="8" w:tplc="8C6A4254">
      <w:start w:val="1"/>
      <w:numFmt w:val="bullet"/>
      <w:lvlText w:val=""/>
      <w:lvlJc w:val="left"/>
      <w:pPr>
        <w:ind w:left="1080" w:hanging="360"/>
      </w:pPr>
      <w:rPr>
        <w:rFonts w:ascii="Symbol" w:hAnsi="Symbol"/>
      </w:rPr>
    </w:lvl>
  </w:abstractNum>
  <w:abstractNum w:abstractNumId="24" w15:restartNumberingAfterBreak="0">
    <w:nsid w:val="24C4243B"/>
    <w:multiLevelType w:val="multilevel"/>
    <w:tmpl w:val="32A07AB2"/>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FC5CCB"/>
    <w:multiLevelType w:val="hybridMultilevel"/>
    <w:tmpl w:val="4928D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CB4264"/>
    <w:multiLevelType w:val="multilevel"/>
    <w:tmpl w:val="AA66B3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28C1281B"/>
    <w:multiLevelType w:val="hybridMultilevel"/>
    <w:tmpl w:val="A6D6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A331E8F"/>
    <w:multiLevelType w:val="hybridMultilevel"/>
    <w:tmpl w:val="8166B7D8"/>
    <w:lvl w:ilvl="0" w:tplc="527CE2EE">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AA53BEA"/>
    <w:multiLevelType w:val="multilevel"/>
    <w:tmpl w:val="B6509240"/>
    <w:numStyleLink w:val="ListBulletStyle"/>
  </w:abstractNum>
  <w:abstractNum w:abstractNumId="30" w15:restartNumberingAfterBreak="0">
    <w:nsid w:val="2B214EC2"/>
    <w:multiLevelType w:val="hybridMultilevel"/>
    <w:tmpl w:val="392A9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C6E3048"/>
    <w:multiLevelType w:val="hybridMultilevel"/>
    <w:tmpl w:val="E488B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CEF19D7"/>
    <w:multiLevelType w:val="hybridMultilevel"/>
    <w:tmpl w:val="FC945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F226A7F"/>
    <w:multiLevelType w:val="hybridMultilevel"/>
    <w:tmpl w:val="4CDC16D0"/>
    <w:lvl w:ilvl="0" w:tplc="C01C849A">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C55024"/>
    <w:multiLevelType w:val="hybridMultilevel"/>
    <w:tmpl w:val="907C8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2FD5ADE"/>
    <w:multiLevelType w:val="multilevel"/>
    <w:tmpl w:val="6298CC6A"/>
    <w:numStyleLink w:val="BulletListStyle"/>
  </w:abstractNum>
  <w:abstractNum w:abstractNumId="36" w15:restartNumberingAfterBreak="0">
    <w:nsid w:val="35651FA0"/>
    <w:multiLevelType w:val="hybridMultilevel"/>
    <w:tmpl w:val="E1B4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C55121"/>
    <w:multiLevelType w:val="hybridMultilevel"/>
    <w:tmpl w:val="6CB2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FE42FC"/>
    <w:multiLevelType w:val="multilevel"/>
    <w:tmpl w:val="B6509240"/>
    <w:styleLink w:val="ListBulletStyl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9" w15:restartNumberingAfterBreak="0">
    <w:nsid w:val="3941226C"/>
    <w:multiLevelType w:val="multilevel"/>
    <w:tmpl w:val="C024DAA4"/>
    <w:numStyleLink w:val="ListBulletAlphaStyle"/>
  </w:abstractNum>
  <w:abstractNum w:abstractNumId="40" w15:restartNumberingAfterBreak="0">
    <w:nsid w:val="3C554919"/>
    <w:multiLevelType w:val="hybridMultilevel"/>
    <w:tmpl w:val="33F2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035E3A"/>
    <w:multiLevelType w:val="hybridMultilevel"/>
    <w:tmpl w:val="54E43CBC"/>
    <w:lvl w:ilvl="0" w:tplc="7BF837F8">
      <w:start w:val="1"/>
      <w:numFmt w:val="bullet"/>
      <w:lvlText w:val=""/>
      <w:lvlJc w:val="left"/>
      <w:pPr>
        <w:ind w:left="1080" w:hanging="360"/>
      </w:pPr>
      <w:rPr>
        <w:rFonts w:ascii="Symbol" w:hAnsi="Symbol"/>
      </w:rPr>
    </w:lvl>
    <w:lvl w:ilvl="1" w:tplc="847A9FA6">
      <w:start w:val="1"/>
      <w:numFmt w:val="bullet"/>
      <w:lvlText w:val=""/>
      <w:lvlJc w:val="left"/>
      <w:pPr>
        <w:ind w:left="1080" w:hanging="360"/>
      </w:pPr>
      <w:rPr>
        <w:rFonts w:ascii="Symbol" w:hAnsi="Symbol"/>
      </w:rPr>
    </w:lvl>
    <w:lvl w:ilvl="2" w:tplc="4794797A">
      <w:start w:val="1"/>
      <w:numFmt w:val="bullet"/>
      <w:lvlText w:val=""/>
      <w:lvlJc w:val="left"/>
      <w:pPr>
        <w:ind w:left="1080" w:hanging="360"/>
      </w:pPr>
      <w:rPr>
        <w:rFonts w:ascii="Symbol" w:hAnsi="Symbol"/>
      </w:rPr>
    </w:lvl>
    <w:lvl w:ilvl="3" w:tplc="A9001044">
      <w:start w:val="1"/>
      <w:numFmt w:val="bullet"/>
      <w:lvlText w:val=""/>
      <w:lvlJc w:val="left"/>
      <w:pPr>
        <w:ind w:left="1080" w:hanging="360"/>
      </w:pPr>
      <w:rPr>
        <w:rFonts w:ascii="Symbol" w:hAnsi="Symbol"/>
      </w:rPr>
    </w:lvl>
    <w:lvl w:ilvl="4" w:tplc="64EE7D52">
      <w:start w:val="1"/>
      <w:numFmt w:val="bullet"/>
      <w:lvlText w:val=""/>
      <w:lvlJc w:val="left"/>
      <w:pPr>
        <w:ind w:left="1080" w:hanging="360"/>
      </w:pPr>
      <w:rPr>
        <w:rFonts w:ascii="Symbol" w:hAnsi="Symbol"/>
      </w:rPr>
    </w:lvl>
    <w:lvl w:ilvl="5" w:tplc="31C0FB0C">
      <w:start w:val="1"/>
      <w:numFmt w:val="bullet"/>
      <w:lvlText w:val=""/>
      <w:lvlJc w:val="left"/>
      <w:pPr>
        <w:ind w:left="1080" w:hanging="360"/>
      </w:pPr>
      <w:rPr>
        <w:rFonts w:ascii="Symbol" w:hAnsi="Symbol"/>
      </w:rPr>
    </w:lvl>
    <w:lvl w:ilvl="6" w:tplc="BF7A5646">
      <w:start w:val="1"/>
      <w:numFmt w:val="bullet"/>
      <w:lvlText w:val=""/>
      <w:lvlJc w:val="left"/>
      <w:pPr>
        <w:ind w:left="1080" w:hanging="360"/>
      </w:pPr>
      <w:rPr>
        <w:rFonts w:ascii="Symbol" w:hAnsi="Symbol"/>
      </w:rPr>
    </w:lvl>
    <w:lvl w:ilvl="7" w:tplc="1EEC83CA">
      <w:start w:val="1"/>
      <w:numFmt w:val="bullet"/>
      <w:lvlText w:val=""/>
      <w:lvlJc w:val="left"/>
      <w:pPr>
        <w:ind w:left="1080" w:hanging="360"/>
      </w:pPr>
      <w:rPr>
        <w:rFonts w:ascii="Symbol" w:hAnsi="Symbol"/>
      </w:rPr>
    </w:lvl>
    <w:lvl w:ilvl="8" w:tplc="70EEBC4C">
      <w:start w:val="1"/>
      <w:numFmt w:val="bullet"/>
      <w:lvlText w:val=""/>
      <w:lvlJc w:val="left"/>
      <w:pPr>
        <w:ind w:left="1080" w:hanging="360"/>
      </w:pPr>
      <w:rPr>
        <w:rFonts w:ascii="Symbol" w:hAnsi="Symbol"/>
      </w:rPr>
    </w:lvl>
  </w:abstractNum>
  <w:abstractNum w:abstractNumId="42" w15:restartNumberingAfterBreak="0">
    <w:nsid w:val="3D2E4856"/>
    <w:multiLevelType w:val="hybridMultilevel"/>
    <w:tmpl w:val="25C6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EF8660C"/>
    <w:multiLevelType w:val="hybridMultilevel"/>
    <w:tmpl w:val="44665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0D331F5"/>
    <w:multiLevelType w:val="hybridMultilevel"/>
    <w:tmpl w:val="81F2A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10B0C94"/>
    <w:multiLevelType w:val="hybridMultilevel"/>
    <w:tmpl w:val="8FECD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222644D"/>
    <w:multiLevelType w:val="hybridMultilevel"/>
    <w:tmpl w:val="412A6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3A55E38"/>
    <w:multiLevelType w:val="hybridMultilevel"/>
    <w:tmpl w:val="CBBC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3CB021F"/>
    <w:multiLevelType w:val="hybridMultilevel"/>
    <w:tmpl w:val="FED4D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6EE5E5E"/>
    <w:multiLevelType w:val="hybridMultilevel"/>
    <w:tmpl w:val="A6A4714A"/>
    <w:lvl w:ilvl="0" w:tplc="BC50EA4A">
      <w:start w:val="1"/>
      <w:numFmt w:val="lowerLetter"/>
      <w:lvlText w:val="(%1)"/>
      <w:lvlJc w:val="left"/>
      <w:pPr>
        <w:ind w:left="398" w:hanging="398"/>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B6367C4"/>
    <w:multiLevelType w:val="multilevel"/>
    <w:tmpl w:val="5202B19A"/>
    <w:styleLink w:val="NumberedHeadings"/>
    <w:lvl w:ilvl="0">
      <w:start w:val="1"/>
      <w:numFmt w:val="decimal"/>
      <w:pStyle w:val="Heading1numbered"/>
      <w:lvlText w:val="%1"/>
      <w:lvlJc w:val="left"/>
      <w:pPr>
        <w:ind w:left="397" w:hanging="397"/>
      </w:pPr>
      <w:rPr>
        <w:rFonts w:hint="default"/>
        <w:color w:val="auto"/>
      </w:rPr>
    </w:lvl>
    <w:lvl w:ilvl="1">
      <w:start w:val="1"/>
      <w:numFmt w:val="decimal"/>
      <w:pStyle w:val="Heading2numbered"/>
      <w:lvlText w:val="%1.%2"/>
      <w:lvlJc w:val="left"/>
      <w:pPr>
        <w:ind w:left="624" w:hanging="624"/>
      </w:pPr>
      <w:rPr>
        <w:rFonts w:hint="default"/>
      </w:rPr>
    </w:lvl>
    <w:lvl w:ilvl="2">
      <w:start w:val="1"/>
      <w:numFmt w:val="decimal"/>
      <w:pStyle w:val="Heading3numbered"/>
      <w:lvlText w:val="%1.%2.%3"/>
      <w:lvlJc w:val="left"/>
      <w:pPr>
        <w:ind w:left="964" w:hanging="964"/>
      </w:pPr>
      <w:rPr>
        <w:rFont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51" w15:restartNumberingAfterBreak="0">
    <w:nsid w:val="4CAA6044"/>
    <w:multiLevelType w:val="multilevel"/>
    <w:tmpl w:val="B6509240"/>
    <w:numStyleLink w:val="ListBulletStyle"/>
  </w:abstractNum>
  <w:abstractNum w:abstractNumId="52" w15:restartNumberingAfterBreak="0">
    <w:nsid w:val="4EE448CA"/>
    <w:multiLevelType w:val="hybridMultilevel"/>
    <w:tmpl w:val="7DD4CF04"/>
    <w:lvl w:ilvl="0" w:tplc="6C2432C0">
      <w:start w:val="1"/>
      <w:numFmt w:val="bullet"/>
      <w:lvlText w:val=""/>
      <w:lvlJc w:val="left"/>
      <w:pPr>
        <w:ind w:left="1080" w:hanging="360"/>
      </w:pPr>
      <w:rPr>
        <w:rFonts w:ascii="Symbol" w:hAnsi="Symbol"/>
      </w:rPr>
    </w:lvl>
    <w:lvl w:ilvl="1" w:tplc="7A545DA0">
      <w:start w:val="1"/>
      <w:numFmt w:val="bullet"/>
      <w:lvlText w:val=""/>
      <w:lvlJc w:val="left"/>
      <w:pPr>
        <w:ind w:left="1080" w:hanging="360"/>
      </w:pPr>
      <w:rPr>
        <w:rFonts w:ascii="Symbol" w:hAnsi="Symbol"/>
      </w:rPr>
    </w:lvl>
    <w:lvl w:ilvl="2" w:tplc="502631D8">
      <w:start w:val="1"/>
      <w:numFmt w:val="bullet"/>
      <w:lvlText w:val=""/>
      <w:lvlJc w:val="left"/>
      <w:pPr>
        <w:ind w:left="1080" w:hanging="360"/>
      </w:pPr>
      <w:rPr>
        <w:rFonts w:ascii="Symbol" w:hAnsi="Symbol"/>
      </w:rPr>
    </w:lvl>
    <w:lvl w:ilvl="3" w:tplc="9BEAFB4C">
      <w:start w:val="1"/>
      <w:numFmt w:val="bullet"/>
      <w:lvlText w:val=""/>
      <w:lvlJc w:val="left"/>
      <w:pPr>
        <w:ind w:left="1080" w:hanging="360"/>
      </w:pPr>
      <w:rPr>
        <w:rFonts w:ascii="Symbol" w:hAnsi="Symbol"/>
      </w:rPr>
    </w:lvl>
    <w:lvl w:ilvl="4" w:tplc="26F4ED12">
      <w:start w:val="1"/>
      <w:numFmt w:val="bullet"/>
      <w:lvlText w:val=""/>
      <w:lvlJc w:val="left"/>
      <w:pPr>
        <w:ind w:left="1080" w:hanging="360"/>
      </w:pPr>
      <w:rPr>
        <w:rFonts w:ascii="Symbol" w:hAnsi="Symbol"/>
      </w:rPr>
    </w:lvl>
    <w:lvl w:ilvl="5" w:tplc="66DA2788">
      <w:start w:val="1"/>
      <w:numFmt w:val="bullet"/>
      <w:lvlText w:val=""/>
      <w:lvlJc w:val="left"/>
      <w:pPr>
        <w:ind w:left="1080" w:hanging="360"/>
      </w:pPr>
      <w:rPr>
        <w:rFonts w:ascii="Symbol" w:hAnsi="Symbol"/>
      </w:rPr>
    </w:lvl>
    <w:lvl w:ilvl="6" w:tplc="D228F544">
      <w:start w:val="1"/>
      <w:numFmt w:val="bullet"/>
      <w:lvlText w:val=""/>
      <w:lvlJc w:val="left"/>
      <w:pPr>
        <w:ind w:left="1080" w:hanging="360"/>
      </w:pPr>
      <w:rPr>
        <w:rFonts w:ascii="Symbol" w:hAnsi="Symbol"/>
      </w:rPr>
    </w:lvl>
    <w:lvl w:ilvl="7" w:tplc="D33C5DDE">
      <w:start w:val="1"/>
      <w:numFmt w:val="bullet"/>
      <w:lvlText w:val=""/>
      <w:lvlJc w:val="left"/>
      <w:pPr>
        <w:ind w:left="1080" w:hanging="360"/>
      </w:pPr>
      <w:rPr>
        <w:rFonts w:ascii="Symbol" w:hAnsi="Symbol"/>
      </w:rPr>
    </w:lvl>
    <w:lvl w:ilvl="8" w:tplc="87427276">
      <w:start w:val="1"/>
      <w:numFmt w:val="bullet"/>
      <w:lvlText w:val=""/>
      <w:lvlJc w:val="left"/>
      <w:pPr>
        <w:ind w:left="1080" w:hanging="360"/>
      </w:pPr>
      <w:rPr>
        <w:rFonts w:ascii="Symbol" w:hAnsi="Symbol"/>
      </w:rPr>
    </w:lvl>
  </w:abstractNum>
  <w:abstractNum w:abstractNumId="53" w15:restartNumberingAfterBreak="0">
    <w:nsid w:val="4F942B5D"/>
    <w:multiLevelType w:val="hybridMultilevel"/>
    <w:tmpl w:val="ABA2EDF6"/>
    <w:lvl w:ilvl="0" w:tplc="ABF2E39A">
      <w:start w:val="1"/>
      <w:numFmt w:val="bullet"/>
      <w:lvlText w:val=""/>
      <w:lvlJc w:val="left"/>
      <w:pPr>
        <w:ind w:left="1080" w:hanging="360"/>
      </w:pPr>
      <w:rPr>
        <w:rFonts w:ascii="Symbol" w:hAnsi="Symbol"/>
      </w:rPr>
    </w:lvl>
    <w:lvl w:ilvl="1" w:tplc="33BC0C5A">
      <w:start w:val="1"/>
      <w:numFmt w:val="bullet"/>
      <w:lvlText w:val=""/>
      <w:lvlJc w:val="left"/>
      <w:pPr>
        <w:ind w:left="1080" w:hanging="360"/>
      </w:pPr>
      <w:rPr>
        <w:rFonts w:ascii="Symbol" w:hAnsi="Symbol"/>
      </w:rPr>
    </w:lvl>
    <w:lvl w:ilvl="2" w:tplc="28F248B6">
      <w:start w:val="1"/>
      <w:numFmt w:val="bullet"/>
      <w:lvlText w:val=""/>
      <w:lvlJc w:val="left"/>
      <w:pPr>
        <w:ind w:left="1080" w:hanging="360"/>
      </w:pPr>
      <w:rPr>
        <w:rFonts w:ascii="Symbol" w:hAnsi="Symbol"/>
      </w:rPr>
    </w:lvl>
    <w:lvl w:ilvl="3" w:tplc="DD12A8B8">
      <w:start w:val="1"/>
      <w:numFmt w:val="bullet"/>
      <w:lvlText w:val=""/>
      <w:lvlJc w:val="left"/>
      <w:pPr>
        <w:ind w:left="1080" w:hanging="360"/>
      </w:pPr>
      <w:rPr>
        <w:rFonts w:ascii="Symbol" w:hAnsi="Symbol"/>
      </w:rPr>
    </w:lvl>
    <w:lvl w:ilvl="4" w:tplc="302A0C40">
      <w:start w:val="1"/>
      <w:numFmt w:val="bullet"/>
      <w:lvlText w:val=""/>
      <w:lvlJc w:val="left"/>
      <w:pPr>
        <w:ind w:left="1080" w:hanging="360"/>
      </w:pPr>
      <w:rPr>
        <w:rFonts w:ascii="Symbol" w:hAnsi="Symbol"/>
      </w:rPr>
    </w:lvl>
    <w:lvl w:ilvl="5" w:tplc="559EE096">
      <w:start w:val="1"/>
      <w:numFmt w:val="bullet"/>
      <w:lvlText w:val=""/>
      <w:lvlJc w:val="left"/>
      <w:pPr>
        <w:ind w:left="1080" w:hanging="360"/>
      </w:pPr>
      <w:rPr>
        <w:rFonts w:ascii="Symbol" w:hAnsi="Symbol"/>
      </w:rPr>
    </w:lvl>
    <w:lvl w:ilvl="6" w:tplc="6FD6DF48">
      <w:start w:val="1"/>
      <w:numFmt w:val="bullet"/>
      <w:lvlText w:val=""/>
      <w:lvlJc w:val="left"/>
      <w:pPr>
        <w:ind w:left="1080" w:hanging="360"/>
      </w:pPr>
      <w:rPr>
        <w:rFonts w:ascii="Symbol" w:hAnsi="Symbol"/>
      </w:rPr>
    </w:lvl>
    <w:lvl w:ilvl="7" w:tplc="4D427160">
      <w:start w:val="1"/>
      <w:numFmt w:val="bullet"/>
      <w:lvlText w:val=""/>
      <w:lvlJc w:val="left"/>
      <w:pPr>
        <w:ind w:left="1080" w:hanging="360"/>
      </w:pPr>
      <w:rPr>
        <w:rFonts w:ascii="Symbol" w:hAnsi="Symbol"/>
      </w:rPr>
    </w:lvl>
    <w:lvl w:ilvl="8" w:tplc="CB867D36">
      <w:start w:val="1"/>
      <w:numFmt w:val="bullet"/>
      <w:lvlText w:val=""/>
      <w:lvlJc w:val="left"/>
      <w:pPr>
        <w:ind w:left="1080" w:hanging="360"/>
      </w:pPr>
      <w:rPr>
        <w:rFonts w:ascii="Symbol" w:hAnsi="Symbol"/>
      </w:rPr>
    </w:lvl>
  </w:abstractNum>
  <w:abstractNum w:abstractNumId="54" w15:restartNumberingAfterBreak="0">
    <w:nsid w:val="51C81A9E"/>
    <w:multiLevelType w:val="hybridMultilevel"/>
    <w:tmpl w:val="8C02CD5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522A5260"/>
    <w:multiLevelType w:val="hybridMultilevel"/>
    <w:tmpl w:val="C8EA3D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3FF2B18"/>
    <w:multiLevelType w:val="hybridMultilevel"/>
    <w:tmpl w:val="F1CA6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50D18FD"/>
    <w:multiLevelType w:val="hybridMultilevel"/>
    <w:tmpl w:val="BEB021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5492753"/>
    <w:multiLevelType w:val="multilevel"/>
    <w:tmpl w:val="6DC0F4E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ind w:left="644" w:hanging="360"/>
      </w:pPr>
      <w:rPr>
        <w:rFonts w:ascii="Calibri" w:hAnsi="Calibri"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9" w15:restartNumberingAfterBreak="0">
    <w:nsid w:val="5618261E"/>
    <w:multiLevelType w:val="hybridMultilevel"/>
    <w:tmpl w:val="14A45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72B5795"/>
    <w:multiLevelType w:val="hybridMultilevel"/>
    <w:tmpl w:val="81809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88C4A93"/>
    <w:multiLevelType w:val="hybridMultilevel"/>
    <w:tmpl w:val="646AD3F2"/>
    <w:lvl w:ilvl="0" w:tplc="EAEE4C9A">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9AF65C2"/>
    <w:multiLevelType w:val="multilevel"/>
    <w:tmpl w:val="95A20B3A"/>
    <w:styleLink w:val="ListContinueStyle"/>
    <w:lvl w:ilvl="0">
      <w:start w:val="1"/>
      <w:numFmt w:val="none"/>
      <w:pStyle w:val="ListContinue"/>
      <w:lvlText w:val=""/>
      <w:lvlJc w:val="left"/>
      <w:pPr>
        <w:tabs>
          <w:tab w:val="num" w:pos="1133"/>
        </w:tabs>
        <w:ind w:left="284" w:hanging="284"/>
      </w:pPr>
      <w:rPr>
        <w:rFonts w:hint="default"/>
      </w:rPr>
    </w:lvl>
    <w:lvl w:ilvl="1">
      <w:start w:val="1"/>
      <w:numFmt w:val="none"/>
      <w:pStyle w:val="ListContinue2"/>
      <w:lvlText w:val=""/>
      <w:lvlJc w:val="left"/>
      <w:pPr>
        <w:tabs>
          <w:tab w:val="num" w:pos="1417"/>
        </w:tabs>
        <w:ind w:left="568" w:hanging="284"/>
      </w:pPr>
      <w:rPr>
        <w:rFonts w:hint="default"/>
      </w:rPr>
    </w:lvl>
    <w:lvl w:ilvl="2">
      <w:start w:val="1"/>
      <w:numFmt w:val="none"/>
      <w:pStyle w:val="ListContinue3"/>
      <w:lvlText w:val=""/>
      <w:lvlJc w:val="left"/>
      <w:pPr>
        <w:tabs>
          <w:tab w:val="num" w:pos="1701"/>
        </w:tabs>
        <w:ind w:left="852" w:hanging="284"/>
      </w:pPr>
      <w:rPr>
        <w:rFonts w:hint="default"/>
      </w:rPr>
    </w:lvl>
    <w:lvl w:ilvl="3">
      <w:start w:val="1"/>
      <w:numFmt w:val="bullet"/>
      <w:lvlText w:val=""/>
      <w:lvlJc w:val="left"/>
      <w:pPr>
        <w:tabs>
          <w:tab w:val="num" w:pos="1985"/>
        </w:tabs>
        <w:ind w:left="1136" w:hanging="284"/>
      </w:pPr>
      <w:rPr>
        <w:rFonts w:ascii="Symbol" w:hAnsi="Symbol" w:hint="default"/>
      </w:rPr>
    </w:lvl>
    <w:lvl w:ilvl="4">
      <w:start w:val="1"/>
      <w:numFmt w:val="bullet"/>
      <w:lvlText w:val="o"/>
      <w:lvlJc w:val="left"/>
      <w:pPr>
        <w:tabs>
          <w:tab w:val="num" w:pos="2269"/>
        </w:tabs>
        <w:ind w:left="1420" w:hanging="284"/>
      </w:pPr>
      <w:rPr>
        <w:rFonts w:ascii="Courier New" w:hAnsi="Courier New" w:cs="Courier New" w:hint="default"/>
      </w:rPr>
    </w:lvl>
    <w:lvl w:ilvl="5">
      <w:start w:val="1"/>
      <w:numFmt w:val="bullet"/>
      <w:lvlText w:val=""/>
      <w:lvlJc w:val="left"/>
      <w:pPr>
        <w:tabs>
          <w:tab w:val="num" w:pos="2553"/>
        </w:tabs>
        <w:ind w:left="1704" w:hanging="284"/>
      </w:pPr>
      <w:rPr>
        <w:rFonts w:ascii="Wingdings" w:hAnsi="Wingdings" w:hint="default"/>
      </w:rPr>
    </w:lvl>
    <w:lvl w:ilvl="6">
      <w:start w:val="1"/>
      <w:numFmt w:val="bullet"/>
      <w:lvlText w:val=""/>
      <w:lvlJc w:val="left"/>
      <w:pPr>
        <w:tabs>
          <w:tab w:val="num" w:pos="2837"/>
        </w:tabs>
        <w:ind w:left="1988" w:hanging="284"/>
      </w:pPr>
      <w:rPr>
        <w:rFonts w:ascii="Symbol" w:hAnsi="Symbol" w:hint="default"/>
      </w:rPr>
    </w:lvl>
    <w:lvl w:ilvl="7">
      <w:start w:val="1"/>
      <w:numFmt w:val="bullet"/>
      <w:lvlText w:val="o"/>
      <w:lvlJc w:val="left"/>
      <w:pPr>
        <w:tabs>
          <w:tab w:val="num" w:pos="3121"/>
        </w:tabs>
        <w:ind w:left="2272" w:hanging="284"/>
      </w:pPr>
      <w:rPr>
        <w:rFonts w:ascii="Courier New" w:hAnsi="Courier New" w:cs="Courier New" w:hint="default"/>
      </w:rPr>
    </w:lvl>
    <w:lvl w:ilvl="8">
      <w:start w:val="1"/>
      <w:numFmt w:val="bullet"/>
      <w:lvlText w:val=""/>
      <w:lvlJc w:val="left"/>
      <w:pPr>
        <w:tabs>
          <w:tab w:val="num" w:pos="3405"/>
        </w:tabs>
        <w:ind w:left="2556" w:hanging="284"/>
      </w:pPr>
      <w:rPr>
        <w:rFonts w:ascii="Wingdings" w:hAnsi="Wingdings" w:hint="default"/>
      </w:rPr>
    </w:lvl>
  </w:abstractNum>
  <w:abstractNum w:abstractNumId="63" w15:restartNumberingAfterBreak="0">
    <w:nsid w:val="59B37E85"/>
    <w:multiLevelType w:val="hybridMultilevel"/>
    <w:tmpl w:val="F9D04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CA50118"/>
    <w:multiLevelType w:val="hybridMultilevel"/>
    <w:tmpl w:val="A0F2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CD05BEC"/>
    <w:multiLevelType w:val="hybridMultilevel"/>
    <w:tmpl w:val="5E685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D095D4C"/>
    <w:multiLevelType w:val="hybridMultilevel"/>
    <w:tmpl w:val="F176D172"/>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5DCB7FF3"/>
    <w:multiLevelType w:val="hybridMultilevel"/>
    <w:tmpl w:val="D60C0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F004DAD"/>
    <w:multiLevelType w:val="hybridMultilevel"/>
    <w:tmpl w:val="E4A66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E5F703A"/>
    <w:multiLevelType w:val="multilevel"/>
    <w:tmpl w:val="1C8A2B8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ind w:left="644" w:hanging="360"/>
      </w:pPr>
      <w:rPr>
        <w:rFonts w:ascii="Calibri" w:hAnsi="Calibri" w:hint="default"/>
      </w:rPr>
    </w:lvl>
    <w:lvl w:ilvl="2">
      <w:start w:val="1"/>
      <w:numFmt w:val="bullet"/>
      <w:pStyle w:val="ListBullet3"/>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0" w15:restartNumberingAfterBreak="0">
    <w:nsid w:val="6F6710BA"/>
    <w:multiLevelType w:val="hybridMultilevel"/>
    <w:tmpl w:val="C8305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2823C67"/>
    <w:multiLevelType w:val="hybridMultilevel"/>
    <w:tmpl w:val="AA5E6144"/>
    <w:lvl w:ilvl="0" w:tplc="2632C6C2">
      <w:start w:val="1"/>
      <w:numFmt w:val="lowerLetter"/>
      <w:lvlText w:val="(%1)"/>
      <w:lvlJc w:val="left"/>
      <w:pPr>
        <w:ind w:left="758" w:hanging="398"/>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4D7F59"/>
    <w:multiLevelType w:val="multilevel"/>
    <w:tmpl w:val="5202B19A"/>
    <w:numStyleLink w:val="NumberedHeadings"/>
  </w:abstractNum>
  <w:abstractNum w:abstractNumId="73" w15:restartNumberingAfterBreak="0">
    <w:nsid w:val="7BD60D05"/>
    <w:multiLevelType w:val="hybridMultilevel"/>
    <w:tmpl w:val="37E6E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C0C1B20"/>
    <w:multiLevelType w:val="multilevel"/>
    <w:tmpl w:val="672448F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5" w15:restartNumberingAfterBreak="0">
    <w:nsid w:val="7F0A7EFD"/>
    <w:multiLevelType w:val="hybridMultilevel"/>
    <w:tmpl w:val="2008375E"/>
    <w:lvl w:ilvl="0" w:tplc="82AC64E6">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5403622">
    <w:abstractNumId w:val="9"/>
  </w:num>
  <w:num w:numId="2" w16cid:durableId="90132525">
    <w:abstractNumId w:val="38"/>
  </w:num>
  <w:num w:numId="3" w16cid:durableId="448937190">
    <w:abstractNumId w:val="11"/>
  </w:num>
  <w:num w:numId="4" w16cid:durableId="331299068">
    <w:abstractNumId w:val="39"/>
  </w:num>
  <w:num w:numId="5" w16cid:durableId="231165126">
    <w:abstractNumId w:val="51"/>
  </w:num>
  <w:num w:numId="6" w16cid:durableId="1158499109">
    <w:abstractNumId w:val="29"/>
  </w:num>
  <w:num w:numId="7" w16cid:durableId="1291935062">
    <w:abstractNumId w:val="62"/>
  </w:num>
  <w:num w:numId="8" w16cid:durableId="6486804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1057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460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8897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991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9047937">
    <w:abstractNumId w:val="50"/>
  </w:num>
  <w:num w:numId="14" w16cid:durableId="944505205">
    <w:abstractNumId w:val="56"/>
  </w:num>
  <w:num w:numId="15" w16cid:durableId="2060593978">
    <w:abstractNumId w:val="67"/>
  </w:num>
  <w:num w:numId="16" w16cid:durableId="1684167392">
    <w:abstractNumId w:val="19"/>
  </w:num>
  <w:num w:numId="17" w16cid:durableId="313146687">
    <w:abstractNumId w:val="48"/>
  </w:num>
  <w:num w:numId="18" w16cid:durableId="1531529196">
    <w:abstractNumId w:val="60"/>
  </w:num>
  <w:num w:numId="19" w16cid:durableId="601381377">
    <w:abstractNumId w:val="70"/>
  </w:num>
  <w:num w:numId="20" w16cid:durableId="1716586525">
    <w:abstractNumId w:val="8"/>
  </w:num>
  <w:num w:numId="21" w16cid:durableId="1966540533">
    <w:abstractNumId w:val="20"/>
  </w:num>
  <w:num w:numId="22" w16cid:durableId="1397163077">
    <w:abstractNumId w:val="47"/>
  </w:num>
  <w:num w:numId="23" w16cid:durableId="768090162">
    <w:abstractNumId w:val="32"/>
  </w:num>
  <w:num w:numId="24" w16cid:durableId="661277104">
    <w:abstractNumId w:val="43"/>
  </w:num>
  <w:num w:numId="25" w16cid:durableId="1376465256">
    <w:abstractNumId w:val="5"/>
  </w:num>
  <w:num w:numId="26" w16cid:durableId="492990074">
    <w:abstractNumId w:val="46"/>
  </w:num>
  <w:num w:numId="27" w16cid:durableId="535578682">
    <w:abstractNumId w:val="31"/>
  </w:num>
  <w:num w:numId="28" w16cid:durableId="1183318805">
    <w:abstractNumId w:val="17"/>
  </w:num>
  <w:num w:numId="29" w16cid:durableId="464617165">
    <w:abstractNumId w:val="44"/>
  </w:num>
  <w:num w:numId="30" w16cid:durableId="1946889244">
    <w:abstractNumId w:val="27"/>
  </w:num>
  <w:num w:numId="31" w16cid:durableId="1206671916">
    <w:abstractNumId w:val="55"/>
  </w:num>
  <w:num w:numId="32" w16cid:durableId="1970355704">
    <w:abstractNumId w:val="22"/>
  </w:num>
  <w:num w:numId="33" w16cid:durableId="1935280492">
    <w:abstractNumId w:val="61"/>
  </w:num>
  <w:num w:numId="34" w16cid:durableId="652804604">
    <w:abstractNumId w:val="35"/>
    <w:lvlOverride w:ilvl="0">
      <w:lvl w:ilvl="0">
        <w:start w:val="1"/>
        <w:numFmt w:val="bullet"/>
        <w:lvlText w:val=""/>
        <w:lvlJc w:val="left"/>
        <w:pPr>
          <w:ind w:left="397" w:hanging="397"/>
        </w:pPr>
        <w:rPr>
          <w:rFonts w:ascii="Symbol" w:hAnsi="Symbol" w:hint="default"/>
          <w:color w:val="4472C4" w:themeColor="accent1"/>
        </w:rPr>
      </w:lvl>
    </w:lvlOverride>
  </w:num>
  <w:num w:numId="35" w16cid:durableId="1325550498">
    <w:abstractNumId w:val="4"/>
  </w:num>
  <w:num w:numId="36" w16cid:durableId="18460446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0134770">
    <w:abstractNumId w:val="6"/>
  </w:num>
  <w:num w:numId="38" w16cid:durableId="288707922">
    <w:abstractNumId w:val="26"/>
  </w:num>
  <w:num w:numId="39" w16cid:durableId="456919954">
    <w:abstractNumId w:val="72"/>
  </w:num>
  <w:num w:numId="40" w16cid:durableId="110979010">
    <w:abstractNumId w:val="69"/>
  </w:num>
  <w:num w:numId="41" w16cid:durableId="469177243">
    <w:abstractNumId w:val="68"/>
  </w:num>
  <w:num w:numId="42" w16cid:durableId="1941331628">
    <w:abstractNumId w:val="45"/>
  </w:num>
  <w:num w:numId="43" w16cid:durableId="1966690969">
    <w:abstractNumId w:val="13"/>
  </w:num>
  <w:num w:numId="44" w16cid:durableId="1018505139">
    <w:abstractNumId w:val="36"/>
  </w:num>
  <w:num w:numId="45" w16cid:durableId="517894609">
    <w:abstractNumId w:val="42"/>
  </w:num>
  <w:num w:numId="46" w16cid:durableId="1069887966">
    <w:abstractNumId w:val="64"/>
  </w:num>
  <w:num w:numId="47" w16cid:durableId="125129514">
    <w:abstractNumId w:val="40"/>
  </w:num>
  <w:num w:numId="48" w16cid:durableId="92751232">
    <w:abstractNumId w:val="16"/>
  </w:num>
  <w:num w:numId="49" w16cid:durableId="1164586618">
    <w:abstractNumId w:val="74"/>
  </w:num>
  <w:num w:numId="50" w16cid:durableId="75447183">
    <w:abstractNumId w:val="25"/>
  </w:num>
  <w:num w:numId="51" w16cid:durableId="1336568079">
    <w:abstractNumId w:val="75"/>
  </w:num>
  <w:num w:numId="52" w16cid:durableId="11327898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921165">
    <w:abstractNumId w:val="15"/>
  </w:num>
  <w:num w:numId="54" w16cid:durableId="1092240179">
    <w:abstractNumId w:val="37"/>
  </w:num>
  <w:num w:numId="55" w16cid:durableId="333921450">
    <w:abstractNumId w:val="2"/>
  </w:num>
  <w:num w:numId="56" w16cid:durableId="507328256">
    <w:abstractNumId w:val="58"/>
  </w:num>
  <w:num w:numId="57" w16cid:durableId="2017683800">
    <w:abstractNumId w:val="28"/>
  </w:num>
  <w:num w:numId="58" w16cid:durableId="67583640">
    <w:abstractNumId w:val="71"/>
  </w:num>
  <w:num w:numId="59" w16cid:durableId="1853646109">
    <w:abstractNumId w:val="65"/>
  </w:num>
  <w:num w:numId="60" w16cid:durableId="1917128854">
    <w:abstractNumId w:val="66"/>
  </w:num>
  <w:num w:numId="61" w16cid:durableId="40985608">
    <w:abstractNumId w:val="54"/>
  </w:num>
  <w:num w:numId="62" w16cid:durableId="1693145634">
    <w:abstractNumId w:val="21"/>
  </w:num>
  <w:num w:numId="63" w16cid:durableId="948775338">
    <w:abstractNumId w:val="18"/>
  </w:num>
  <w:num w:numId="64" w16cid:durableId="255409174">
    <w:abstractNumId w:val="49"/>
  </w:num>
  <w:num w:numId="65" w16cid:durableId="1253706675">
    <w:abstractNumId w:val="10"/>
  </w:num>
  <w:num w:numId="66" w16cid:durableId="2090736822">
    <w:abstractNumId w:val="34"/>
  </w:num>
  <w:num w:numId="67" w16cid:durableId="733426922">
    <w:abstractNumId w:val="30"/>
  </w:num>
  <w:num w:numId="68" w16cid:durableId="2010675970">
    <w:abstractNumId w:val="57"/>
  </w:num>
  <w:num w:numId="69" w16cid:durableId="712274301">
    <w:abstractNumId w:val="3"/>
  </w:num>
  <w:num w:numId="70" w16cid:durableId="64106661">
    <w:abstractNumId w:val="63"/>
  </w:num>
  <w:num w:numId="71" w16cid:durableId="1833568210">
    <w:abstractNumId w:val="23"/>
  </w:num>
  <w:num w:numId="72" w16cid:durableId="33774840">
    <w:abstractNumId w:val="53"/>
  </w:num>
  <w:num w:numId="73" w16cid:durableId="871268066">
    <w:abstractNumId w:val="41"/>
  </w:num>
  <w:num w:numId="74" w16cid:durableId="1094590004">
    <w:abstractNumId w:val="52"/>
  </w:num>
  <w:num w:numId="75" w16cid:durableId="440296704">
    <w:abstractNumId w:val="1"/>
  </w:num>
  <w:num w:numId="76" w16cid:durableId="1723869767">
    <w:abstractNumId w:val="0"/>
  </w:num>
  <w:num w:numId="77" w16cid:durableId="1408382705">
    <w:abstractNumId w:val="73"/>
  </w:num>
  <w:num w:numId="78" w16cid:durableId="1835680138">
    <w:abstractNumId w:val="14"/>
  </w:num>
  <w:num w:numId="79" w16cid:durableId="953514761">
    <w:abstractNumId w:val="59"/>
  </w:num>
  <w:num w:numId="80" w16cid:durableId="1796295091">
    <w:abstractNumId w:val="7"/>
  </w:num>
  <w:num w:numId="81" w16cid:durableId="1938439666">
    <w:abstractNumId w:val="33"/>
  </w:num>
  <w:num w:numId="82" w16cid:durableId="1087968015">
    <w:abstractNumId w:val="33"/>
    <w:lvlOverride w:ilvl="0">
      <w:startOverride w:val="1"/>
    </w:lvlOverride>
  </w:num>
  <w:num w:numId="83" w16cid:durableId="1096942918">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AB"/>
    <w:rsid w:val="00000094"/>
    <w:rsid w:val="0000025A"/>
    <w:rsid w:val="00000405"/>
    <w:rsid w:val="0000054E"/>
    <w:rsid w:val="000006FE"/>
    <w:rsid w:val="00000720"/>
    <w:rsid w:val="000008B7"/>
    <w:rsid w:val="00000A52"/>
    <w:rsid w:val="00000BC3"/>
    <w:rsid w:val="00000CAF"/>
    <w:rsid w:val="00000E2F"/>
    <w:rsid w:val="00000F76"/>
    <w:rsid w:val="00000F77"/>
    <w:rsid w:val="00001274"/>
    <w:rsid w:val="000012DE"/>
    <w:rsid w:val="000015A5"/>
    <w:rsid w:val="00001719"/>
    <w:rsid w:val="00001897"/>
    <w:rsid w:val="000019C8"/>
    <w:rsid w:val="00001A9A"/>
    <w:rsid w:val="00001D87"/>
    <w:rsid w:val="00001E85"/>
    <w:rsid w:val="000022F7"/>
    <w:rsid w:val="00002522"/>
    <w:rsid w:val="00002884"/>
    <w:rsid w:val="000028A3"/>
    <w:rsid w:val="00002B50"/>
    <w:rsid w:val="00002B6E"/>
    <w:rsid w:val="00002C12"/>
    <w:rsid w:val="00002D19"/>
    <w:rsid w:val="00002E6D"/>
    <w:rsid w:val="00002EBF"/>
    <w:rsid w:val="0000335C"/>
    <w:rsid w:val="00003405"/>
    <w:rsid w:val="0000356F"/>
    <w:rsid w:val="000035E5"/>
    <w:rsid w:val="00003672"/>
    <w:rsid w:val="000037B6"/>
    <w:rsid w:val="00003AD2"/>
    <w:rsid w:val="00003C76"/>
    <w:rsid w:val="00003C7B"/>
    <w:rsid w:val="00003F3F"/>
    <w:rsid w:val="0000424E"/>
    <w:rsid w:val="0000441C"/>
    <w:rsid w:val="00004A71"/>
    <w:rsid w:val="00004B02"/>
    <w:rsid w:val="00004E3D"/>
    <w:rsid w:val="00004FED"/>
    <w:rsid w:val="0000512D"/>
    <w:rsid w:val="00005904"/>
    <w:rsid w:val="00005950"/>
    <w:rsid w:val="0000608E"/>
    <w:rsid w:val="000064CD"/>
    <w:rsid w:val="00006578"/>
    <w:rsid w:val="0000657F"/>
    <w:rsid w:val="00006881"/>
    <w:rsid w:val="000072C8"/>
    <w:rsid w:val="0000747C"/>
    <w:rsid w:val="00007620"/>
    <w:rsid w:val="00007768"/>
    <w:rsid w:val="00007D75"/>
    <w:rsid w:val="000105C3"/>
    <w:rsid w:val="00010A1B"/>
    <w:rsid w:val="00010ABD"/>
    <w:rsid w:val="00010BD4"/>
    <w:rsid w:val="00010D3D"/>
    <w:rsid w:val="00010D8E"/>
    <w:rsid w:val="00010EDB"/>
    <w:rsid w:val="00011014"/>
    <w:rsid w:val="00011361"/>
    <w:rsid w:val="00011434"/>
    <w:rsid w:val="0001145B"/>
    <w:rsid w:val="0001146E"/>
    <w:rsid w:val="000116A9"/>
    <w:rsid w:val="000116EF"/>
    <w:rsid w:val="0001179A"/>
    <w:rsid w:val="00011A6D"/>
    <w:rsid w:val="00011B68"/>
    <w:rsid w:val="00011CE1"/>
    <w:rsid w:val="00011D73"/>
    <w:rsid w:val="00011E09"/>
    <w:rsid w:val="00012062"/>
    <w:rsid w:val="000121E6"/>
    <w:rsid w:val="00012413"/>
    <w:rsid w:val="00012743"/>
    <w:rsid w:val="00012B5C"/>
    <w:rsid w:val="00012D49"/>
    <w:rsid w:val="00012EB2"/>
    <w:rsid w:val="00013057"/>
    <w:rsid w:val="000133B0"/>
    <w:rsid w:val="00013623"/>
    <w:rsid w:val="00013AE7"/>
    <w:rsid w:val="00013FD5"/>
    <w:rsid w:val="00013FF4"/>
    <w:rsid w:val="0001404C"/>
    <w:rsid w:val="0001422E"/>
    <w:rsid w:val="00014974"/>
    <w:rsid w:val="00014C39"/>
    <w:rsid w:val="00014CD5"/>
    <w:rsid w:val="00014EE9"/>
    <w:rsid w:val="000150F0"/>
    <w:rsid w:val="0001516A"/>
    <w:rsid w:val="00015389"/>
    <w:rsid w:val="0001541E"/>
    <w:rsid w:val="00015945"/>
    <w:rsid w:val="00015C57"/>
    <w:rsid w:val="00015D02"/>
    <w:rsid w:val="00015D04"/>
    <w:rsid w:val="00015DA5"/>
    <w:rsid w:val="00015E4A"/>
    <w:rsid w:val="00015FED"/>
    <w:rsid w:val="000163B6"/>
    <w:rsid w:val="000164DC"/>
    <w:rsid w:val="000166C6"/>
    <w:rsid w:val="0001670B"/>
    <w:rsid w:val="00016843"/>
    <w:rsid w:val="00016971"/>
    <w:rsid w:val="00016A76"/>
    <w:rsid w:val="00016D03"/>
    <w:rsid w:val="00016E84"/>
    <w:rsid w:val="00016FDA"/>
    <w:rsid w:val="0001701F"/>
    <w:rsid w:val="00017059"/>
    <w:rsid w:val="000170B7"/>
    <w:rsid w:val="00017156"/>
    <w:rsid w:val="00017472"/>
    <w:rsid w:val="00017635"/>
    <w:rsid w:val="00017659"/>
    <w:rsid w:val="0001768A"/>
    <w:rsid w:val="000176B9"/>
    <w:rsid w:val="000177ED"/>
    <w:rsid w:val="00017A03"/>
    <w:rsid w:val="00017CA4"/>
    <w:rsid w:val="00017D64"/>
    <w:rsid w:val="00017D88"/>
    <w:rsid w:val="00017F40"/>
    <w:rsid w:val="00017FCC"/>
    <w:rsid w:val="00020162"/>
    <w:rsid w:val="00020619"/>
    <w:rsid w:val="0002085E"/>
    <w:rsid w:val="00020A0C"/>
    <w:rsid w:val="00020D47"/>
    <w:rsid w:val="00020E72"/>
    <w:rsid w:val="00020EF8"/>
    <w:rsid w:val="00020F48"/>
    <w:rsid w:val="00021132"/>
    <w:rsid w:val="00021141"/>
    <w:rsid w:val="00021902"/>
    <w:rsid w:val="00021D5F"/>
    <w:rsid w:val="00021EFE"/>
    <w:rsid w:val="00022261"/>
    <w:rsid w:val="00022279"/>
    <w:rsid w:val="00022386"/>
    <w:rsid w:val="000224DF"/>
    <w:rsid w:val="0002267B"/>
    <w:rsid w:val="000228C7"/>
    <w:rsid w:val="00022968"/>
    <w:rsid w:val="00022C01"/>
    <w:rsid w:val="00022C78"/>
    <w:rsid w:val="00022DF4"/>
    <w:rsid w:val="00022E7B"/>
    <w:rsid w:val="00023144"/>
    <w:rsid w:val="00023508"/>
    <w:rsid w:val="00023656"/>
    <w:rsid w:val="000236A7"/>
    <w:rsid w:val="0002378C"/>
    <w:rsid w:val="000239C0"/>
    <w:rsid w:val="00023A72"/>
    <w:rsid w:val="00023D01"/>
    <w:rsid w:val="00023D7C"/>
    <w:rsid w:val="00023F0F"/>
    <w:rsid w:val="00023F28"/>
    <w:rsid w:val="00023FAB"/>
    <w:rsid w:val="000240EF"/>
    <w:rsid w:val="00024361"/>
    <w:rsid w:val="00024378"/>
    <w:rsid w:val="000244D7"/>
    <w:rsid w:val="0002458D"/>
    <w:rsid w:val="00024606"/>
    <w:rsid w:val="000247DA"/>
    <w:rsid w:val="00024D3A"/>
    <w:rsid w:val="00024D73"/>
    <w:rsid w:val="00024F3F"/>
    <w:rsid w:val="0002504C"/>
    <w:rsid w:val="00025232"/>
    <w:rsid w:val="000253C8"/>
    <w:rsid w:val="00025476"/>
    <w:rsid w:val="0002555B"/>
    <w:rsid w:val="00025B47"/>
    <w:rsid w:val="00025C99"/>
    <w:rsid w:val="00025D54"/>
    <w:rsid w:val="00025EBD"/>
    <w:rsid w:val="0002688F"/>
    <w:rsid w:val="00026ACC"/>
    <w:rsid w:val="00026AE2"/>
    <w:rsid w:val="00026C58"/>
    <w:rsid w:val="00026C59"/>
    <w:rsid w:val="00026E86"/>
    <w:rsid w:val="00026F05"/>
    <w:rsid w:val="00027156"/>
    <w:rsid w:val="00027500"/>
    <w:rsid w:val="0002767D"/>
    <w:rsid w:val="00027816"/>
    <w:rsid w:val="00027C37"/>
    <w:rsid w:val="00027FC7"/>
    <w:rsid w:val="000302AA"/>
    <w:rsid w:val="00030358"/>
    <w:rsid w:val="00030474"/>
    <w:rsid w:val="0003060D"/>
    <w:rsid w:val="00030869"/>
    <w:rsid w:val="00030C74"/>
    <w:rsid w:val="000311A3"/>
    <w:rsid w:val="00031368"/>
    <w:rsid w:val="00031948"/>
    <w:rsid w:val="00031ABF"/>
    <w:rsid w:val="00031CFF"/>
    <w:rsid w:val="00031FBF"/>
    <w:rsid w:val="00032008"/>
    <w:rsid w:val="000324AD"/>
    <w:rsid w:val="0003255F"/>
    <w:rsid w:val="000328EA"/>
    <w:rsid w:val="00032A42"/>
    <w:rsid w:val="00032AEF"/>
    <w:rsid w:val="0003331B"/>
    <w:rsid w:val="00033693"/>
    <w:rsid w:val="000339FD"/>
    <w:rsid w:val="00033A7C"/>
    <w:rsid w:val="00033BB8"/>
    <w:rsid w:val="00033D97"/>
    <w:rsid w:val="000341BF"/>
    <w:rsid w:val="00034408"/>
    <w:rsid w:val="00034BC3"/>
    <w:rsid w:val="00034D19"/>
    <w:rsid w:val="00034E5E"/>
    <w:rsid w:val="0003552C"/>
    <w:rsid w:val="000358B3"/>
    <w:rsid w:val="00035ACE"/>
    <w:rsid w:val="00035AD5"/>
    <w:rsid w:val="00035C1A"/>
    <w:rsid w:val="00035F46"/>
    <w:rsid w:val="000360F6"/>
    <w:rsid w:val="00036564"/>
    <w:rsid w:val="000365AF"/>
    <w:rsid w:val="000365C6"/>
    <w:rsid w:val="000367FF"/>
    <w:rsid w:val="00036AAF"/>
    <w:rsid w:val="00036C8B"/>
    <w:rsid w:val="00036CCB"/>
    <w:rsid w:val="00036F5E"/>
    <w:rsid w:val="000375D9"/>
    <w:rsid w:val="00037662"/>
    <w:rsid w:val="0003780D"/>
    <w:rsid w:val="0003783F"/>
    <w:rsid w:val="0003799E"/>
    <w:rsid w:val="00037A8C"/>
    <w:rsid w:val="00037B8A"/>
    <w:rsid w:val="00037D7B"/>
    <w:rsid w:val="0004006D"/>
    <w:rsid w:val="0004017E"/>
    <w:rsid w:val="00040453"/>
    <w:rsid w:val="000405AC"/>
    <w:rsid w:val="000406C3"/>
    <w:rsid w:val="000408BC"/>
    <w:rsid w:val="000408C3"/>
    <w:rsid w:val="000408DA"/>
    <w:rsid w:val="00040B1D"/>
    <w:rsid w:val="00040BEA"/>
    <w:rsid w:val="00040BFB"/>
    <w:rsid w:val="00040CF6"/>
    <w:rsid w:val="000411C3"/>
    <w:rsid w:val="00041235"/>
    <w:rsid w:val="000413E0"/>
    <w:rsid w:val="00041777"/>
    <w:rsid w:val="00041792"/>
    <w:rsid w:val="0004186F"/>
    <w:rsid w:val="000418B1"/>
    <w:rsid w:val="000418CA"/>
    <w:rsid w:val="00041A30"/>
    <w:rsid w:val="00041A65"/>
    <w:rsid w:val="00041ABE"/>
    <w:rsid w:val="00041B3E"/>
    <w:rsid w:val="00041BD9"/>
    <w:rsid w:val="00041C35"/>
    <w:rsid w:val="00041DA0"/>
    <w:rsid w:val="00041DDC"/>
    <w:rsid w:val="00041E58"/>
    <w:rsid w:val="00041E7B"/>
    <w:rsid w:val="00041EA1"/>
    <w:rsid w:val="00041FED"/>
    <w:rsid w:val="00041FF2"/>
    <w:rsid w:val="00042290"/>
    <w:rsid w:val="000425D4"/>
    <w:rsid w:val="0004274E"/>
    <w:rsid w:val="0004295E"/>
    <w:rsid w:val="00042B4C"/>
    <w:rsid w:val="00042B51"/>
    <w:rsid w:val="00042CE3"/>
    <w:rsid w:val="00043203"/>
    <w:rsid w:val="00043269"/>
    <w:rsid w:val="000432FF"/>
    <w:rsid w:val="0004341D"/>
    <w:rsid w:val="00043485"/>
    <w:rsid w:val="000434F8"/>
    <w:rsid w:val="00043520"/>
    <w:rsid w:val="00043652"/>
    <w:rsid w:val="000437E9"/>
    <w:rsid w:val="00043CBE"/>
    <w:rsid w:val="00043E9C"/>
    <w:rsid w:val="00043F2A"/>
    <w:rsid w:val="00043F4B"/>
    <w:rsid w:val="00044256"/>
    <w:rsid w:val="000445BB"/>
    <w:rsid w:val="00044801"/>
    <w:rsid w:val="00044EC0"/>
    <w:rsid w:val="0004503A"/>
    <w:rsid w:val="000450C8"/>
    <w:rsid w:val="000450CD"/>
    <w:rsid w:val="00045489"/>
    <w:rsid w:val="000456B2"/>
    <w:rsid w:val="00045B71"/>
    <w:rsid w:val="00045F97"/>
    <w:rsid w:val="00046390"/>
    <w:rsid w:val="000467FF"/>
    <w:rsid w:val="00046892"/>
    <w:rsid w:val="00046A16"/>
    <w:rsid w:val="00047000"/>
    <w:rsid w:val="00047058"/>
    <w:rsid w:val="000472B1"/>
    <w:rsid w:val="00047464"/>
    <w:rsid w:val="00047470"/>
    <w:rsid w:val="0004767F"/>
    <w:rsid w:val="000477ED"/>
    <w:rsid w:val="00047871"/>
    <w:rsid w:val="00047CAE"/>
    <w:rsid w:val="00047D45"/>
    <w:rsid w:val="00050069"/>
    <w:rsid w:val="00050326"/>
    <w:rsid w:val="00050829"/>
    <w:rsid w:val="00050D3F"/>
    <w:rsid w:val="000514B8"/>
    <w:rsid w:val="000515C5"/>
    <w:rsid w:val="00051639"/>
    <w:rsid w:val="00051795"/>
    <w:rsid w:val="0005198A"/>
    <w:rsid w:val="00051B21"/>
    <w:rsid w:val="00051B63"/>
    <w:rsid w:val="00051CB3"/>
    <w:rsid w:val="00051EDB"/>
    <w:rsid w:val="0005211F"/>
    <w:rsid w:val="0005221B"/>
    <w:rsid w:val="00052322"/>
    <w:rsid w:val="0005268A"/>
    <w:rsid w:val="000529B6"/>
    <w:rsid w:val="00052AEC"/>
    <w:rsid w:val="00052B33"/>
    <w:rsid w:val="00052D1D"/>
    <w:rsid w:val="00052D9B"/>
    <w:rsid w:val="0005323D"/>
    <w:rsid w:val="00053247"/>
    <w:rsid w:val="000533B1"/>
    <w:rsid w:val="00053469"/>
    <w:rsid w:val="00053653"/>
    <w:rsid w:val="00053966"/>
    <w:rsid w:val="00053A04"/>
    <w:rsid w:val="00053AC1"/>
    <w:rsid w:val="00053ADF"/>
    <w:rsid w:val="00053AE9"/>
    <w:rsid w:val="00053B02"/>
    <w:rsid w:val="00053B21"/>
    <w:rsid w:val="00053C8A"/>
    <w:rsid w:val="00053D85"/>
    <w:rsid w:val="00053D9C"/>
    <w:rsid w:val="00053DC2"/>
    <w:rsid w:val="00053DD9"/>
    <w:rsid w:val="00053E5A"/>
    <w:rsid w:val="000541D5"/>
    <w:rsid w:val="00054547"/>
    <w:rsid w:val="000545B0"/>
    <w:rsid w:val="000548AC"/>
    <w:rsid w:val="000548CF"/>
    <w:rsid w:val="00054A11"/>
    <w:rsid w:val="00054BBA"/>
    <w:rsid w:val="00054BDD"/>
    <w:rsid w:val="00054C1C"/>
    <w:rsid w:val="00054DB0"/>
    <w:rsid w:val="000553A7"/>
    <w:rsid w:val="000555FA"/>
    <w:rsid w:val="00055849"/>
    <w:rsid w:val="000558CF"/>
    <w:rsid w:val="00055AA0"/>
    <w:rsid w:val="00055F80"/>
    <w:rsid w:val="00056173"/>
    <w:rsid w:val="000562AC"/>
    <w:rsid w:val="0005632B"/>
    <w:rsid w:val="00056821"/>
    <w:rsid w:val="00056838"/>
    <w:rsid w:val="000568D7"/>
    <w:rsid w:val="00056989"/>
    <w:rsid w:val="00056C94"/>
    <w:rsid w:val="00056DFB"/>
    <w:rsid w:val="00056F34"/>
    <w:rsid w:val="00056FE0"/>
    <w:rsid w:val="00057016"/>
    <w:rsid w:val="00057214"/>
    <w:rsid w:val="0005765C"/>
    <w:rsid w:val="00057676"/>
    <w:rsid w:val="00057AE6"/>
    <w:rsid w:val="00057BA5"/>
    <w:rsid w:val="00057EEC"/>
    <w:rsid w:val="00060111"/>
    <w:rsid w:val="00060228"/>
    <w:rsid w:val="000603E8"/>
    <w:rsid w:val="00060536"/>
    <w:rsid w:val="0006081C"/>
    <w:rsid w:val="0006087F"/>
    <w:rsid w:val="00060ADF"/>
    <w:rsid w:val="00060C5C"/>
    <w:rsid w:val="00060DCD"/>
    <w:rsid w:val="00060E8A"/>
    <w:rsid w:val="0006142E"/>
    <w:rsid w:val="0006198A"/>
    <w:rsid w:val="00061AE9"/>
    <w:rsid w:val="000627A7"/>
    <w:rsid w:val="00062831"/>
    <w:rsid w:val="00062CA9"/>
    <w:rsid w:val="00062E57"/>
    <w:rsid w:val="000631C5"/>
    <w:rsid w:val="000631E0"/>
    <w:rsid w:val="00063C61"/>
    <w:rsid w:val="00063D25"/>
    <w:rsid w:val="00063E5B"/>
    <w:rsid w:val="0006424B"/>
    <w:rsid w:val="000643BE"/>
    <w:rsid w:val="000644FC"/>
    <w:rsid w:val="00064556"/>
    <w:rsid w:val="000647D7"/>
    <w:rsid w:val="000648CB"/>
    <w:rsid w:val="00064925"/>
    <w:rsid w:val="000649D6"/>
    <w:rsid w:val="00064ACC"/>
    <w:rsid w:val="00064B70"/>
    <w:rsid w:val="00064C2D"/>
    <w:rsid w:val="00064D57"/>
    <w:rsid w:val="00065406"/>
    <w:rsid w:val="00065467"/>
    <w:rsid w:val="000658A5"/>
    <w:rsid w:val="00065962"/>
    <w:rsid w:val="00065A60"/>
    <w:rsid w:val="00065C2E"/>
    <w:rsid w:val="000661D7"/>
    <w:rsid w:val="00066388"/>
    <w:rsid w:val="00066495"/>
    <w:rsid w:val="000669E2"/>
    <w:rsid w:val="00066A04"/>
    <w:rsid w:val="00066B12"/>
    <w:rsid w:val="00066BBA"/>
    <w:rsid w:val="00067238"/>
    <w:rsid w:val="000672A2"/>
    <w:rsid w:val="000674FA"/>
    <w:rsid w:val="00067E29"/>
    <w:rsid w:val="000704BA"/>
    <w:rsid w:val="0007084E"/>
    <w:rsid w:val="00070A43"/>
    <w:rsid w:val="00070C52"/>
    <w:rsid w:val="00070CB6"/>
    <w:rsid w:val="00070FAF"/>
    <w:rsid w:val="00070FE6"/>
    <w:rsid w:val="00071121"/>
    <w:rsid w:val="0007165C"/>
    <w:rsid w:val="00071867"/>
    <w:rsid w:val="00071C1E"/>
    <w:rsid w:val="00071D4C"/>
    <w:rsid w:val="00071E18"/>
    <w:rsid w:val="00072282"/>
    <w:rsid w:val="00072407"/>
    <w:rsid w:val="00072494"/>
    <w:rsid w:val="0007257E"/>
    <w:rsid w:val="00072CB6"/>
    <w:rsid w:val="00072F63"/>
    <w:rsid w:val="00073440"/>
    <w:rsid w:val="000735B9"/>
    <w:rsid w:val="000736BF"/>
    <w:rsid w:val="00073A37"/>
    <w:rsid w:val="00073C9D"/>
    <w:rsid w:val="00073F94"/>
    <w:rsid w:val="000740A7"/>
    <w:rsid w:val="000746D6"/>
    <w:rsid w:val="0007491A"/>
    <w:rsid w:val="00074A9A"/>
    <w:rsid w:val="00074D8D"/>
    <w:rsid w:val="00074E10"/>
    <w:rsid w:val="000752DC"/>
    <w:rsid w:val="00075A64"/>
    <w:rsid w:val="00075BB0"/>
    <w:rsid w:val="00075D14"/>
    <w:rsid w:val="00075DB7"/>
    <w:rsid w:val="00076122"/>
    <w:rsid w:val="00076238"/>
    <w:rsid w:val="0007635A"/>
    <w:rsid w:val="000763C2"/>
    <w:rsid w:val="000763C5"/>
    <w:rsid w:val="000763EA"/>
    <w:rsid w:val="0007653F"/>
    <w:rsid w:val="0007667A"/>
    <w:rsid w:val="000766E0"/>
    <w:rsid w:val="00076767"/>
    <w:rsid w:val="00076E19"/>
    <w:rsid w:val="00076FC3"/>
    <w:rsid w:val="0007702B"/>
    <w:rsid w:val="00077728"/>
    <w:rsid w:val="00077C1E"/>
    <w:rsid w:val="00077ED4"/>
    <w:rsid w:val="000801DB"/>
    <w:rsid w:val="000801EA"/>
    <w:rsid w:val="00080332"/>
    <w:rsid w:val="00080376"/>
    <w:rsid w:val="000808DC"/>
    <w:rsid w:val="00080B26"/>
    <w:rsid w:val="00080B40"/>
    <w:rsid w:val="00080B8A"/>
    <w:rsid w:val="00080C21"/>
    <w:rsid w:val="00080C50"/>
    <w:rsid w:val="00080DEF"/>
    <w:rsid w:val="000810DA"/>
    <w:rsid w:val="00081119"/>
    <w:rsid w:val="0008111D"/>
    <w:rsid w:val="00081439"/>
    <w:rsid w:val="00081626"/>
    <w:rsid w:val="00081899"/>
    <w:rsid w:val="00081B96"/>
    <w:rsid w:val="00081BCB"/>
    <w:rsid w:val="00082098"/>
    <w:rsid w:val="0008215E"/>
    <w:rsid w:val="00082461"/>
    <w:rsid w:val="000824DE"/>
    <w:rsid w:val="00082504"/>
    <w:rsid w:val="000826EA"/>
    <w:rsid w:val="00082AA6"/>
    <w:rsid w:val="00082AA8"/>
    <w:rsid w:val="00082B4D"/>
    <w:rsid w:val="00082B77"/>
    <w:rsid w:val="00082C08"/>
    <w:rsid w:val="00082D28"/>
    <w:rsid w:val="00082E55"/>
    <w:rsid w:val="00082E82"/>
    <w:rsid w:val="00083063"/>
    <w:rsid w:val="0008322F"/>
    <w:rsid w:val="0008334C"/>
    <w:rsid w:val="0008387B"/>
    <w:rsid w:val="0008393F"/>
    <w:rsid w:val="00083FB6"/>
    <w:rsid w:val="0008473B"/>
    <w:rsid w:val="00084814"/>
    <w:rsid w:val="00084876"/>
    <w:rsid w:val="000848E4"/>
    <w:rsid w:val="00084998"/>
    <w:rsid w:val="00084A0F"/>
    <w:rsid w:val="00084B71"/>
    <w:rsid w:val="00084D2B"/>
    <w:rsid w:val="00084D2F"/>
    <w:rsid w:val="0008581B"/>
    <w:rsid w:val="000858EC"/>
    <w:rsid w:val="00085B8F"/>
    <w:rsid w:val="00085BBD"/>
    <w:rsid w:val="00085BF1"/>
    <w:rsid w:val="00085D87"/>
    <w:rsid w:val="00085E2C"/>
    <w:rsid w:val="00085F61"/>
    <w:rsid w:val="00085FB9"/>
    <w:rsid w:val="00086165"/>
    <w:rsid w:val="000861FE"/>
    <w:rsid w:val="00086372"/>
    <w:rsid w:val="0008676E"/>
    <w:rsid w:val="00086B6F"/>
    <w:rsid w:val="0008758F"/>
    <w:rsid w:val="000876F9"/>
    <w:rsid w:val="000877D9"/>
    <w:rsid w:val="0008790A"/>
    <w:rsid w:val="00087B80"/>
    <w:rsid w:val="00087C63"/>
    <w:rsid w:val="00087D2C"/>
    <w:rsid w:val="00087F14"/>
    <w:rsid w:val="0009003B"/>
    <w:rsid w:val="00090162"/>
    <w:rsid w:val="0009039C"/>
    <w:rsid w:val="00090598"/>
    <w:rsid w:val="000905D0"/>
    <w:rsid w:val="0009077A"/>
    <w:rsid w:val="00090827"/>
    <w:rsid w:val="00090A96"/>
    <w:rsid w:val="00090BF8"/>
    <w:rsid w:val="00090D46"/>
    <w:rsid w:val="00090FA9"/>
    <w:rsid w:val="000911E0"/>
    <w:rsid w:val="00091468"/>
    <w:rsid w:val="00091AF1"/>
    <w:rsid w:val="0009218F"/>
    <w:rsid w:val="00092406"/>
    <w:rsid w:val="000928B1"/>
    <w:rsid w:val="000929B7"/>
    <w:rsid w:val="00092D29"/>
    <w:rsid w:val="00092ED1"/>
    <w:rsid w:val="00092F23"/>
    <w:rsid w:val="000932B2"/>
    <w:rsid w:val="0009370C"/>
    <w:rsid w:val="0009381C"/>
    <w:rsid w:val="000938B4"/>
    <w:rsid w:val="00093AC2"/>
    <w:rsid w:val="00093AC3"/>
    <w:rsid w:val="00093FA8"/>
    <w:rsid w:val="000943AF"/>
    <w:rsid w:val="0009452B"/>
    <w:rsid w:val="0009459B"/>
    <w:rsid w:val="000945E5"/>
    <w:rsid w:val="00094666"/>
    <w:rsid w:val="000947F2"/>
    <w:rsid w:val="00094A13"/>
    <w:rsid w:val="00094C43"/>
    <w:rsid w:val="0009516D"/>
    <w:rsid w:val="000951A4"/>
    <w:rsid w:val="00095301"/>
    <w:rsid w:val="000953E5"/>
    <w:rsid w:val="0009560A"/>
    <w:rsid w:val="00095783"/>
    <w:rsid w:val="00095822"/>
    <w:rsid w:val="00095A0C"/>
    <w:rsid w:val="00095A7D"/>
    <w:rsid w:val="00095D7B"/>
    <w:rsid w:val="00095F07"/>
    <w:rsid w:val="00096388"/>
    <w:rsid w:val="00096441"/>
    <w:rsid w:val="0009651E"/>
    <w:rsid w:val="00096639"/>
    <w:rsid w:val="000966E8"/>
    <w:rsid w:val="000967D3"/>
    <w:rsid w:val="000968DF"/>
    <w:rsid w:val="00096919"/>
    <w:rsid w:val="000969BB"/>
    <w:rsid w:val="00096BB7"/>
    <w:rsid w:val="00096D4D"/>
    <w:rsid w:val="00096D6D"/>
    <w:rsid w:val="00096DFF"/>
    <w:rsid w:val="00096FF6"/>
    <w:rsid w:val="0009716C"/>
    <w:rsid w:val="0009760F"/>
    <w:rsid w:val="00097D0E"/>
    <w:rsid w:val="00097D4B"/>
    <w:rsid w:val="00097F2D"/>
    <w:rsid w:val="00097F8A"/>
    <w:rsid w:val="000A006A"/>
    <w:rsid w:val="000A008C"/>
    <w:rsid w:val="000A01EF"/>
    <w:rsid w:val="000A09C4"/>
    <w:rsid w:val="000A0BD4"/>
    <w:rsid w:val="000A0FED"/>
    <w:rsid w:val="000A105F"/>
    <w:rsid w:val="000A13A1"/>
    <w:rsid w:val="000A19F5"/>
    <w:rsid w:val="000A1BA1"/>
    <w:rsid w:val="000A1CA8"/>
    <w:rsid w:val="000A1ED8"/>
    <w:rsid w:val="000A1F1B"/>
    <w:rsid w:val="000A1F87"/>
    <w:rsid w:val="000A1FEC"/>
    <w:rsid w:val="000A225A"/>
    <w:rsid w:val="000A22A0"/>
    <w:rsid w:val="000A236D"/>
    <w:rsid w:val="000A256A"/>
    <w:rsid w:val="000A2895"/>
    <w:rsid w:val="000A28C5"/>
    <w:rsid w:val="000A2AA4"/>
    <w:rsid w:val="000A2D05"/>
    <w:rsid w:val="000A329A"/>
    <w:rsid w:val="000A3318"/>
    <w:rsid w:val="000A3376"/>
    <w:rsid w:val="000A33FC"/>
    <w:rsid w:val="000A3962"/>
    <w:rsid w:val="000A3D65"/>
    <w:rsid w:val="000A3DE6"/>
    <w:rsid w:val="000A3F0A"/>
    <w:rsid w:val="000A43E7"/>
    <w:rsid w:val="000A4522"/>
    <w:rsid w:val="000A4528"/>
    <w:rsid w:val="000A459E"/>
    <w:rsid w:val="000A4854"/>
    <w:rsid w:val="000A491E"/>
    <w:rsid w:val="000A4CCB"/>
    <w:rsid w:val="000A4FCD"/>
    <w:rsid w:val="000A55D9"/>
    <w:rsid w:val="000A577C"/>
    <w:rsid w:val="000A5C65"/>
    <w:rsid w:val="000A5DCF"/>
    <w:rsid w:val="000A5E19"/>
    <w:rsid w:val="000A61B7"/>
    <w:rsid w:val="000A61C4"/>
    <w:rsid w:val="000A63BD"/>
    <w:rsid w:val="000A6479"/>
    <w:rsid w:val="000A6623"/>
    <w:rsid w:val="000A66A1"/>
    <w:rsid w:val="000A66A5"/>
    <w:rsid w:val="000A6B7A"/>
    <w:rsid w:val="000A6BAE"/>
    <w:rsid w:val="000A6DAB"/>
    <w:rsid w:val="000A6E26"/>
    <w:rsid w:val="000A6E6E"/>
    <w:rsid w:val="000A6F4A"/>
    <w:rsid w:val="000A78B0"/>
    <w:rsid w:val="000A78F5"/>
    <w:rsid w:val="000A7B1A"/>
    <w:rsid w:val="000A7CC0"/>
    <w:rsid w:val="000A7D88"/>
    <w:rsid w:val="000B00EC"/>
    <w:rsid w:val="000B01EC"/>
    <w:rsid w:val="000B02F7"/>
    <w:rsid w:val="000B0810"/>
    <w:rsid w:val="000B091C"/>
    <w:rsid w:val="000B09E0"/>
    <w:rsid w:val="000B0B31"/>
    <w:rsid w:val="000B0B89"/>
    <w:rsid w:val="000B0BAC"/>
    <w:rsid w:val="000B0C91"/>
    <w:rsid w:val="000B0E2C"/>
    <w:rsid w:val="000B1165"/>
    <w:rsid w:val="000B13F5"/>
    <w:rsid w:val="000B14BC"/>
    <w:rsid w:val="000B150B"/>
    <w:rsid w:val="000B15A0"/>
    <w:rsid w:val="000B1B44"/>
    <w:rsid w:val="000B1B7F"/>
    <w:rsid w:val="000B1C3C"/>
    <w:rsid w:val="000B1DE7"/>
    <w:rsid w:val="000B1DEA"/>
    <w:rsid w:val="000B213F"/>
    <w:rsid w:val="000B2370"/>
    <w:rsid w:val="000B239D"/>
    <w:rsid w:val="000B2686"/>
    <w:rsid w:val="000B2692"/>
    <w:rsid w:val="000B28DB"/>
    <w:rsid w:val="000B2D1E"/>
    <w:rsid w:val="000B2DB2"/>
    <w:rsid w:val="000B2E11"/>
    <w:rsid w:val="000B2EEF"/>
    <w:rsid w:val="000B3076"/>
    <w:rsid w:val="000B31BC"/>
    <w:rsid w:val="000B331B"/>
    <w:rsid w:val="000B33FE"/>
    <w:rsid w:val="000B369A"/>
    <w:rsid w:val="000B39E5"/>
    <w:rsid w:val="000B3E2D"/>
    <w:rsid w:val="000B3F40"/>
    <w:rsid w:val="000B4004"/>
    <w:rsid w:val="000B42BE"/>
    <w:rsid w:val="000B4355"/>
    <w:rsid w:val="000B440E"/>
    <w:rsid w:val="000B447F"/>
    <w:rsid w:val="000B44C9"/>
    <w:rsid w:val="000B461E"/>
    <w:rsid w:val="000B4B17"/>
    <w:rsid w:val="000B4C73"/>
    <w:rsid w:val="000B4F76"/>
    <w:rsid w:val="000B5A3E"/>
    <w:rsid w:val="000B5A7E"/>
    <w:rsid w:val="000B5C8F"/>
    <w:rsid w:val="000B5CDB"/>
    <w:rsid w:val="000B5DE7"/>
    <w:rsid w:val="000B61CD"/>
    <w:rsid w:val="000B61D4"/>
    <w:rsid w:val="000B6488"/>
    <w:rsid w:val="000B65FC"/>
    <w:rsid w:val="000B66D8"/>
    <w:rsid w:val="000B6D78"/>
    <w:rsid w:val="000B6F45"/>
    <w:rsid w:val="000B6F77"/>
    <w:rsid w:val="000B6FE3"/>
    <w:rsid w:val="000B7004"/>
    <w:rsid w:val="000B710F"/>
    <w:rsid w:val="000B7659"/>
    <w:rsid w:val="000B7C9A"/>
    <w:rsid w:val="000B7CBA"/>
    <w:rsid w:val="000C0209"/>
    <w:rsid w:val="000C023E"/>
    <w:rsid w:val="000C0357"/>
    <w:rsid w:val="000C0629"/>
    <w:rsid w:val="000C073E"/>
    <w:rsid w:val="000C0750"/>
    <w:rsid w:val="000C0777"/>
    <w:rsid w:val="000C082C"/>
    <w:rsid w:val="000C0D93"/>
    <w:rsid w:val="000C0EF4"/>
    <w:rsid w:val="000C0FB6"/>
    <w:rsid w:val="000C185C"/>
    <w:rsid w:val="000C19F5"/>
    <w:rsid w:val="000C1A65"/>
    <w:rsid w:val="000C1F40"/>
    <w:rsid w:val="000C2040"/>
    <w:rsid w:val="000C22DF"/>
    <w:rsid w:val="000C23A0"/>
    <w:rsid w:val="000C24E7"/>
    <w:rsid w:val="000C26AA"/>
    <w:rsid w:val="000C2794"/>
    <w:rsid w:val="000C2826"/>
    <w:rsid w:val="000C2878"/>
    <w:rsid w:val="000C2A03"/>
    <w:rsid w:val="000C2B61"/>
    <w:rsid w:val="000C2CD0"/>
    <w:rsid w:val="000C2CD1"/>
    <w:rsid w:val="000C2F31"/>
    <w:rsid w:val="000C2FEF"/>
    <w:rsid w:val="000C307F"/>
    <w:rsid w:val="000C3132"/>
    <w:rsid w:val="000C33EE"/>
    <w:rsid w:val="000C38FD"/>
    <w:rsid w:val="000C4020"/>
    <w:rsid w:val="000C42B9"/>
    <w:rsid w:val="000C4A41"/>
    <w:rsid w:val="000C4A77"/>
    <w:rsid w:val="000C4E6E"/>
    <w:rsid w:val="000C5165"/>
    <w:rsid w:val="000C54AA"/>
    <w:rsid w:val="000C5702"/>
    <w:rsid w:val="000C5953"/>
    <w:rsid w:val="000C5AE0"/>
    <w:rsid w:val="000C5C4D"/>
    <w:rsid w:val="000C5DE9"/>
    <w:rsid w:val="000C624E"/>
    <w:rsid w:val="000C6329"/>
    <w:rsid w:val="000C65E6"/>
    <w:rsid w:val="000C6AB2"/>
    <w:rsid w:val="000C6D3B"/>
    <w:rsid w:val="000C6FA1"/>
    <w:rsid w:val="000C71E5"/>
    <w:rsid w:val="000C7E29"/>
    <w:rsid w:val="000D0027"/>
    <w:rsid w:val="000D00B7"/>
    <w:rsid w:val="000D02F1"/>
    <w:rsid w:val="000D0515"/>
    <w:rsid w:val="000D0BE0"/>
    <w:rsid w:val="000D0BEF"/>
    <w:rsid w:val="000D0BFE"/>
    <w:rsid w:val="000D0FB7"/>
    <w:rsid w:val="000D1288"/>
    <w:rsid w:val="000D15C7"/>
    <w:rsid w:val="000D18E9"/>
    <w:rsid w:val="000D1B62"/>
    <w:rsid w:val="000D1C28"/>
    <w:rsid w:val="000D2333"/>
    <w:rsid w:val="000D287A"/>
    <w:rsid w:val="000D2A31"/>
    <w:rsid w:val="000D2A69"/>
    <w:rsid w:val="000D2A73"/>
    <w:rsid w:val="000D2BFB"/>
    <w:rsid w:val="000D31EF"/>
    <w:rsid w:val="000D327A"/>
    <w:rsid w:val="000D3647"/>
    <w:rsid w:val="000D3BED"/>
    <w:rsid w:val="000D3EA8"/>
    <w:rsid w:val="000D42A1"/>
    <w:rsid w:val="000D450D"/>
    <w:rsid w:val="000D46F0"/>
    <w:rsid w:val="000D484E"/>
    <w:rsid w:val="000D48FE"/>
    <w:rsid w:val="000D4ACF"/>
    <w:rsid w:val="000D4CF7"/>
    <w:rsid w:val="000D5058"/>
    <w:rsid w:val="000D51DA"/>
    <w:rsid w:val="000D59A0"/>
    <w:rsid w:val="000D5BE2"/>
    <w:rsid w:val="000D5C96"/>
    <w:rsid w:val="000D608B"/>
    <w:rsid w:val="000D610B"/>
    <w:rsid w:val="000D68CA"/>
    <w:rsid w:val="000D6989"/>
    <w:rsid w:val="000D6B6E"/>
    <w:rsid w:val="000D6B86"/>
    <w:rsid w:val="000D6B91"/>
    <w:rsid w:val="000D6BED"/>
    <w:rsid w:val="000D6EAC"/>
    <w:rsid w:val="000D6EAE"/>
    <w:rsid w:val="000D700D"/>
    <w:rsid w:val="000D704B"/>
    <w:rsid w:val="000D7204"/>
    <w:rsid w:val="000D7449"/>
    <w:rsid w:val="000D7853"/>
    <w:rsid w:val="000D7A93"/>
    <w:rsid w:val="000D7AC3"/>
    <w:rsid w:val="000D7EB3"/>
    <w:rsid w:val="000E0002"/>
    <w:rsid w:val="000E00AC"/>
    <w:rsid w:val="000E0263"/>
    <w:rsid w:val="000E04D1"/>
    <w:rsid w:val="000E0541"/>
    <w:rsid w:val="000E0564"/>
    <w:rsid w:val="000E0998"/>
    <w:rsid w:val="000E0AA7"/>
    <w:rsid w:val="000E0D55"/>
    <w:rsid w:val="000E0D8E"/>
    <w:rsid w:val="000E0E5D"/>
    <w:rsid w:val="000E0EFB"/>
    <w:rsid w:val="000E11EB"/>
    <w:rsid w:val="000E123D"/>
    <w:rsid w:val="000E1277"/>
    <w:rsid w:val="000E1637"/>
    <w:rsid w:val="000E1709"/>
    <w:rsid w:val="000E195D"/>
    <w:rsid w:val="000E1B72"/>
    <w:rsid w:val="000E1E2A"/>
    <w:rsid w:val="000E1F18"/>
    <w:rsid w:val="000E1F2E"/>
    <w:rsid w:val="000E1FDC"/>
    <w:rsid w:val="000E2031"/>
    <w:rsid w:val="000E22BC"/>
    <w:rsid w:val="000E2490"/>
    <w:rsid w:val="000E25EB"/>
    <w:rsid w:val="000E2FA6"/>
    <w:rsid w:val="000E3219"/>
    <w:rsid w:val="000E32D4"/>
    <w:rsid w:val="000E3599"/>
    <w:rsid w:val="000E3791"/>
    <w:rsid w:val="000E37DC"/>
    <w:rsid w:val="000E381C"/>
    <w:rsid w:val="000E3AB1"/>
    <w:rsid w:val="000E3B32"/>
    <w:rsid w:val="000E3BCF"/>
    <w:rsid w:val="000E3CA7"/>
    <w:rsid w:val="000E3F89"/>
    <w:rsid w:val="000E41B7"/>
    <w:rsid w:val="000E43B8"/>
    <w:rsid w:val="000E4890"/>
    <w:rsid w:val="000E4BC7"/>
    <w:rsid w:val="000E4D64"/>
    <w:rsid w:val="000E4F43"/>
    <w:rsid w:val="000E5049"/>
    <w:rsid w:val="000E50D7"/>
    <w:rsid w:val="000E51A8"/>
    <w:rsid w:val="000E51DF"/>
    <w:rsid w:val="000E5631"/>
    <w:rsid w:val="000E5C3F"/>
    <w:rsid w:val="000E5DC8"/>
    <w:rsid w:val="000E5DD0"/>
    <w:rsid w:val="000E60FD"/>
    <w:rsid w:val="000E6299"/>
    <w:rsid w:val="000E6605"/>
    <w:rsid w:val="000E6719"/>
    <w:rsid w:val="000E677F"/>
    <w:rsid w:val="000E6A0E"/>
    <w:rsid w:val="000E6C43"/>
    <w:rsid w:val="000E6D0A"/>
    <w:rsid w:val="000E6F46"/>
    <w:rsid w:val="000E7421"/>
    <w:rsid w:val="000E75D3"/>
    <w:rsid w:val="000E771E"/>
    <w:rsid w:val="000E7BB0"/>
    <w:rsid w:val="000E7E72"/>
    <w:rsid w:val="000E7F94"/>
    <w:rsid w:val="000F0138"/>
    <w:rsid w:val="000F048A"/>
    <w:rsid w:val="000F0762"/>
    <w:rsid w:val="000F07B5"/>
    <w:rsid w:val="000F07FE"/>
    <w:rsid w:val="000F08A1"/>
    <w:rsid w:val="000F0999"/>
    <w:rsid w:val="000F09D8"/>
    <w:rsid w:val="000F15A5"/>
    <w:rsid w:val="000F1700"/>
    <w:rsid w:val="000F1C64"/>
    <w:rsid w:val="000F1F74"/>
    <w:rsid w:val="000F213E"/>
    <w:rsid w:val="000F2140"/>
    <w:rsid w:val="000F2450"/>
    <w:rsid w:val="000F258A"/>
    <w:rsid w:val="000F26E1"/>
    <w:rsid w:val="000F28DF"/>
    <w:rsid w:val="000F29FC"/>
    <w:rsid w:val="000F2A82"/>
    <w:rsid w:val="000F2E0F"/>
    <w:rsid w:val="000F3715"/>
    <w:rsid w:val="000F37DD"/>
    <w:rsid w:val="000F37FD"/>
    <w:rsid w:val="000F3817"/>
    <w:rsid w:val="000F3AEB"/>
    <w:rsid w:val="000F3C01"/>
    <w:rsid w:val="000F3F08"/>
    <w:rsid w:val="000F43F9"/>
    <w:rsid w:val="000F49CD"/>
    <w:rsid w:val="000F4BF8"/>
    <w:rsid w:val="000F4E39"/>
    <w:rsid w:val="000F4E7F"/>
    <w:rsid w:val="000F4F88"/>
    <w:rsid w:val="000F5092"/>
    <w:rsid w:val="000F52F5"/>
    <w:rsid w:val="000F5444"/>
    <w:rsid w:val="000F5459"/>
    <w:rsid w:val="000F54D9"/>
    <w:rsid w:val="000F593A"/>
    <w:rsid w:val="000F5980"/>
    <w:rsid w:val="000F598C"/>
    <w:rsid w:val="000F5B07"/>
    <w:rsid w:val="000F5E0B"/>
    <w:rsid w:val="000F60E6"/>
    <w:rsid w:val="000F618C"/>
    <w:rsid w:val="000F64DF"/>
    <w:rsid w:val="000F6C57"/>
    <w:rsid w:val="000F6F67"/>
    <w:rsid w:val="000F7145"/>
    <w:rsid w:val="000F7488"/>
    <w:rsid w:val="000F7536"/>
    <w:rsid w:val="000F772B"/>
    <w:rsid w:val="000F7CD5"/>
    <w:rsid w:val="000F7D69"/>
    <w:rsid w:val="000F7E51"/>
    <w:rsid w:val="000F7E62"/>
    <w:rsid w:val="000F7F63"/>
    <w:rsid w:val="00100174"/>
    <w:rsid w:val="00100362"/>
    <w:rsid w:val="00100476"/>
    <w:rsid w:val="001004A8"/>
    <w:rsid w:val="0010065F"/>
    <w:rsid w:val="001006F5"/>
    <w:rsid w:val="00100A87"/>
    <w:rsid w:val="00100C22"/>
    <w:rsid w:val="00100C47"/>
    <w:rsid w:val="00100D7F"/>
    <w:rsid w:val="00100D83"/>
    <w:rsid w:val="00100FF9"/>
    <w:rsid w:val="0010100B"/>
    <w:rsid w:val="00101688"/>
    <w:rsid w:val="0010169C"/>
    <w:rsid w:val="001016C3"/>
    <w:rsid w:val="00101812"/>
    <w:rsid w:val="00101981"/>
    <w:rsid w:val="00101BBE"/>
    <w:rsid w:val="00101F28"/>
    <w:rsid w:val="00102091"/>
    <w:rsid w:val="00102546"/>
    <w:rsid w:val="001025FE"/>
    <w:rsid w:val="001026C2"/>
    <w:rsid w:val="001027E8"/>
    <w:rsid w:val="0010292F"/>
    <w:rsid w:val="00102AFD"/>
    <w:rsid w:val="00102B21"/>
    <w:rsid w:val="0010307D"/>
    <w:rsid w:val="001030A8"/>
    <w:rsid w:val="00103187"/>
    <w:rsid w:val="001032FF"/>
    <w:rsid w:val="001034CA"/>
    <w:rsid w:val="00103602"/>
    <w:rsid w:val="001036E6"/>
    <w:rsid w:val="00103BEA"/>
    <w:rsid w:val="0010402E"/>
    <w:rsid w:val="00104249"/>
    <w:rsid w:val="001044C5"/>
    <w:rsid w:val="00104556"/>
    <w:rsid w:val="00104713"/>
    <w:rsid w:val="00104DF7"/>
    <w:rsid w:val="00104E21"/>
    <w:rsid w:val="00104F7E"/>
    <w:rsid w:val="00105335"/>
    <w:rsid w:val="001053B8"/>
    <w:rsid w:val="001053D6"/>
    <w:rsid w:val="001057E7"/>
    <w:rsid w:val="001059B6"/>
    <w:rsid w:val="00105C9F"/>
    <w:rsid w:val="00105E83"/>
    <w:rsid w:val="00105FC0"/>
    <w:rsid w:val="00106034"/>
    <w:rsid w:val="001061FA"/>
    <w:rsid w:val="00106446"/>
    <w:rsid w:val="00106507"/>
    <w:rsid w:val="00106513"/>
    <w:rsid w:val="00106542"/>
    <w:rsid w:val="001065E4"/>
    <w:rsid w:val="001068D8"/>
    <w:rsid w:val="001069AC"/>
    <w:rsid w:val="00106D62"/>
    <w:rsid w:val="00106D8D"/>
    <w:rsid w:val="00106D94"/>
    <w:rsid w:val="00106ED1"/>
    <w:rsid w:val="00106F9A"/>
    <w:rsid w:val="00107384"/>
    <w:rsid w:val="0010745D"/>
    <w:rsid w:val="00107990"/>
    <w:rsid w:val="00110319"/>
    <w:rsid w:val="001104BA"/>
    <w:rsid w:val="0011059C"/>
    <w:rsid w:val="001106CF"/>
    <w:rsid w:val="001106E1"/>
    <w:rsid w:val="00110701"/>
    <w:rsid w:val="0011081C"/>
    <w:rsid w:val="001108CA"/>
    <w:rsid w:val="001108F3"/>
    <w:rsid w:val="00110A4E"/>
    <w:rsid w:val="00110A7D"/>
    <w:rsid w:val="00110F91"/>
    <w:rsid w:val="00111244"/>
    <w:rsid w:val="0011155F"/>
    <w:rsid w:val="001117B7"/>
    <w:rsid w:val="00111AB8"/>
    <w:rsid w:val="00111CBD"/>
    <w:rsid w:val="00111CF0"/>
    <w:rsid w:val="00111D81"/>
    <w:rsid w:val="00111DCA"/>
    <w:rsid w:val="00112608"/>
    <w:rsid w:val="00112859"/>
    <w:rsid w:val="00112919"/>
    <w:rsid w:val="00112A46"/>
    <w:rsid w:val="00112D03"/>
    <w:rsid w:val="00112FE0"/>
    <w:rsid w:val="00113189"/>
    <w:rsid w:val="001131B4"/>
    <w:rsid w:val="00113614"/>
    <w:rsid w:val="001139FC"/>
    <w:rsid w:val="00113B97"/>
    <w:rsid w:val="00113F50"/>
    <w:rsid w:val="0011410B"/>
    <w:rsid w:val="001141B3"/>
    <w:rsid w:val="001142B6"/>
    <w:rsid w:val="00114420"/>
    <w:rsid w:val="001147B2"/>
    <w:rsid w:val="00114D35"/>
    <w:rsid w:val="00115190"/>
    <w:rsid w:val="001152A8"/>
    <w:rsid w:val="00115467"/>
    <w:rsid w:val="001158F4"/>
    <w:rsid w:val="00115B4D"/>
    <w:rsid w:val="00115D0F"/>
    <w:rsid w:val="00115EAA"/>
    <w:rsid w:val="001160DC"/>
    <w:rsid w:val="00116223"/>
    <w:rsid w:val="001162C2"/>
    <w:rsid w:val="001163AF"/>
    <w:rsid w:val="001165D4"/>
    <w:rsid w:val="001168D8"/>
    <w:rsid w:val="00116A28"/>
    <w:rsid w:val="00116D1D"/>
    <w:rsid w:val="00116D44"/>
    <w:rsid w:val="00116F64"/>
    <w:rsid w:val="0011700E"/>
    <w:rsid w:val="00117149"/>
    <w:rsid w:val="0011717D"/>
    <w:rsid w:val="001171EF"/>
    <w:rsid w:val="00117315"/>
    <w:rsid w:val="0011752E"/>
    <w:rsid w:val="00117585"/>
    <w:rsid w:val="0011759D"/>
    <w:rsid w:val="0011767C"/>
    <w:rsid w:val="001176AC"/>
    <w:rsid w:val="001176C5"/>
    <w:rsid w:val="0011778B"/>
    <w:rsid w:val="00117944"/>
    <w:rsid w:val="0011796D"/>
    <w:rsid w:val="00117C21"/>
    <w:rsid w:val="001200E5"/>
    <w:rsid w:val="001201CB"/>
    <w:rsid w:val="001202E3"/>
    <w:rsid w:val="00120364"/>
    <w:rsid w:val="0012059E"/>
    <w:rsid w:val="00120A95"/>
    <w:rsid w:val="00120BBD"/>
    <w:rsid w:val="00120C92"/>
    <w:rsid w:val="00120D90"/>
    <w:rsid w:val="00120DD2"/>
    <w:rsid w:val="00120F55"/>
    <w:rsid w:val="00121375"/>
    <w:rsid w:val="001213DA"/>
    <w:rsid w:val="0012160E"/>
    <w:rsid w:val="001217FE"/>
    <w:rsid w:val="00121A03"/>
    <w:rsid w:val="00121CC5"/>
    <w:rsid w:val="00121D0D"/>
    <w:rsid w:val="001220B9"/>
    <w:rsid w:val="0012220D"/>
    <w:rsid w:val="00122286"/>
    <w:rsid w:val="001226C2"/>
    <w:rsid w:val="001229F0"/>
    <w:rsid w:val="00122D01"/>
    <w:rsid w:val="00122FE2"/>
    <w:rsid w:val="001230CC"/>
    <w:rsid w:val="00123128"/>
    <w:rsid w:val="00123272"/>
    <w:rsid w:val="0012339A"/>
    <w:rsid w:val="001233DA"/>
    <w:rsid w:val="001235BB"/>
    <w:rsid w:val="0012367B"/>
    <w:rsid w:val="00123820"/>
    <w:rsid w:val="00123879"/>
    <w:rsid w:val="00123A82"/>
    <w:rsid w:val="00123BE8"/>
    <w:rsid w:val="00123CA2"/>
    <w:rsid w:val="00123EB0"/>
    <w:rsid w:val="0012414F"/>
    <w:rsid w:val="001248B3"/>
    <w:rsid w:val="001248FB"/>
    <w:rsid w:val="0012512A"/>
    <w:rsid w:val="001253C5"/>
    <w:rsid w:val="001255CA"/>
    <w:rsid w:val="0012561D"/>
    <w:rsid w:val="00125694"/>
    <w:rsid w:val="00125863"/>
    <w:rsid w:val="00125865"/>
    <w:rsid w:val="00125A44"/>
    <w:rsid w:val="00125A4D"/>
    <w:rsid w:val="00125CA8"/>
    <w:rsid w:val="00125DA4"/>
    <w:rsid w:val="00125FBC"/>
    <w:rsid w:val="0012602E"/>
    <w:rsid w:val="001261CC"/>
    <w:rsid w:val="001262ED"/>
    <w:rsid w:val="001264FA"/>
    <w:rsid w:val="00126521"/>
    <w:rsid w:val="00126705"/>
    <w:rsid w:val="0012674E"/>
    <w:rsid w:val="00126824"/>
    <w:rsid w:val="0012693C"/>
    <w:rsid w:val="00126A7F"/>
    <w:rsid w:val="00126BEE"/>
    <w:rsid w:val="00126FD7"/>
    <w:rsid w:val="0012704F"/>
    <w:rsid w:val="0012739D"/>
    <w:rsid w:val="00127608"/>
    <w:rsid w:val="001276E6"/>
    <w:rsid w:val="00127B8C"/>
    <w:rsid w:val="001301E7"/>
    <w:rsid w:val="0013070F"/>
    <w:rsid w:val="0013085A"/>
    <w:rsid w:val="001308CE"/>
    <w:rsid w:val="0013095A"/>
    <w:rsid w:val="00130ABB"/>
    <w:rsid w:val="00130D9F"/>
    <w:rsid w:val="00130F77"/>
    <w:rsid w:val="00131111"/>
    <w:rsid w:val="001312BF"/>
    <w:rsid w:val="001312FB"/>
    <w:rsid w:val="001313E6"/>
    <w:rsid w:val="0013160C"/>
    <w:rsid w:val="00131665"/>
    <w:rsid w:val="0013175E"/>
    <w:rsid w:val="00131A5F"/>
    <w:rsid w:val="00131BD5"/>
    <w:rsid w:val="00131E5A"/>
    <w:rsid w:val="001320CD"/>
    <w:rsid w:val="001323FE"/>
    <w:rsid w:val="0013263C"/>
    <w:rsid w:val="00132A65"/>
    <w:rsid w:val="00132A85"/>
    <w:rsid w:val="00132AE1"/>
    <w:rsid w:val="00132DCF"/>
    <w:rsid w:val="00132FA1"/>
    <w:rsid w:val="00133078"/>
    <w:rsid w:val="00133272"/>
    <w:rsid w:val="0013330C"/>
    <w:rsid w:val="0013353D"/>
    <w:rsid w:val="001335C0"/>
    <w:rsid w:val="00133672"/>
    <w:rsid w:val="00133EDB"/>
    <w:rsid w:val="00134218"/>
    <w:rsid w:val="00134289"/>
    <w:rsid w:val="001346BE"/>
    <w:rsid w:val="00134A7F"/>
    <w:rsid w:val="00134CA8"/>
    <w:rsid w:val="00134CCA"/>
    <w:rsid w:val="00134D62"/>
    <w:rsid w:val="0013505A"/>
    <w:rsid w:val="001350A3"/>
    <w:rsid w:val="00135AD9"/>
    <w:rsid w:val="00135C39"/>
    <w:rsid w:val="00135E66"/>
    <w:rsid w:val="001365FF"/>
    <w:rsid w:val="001368E4"/>
    <w:rsid w:val="00136A64"/>
    <w:rsid w:val="00136BBE"/>
    <w:rsid w:val="00136BC0"/>
    <w:rsid w:val="00136CE4"/>
    <w:rsid w:val="00137054"/>
    <w:rsid w:val="00137159"/>
    <w:rsid w:val="00137339"/>
    <w:rsid w:val="00137349"/>
    <w:rsid w:val="001378C9"/>
    <w:rsid w:val="0013791B"/>
    <w:rsid w:val="00137DD4"/>
    <w:rsid w:val="0014015A"/>
    <w:rsid w:val="001402B1"/>
    <w:rsid w:val="00140609"/>
    <w:rsid w:val="0014061F"/>
    <w:rsid w:val="001407A0"/>
    <w:rsid w:val="00140974"/>
    <w:rsid w:val="00140B5E"/>
    <w:rsid w:val="00140CAF"/>
    <w:rsid w:val="00140D21"/>
    <w:rsid w:val="00140DF3"/>
    <w:rsid w:val="00140DFB"/>
    <w:rsid w:val="00140F43"/>
    <w:rsid w:val="0014105A"/>
    <w:rsid w:val="0014128F"/>
    <w:rsid w:val="00141DC5"/>
    <w:rsid w:val="001420B7"/>
    <w:rsid w:val="001421E9"/>
    <w:rsid w:val="00142334"/>
    <w:rsid w:val="00142718"/>
    <w:rsid w:val="00142B5C"/>
    <w:rsid w:val="00142EFF"/>
    <w:rsid w:val="00143018"/>
    <w:rsid w:val="001431DE"/>
    <w:rsid w:val="001434A8"/>
    <w:rsid w:val="00143913"/>
    <w:rsid w:val="00143AC2"/>
    <w:rsid w:val="00143B99"/>
    <w:rsid w:val="00143C7E"/>
    <w:rsid w:val="00143D1D"/>
    <w:rsid w:val="0014405A"/>
    <w:rsid w:val="00144180"/>
    <w:rsid w:val="001441CF"/>
    <w:rsid w:val="00144259"/>
    <w:rsid w:val="001445C1"/>
    <w:rsid w:val="0014466B"/>
    <w:rsid w:val="00144678"/>
    <w:rsid w:val="00144A45"/>
    <w:rsid w:val="00144BAB"/>
    <w:rsid w:val="00144BF9"/>
    <w:rsid w:val="00144D2A"/>
    <w:rsid w:val="00144E05"/>
    <w:rsid w:val="00144F05"/>
    <w:rsid w:val="00144FEE"/>
    <w:rsid w:val="0014514D"/>
    <w:rsid w:val="00145251"/>
    <w:rsid w:val="001452F2"/>
    <w:rsid w:val="001454BB"/>
    <w:rsid w:val="00145683"/>
    <w:rsid w:val="00145721"/>
    <w:rsid w:val="00145732"/>
    <w:rsid w:val="001458CA"/>
    <w:rsid w:val="00145B57"/>
    <w:rsid w:val="00145B9F"/>
    <w:rsid w:val="00145F81"/>
    <w:rsid w:val="001462CC"/>
    <w:rsid w:val="00146523"/>
    <w:rsid w:val="0014671C"/>
    <w:rsid w:val="00146960"/>
    <w:rsid w:val="00146B5B"/>
    <w:rsid w:val="00146BF6"/>
    <w:rsid w:val="00146E5D"/>
    <w:rsid w:val="001472A4"/>
    <w:rsid w:val="00147666"/>
    <w:rsid w:val="001476CD"/>
    <w:rsid w:val="0014783F"/>
    <w:rsid w:val="0014785F"/>
    <w:rsid w:val="001478EB"/>
    <w:rsid w:val="00147909"/>
    <w:rsid w:val="00147CBA"/>
    <w:rsid w:val="00147CF6"/>
    <w:rsid w:val="00147D7C"/>
    <w:rsid w:val="00147E84"/>
    <w:rsid w:val="00150160"/>
    <w:rsid w:val="0015035F"/>
    <w:rsid w:val="001505D2"/>
    <w:rsid w:val="001508B4"/>
    <w:rsid w:val="001508F6"/>
    <w:rsid w:val="00150A96"/>
    <w:rsid w:val="00150AB5"/>
    <w:rsid w:val="00150E96"/>
    <w:rsid w:val="00150FDD"/>
    <w:rsid w:val="00151088"/>
    <w:rsid w:val="0015116C"/>
    <w:rsid w:val="001514F6"/>
    <w:rsid w:val="001518B1"/>
    <w:rsid w:val="00151C8E"/>
    <w:rsid w:val="00152658"/>
    <w:rsid w:val="001528A1"/>
    <w:rsid w:val="001529DA"/>
    <w:rsid w:val="00152BEE"/>
    <w:rsid w:val="00152C9F"/>
    <w:rsid w:val="00152CC3"/>
    <w:rsid w:val="00152DDD"/>
    <w:rsid w:val="00152E49"/>
    <w:rsid w:val="00153293"/>
    <w:rsid w:val="001532D1"/>
    <w:rsid w:val="001536A8"/>
    <w:rsid w:val="00153890"/>
    <w:rsid w:val="00153B8C"/>
    <w:rsid w:val="00153DD2"/>
    <w:rsid w:val="001540C2"/>
    <w:rsid w:val="001540DF"/>
    <w:rsid w:val="001544C8"/>
    <w:rsid w:val="001547A9"/>
    <w:rsid w:val="00154855"/>
    <w:rsid w:val="00154970"/>
    <w:rsid w:val="00154B79"/>
    <w:rsid w:val="00154CCB"/>
    <w:rsid w:val="001552BE"/>
    <w:rsid w:val="0015535E"/>
    <w:rsid w:val="001553F2"/>
    <w:rsid w:val="001554FB"/>
    <w:rsid w:val="0015552E"/>
    <w:rsid w:val="001558AF"/>
    <w:rsid w:val="00155965"/>
    <w:rsid w:val="00155B22"/>
    <w:rsid w:val="00155F76"/>
    <w:rsid w:val="0015649E"/>
    <w:rsid w:val="001568F9"/>
    <w:rsid w:val="00156A6F"/>
    <w:rsid w:val="00156F6A"/>
    <w:rsid w:val="0015708C"/>
    <w:rsid w:val="0015711D"/>
    <w:rsid w:val="0015772C"/>
    <w:rsid w:val="00157784"/>
    <w:rsid w:val="001579FE"/>
    <w:rsid w:val="00157CE8"/>
    <w:rsid w:val="00157E43"/>
    <w:rsid w:val="00160015"/>
    <w:rsid w:val="00160069"/>
    <w:rsid w:val="001601CE"/>
    <w:rsid w:val="00160311"/>
    <w:rsid w:val="00160408"/>
    <w:rsid w:val="0016074E"/>
    <w:rsid w:val="00160ACD"/>
    <w:rsid w:val="00160DF6"/>
    <w:rsid w:val="00160EAC"/>
    <w:rsid w:val="00160F74"/>
    <w:rsid w:val="0016107F"/>
    <w:rsid w:val="00161093"/>
    <w:rsid w:val="00161115"/>
    <w:rsid w:val="0016113B"/>
    <w:rsid w:val="0016116E"/>
    <w:rsid w:val="001611C5"/>
    <w:rsid w:val="00161529"/>
    <w:rsid w:val="0016182D"/>
    <w:rsid w:val="00161902"/>
    <w:rsid w:val="0016197D"/>
    <w:rsid w:val="00161E1C"/>
    <w:rsid w:val="00161E96"/>
    <w:rsid w:val="001626C9"/>
    <w:rsid w:val="001626CE"/>
    <w:rsid w:val="00162700"/>
    <w:rsid w:val="001627AA"/>
    <w:rsid w:val="00162AF1"/>
    <w:rsid w:val="00162E79"/>
    <w:rsid w:val="00162EA9"/>
    <w:rsid w:val="0016306F"/>
    <w:rsid w:val="0016319D"/>
    <w:rsid w:val="001631F3"/>
    <w:rsid w:val="00163444"/>
    <w:rsid w:val="001634B5"/>
    <w:rsid w:val="001637A6"/>
    <w:rsid w:val="00163ADA"/>
    <w:rsid w:val="00163B19"/>
    <w:rsid w:val="00164109"/>
    <w:rsid w:val="00164416"/>
    <w:rsid w:val="0016442D"/>
    <w:rsid w:val="0016459D"/>
    <w:rsid w:val="00164802"/>
    <w:rsid w:val="00164A40"/>
    <w:rsid w:val="00164A4F"/>
    <w:rsid w:val="00164ACD"/>
    <w:rsid w:val="00164C9D"/>
    <w:rsid w:val="00164F12"/>
    <w:rsid w:val="00165013"/>
    <w:rsid w:val="001650A2"/>
    <w:rsid w:val="001650DB"/>
    <w:rsid w:val="0016519F"/>
    <w:rsid w:val="00165397"/>
    <w:rsid w:val="00165471"/>
    <w:rsid w:val="001654DC"/>
    <w:rsid w:val="00165635"/>
    <w:rsid w:val="0016568B"/>
    <w:rsid w:val="001656FF"/>
    <w:rsid w:val="00165CEF"/>
    <w:rsid w:val="0016644F"/>
    <w:rsid w:val="001664D4"/>
    <w:rsid w:val="00166531"/>
    <w:rsid w:val="00166561"/>
    <w:rsid w:val="0016685F"/>
    <w:rsid w:val="00166BE3"/>
    <w:rsid w:val="00166ED4"/>
    <w:rsid w:val="00166EF3"/>
    <w:rsid w:val="00166FFF"/>
    <w:rsid w:val="0016766C"/>
    <w:rsid w:val="00167A94"/>
    <w:rsid w:val="00167C40"/>
    <w:rsid w:val="00167DFE"/>
    <w:rsid w:val="00167E09"/>
    <w:rsid w:val="00167F3E"/>
    <w:rsid w:val="001700FB"/>
    <w:rsid w:val="00170249"/>
    <w:rsid w:val="001702AE"/>
    <w:rsid w:val="001706E2"/>
    <w:rsid w:val="00170A92"/>
    <w:rsid w:val="00170CE8"/>
    <w:rsid w:val="00170F42"/>
    <w:rsid w:val="001710E9"/>
    <w:rsid w:val="001714BC"/>
    <w:rsid w:val="001716C3"/>
    <w:rsid w:val="00171D0B"/>
    <w:rsid w:val="00171E3D"/>
    <w:rsid w:val="00171EA8"/>
    <w:rsid w:val="00171FF9"/>
    <w:rsid w:val="001720B3"/>
    <w:rsid w:val="001721AE"/>
    <w:rsid w:val="001723FE"/>
    <w:rsid w:val="0017256B"/>
    <w:rsid w:val="001725C7"/>
    <w:rsid w:val="00172BBD"/>
    <w:rsid w:val="00172C2B"/>
    <w:rsid w:val="00172D2F"/>
    <w:rsid w:val="00172D65"/>
    <w:rsid w:val="00172EC3"/>
    <w:rsid w:val="00172F47"/>
    <w:rsid w:val="00172FC9"/>
    <w:rsid w:val="001730FF"/>
    <w:rsid w:val="001731DD"/>
    <w:rsid w:val="001731EF"/>
    <w:rsid w:val="001734AC"/>
    <w:rsid w:val="00173AAF"/>
    <w:rsid w:val="00173CE5"/>
    <w:rsid w:val="001740D7"/>
    <w:rsid w:val="0017455F"/>
    <w:rsid w:val="0017480D"/>
    <w:rsid w:val="00174B55"/>
    <w:rsid w:val="00174D3C"/>
    <w:rsid w:val="001751D1"/>
    <w:rsid w:val="00175453"/>
    <w:rsid w:val="00175B3C"/>
    <w:rsid w:val="00175D9B"/>
    <w:rsid w:val="00175F15"/>
    <w:rsid w:val="0017688A"/>
    <w:rsid w:val="001769E3"/>
    <w:rsid w:val="00176B2E"/>
    <w:rsid w:val="00176C00"/>
    <w:rsid w:val="00176D7B"/>
    <w:rsid w:val="00176E53"/>
    <w:rsid w:val="00176EA0"/>
    <w:rsid w:val="00177053"/>
    <w:rsid w:val="00177311"/>
    <w:rsid w:val="001774C7"/>
    <w:rsid w:val="00177939"/>
    <w:rsid w:val="00177BFA"/>
    <w:rsid w:val="00177C2C"/>
    <w:rsid w:val="00177D09"/>
    <w:rsid w:val="00177D4A"/>
    <w:rsid w:val="00180007"/>
    <w:rsid w:val="001801CD"/>
    <w:rsid w:val="001804BA"/>
    <w:rsid w:val="00180779"/>
    <w:rsid w:val="001807E7"/>
    <w:rsid w:val="001808D1"/>
    <w:rsid w:val="00180AAA"/>
    <w:rsid w:val="00180D19"/>
    <w:rsid w:val="00180EE4"/>
    <w:rsid w:val="00181147"/>
    <w:rsid w:val="001812A1"/>
    <w:rsid w:val="0018135B"/>
    <w:rsid w:val="0018172B"/>
    <w:rsid w:val="00181CC5"/>
    <w:rsid w:val="00181EDB"/>
    <w:rsid w:val="00182533"/>
    <w:rsid w:val="0018260B"/>
    <w:rsid w:val="00182709"/>
    <w:rsid w:val="001827B5"/>
    <w:rsid w:val="001827C4"/>
    <w:rsid w:val="00182802"/>
    <w:rsid w:val="001828AE"/>
    <w:rsid w:val="00182BF6"/>
    <w:rsid w:val="00182EDE"/>
    <w:rsid w:val="00182F59"/>
    <w:rsid w:val="00182F64"/>
    <w:rsid w:val="00182F79"/>
    <w:rsid w:val="00182FF1"/>
    <w:rsid w:val="0018316A"/>
    <w:rsid w:val="001831DA"/>
    <w:rsid w:val="001833DB"/>
    <w:rsid w:val="001833E2"/>
    <w:rsid w:val="00183623"/>
    <w:rsid w:val="0018370E"/>
    <w:rsid w:val="001837F9"/>
    <w:rsid w:val="0018387F"/>
    <w:rsid w:val="00184260"/>
    <w:rsid w:val="001847F0"/>
    <w:rsid w:val="00184A70"/>
    <w:rsid w:val="00184B43"/>
    <w:rsid w:val="0018527D"/>
    <w:rsid w:val="0018561A"/>
    <w:rsid w:val="00185765"/>
    <w:rsid w:val="00185B0C"/>
    <w:rsid w:val="00185F2E"/>
    <w:rsid w:val="001861D4"/>
    <w:rsid w:val="001861E7"/>
    <w:rsid w:val="00186248"/>
    <w:rsid w:val="0018657E"/>
    <w:rsid w:val="00186708"/>
    <w:rsid w:val="001869D8"/>
    <w:rsid w:val="00186C34"/>
    <w:rsid w:val="00186E53"/>
    <w:rsid w:val="00187132"/>
    <w:rsid w:val="001871C4"/>
    <w:rsid w:val="001871DE"/>
    <w:rsid w:val="001872D4"/>
    <w:rsid w:val="0018740F"/>
    <w:rsid w:val="00187A50"/>
    <w:rsid w:val="00187A7A"/>
    <w:rsid w:val="00187A99"/>
    <w:rsid w:val="00187B2B"/>
    <w:rsid w:val="001901C0"/>
    <w:rsid w:val="001901D1"/>
    <w:rsid w:val="00190305"/>
    <w:rsid w:val="0019041A"/>
    <w:rsid w:val="00190429"/>
    <w:rsid w:val="00190465"/>
    <w:rsid w:val="001904FD"/>
    <w:rsid w:val="001906B5"/>
    <w:rsid w:val="00190A5E"/>
    <w:rsid w:val="00190AAE"/>
    <w:rsid w:val="00190B0E"/>
    <w:rsid w:val="00190BCF"/>
    <w:rsid w:val="00190E1C"/>
    <w:rsid w:val="001914ED"/>
    <w:rsid w:val="00191507"/>
    <w:rsid w:val="00191615"/>
    <w:rsid w:val="00191649"/>
    <w:rsid w:val="001916F7"/>
    <w:rsid w:val="00191761"/>
    <w:rsid w:val="0019191F"/>
    <w:rsid w:val="00191A4D"/>
    <w:rsid w:val="00191B58"/>
    <w:rsid w:val="00191CE0"/>
    <w:rsid w:val="00191DC5"/>
    <w:rsid w:val="00192036"/>
    <w:rsid w:val="0019216C"/>
    <w:rsid w:val="00192563"/>
    <w:rsid w:val="00192D34"/>
    <w:rsid w:val="00192F44"/>
    <w:rsid w:val="00193079"/>
    <w:rsid w:val="001931B3"/>
    <w:rsid w:val="0019334F"/>
    <w:rsid w:val="00193386"/>
    <w:rsid w:val="00193A2E"/>
    <w:rsid w:val="00193A77"/>
    <w:rsid w:val="00193FA2"/>
    <w:rsid w:val="00194140"/>
    <w:rsid w:val="001941F9"/>
    <w:rsid w:val="00194326"/>
    <w:rsid w:val="00194A12"/>
    <w:rsid w:val="00194A72"/>
    <w:rsid w:val="00194AEB"/>
    <w:rsid w:val="00194BB2"/>
    <w:rsid w:val="00194C04"/>
    <w:rsid w:val="00194D43"/>
    <w:rsid w:val="00194D7A"/>
    <w:rsid w:val="00194F84"/>
    <w:rsid w:val="00195325"/>
    <w:rsid w:val="0019538F"/>
    <w:rsid w:val="001954E0"/>
    <w:rsid w:val="00195653"/>
    <w:rsid w:val="001956D5"/>
    <w:rsid w:val="001956E7"/>
    <w:rsid w:val="00195E31"/>
    <w:rsid w:val="00195F22"/>
    <w:rsid w:val="00196156"/>
    <w:rsid w:val="001962E6"/>
    <w:rsid w:val="00196A38"/>
    <w:rsid w:val="00196FF5"/>
    <w:rsid w:val="00197193"/>
    <w:rsid w:val="0019760C"/>
    <w:rsid w:val="0019784C"/>
    <w:rsid w:val="00197A28"/>
    <w:rsid w:val="00197D7F"/>
    <w:rsid w:val="00197D8A"/>
    <w:rsid w:val="00197FB2"/>
    <w:rsid w:val="001A000F"/>
    <w:rsid w:val="001A0058"/>
    <w:rsid w:val="001A0251"/>
    <w:rsid w:val="001A08FF"/>
    <w:rsid w:val="001A09FD"/>
    <w:rsid w:val="001A0C5A"/>
    <w:rsid w:val="001A0EBF"/>
    <w:rsid w:val="001A0FCD"/>
    <w:rsid w:val="001A0FEE"/>
    <w:rsid w:val="001A10D6"/>
    <w:rsid w:val="001A12FD"/>
    <w:rsid w:val="001A1364"/>
    <w:rsid w:val="001A159B"/>
    <w:rsid w:val="001A18FA"/>
    <w:rsid w:val="001A1A97"/>
    <w:rsid w:val="001A1AEA"/>
    <w:rsid w:val="001A1C01"/>
    <w:rsid w:val="001A1C72"/>
    <w:rsid w:val="001A1CE2"/>
    <w:rsid w:val="001A1D29"/>
    <w:rsid w:val="001A1FBE"/>
    <w:rsid w:val="001A2104"/>
    <w:rsid w:val="001A2133"/>
    <w:rsid w:val="001A21C6"/>
    <w:rsid w:val="001A22E1"/>
    <w:rsid w:val="001A2301"/>
    <w:rsid w:val="001A257F"/>
    <w:rsid w:val="001A2583"/>
    <w:rsid w:val="001A260A"/>
    <w:rsid w:val="001A2A1C"/>
    <w:rsid w:val="001A2CA2"/>
    <w:rsid w:val="001A2F99"/>
    <w:rsid w:val="001A317E"/>
    <w:rsid w:val="001A33D9"/>
    <w:rsid w:val="001A3CE7"/>
    <w:rsid w:val="001A3D11"/>
    <w:rsid w:val="001A3D65"/>
    <w:rsid w:val="001A3FC4"/>
    <w:rsid w:val="001A4012"/>
    <w:rsid w:val="001A405E"/>
    <w:rsid w:val="001A407D"/>
    <w:rsid w:val="001A43D9"/>
    <w:rsid w:val="001A467C"/>
    <w:rsid w:val="001A4AF1"/>
    <w:rsid w:val="001A4DDC"/>
    <w:rsid w:val="001A4E30"/>
    <w:rsid w:val="001A51B7"/>
    <w:rsid w:val="001A5212"/>
    <w:rsid w:val="001A5258"/>
    <w:rsid w:val="001A52F5"/>
    <w:rsid w:val="001A55A6"/>
    <w:rsid w:val="001A57DB"/>
    <w:rsid w:val="001A5900"/>
    <w:rsid w:val="001A5938"/>
    <w:rsid w:val="001A5AAB"/>
    <w:rsid w:val="001A5CA8"/>
    <w:rsid w:val="001A5CAC"/>
    <w:rsid w:val="001A5CF7"/>
    <w:rsid w:val="001A5E76"/>
    <w:rsid w:val="001A5FBB"/>
    <w:rsid w:val="001A600D"/>
    <w:rsid w:val="001A62DC"/>
    <w:rsid w:val="001A67E2"/>
    <w:rsid w:val="001A6851"/>
    <w:rsid w:val="001A693E"/>
    <w:rsid w:val="001A6977"/>
    <w:rsid w:val="001A6A8B"/>
    <w:rsid w:val="001A6AA2"/>
    <w:rsid w:val="001A6C35"/>
    <w:rsid w:val="001A6DF2"/>
    <w:rsid w:val="001A70B9"/>
    <w:rsid w:val="001A7280"/>
    <w:rsid w:val="001A7320"/>
    <w:rsid w:val="001A7476"/>
    <w:rsid w:val="001A7574"/>
    <w:rsid w:val="001A7750"/>
    <w:rsid w:val="001A780E"/>
    <w:rsid w:val="001A797B"/>
    <w:rsid w:val="001A7A64"/>
    <w:rsid w:val="001A7C2B"/>
    <w:rsid w:val="001A7CF5"/>
    <w:rsid w:val="001B00D9"/>
    <w:rsid w:val="001B0168"/>
    <w:rsid w:val="001B029F"/>
    <w:rsid w:val="001B0446"/>
    <w:rsid w:val="001B06A9"/>
    <w:rsid w:val="001B07A6"/>
    <w:rsid w:val="001B09C6"/>
    <w:rsid w:val="001B0B14"/>
    <w:rsid w:val="001B0CB3"/>
    <w:rsid w:val="001B0D62"/>
    <w:rsid w:val="001B0D7D"/>
    <w:rsid w:val="001B171C"/>
    <w:rsid w:val="001B1A41"/>
    <w:rsid w:val="001B1C14"/>
    <w:rsid w:val="001B1CC8"/>
    <w:rsid w:val="001B1FBE"/>
    <w:rsid w:val="001B21DB"/>
    <w:rsid w:val="001B23CC"/>
    <w:rsid w:val="001B256B"/>
    <w:rsid w:val="001B266B"/>
    <w:rsid w:val="001B2698"/>
    <w:rsid w:val="001B294D"/>
    <w:rsid w:val="001B2990"/>
    <w:rsid w:val="001B29A4"/>
    <w:rsid w:val="001B2A34"/>
    <w:rsid w:val="001B2AB4"/>
    <w:rsid w:val="001B2C11"/>
    <w:rsid w:val="001B2C81"/>
    <w:rsid w:val="001B2E90"/>
    <w:rsid w:val="001B30CB"/>
    <w:rsid w:val="001B3207"/>
    <w:rsid w:val="001B3272"/>
    <w:rsid w:val="001B3511"/>
    <w:rsid w:val="001B37E1"/>
    <w:rsid w:val="001B3AE2"/>
    <w:rsid w:val="001B3BD9"/>
    <w:rsid w:val="001B3BE2"/>
    <w:rsid w:val="001B3D37"/>
    <w:rsid w:val="001B4222"/>
    <w:rsid w:val="001B4296"/>
    <w:rsid w:val="001B44EB"/>
    <w:rsid w:val="001B45E1"/>
    <w:rsid w:val="001B47EB"/>
    <w:rsid w:val="001B4871"/>
    <w:rsid w:val="001B4D65"/>
    <w:rsid w:val="001B4D99"/>
    <w:rsid w:val="001B4EFE"/>
    <w:rsid w:val="001B5265"/>
    <w:rsid w:val="001B5902"/>
    <w:rsid w:val="001B5937"/>
    <w:rsid w:val="001B5A9C"/>
    <w:rsid w:val="001B5B17"/>
    <w:rsid w:val="001B5B5C"/>
    <w:rsid w:val="001B5C55"/>
    <w:rsid w:val="001B5EE7"/>
    <w:rsid w:val="001B5EFF"/>
    <w:rsid w:val="001B603F"/>
    <w:rsid w:val="001B62D1"/>
    <w:rsid w:val="001B64CB"/>
    <w:rsid w:val="001B67F6"/>
    <w:rsid w:val="001B6D94"/>
    <w:rsid w:val="001B6DC7"/>
    <w:rsid w:val="001B6E9D"/>
    <w:rsid w:val="001B7415"/>
    <w:rsid w:val="001B7482"/>
    <w:rsid w:val="001B76CE"/>
    <w:rsid w:val="001B7E5C"/>
    <w:rsid w:val="001B7FCD"/>
    <w:rsid w:val="001C01C8"/>
    <w:rsid w:val="001C03B9"/>
    <w:rsid w:val="001C061C"/>
    <w:rsid w:val="001C0633"/>
    <w:rsid w:val="001C06C3"/>
    <w:rsid w:val="001C0717"/>
    <w:rsid w:val="001C093D"/>
    <w:rsid w:val="001C0A61"/>
    <w:rsid w:val="001C0C8A"/>
    <w:rsid w:val="001C0FE3"/>
    <w:rsid w:val="001C1018"/>
    <w:rsid w:val="001C1422"/>
    <w:rsid w:val="001C1C24"/>
    <w:rsid w:val="001C1CDD"/>
    <w:rsid w:val="001C1DBD"/>
    <w:rsid w:val="001C1F1B"/>
    <w:rsid w:val="001C2105"/>
    <w:rsid w:val="001C21BC"/>
    <w:rsid w:val="001C26C2"/>
    <w:rsid w:val="001C28E0"/>
    <w:rsid w:val="001C28ED"/>
    <w:rsid w:val="001C2A6A"/>
    <w:rsid w:val="001C2B40"/>
    <w:rsid w:val="001C2C0F"/>
    <w:rsid w:val="001C2E29"/>
    <w:rsid w:val="001C2EEF"/>
    <w:rsid w:val="001C2FF3"/>
    <w:rsid w:val="001C30D2"/>
    <w:rsid w:val="001C31EE"/>
    <w:rsid w:val="001C3A97"/>
    <w:rsid w:val="001C3C37"/>
    <w:rsid w:val="001C3D16"/>
    <w:rsid w:val="001C3E74"/>
    <w:rsid w:val="001C3F2F"/>
    <w:rsid w:val="001C41B9"/>
    <w:rsid w:val="001C4313"/>
    <w:rsid w:val="001C4363"/>
    <w:rsid w:val="001C43AA"/>
    <w:rsid w:val="001C4460"/>
    <w:rsid w:val="001C45AC"/>
    <w:rsid w:val="001C481E"/>
    <w:rsid w:val="001C4823"/>
    <w:rsid w:val="001C4D54"/>
    <w:rsid w:val="001C4FDD"/>
    <w:rsid w:val="001C52F8"/>
    <w:rsid w:val="001C557D"/>
    <w:rsid w:val="001C5694"/>
    <w:rsid w:val="001C5720"/>
    <w:rsid w:val="001C58E1"/>
    <w:rsid w:val="001C5A48"/>
    <w:rsid w:val="001C5ABB"/>
    <w:rsid w:val="001C5DED"/>
    <w:rsid w:val="001C5FD4"/>
    <w:rsid w:val="001C6077"/>
    <w:rsid w:val="001C658D"/>
    <w:rsid w:val="001C66B2"/>
    <w:rsid w:val="001C682B"/>
    <w:rsid w:val="001C69A1"/>
    <w:rsid w:val="001C6A21"/>
    <w:rsid w:val="001C6AC5"/>
    <w:rsid w:val="001C6CE7"/>
    <w:rsid w:val="001C6E28"/>
    <w:rsid w:val="001C6E3D"/>
    <w:rsid w:val="001C6FE1"/>
    <w:rsid w:val="001C7090"/>
    <w:rsid w:val="001C71ED"/>
    <w:rsid w:val="001C72E2"/>
    <w:rsid w:val="001C753A"/>
    <w:rsid w:val="001C76D4"/>
    <w:rsid w:val="001C76E9"/>
    <w:rsid w:val="001C784F"/>
    <w:rsid w:val="001C7A0A"/>
    <w:rsid w:val="001C7C3C"/>
    <w:rsid w:val="001C7C84"/>
    <w:rsid w:val="001C7ED1"/>
    <w:rsid w:val="001D0132"/>
    <w:rsid w:val="001D03B2"/>
    <w:rsid w:val="001D04A7"/>
    <w:rsid w:val="001D04B5"/>
    <w:rsid w:val="001D06DD"/>
    <w:rsid w:val="001D077C"/>
    <w:rsid w:val="001D078F"/>
    <w:rsid w:val="001D08DE"/>
    <w:rsid w:val="001D0994"/>
    <w:rsid w:val="001D0A40"/>
    <w:rsid w:val="001D0A78"/>
    <w:rsid w:val="001D0ED5"/>
    <w:rsid w:val="001D1169"/>
    <w:rsid w:val="001D1720"/>
    <w:rsid w:val="001D1989"/>
    <w:rsid w:val="001D1C1E"/>
    <w:rsid w:val="001D225D"/>
    <w:rsid w:val="001D232F"/>
    <w:rsid w:val="001D2536"/>
    <w:rsid w:val="001D25A3"/>
    <w:rsid w:val="001D27DE"/>
    <w:rsid w:val="001D2837"/>
    <w:rsid w:val="001D2C2A"/>
    <w:rsid w:val="001D2DEE"/>
    <w:rsid w:val="001D2E85"/>
    <w:rsid w:val="001D311A"/>
    <w:rsid w:val="001D3169"/>
    <w:rsid w:val="001D34C8"/>
    <w:rsid w:val="001D3882"/>
    <w:rsid w:val="001D391F"/>
    <w:rsid w:val="001D3936"/>
    <w:rsid w:val="001D3A16"/>
    <w:rsid w:val="001D40FC"/>
    <w:rsid w:val="001D43DE"/>
    <w:rsid w:val="001D4429"/>
    <w:rsid w:val="001D45E5"/>
    <w:rsid w:val="001D4651"/>
    <w:rsid w:val="001D46CD"/>
    <w:rsid w:val="001D479D"/>
    <w:rsid w:val="001D4881"/>
    <w:rsid w:val="001D493E"/>
    <w:rsid w:val="001D49A3"/>
    <w:rsid w:val="001D4CF9"/>
    <w:rsid w:val="001D4F0D"/>
    <w:rsid w:val="001D5057"/>
    <w:rsid w:val="001D51D4"/>
    <w:rsid w:val="001D51F6"/>
    <w:rsid w:val="001D56CB"/>
    <w:rsid w:val="001D57C2"/>
    <w:rsid w:val="001D5B69"/>
    <w:rsid w:val="001D5C50"/>
    <w:rsid w:val="001D5C66"/>
    <w:rsid w:val="001D5E3D"/>
    <w:rsid w:val="001D5FE2"/>
    <w:rsid w:val="001D62A4"/>
    <w:rsid w:val="001D6365"/>
    <w:rsid w:val="001D643A"/>
    <w:rsid w:val="001D6707"/>
    <w:rsid w:val="001D68C7"/>
    <w:rsid w:val="001D6A73"/>
    <w:rsid w:val="001D6C9A"/>
    <w:rsid w:val="001D6F52"/>
    <w:rsid w:val="001D732B"/>
    <w:rsid w:val="001D7637"/>
    <w:rsid w:val="001D7827"/>
    <w:rsid w:val="001D7845"/>
    <w:rsid w:val="001D7D16"/>
    <w:rsid w:val="001E004D"/>
    <w:rsid w:val="001E01B9"/>
    <w:rsid w:val="001E0362"/>
    <w:rsid w:val="001E043F"/>
    <w:rsid w:val="001E0A48"/>
    <w:rsid w:val="001E0D2B"/>
    <w:rsid w:val="001E1026"/>
    <w:rsid w:val="001E1059"/>
    <w:rsid w:val="001E120A"/>
    <w:rsid w:val="001E1424"/>
    <w:rsid w:val="001E161E"/>
    <w:rsid w:val="001E184A"/>
    <w:rsid w:val="001E1962"/>
    <w:rsid w:val="001E1BFF"/>
    <w:rsid w:val="001E1EA8"/>
    <w:rsid w:val="001E227A"/>
    <w:rsid w:val="001E24BE"/>
    <w:rsid w:val="001E2653"/>
    <w:rsid w:val="001E2813"/>
    <w:rsid w:val="001E2839"/>
    <w:rsid w:val="001E2944"/>
    <w:rsid w:val="001E2A1F"/>
    <w:rsid w:val="001E2BC8"/>
    <w:rsid w:val="001E319A"/>
    <w:rsid w:val="001E31A7"/>
    <w:rsid w:val="001E3280"/>
    <w:rsid w:val="001E3358"/>
    <w:rsid w:val="001E3536"/>
    <w:rsid w:val="001E35E6"/>
    <w:rsid w:val="001E376C"/>
    <w:rsid w:val="001E3926"/>
    <w:rsid w:val="001E3954"/>
    <w:rsid w:val="001E3A7D"/>
    <w:rsid w:val="001E3E08"/>
    <w:rsid w:val="001E4066"/>
    <w:rsid w:val="001E4227"/>
    <w:rsid w:val="001E4553"/>
    <w:rsid w:val="001E45C3"/>
    <w:rsid w:val="001E4A79"/>
    <w:rsid w:val="001E4ADD"/>
    <w:rsid w:val="001E4D93"/>
    <w:rsid w:val="001E4DCE"/>
    <w:rsid w:val="001E4F00"/>
    <w:rsid w:val="001E5011"/>
    <w:rsid w:val="001E5166"/>
    <w:rsid w:val="001E51BB"/>
    <w:rsid w:val="001E52BA"/>
    <w:rsid w:val="001E5833"/>
    <w:rsid w:val="001E596B"/>
    <w:rsid w:val="001E599A"/>
    <w:rsid w:val="001E5F82"/>
    <w:rsid w:val="001E6184"/>
    <w:rsid w:val="001E6225"/>
    <w:rsid w:val="001E625D"/>
    <w:rsid w:val="001E6340"/>
    <w:rsid w:val="001E676F"/>
    <w:rsid w:val="001E67AB"/>
    <w:rsid w:val="001E68E0"/>
    <w:rsid w:val="001E698B"/>
    <w:rsid w:val="001E6A5D"/>
    <w:rsid w:val="001E6ABB"/>
    <w:rsid w:val="001E6C78"/>
    <w:rsid w:val="001E6D15"/>
    <w:rsid w:val="001E6F3E"/>
    <w:rsid w:val="001E716A"/>
    <w:rsid w:val="001E725C"/>
    <w:rsid w:val="001E72FA"/>
    <w:rsid w:val="001E74E4"/>
    <w:rsid w:val="001E7571"/>
    <w:rsid w:val="001E7672"/>
    <w:rsid w:val="001E76DB"/>
    <w:rsid w:val="001E771B"/>
    <w:rsid w:val="001E7781"/>
    <w:rsid w:val="001E7B0F"/>
    <w:rsid w:val="001E7B67"/>
    <w:rsid w:val="001E7FD2"/>
    <w:rsid w:val="001F0000"/>
    <w:rsid w:val="001F013D"/>
    <w:rsid w:val="001F0361"/>
    <w:rsid w:val="001F04BC"/>
    <w:rsid w:val="001F05A8"/>
    <w:rsid w:val="001F0699"/>
    <w:rsid w:val="001F06F4"/>
    <w:rsid w:val="001F095D"/>
    <w:rsid w:val="001F0A72"/>
    <w:rsid w:val="001F0B85"/>
    <w:rsid w:val="001F0BFF"/>
    <w:rsid w:val="001F0F15"/>
    <w:rsid w:val="001F0F19"/>
    <w:rsid w:val="001F1015"/>
    <w:rsid w:val="001F122F"/>
    <w:rsid w:val="001F1334"/>
    <w:rsid w:val="001F148A"/>
    <w:rsid w:val="001F15B8"/>
    <w:rsid w:val="001F16A4"/>
    <w:rsid w:val="001F177C"/>
    <w:rsid w:val="001F17F7"/>
    <w:rsid w:val="001F1803"/>
    <w:rsid w:val="001F1923"/>
    <w:rsid w:val="001F1B2C"/>
    <w:rsid w:val="001F21F2"/>
    <w:rsid w:val="001F2260"/>
    <w:rsid w:val="001F2305"/>
    <w:rsid w:val="001F2513"/>
    <w:rsid w:val="001F2638"/>
    <w:rsid w:val="001F27AD"/>
    <w:rsid w:val="001F28D3"/>
    <w:rsid w:val="001F29E4"/>
    <w:rsid w:val="001F2ADD"/>
    <w:rsid w:val="001F2B2A"/>
    <w:rsid w:val="001F3237"/>
    <w:rsid w:val="001F33FF"/>
    <w:rsid w:val="001F3976"/>
    <w:rsid w:val="001F3A61"/>
    <w:rsid w:val="001F3B46"/>
    <w:rsid w:val="001F3DC1"/>
    <w:rsid w:val="001F3EA1"/>
    <w:rsid w:val="001F406E"/>
    <w:rsid w:val="001F42C3"/>
    <w:rsid w:val="001F4347"/>
    <w:rsid w:val="001F435F"/>
    <w:rsid w:val="001F454D"/>
    <w:rsid w:val="001F4DCA"/>
    <w:rsid w:val="001F4DFF"/>
    <w:rsid w:val="001F4EAE"/>
    <w:rsid w:val="001F4F7D"/>
    <w:rsid w:val="001F5614"/>
    <w:rsid w:val="001F56E2"/>
    <w:rsid w:val="001F5A0A"/>
    <w:rsid w:val="001F5C1F"/>
    <w:rsid w:val="001F5C6C"/>
    <w:rsid w:val="001F5CE8"/>
    <w:rsid w:val="001F5F8D"/>
    <w:rsid w:val="001F5FD9"/>
    <w:rsid w:val="001F60AA"/>
    <w:rsid w:val="001F6297"/>
    <w:rsid w:val="001F638E"/>
    <w:rsid w:val="001F68C2"/>
    <w:rsid w:val="001F6AA4"/>
    <w:rsid w:val="001F6C50"/>
    <w:rsid w:val="001F6D2A"/>
    <w:rsid w:val="001F6D57"/>
    <w:rsid w:val="001F6D6D"/>
    <w:rsid w:val="001F70BC"/>
    <w:rsid w:val="001F7117"/>
    <w:rsid w:val="001F71B2"/>
    <w:rsid w:val="001F7602"/>
    <w:rsid w:val="001F77D0"/>
    <w:rsid w:val="001F7A42"/>
    <w:rsid w:val="001F7B62"/>
    <w:rsid w:val="001F7DB4"/>
    <w:rsid w:val="001F7E47"/>
    <w:rsid w:val="002001DF"/>
    <w:rsid w:val="002002F4"/>
    <w:rsid w:val="002006EC"/>
    <w:rsid w:val="002008DD"/>
    <w:rsid w:val="00200947"/>
    <w:rsid w:val="00200B23"/>
    <w:rsid w:val="00200B2B"/>
    <w:rsid w:val="00200D48"/>
    <w:rsid w:val="00200D52"/>
    <w:rsid w:val="00200DA6"/>
    <w:rsid w:val="002012B3"/>
    <w:rsid w:val="002012DE"/>
    <w:rsid w:val="002013EE"/>
    <w:rsid w:val="0020157F"/>
    <w:rsid w:val="0020185B"/>
    <w:rsid w:val="0020188A"/>
    <w:rsid w:val="00201A88"/>
    <w:rsid w:val="00201EE3"/>
    <w:rsid w:val="00201F28"/>
    <w:rsid w:val="00202024"/>
    <w:rsid w:val="002021C4"/>
    <w:rsid w:val="00202479"/>
    <w:rsid w:val="00202A41"/>
    <w:rsid w:val="00202AD7"/>
    <w:rsid w:val="00202ADC"/>
    <w:rsid w:val="00202B03"/>
    <w:rsid w:val="00202B3C"/>
    <w:rsid w:val="00202C45"/>
    <w:rsid w:val="00202D52"/>
    <w:rsid w:val="00202F0D"/>
    <w:rsid w:val="00202FA1"/>
    <w:rsid w:val="00202FBF"/>
    <w:rsid w:val="00203035"/>
    <w:rsid w:val="0020323F"/>
    <w:rsid w:val="00203354"/>
    <w:rsid w:val="00203A80"/>
    <w:rsid w:val="002044C6"/>
    <w:rsid w:val="00204BAF"/>
    <w:rsid w:val="00204D04"/>
    <w:rsid w:val="00204ED6"/>
    <w:rsid w:val="00205075"/>
    <w:rsid w:val="00205145"/>
    <w:rsid w:val="002051B0"/>
    <w:rsid w:val="00205344"/>
    <w:rsid w:val="002053A6"/>
    <w:rsid w:val="002057E8"/>
    <w:rsid w:val="002058AC"/>
    <w:rsid w:val="002059A8"/>
    <w:rsid w:val="00205AA1"/>
    <w:rsid w:val="00205D19"/>
    <w:rsid w:val="00205D94"/>
    <w:rsid w:val="00205DA8"/>
    <w:rsid w:val="00205DC3"/>
    <w:rsid w:val="00205DD1"/>
    <w:rsid w:val="00205EBC"/>
    <w:rsid w:val="0020663E"/>
    <w:rsid w:val="00206D38"/>
    <w:rsid w:val="002073B4"/>
    <w:rsid w:val="002074AA"/>
    <w:rsid w:val="002074CB"/>
    <w:rsid w:val="002075F5"/>
    <w:rsid w:val="0020763B"/>
    <w:rsid w:val="002076F2"/>
    <w:rsid w:val="002077CD"/>
    <w:rsid w:val="00207832"/>
    <w:rsid w:val="002079FD"/>
    <w:rsid w:val="00207B31"/>
    <w:rsid w:val="00207BED"/>
    <w:rsid w:val="00207C6F"/>
    <w:rsid w:val="0021007A"/>
    <w:rsid w:val="002101F4"/>
    <w:rsid w:val="00210461"/>
    <w:rsid w:val="0021060B"/>
    <w:rsid w:val="002106C9"/>
    <w:rsid w:val="00210859"/>
    <w:rsid w:val="002108DB"/>
    <w:rsid w:val="00210A53"/>
    <w:rsid w:val="00210C20"/>
    <w:rsid w:val="00210CC2"/>
    <w:rsid w:val="00210CEA"/>
    <w:rsid w:val="00210E0F"/>
    <w:rsid w:val="00210E58"/>
    <w:rsid w:val="00210EAF"/>
    <w:rsid w:val="00210FC5"/>
    <w:rsid w:val="00211081"/>
    <w:rsid w:val="002113EA"/>
    <w:rsid w:val="002119E9"/>
    <w:rsid w:val="00211B58"/>
    <w:rsid w:val="00211BF6"/>
    <w:rsid w:val="00211CDC"/>
    <w:rsid w:val="00211DF9"/>
    <w:rsid w:val="002122FA"/>
    <w:rsid w:val="00212310"/>
    <w:rsid w:val="00212384"/>
    <w:rsid w:val="00212386"/>
    <w:rsid w:val="00212471"/>
    <w:rsid w:val="0021248D"/>
    <w:rsid w:val="0021275B"/>
    <w:rsid w:val="002129DA"/>
    <w:rsid w:val="00212A7C"/>
    <w:rsid w:val="00212AA9"/>
    <w:rsid w:val="00212CC4"/>
    <w:rsid w:val="00212EB3"/>
    <w:rsid w:val="00213180"/>
    <w:rsid w:val="002132E8"/>
    <w:rsid w:val="002133E6"/>
    <w:rsid w:val="00213695"/>
    <w:rsid w:val="002136A7"/>
    <w:rsid w:val="00213751"/>
    <w:rsid w:val="0021384F"/>
    <w:rsid w:val="00213B0A"/>
    <w:rsid w:val="00213B22"/>
    <w:rsid w:val="00213F1D"/>
    <w:rsid w:val="0021432C"/>
    <w:rsid w:val="00214895"/>
    <w:rsid w:val="00214942"/>
    <w:rsid w:val="0021495C"/>
    <w:rsid w:val="00214B6D"/>
    <w:rsid w:val="00215864"/>
    <w:rsid w:val="00215C26"/>
    <w:rsid w:val="00215FCE"/>
    <w:rsid w:val="002161C1"/>
    <w:rsid w:val="0021646A"/>
    <w:rsid w:val="002166A2"/>
    <w:rsid w:val="002166BF"/>
    <w:rsid w:val="002169F5"/>
    <w:rsid w:val="00216ADE"/>
    <w:rsid w:val="00216E06"/>
    <w:rsid w:val="00217158"/>
    <w:rsid w:val="00217192"/>
    <w:rsid w:val="002173D2"/>
    <w:rsid w:val="00217486"/>
    <w:rsid w:val="002176B0"/>
    <w:rsid w:val="00217BF5"/>
    <w:rsid w:val="00217CAF"/>
    <w:rsid w:val="0022025D"/>
    <w:rsid w:val="002203E7"/>
    <w:rsid w:val="00220731"/>
    <w:rsid w:val="00220B31"/>
    <w:rsid w:val="00220C64"/>
    <w:rsid w:val="00220DD9"/>
    <w:rsid w:val="002215FD"/>
    <w:rsid w:val="00221B6E"/>
    <w:rsid w:val="00221BCC"/>
    <w:rsid w:val="00221C4E"/>
    <w:rsid w:val="00222070"/>
    <w:rsid w:val="002221AE"/>
    <w:rsid w:val="002224CD"/>
    <w:rsid w:val="00222570"/>
    <w:rsid w:val="00222777"/>
    <w:rsid w:val="00222A6B"/>
    <w:rsid w:val="00222B3E"/>
    <w:rsid w:val="00222C91"/>
    <w:rsid w:val="00222D34"/>
    <w:rsid w:val="0022317C"/>
    <w:rsid w:val="00223BB0"/>
    <w:rsid w:val="00223BD9"/>
    <w:rsid w:val="00223D54"/>
    <w:rsid w:val="00224073"/>
    <w:rsid w:val="00224227"/>
    <w:rsid w:val="002242C6"/>
    <w:rsid w:val="00224341"/>
    <w:rsid w:val="0022434F"/>
    <w:rsid w:val="00224453"/>
    <w:rsid w:val="002244EC"/>
    <w:rsid w:val="0022453F"/>
    <w:rsid w:val="00224549"/>
    <w:rsid w:val="0022457F"/>
    <w:rsid w:val="00224586"/>
    <w:rsid w:val="00224587"/>
    <w:rsid w:val="0022463C"/>
    <w:rsid w:val="00224F31"/>
    <w:rsid w:val="0022534F"/>
    <w:rsid w:val="002253C1"/>
    <w:rsid w:val="0022548F"/>
    <w:rsid w:val="00225525"/>
    <w:rsid w:val="0022569B"/>
    <w:rsid w:val="002256C2"/>
    <w:rsid w:val="0022572A"/>
    <w:rsid w:val="002257EC"/>
    <w:rsid w:val="00225C0B"/>
    <w:rsid w:val="00225D19"/>
    <w:rsid w:val="0022603C"/>
    <w:rsid w:val="002264E4"/>
    <w:rsid w:val="002267E7"/>
    <w:rsid w:val="00226A20"/>
    <w:rsid w:val="00226C90"/>
    <w:rsid w:val="00227528"/>
    <w:rsid w:val="00227583"/>
    <w:rsid w:val="00227A5B"/>
    <w:rsid w:val="00227B2D"/>
    <w:rsid w:val="00227BD6"/>
    <w:rsid w:val="00227E29"/>
    <w:rsid w:val="00227E30"/>
    <w:rsid w:val="0023020C"/>
    <w:rsid w:val="002303FE"/>
    <w:rsid w:val="00230689"/>
    <w:rsid w:val="00230694"/>
    <w:rsid w:val="0023093B"/>
    <w:rsid w:val="00230B3D"/>
    <w:rsid w:val="00230D6C"/>
    <w:rsid w:val="00230DE1"/>
    <w:rsid w:val="00231019"/>
    <w:rsid w:val="0023125A"/>
    <w:rsid w:val="00231400"/>
    <w:rsid w:val="0023149E"/>
    <w:rsid w:val="00231503"/>
    <w:rsid w:val="00231507"/>
    <w:rsid w:val="00231548"/>
    <w:rsid w:val="002317FA"/>
    <w:rsid w:val="00231CF5"/>
    <w:rsid w:val="00231D06"/>
    <w:rsid w:val="00231E72"/>
    <w:rsid w:val="0023209C"/>
    <w:rsid w:val="002320C7"/>
    <w:rsid w:val="002320EF"/>
    <w:rsid w:val="0023216D"/>
    <w:rsid w:val="0023217F"/>
    <w:rsid w:val="002321E0"/>
    <w:rsid w:val="002322EB"/>
    <w:rsid w:val="00232310"/>
    <w:rsid w:val="0023253F"/>
    <w:rsid w:val="00232724"/>
    <w:rsid w:val="002327C5"/>
    <w:rsid w:val="002329CE"/>
    <w:rsid w:val="00232B67"/>
    <w:rsid w:val="00232C40"/>
    <w:rsid w:val="00232D25"/>
    <w:rsid w:val="00232DD1"/>
    <w:rsid w:val="00232E20"/>
    <w:rsid w:val="00232F70"/>
    <w:rsid w:val="00232FB8"/>
    <w:rsid w:val="00232FEB"/>
    <w:rsid w:val="00233097"/>
    <w:rsid w:val="002331E2"/>
    <w:rsid w:val="002333AB"/>
    <w:rsid w:val="00233684"/>
    <w:rsid w:val="002336B3"/>
    <w:rsid w:val="00233799"/>
    <w:rsid w:val="00233A87"/>
    <w:rsid w:val="00233ABE"/>
    <w:rsid w:val="00233B9F"/>
    <w:rsid w:val="0023434C"/>
    <w:rsid w:val="002344A0"/>
    <w:rsid w:val="0023458A"/>
    <w:rsid w:val="002345B1"/>
    <w:rsid w:val="00234719"/>
    <w:rsid w:val="00234831"/>
    <w:rsid w:val="002348EA"/>
    <w:rsid w:val="00234B4A"/>
    <w:rsid w:val="00234C24"/>
    <w:rsid w:val="00234DDE"/>
    <w:rsid w:val="002350D8"/>
    <w:rsid w:val="002353B3"/>
    <w:rsid w:val="0023566F"/>
    <w:rsid w:val="002359AE"/>
    <w:rsid w:val="00235CA5"/>
    <w:rsid w:val="00235E9A"/>
    <w:rsid w:val="002364A8"/>
    <w:rsid w:val="002364F4"/>
    <w:rsid w:val="00236774"/>
    <w:rsid w:val="00236AEB"/>
    <w:rsid w:val="00236B7A"/>
    <w:rsid w:val="00236C77"/>
    <w:rsid w:val="00236ED8"/>
    <w:rsid w:val="00236EFE"/>
    <w:rsid w:val="00237197"/>
    <w:rsid w:val="0023741B"/>
    <w:rsid w:val="00237563"/>
    <w:rsid w:val="002375CE"/>
    <w:rsid w:val="002375D0"/>
    <w:rsid w:val="002376A3"/>
    <w:rsid w:val="00237740"/>
    <w:rsid w:val="00237AD0"/>
    <w:rsid w:val="00237DF5"/>
    <w:rsid w:val="00237E34"/>
    <w:rsid w:val="00237FA9"/>
    <w:rsid w:val="00240070"/>
    <w:rsid w:val="002400C5"/>
    <w:rsid w:val="00240117"/>
    <w:rsid w:val="0024013B"/>
    <w:rsid w:val="00240469"/>
    <w:rsid w:val="00240634"/>
    <w:rsid w:val="00240646"/>
    <w:rsid w:val="002407A3"/>
    <w:rsid w:val="0024087A"/>
    <w:rsid w:val="00240AD0"/>
    <w:rsid w:val="00241028"/>
    <w:rsid w:val="00241141"/>
    <w:rsid w:val="002411AF"/>
    <w:rsid w:val="002412FB"/>
    <w:rsid w:val="002415EF"/>
    <w:rsid w:val="002416E8"/>
    <w:rsid w:val="00241899"/>
    <w:rsid w:val="0024192E"/>
    <w:rsid w:val="00241B8A"/>
    <w:rsid w:val="00241CCD"/>
    <w:rsid w:val="00241CFB"/>
    <w:rsid w:val="00241E70"/>
    <w:rsid w:val="00241FF1"/>
    <w:rsid w:val="002421C9"/>
    <w:rsid w:val="00242453"/>
    <w:rsid w:val="002428CD"/>
    <w:rsid w:val="00242931"/>
    <w:rsid w:val="00242D71"/>
    <w:rsid w:val="00243207"/>
    <w:rsid w:val="002437AF"/>
    <w:rsid w:val="002438A2"/>
    <w:rsid w:val="002439FB"/>
    <w:rsid w:val="00243BA3"/>
    <w:rsid w:val="00243DE8"/>
    <w:rsid w:val="00243F15"/>
    <w:rsid w:val="00243F65"/>
    <w:rsid w:val="0024405E"/>
    <w:rsid w:val="002441ED"/>
    <w:rsid w:val="0024444A"/>
    <w:rsid w:val="002445D5"/>
    <w:rsid w:val="002446C6"/>
    <w:rsid w:val="002448CC"/>
    <w:rsid w:val="00244A97"/>
    <w:rsid w:val="00244AB3"/>
    <w:rsid w:val="00244B08"/>
    <w:rsid w:val="00244D88"/>
    <w:rsid w:val="002450AF"/>
    <w:rsid w:val="002451E6"/>
    <w:rsid w:val="002452D3"/>
    <w:rsid w:val="00245389"/>
    <w:rsid w:val="002453E3"/>
    <w:rsid w:val="00245DA3"/>
    <w:rsid w:val="00245E33"/>
    <w:rsid w:val="00246156"/>
    <w:rsid w:val="00246247"/>
    <w:rsid w:val="002463A8"/>
    <w:rsid w:val="0024667D"/>
    <w:rsid w:val="002466F8"/>
    <w:rsid w:val="00246799"/>
    <w:rsid w:val="0024679F"/>
    <w:rsid w:val="002467C1"/>
    <w:rsid w:val="00246CA3"/>
    <w:rsid w:val="00246D95"/>
    <w:rsid w:val="00246F9D"/>
    <w:rsid w:val="00247066"/>
    <w:rsid w:val="00247168"/>
    <w:rsid w:val="0024731B"/>
    <w:rsid w:val="0024734D"/>
    <w:rsid w:val="002477E0"/>
    <w:rsid w:val="00247A8A"/>
    <w:rsid w:val="00247B73"/>
    <w:rsid w:val="0025000A"/>
    <w:rsid w:val="00250029"/>
    <w:rsid w:val="00250266"/>
    <w:rsid w:val="002503C3"/>
    <w:rsid w:val="0025066D"/>
    <w:rsid w:val="0025076F"/>
    <w:rsid w:val="0025096D"/>
    <w:rsid w:val="00250DE4"/>
    <w:rsid w:val="0025110F"/>
    <w:rsid w:val="00251244"/>
    <w:rsid w:val="0025125F"/>
    <w:rsid w:val="0025132E"/>
    <w:rsid w:val="002515D2"/>
    <w:rsid w:val="0025175A"/>
    <w:rsid w:val="0025181C"/>
    <w:rsid w:val="00251863"/>
    <w:rsid w:val="00251977"/>
    <w:rsid w:val="002519CA"/>
    <w:rsid w:val="00251BC2"/>
    <w:rsid w:val="00251CA4"/>
    <w:rsid w:val="002520E5"/>
    <w:rsid w:val="002520EE"/>
    <w:rsid w:val="00252372"/>
    <w:rsid w:val="00252976"/>
    <w:rsid w:val="00252A7D"/>
    <w:rsid w:val="00252C7F"/>
    <w:rsid w:val="00252D1C"/>
    <w:rsid w:val="00252FC2"/>
    <w:rsid w:val="002533EC"/>
    <w:rsid w:val="002534AD"/>
    <w:rsid w:val="0025356D"/>
    <w:rsid w:val="00253639"/>
    <w:rsid w:val="0025366D"/>
    <w:rsid w:val="00253723"/>
    <w:rsid w:val="002538BF"/>
    <w:rsid w:val="00253976"/>
    <w:rsid w:val="00253D95"/>
    <w:rsid w:val="00253DB2"/>
    <w:rsid w:val="00253F18"/>
    <w:rsid w:val="00254020"/>
    <w:rsid w:val="00254095"/>
    <w:rsid w:val="002540FB"/>
    <w:rsid w:val="0025411B"/>
    <w:rsid w:val="00254225"/>
    <w:rsid w:val="0025428D"/>
    <w:rsid w:val="002544B7"/>
    <w:rsid w:val="00254835"/>
    <w:rsid w:val="00254C8C"/>
    <w:rsid w:val="00254D39"/>
    <w:rsid w:val="00254E89"/>
    <w:rsid w:val="00254FAD"/>
    <w:rsid w:val="00255185"/>
    <w:rsid w:val="002551F1"/>
    <w:rsid w:val="00255327"/>
    <w:rsid w:val="00255417"/>
    <w:rsid w:val="00255419"/>
    <w:rsid w:val="002555E5"/>
    <w:rsid w:val="00255CEC"/>
    <w:rsid w:val="00255DA3"/>
    <w:rsid w:val="00255DE9"/>
    <w:rsid w:val="00255E60"/>
    <w:rsid w:val="00255F15"/>
    <w:rsid w:val="00255F6D"/>
    <w:rsid w:val="00255FC1"/>
    <w:rsid w:val="00255FC4"/>
    <w:rsid w:val="00256027"/>
    <w:rsid w:val="00256402"/>
    <w:rsid w:val="002567A0"/>
    <w:rsid w:val="002568EA"/>
    <w:rsid w:val="002569C6"/>
    <w:rsid w:val="00256B68"/>
    <w:rsid w:val="00256CE5"/>
    <w:rsid w:val="00256E47"/>
    <w:rsid w:val="00257157"/>
    <w:rsid w:val="00257369"/>
    <w:rsid w:val="0025736C"/>
    <w:rsid w:val="0025752C"/>
    <w:rsid w:val="002575F7"/>
    <w:rsid w:val="00257673"/>
    <w:rsid w:val="002576AC"/>
    <w:rsid w:val="00257A15"/>
    <w:rsid w:val="00257A73"/>
    <w:rsid w:val="00257AA6"/>
    <w:rsid w:val="00257B99"/>
    <w:rsid w:val="00257D96"/>
    <w:rsid w:val="00257E41"/>
    <w:rsid w:val="00260327"/>
    <w:rsid w:val="00260609"/>
    <w:rsid w:val="00260785"/>
    <w:rsid w:val="00260996"/>
    <w:rsid w:val="00260A5A"/>
    <w:rsid w:val="00260AF4"/>
    <w:rsid w:val="00260B09"/>
    <w:rsid w:val="00260E5B"/>
    <w:rsid w:val="0026108A"/>
    <w:rsid w:val="0026167E"/>
    <w:rsid w:val="0026168D"/>
    <w:rsid w:val="00261996"/>
    <w:rsid w:val="00261D14"/>
    <w:rsid w:val="00261EFD"/>
    <w:rsid w:val="0026246E"/>
    <w:rsid w:val="002624CF"/>
    <w:rsid w:val="0026264C"/>
    <w:rsid w:val="0026291C"/>
    <w:rsid w:val="00262A4F"/>
    <w:rsid w:val="00262D4B"/>
    <w:rsid w:val="00263068"/>
    <w:rsid w:val="00263071"/>
    <w:rsid w:val="002637D5"/>
    <w:rsid w:val="00263831"/>
    <w:rsid w:val="002638B8"/>
    <w:rsid w:val="0026399F"/>
    <w:rsid w:val="00263B18"/>
    <w:rsid w:val="002640E1"/>
    <w:rsid w:val="00264444"/>
    <w:rsid w:val="00264936"/>
    <w:rsid w:val="00264BA3"/>
    <w:rsid w:val="00264C99"/>
    <w:rsid w:val="00264CAA"/>
    <w:rsid w:val="00264CBF"/>
    <w:rsid w:val="00264E8D"/>
    <w:rsid w:val="00264EAD"/>
    <w:rsid w:val="00264F82"/>
    <w:rsid w:val="0026513B"/>
    <w:rsid w:val="00265462"/>
    <w:rsid w:val="0026551E"/>
    <w:rsid w:val="00265751"/>
    <w:rsid w:val="002657AB"/>
    <w:rsid w:val="002657B0"/>
    <w:rsid w:val="00265813"/>
    <w:rsid w:val="00265BAA"/>
    <w:rsid w:val="00265CC3"/>
    <w:rsid w:val="00266141"/>
    <w:rsid w:val="00266182"/>
    <w:rsid w:val="00266465"/>
    <w:rsid w:val="002664C5"/>
    <w:rsid w:val="0026675C"/>
    <w:rsid w:val="00266B76"/>
    <w:rsid w:val="00266EAC"/>
    <w:rsid w:val="002670BE"/>
    <w:rsid w:val="00267187"/>
    <w:rsid w:val="002672D1"/>
    <w:rsid w:val="0026741A"/>
    <w:rsid w:val="002676A9"/>
    <w:rsid w:val="00267713"/>
    <w:rsid w:val="00267877"/>
    <w:rsid w:val="00267896"/>
    <w:rsid w:val="00267B95"/>
    <w:rsid w:val="00267CFA"/>
    <w:rsid w:val="00267D78"/>
    <w:rsid w:val="00267EE7"/>
    <w:rsid w:val="00267FB2"/>
    <w:rsid w:val="002702E3"/>
    <w:rsid w:val="00270406"/>
    <w:rsid w:val="002704EE"/>
    <w:rsid w:val="002705B8"/>
    <w:rsid w:val="002705EA"/>
    <w:rsid w:val="0027066B"/>
    <w:rsid w:val="0027080D"/>
    <w:rsid w:val="0027083E"/>
    <w:rsid w:val="00270A62"/>
    <w:rsid w:val="0027128C"/>
    <w:rsid w:val="0027145E"/>
    <w:rsid w:val="00271765"/>
    <w:rsid w:val="002717B9"/>
    <w:rsid w:val="00271870"/>
    <w:rsid w:val="00271C2F"/>
    <w:rsid w:val="00271D6C"/>
    <w:rsid w:val="00271F40"/>
    <w:rsid w:val="002720C2"/>
    <w:rsid w:val="0027216A"/>
    <w:rsid w:val="00272218"/>
    <w:rsid w:val="00272276"/>
    <w:rsid w:val="0027231A"/>
    <w:rsid w:val="002727C4"/>
    <w:rsid w:val="00272B9B"/>
    <w:rsid w:val="0027352E"/>
    <w:rsid w:val="002738D5"/>
    <w:rsid w:val="00273B22"/>
    <w:rsid w:val="00273F7C"/>
    <w:rsid w:val="0027457D"/>
    <w:rsid w:val="00274594"/>
    <w:rsid w:val="0027460E"/>
    <w:rsid w:val="00274816"/>
    <w:rsid w:val="002748D1"/>
    <w:rsid w:val="002749BC"/>
    <w:rsid w:val="00274B0D"/>
    <w:rsid w:val="00274E8A"/>
    <w:rsid w:val="0027520D"/>
    <w:rsid w:val="00275313"/>
    <w:rsid w:val="00275365"/>
    <w:rsid w:val="002753A1"/>
    <w:rsid w:val="0027551E"/>
    <w:rsid w:val="00275867"/>
    <w:rsid w:val="002759E8"/>
    <w:rsid w:val="00275A77"/>
    <w:rsid w:val="00275D4D"/>
    <w:rsid w:val="00275D5F"/>
    <w:rsid w:val="00275E1E"/>
    <w:rsid w:val="00275E42"/>
    <w:rsid w:val="00275F21"/>
    <w:rsid w:val="002762A8"/>
    <w:rsid w:val="0027650F"/>
    <w:rsid w:val="002767EA"/>
    <w:rsid w:val="00276B24"/>
    <w:rsid w:val="00276BB0"/>
    <w:rsid w:val="00276F0F"/>
    <w:rsid w:val="00276FA9"/>
    <w:rsid w:val="0027739F"/>
    <w:rsid w:val="002775C0"/>
    <w:rsid w:val="002779CF"/>
    <w:rsid w:val="00277E2D"/>
    <w:rsid w:val="00277F3C"/>
    <w:rsid w:val="00277F54"/>
    <w:rsid w:val="00277F8D"/>
    <w:rsid w:val="002801A9"/>
    <w:rsid w:val="00280513"/>
    <w:rsid w:val="00280A80"/>
    <w:rsid w:val="00280AD1"/>
    <w:rsid w:val="00280CAD"/>
    <w:rsid w:val="00280CCF"/>
    <w:rsid w:val="00280E29"/>
    <w:rsid w:val="00280EC8"/>
    <w:rsid w:val="0028106D"/>
    <w:rsid w:val="0028144A"/>
    <w:rsid w:val="002816AA"/>
    <w:rsid w:val="00281712"/>
    <w:rsid w:val="00281746"/>
    <w:rsid w:val="00281762"/>
    <w:rsid w:val="002818E1"/>
    <w:rsid w:val="00281931"/>
    <w:rsid w:val="00281C5C"/>
    <w:rsid w:val="00281C92"/>
    <w:rsid w:val="00281F13"/>
    <w:rsid w:val="0028249C"/>
    <w:rsid w:val="00282CF1"/>
    <w:rsid w:val="00282DA6"/>
    <w:rsid w:val="00282F1B"/>
    <w:rsid w:val="00282FBB"/>
    <w:rsid w:val="0028307E"/>
    <w:rsid w:val="0028316E"/>
    <w:rsid w:val="002831D1"/>
    <w:rsid w:val="00283887"/>
    <w:rsid w:val="00283BFE"/>
    <w:rsid w:val="00283DDE"/>
    <w:rsid w:val="00283E96"/>
    <w:rsid w:val="00283F3D"/>
    <w:rsid w:val="00283F67"/>
    <w:rsid w:val="002844B4"/>
    <w:rsid w:val="0028470A"/>
    <w:rsid w:val="002847D4"/>
    <w:rsid w:val="002849FB"/>
    <w:rsid w:val="00284CC1"/>
    <w:rsid w:val="00284DC4"/>
    <w:rsid w:val="00284E7D"/>
    <w:rsid w:val="00284FF9"/>
    <w:rsid w:val="002852DD"/>
    <w:rsid w:val="0028531C"/>
    <w:rsid w:val="0028541E"/>
    <w:rsid w:val="00285428"/>
    <w:rsid w:val="00285912"/>
    <w:rsid w:val="00285BB2"/>
    <w:rsid w:val="00285C89"/>
    <w:rsid w:val="00285D98"/>
    <w:rsid w:val="00285DE5"/>
    <w:rsid w:val="00285EED"/>
    <w:rsid w:val="00285EF6"/>
    <w:rsid w:val="00286061"/>
    <w:rsid w:val="002865DC"/>
    <w:rsid w:val="00286EDB"/>
    <w:rsid w:val="00286F88"/>
    <w:rsid w:val="00287216"/>
    <w:rsid w:val="002879D5"/>
    <w:rsid w:val="002879E6"/>
    <w:rsid w:val="00287CBC"/>
    <w:rsid w:val="00287DB0"/>
    <w:rsid w:val="0029001F"/>
    <w:rsid w:val="002901BB"/>
    <w:rsid w:val="002901ED"/>
    <w:rsid w:val="00290369"/>
    <w:rsid w:val="002905F3"/>
    <w:rsid w:val="00290663"/>
    <w:rsid w:val="00290784"/>
    <w:rsid w:val="00290819"/>
    <w:rsid w:val="00290EFF"/>
    <w:rsid w:val="00291005"/>
    <w:rsid w:val="0029102A"/>
    <w:rsid w:val="002910E5"/>
    <w:rsid w:val="00291175"/>
    <w:rsid w:val="00291377"/>
    <w:rsid w:val="002913C8"/>
    <w:rsid w:val="002913FE"/>
    <w:rsid w:val="0029150D"/>
    <w:rsid w:val="0029156D"/>
    <w:rsid w:val="002915CF"/>
    <w:rsid w:val="002916EE"/>
    <w:rsid w:val="0029185C"/>
    <w:rsid w:val="00291A3E"/>
    <w:rsid w:val="00291B80"/>
    <w:rsid w:val="00291B99"/>
    <w:rsid w:val="00291EAE"/>
    <w:rsid w:val="002922E8"/>
    <w:rsid w:val="002925EF"/>
    <w:rsid w:val="002927B6"/>
    <w:rsid w:val="00292881"/>
    <w:rsid w:val="0029292B"/>
    <w:rsid w:val="0029293D"/>
    <w:rsid w:val="00292945"/>
    <w:rsid w:val="00292B99"/>
    <w:rsid w:val="00292C1E"/>
    <w:rsid w:val="00292CDF"/>
    <w:rsid w:val="00292E42"/>
    <w:rsid w:val="00292FF6"/>
    <w:rsid w:val="0029324D"/>
    <w:rsid w:val="002934D9"/>
    <w:rsid w:val="00293602"/>
    <w:rsid w:val="00293AB3"/>
    <w:rsid w:val="00293DA7"/>
    <w:rsid w:val="00293EBE"/>
    <w:rsid w:val="00293FA1"/>
    <w:rsid w:val="00294215"/>
    <w:rsid w:val="00294642"/>
    <w:rsid w:val="002946B9"/>
    <w:rsid w:val="00294768"/>
    <w:rsid w:val="00294A05"/>
    <w:rsid w:val="00294D4C"/>
    <w:rsid w:val="00294D4D"/>
    <w:rsid w:val="00294E53"/>
    <w:rsid w:val="00294FB5"/>
    <w:rsid w:val="00295030"/>
    <w:rsid w:val="0029504D"/>
    <w:rsid w:val="002950A3"/>
    <w:rsid w:val="0029523A"/>
    <w:rsid w:val="00295555"/>
    <w:rsid w:val="00295790"/>
    <w:rsid w:val="0029581A"/>
    <w:rsid w:val="00295A56"/>
    <w:rsid w:val="00295B07"/>
    <w:rsid w:val="00295FE8"/>
    <w:rsid w:val="00296CA3"/>
    <w:rsid w:val="00296F31"/>
    <w:rsid w:val="002978FD"/>
    <w:rsid w:val="00297949"/>
    <w:rsid w:val="00297AB6"/>
    <w:rsid w:val="00297C6A"/>
    <w:rsid w:val="00297EF5"/>
    <w:rsid w:val="00297F08"/>
    <w:rsid w:val="002A0018"/>
    <w:rsid w:val="002A01A3"/>
    <w:rsid w:val="002A02C0"/>
    <w:rsid w:val="002A02FB"/>
    <w:rsid w:val="002A0376"/>
    <w:rsid w:val="002A03C8"/>
    <w:rsid w:val="002A04FA"/>
    <w:rsid w:val="002A060C"/>
    <w:rsid w:val="002A0776"/>
    <w:rsid w:val="002A0AE1"/>
    <w:rsid w:val="002A0C47"/>
    <w:rsid w:val="002A0D69"/>
    <w:rsid w:val="002A0D73"/>
    <w:rsid w:val="002A103A"/>
    <w:rsid w:val="002A12EE"/>
    <w:rsid w:val="002A1358"/>
    <w:rsid w:val="002A13F6"/>
    <w:rsid w:val="002A14DB"/>
    <w:rsid w:val="002A17D5"/>
    <w:rsid w:val="002A17F6"/>
    <w:rsid w:val="002A213E"/>
    <w:rsid w:val="002A24CD"/>
    <w:rsid w:val="002A2520"/>
    <w:rsid w:val="002A260D"/>
    <w:rsid w:val="002A2678"/>
    <w:rsid w:val="002A28E7"/>
    <w:rsid w:val="002A2C79"/>
    <w:rsid w:val="002A3053"/>
    <w:rsid w:val="002A324C"/>
    <w:rsid w:val="002A3312"/>
    <w:rsid w:val="002A33F5"/>
    <w:rsid w:val="002A3668"/>
    <w:rsid w:val="002A38C2"/>
    <w:rsid w:val="002A3D17"/>
    <w:rsid w:val="002A3D25"/>
    <w:rsid w:val="002A4007"/>
    <w:rsid w:val="002A400A"/>
    <w:rsid w:val="002A4072"/>
    <w:rsid w:val="002A432A"/>
    <w:rsid w:val="002A43E5"/>
    <w:rsid w:val="002A449E"/>
    <w:rsid w:val="002A45E5"/>
    <w:rsid w:val="002A467F"/>
    <w:rsid w:val="002A4703"/>
    <w:rsid w:val="002A479E"/>
    <w:rsid w:val="002A495E"/>
    <w:rsid w:val="002A498B"/>
    <w:rsid w:val="002A4B81"/>
    <w:rsid w:val="002A4B93"/>
    <w:rsid w:val="002A4C3F"/>
    <w:rsid w:val="002A4D08"/>
    <w:rsid w:val="002A511A"/>
    <w:rsid w:val="002A5138"/>
    <w:rsid w:val="002A5467"/>
    <w:rsid w:val="002A5563"/>
    <w:rsid w:val="002A566D"/>
    <w:rsid w:val="002A594D"/>
    <w:rsid w:val="002A673A"/>
    <w:rsid w:val="002A68FA"/>
    <w:rsid w:val="002A6B16"/>
    <w:rsid w:val="002A6D6B"/>
    <w:rsid w:val="002A6DDC"/>
    <w:rsid w:val="002A6E09"/>
    <w:rsid w:val="002A6FE6"/>
    <w:rsid w:val="002A7249"/>
    <w:rsid w:val="002A77C9"/>
    <w:rsid w:val="002A7B0A"/>
    <w:rsid w:val="002A7B6E"/>
    <w:rsid w:val="002A7C3A"/>
    <w:rsid w:val="002A7C8D"/>
    <w:rsid w:val="002B007E"/>
    <w:rsid w:val="002B00B9"/>
    <w:rsid w:val="002B013A"/>
    <w:rsid w:val="002B04D3"/>
    <w:rsid w:val="002B050F"/>
    <w:rsid w:val="002B076B"/>
    <w:rsid w:val="002B0936"/>
    <w:rsid w:val="002B0974"/>
    <w:rsid w:val="002B0DF8"/>
    <w:rsid w:val="002B0E60"/>
    <w:rsid w:val="002B1104"/>
    <w:rsid w:val="002B1340"/>
    <w:rsid w:val="002B17D3"/>
    <w:rsid w:val="002B18C2"/>
    <w:rsid w:val="002B1991"/>
    <w:rsid w:val="002B1A0F"/>
    <w:rsid w:val="002B2294"/>
    <w:rsid w:val="002B2413"/>
    <w:rsid w:val="002B248F"/>
    <w:rsid w:val="002B326D"/>
    <w:rsid w:val="002B32AD"/>
    <w:rsid w:val="002B36C5"/>
    <w:rsid w:val="002B36FC"/>
    <w:rsid w:val="002B37B6"/>
    <w:rsid w:val="002B3820"/>
    <w:rsid w:val="002B39EA"/>
    <w:rsid w:val="002B3B4C"/>
    <w:rsid w:val="002B3C2B"/>
    <w:rsid w:val="002B3DE3"/>
    <w:rsid w:val="002B3FC6"/>
    <w:rsid w:val="002B444E"/>
    <w:rsid w:val="002B44E6"/>
    <w:rsid w:val="002B4779"/>
    <w:rsid w:val="002B47AB"/>
    <w:rsid w:val="002B4D7C"/>
    <w:rsid w:val="002B4F4E"/>
    <w:rsid w:val="002B5247"/>
    <w:rsid w:val="002B525B"/>
    <w:rsid w:val="002B5A8C"/>
    <w:rsid w:val="002B5B4F"/>
    <w:rsid w:val="002B5B91"/>
    <w:rsid w:val="002B6248"/>
    <w:rsid w:val="002B65A5"/>
    <w:rsid w:val="002B6679"/>
    <w:rsid w:val="002B69AF"/>
    <w:rsid w:val="002B6CEE"/>
    <w:rsid w:val="002B6DD1"/>
    <w:rsid w:val="002B6DDA"/>
    <w:rsid w:val="002B6EE0"/>
    <w:rsid w:val="002B72F6"/>
    <w:rsid w:val="002B7421"/>
    <w:rsid w:val="002B7A35"/>
    <w:rsid w:val="002B7CCA"/>
    <w:rsid w:val="002B7F8D"/>
    <w:rsid w:val="002B7F93"/>
    <w:rsid w:val="002B7FD9"/>
    <w:rsid w:val="002B7FEA"/>
    <w:rsid w:val="002C0189"/>
    <w:rsid w:val="002C0320"/>
    <w:rsid w:val="002C039B"/>
    <w:rsid w:val="002C03E1"/>
    <w:rsid w:val="002C0618"/>
    <w:rsid w:val="002C0645"/>
    <w:rsid w:val="002C0727"/>
    <w:rsid w:val="002C0B58"/>
    <w:rsid w:val="002C0C06"/>
    <w:rsid w:val="002C0C5C"/>
    <w:rsid w:val="002C0CC6"/>
    <w:rsid w:val="002C1019"/>
    <w:rsid w:val="002C11E2"/>
    <w:rsid w:val="002C15BB"/>
    <w:rsid w:val="002C17A2"/>
    <w:rsid w:val="002C1856"/>
    <w:rsid w:val="002C1A29"/>
    <w:rsid w:val="002C1AFE"/>
    <w:rsid w:val="002C1B71"/>
    <w:rsid w:val="002C1C5A"/>
    <w:rsid w:val="002C1CF9"/>
    <w:rsid w:val="002C1CFB"/>
    <w:rsid w:val="002C1EFE"/>
    <w:rsid w:val="002C215F"/>
    <w:rsid w:val="002C2288"/>
    <w:rsid w:val="002C252D"/>
    <w:rsid w:val="002C2542"/>
    <w:rsid w:val="002C25FE"/>
    <w:rsid w:val="002C279E"/>
    <w:rsid w:val="002C2971"/>
    <w:rsid w:val="002C2D50"/>
    <w:rsid w:val="002C2E61"/>
    <w:rsid w:val="002C2EA5"/>
    <w:rsid w:val="002C3205"/>
    <w:rsid w:val="002C338C"/>
    <w:rsid w:val="002C33A2"/>
    <w:rsid w:val="002C35CA"/>
    <w:rsid w:val="002C3802"/>
    <w:rsid w:val="002C3AF6"/>
    <w:rsid w:val="002C3BE2"/>
    <w:rsid w:val="002C3E4D"/>
    <w:rsid w:val="002C3F50"/>
    <w:rsid w:val="002C4668"/>
    <w:rsid w:val="002C482F"/>
    <w:rsid w:val="002C4F2E"/>
    <w:rsid w:val="002C5226"/>
    <w:rsid w:val="002C5478"/>
    <w:rsid w:val="002C568E"/>
    <w:rsid w:val="002C5818"/>
    <w:rsid w:val="002C5850"/>
    <w:rsid w:val="002C5A5E"/>
    <w:rsid w:val="002C5A9E"/>
    <w:rsid w:val="002C5ABF"/>
    <w:rsid w:val="002C5BAF"/>
    <w:rsid w:val="002C5EFA"/>
    <w:rsid w:val="002C5F1B"/>
    <w:rsid w:val="002C6024"/>
    <w:rsid w:val="002C6124"/>
    <w:rsid w:val="002C619A"/>
    <w:rsid w:val="002C62AE"/>
    <w:rsid w:val="002C6361"/>
    <w:rsid w:val="002C645C"/>
    <w:rsid w:val="002C6A4D"/>
    <w:rsid w:val="002C6B2B"/>
    <w:rsid w:val="002C6B38"/>
    <w:rsid w:val="002C6E09"/>
    <w:rsid w:val="002C6E76"/>
    <w:rsid w:val="002C6F04"/>
    <w:rsid w:val="002C6F37"/>
    <w:rsid w:val="002C7000"/>
    <w:rsid w:val="002C737B"/>
    <w:rsid w:val="002C747A"/>
    <w:rsid w:val="002C74D3"/>
    <w:rsid w:val="002C7726"/>
    <w:rsid w:val="002C772B"/>
    <w:rsid w:val="002C786E"/>
    <w:rsid w:val="002C7A57"/>
    <w:rsid w:val="002C7B14"/>
    <w:rsid w:val="002C7B47"/>
    <w:rsid w:val="002C7DE2"/>
    <w:rsid w:val="002C7E5C"/>
    <w:rsid w:val="002D00FA"/>
    <w:rsid w:val="002D0105"/>
    <w:rsid w:val="002D0748"/>
    <w:rsid w:val="002D07AB"/>
    <w:rsid w:val="002D08AD"/>
    <w:rsid w:val="002D0941"/>
    <w:rsid w:val="002D0AA6"/>
    <w:rsid w:val="002D0C85"/>
    <w:rsid w:val="002D0FF6"/>
    <w:rsid w:val="002D0FF7"/>
    <w:rsid w:val="002D10E3"/>
    <w:rsid w:val="002D1178"/>
    <w:rsid w:val="002D130D"/>
    <w:rsid w:val="002D1445"/>
    <w:rsid w:val="002D1498"/>
    <w:rsid w:val="002D16BC"/>
    <w:rsid w:val="002D197A"/>
    <w:rsid w:val="002D2085"/>
    <w:rsid w:val="002D21E8"/>
    <w:rsid w:val="002D228C"/>
    <w:rsid w:val="002D2391"/>
    <w:rsid w:val="002D26E9"/>
    <w:rsid w:val="002D27DF"/>
    <w:rsid w:val="002D2DAA"/>
    <w:rsid w:val="002D2FB5"/>
    <w:rsid w:val="002D3311"/>
    <w:rsid w:val="002D337A"/>
    <w:rsid w:val="002D3517"/>
    <w:rsid w:val="002D363D"/>
    <w:rsid w:val="002D37EB"/>
    <w:rsid w:val="002D3963"/>
    <w:rsid w:val="002D399A"/>
    <w:rsid w:val="002D39B7"/>
    <w:rsid w:val="002D3A11"/>
    <w:rsid w:val="002D3A33"/>
    <w:rsid w:val="002D3C99"/>
    <w:rsid w:val="002D3CE6"/>
    <w:rsid w:val="002D3E63"/>
    <w:rsid w:val="002D3FED"/>
    <w:rsid w:val="002D4099"/>
    <w:rsid w:val="002D472D"/>
    <w:rsid w:val="002D4846"/>
    <w:rsid w:val="002D491F"/>
    <w:rsid w:val="002D4D31"/>
    <w:rsid w:val="002D4EBF"/>
    <w:rsid w:val="002D4F2B"/>
    <w:rsid w:val="002D5153"/>
    <w:rsid w:val="002D52C1"/>
    <w:rsid w:val="002D52FB"/>
    <w:rsid w:val="002D541B"/>
    <w:rsid w:val="002D587C"/>
    <w:rsid w:val="002D5AB1"/>
    <w:rsid w:val="002D6261"/>
    <w:rsid w:val="002D6339"/>
    <w:rsid w:val="002D65B1"/>
    <w:rsid w:val="002D660C"/>
    <w:rsid w:val="002D6851"/>
    <w:rsid w:val="002D6A9A"/>
    <w:rsid w:val="002D6B32"/>
    <w:rsid w:val="002D6C5F"/>
    <w:rsid w:val="002D6F8F"/>
    <w:rsid w:val="002D7081"/>
    <w:rsid w:val="002D7083"/>
    <w:rsid w:val="002D726A"/>
    <w:rsid w:val="002D738A"/>
    <w:rsid w:val="002D766D"/>
    <w:rsid w:val="002D7C47"/>
    <w:rsid w:val="002D7F9C"/>
    <w:rsid w:val="002D7F9F"/>
    <w:rsid w:val="002E0170"/>
    <w:rsid w:val="002E0185"/>
    <w:rsid w:val="002E02C3"/>
    <w:rsid w:val="002E033A"/>
    <w:rsid w:val="002E0366"/>
    <w:rsid w:val="002E039E"/>
    <w:rsid w:val="002E09E2"/>
    <w:rsid w:val="002E0C1A"/>
    <w:rsid w:val="002E0F21"/>
    <w:rsid w:val="002E0F76"/>
    <w:rsid w:val="002E192D"/>
    <w:rsid w:val="002E1A4A"/>
    <w:rsid w:val="002E1AF3"/>
    <w:rsid w:val="002E1B3D"/>
    <w:rsid w:val="002E1C11"/>
    <w:rsid w:val="002E1C30"/>
    <w:rsid w:val="002E1FA2"/>
    <w:rsid w:val="002E1FF6"/>
    <w:rsid w:val="002E21A3"/>
    <w:rsid w:val="002E245E"/>
    <w:rsid w:val="002E2763"/>
    <w:rsid w:val="002E276B"/>
    <w:rsid w:val="002E27D2"/>
    <w:rsid w:val="002E2A0F"/>
    <w:rsid w:val="002E2A75"/>
    <w:rsid w:val="002E2BB1"/>
    <w:rsid w:val="002E2D76"/>
    <w:rsid w:val="002E2FC3"/>
    <w:rsid w:val="002E3176"/>
    <w:rsid w:val="002E3231"/>
    <w:rsid w:val="002E326D"/>
    <w:rsid w:val="002E3465"/>
    <w:rsid w:val="002E35DE"/>
    <w:rsid w:val="002E366D"/>
    <w:rsid w:val="002E37F6"/>
    <w:rsid w:val="002E3C64"/>
    <w:rsid w:val="002E3DBB"/>
    <w:rsid w:val="002E3DCD"/>
    <w:rsid w:val="002E4138"/>
    <w:rsid w:val="002E44ED"/>
    <w:rsid w:val="002E4A54"/>
    <w:rsid w:val="002E4AFA"/>
    <w:rsid w:val="002E4BA9"/>
    <w:rsid w:val="002E4CF0"/>
    <w:rsid w:val="002E4CF5"/>
    <w:rsid w:val="002E53AC"/>
    <w:rsid w:val="002E5639"/>
    <w:rsid w:val="002E5697"/>
    <w:rsid w:val="002E57C5"/>
    <w:rsid w:val="002E581D"/>
    <w:rsid w:val="002E5887"/>
    <w:rsid w:val="002E58CB"/>
    <w:rsid w:val="002E5927"/>
    <w:rsid w:val="002E5E63"/>
    <w:rsid w:val="002E5F6A"/>
    <w:rsid w:val="002E6142"/>
    <w:rsid w:val="002E62A0"/>
    <w:rsid w:val="002E6321"/>
    <w:rsid w:val="002E635B"/>
    <w:rsid w:val="002E6409"/>
    <w:rsid w:val="002E655C"/>
    <w:rsid w:val="002E6637"/>
    <w:rsid w:val="002E6669"/>
    <w:rsid w:val="002E6907"/>
    <w:rsid w:val="002E6939"/>
    <w:rsid w:val="002E6E2A"/>
    <w:rsid w:val="002E73B2"/>
    <w:rsid w:val="002E73F8"/>
    <w:rsid w:val="002E7567"/>
    <w:rsid w:val="002E7625"/>
    <w:rsid w:val="002E771E"/>
    <w:rsid w:val="002E7F64"/>
    <w:rsid w:val="002E7FB7"/>
    <w:rsid w:val="002F053D"/>
    <w:rsid w:val="002F05A2"/>
    <w:rsid w:val="002F0660"/>
    <w:rsid w:val="002F0A0C"/>
    <w:rsid w:val="002F0B16"/>
    <w:rsid w:val="002F0C50"/>
    <w:rsid w:val="002F13A9"/>
    <w:rsid w:val="002F13CC"/>
    <w:rsid w:val="002F149C"/>
    <w:rsid w:val="002F15DE"/>
    <w:rsid w:val="002F1693"/>
    <w:rsid w:val="002F181B"/>
    <w:rsid w:val="002F18C1"/>
    <w:rsid w:val="002F1CFA"/>
    <w:rsid w:val="002F1DE3"/>
    <w:rsid w:val="002F1E07"/>
    <w:rsid w:val="002F2028"/>
    <w:rsid w:val="002F205E"/>
    <w:rsid w:val="002F21B1"/>
    <w:rsid w:val="002F2293"/>
    <w:rsid w:val="002F23CB"/>
    <w:rsid w:val="002F2416"/>
    <w:rsid w:val="002F249F"/>
    <w:rsid w:val="002F275E"/>
    <w:rsid w:val="002F28C8"/>
    <w:rsid w:val="002F2DE1"/>
    <w:rsid w:val="002F3052"/>
    <w:rsid w:val="002F30BA"/>
    <w:rsid w:val="002F31DA"/>
    <w:rsid w:val="002F323B"/>
    <w:rsid w:val="002F344C"/>
    <w:rsid w:val="002F3B16"/>
    <w:rsid w:val="002F3EB1"/>
    <w:rsid w:val="002F402B"/>
    <w:rsid w:val="002F43F5"/>
    <w:rsid w:val="002F4414"/>
    <w:rsid w:val="002F4563"/>
    <w:rsid w:val="002F46B1"/>
    <w:rsid w:val="002F4818"/>
    <w:rsid w:val="002F48E6"/>
    <w:rsid w:val="002F4B44"/>
    <w:rsid w:val="002F4B76"/>
    <w:rsid w:val="002F4B90"/>
    <w:rsid w:val="002F4CB3"/>
    <w:rsid w:val="002F5315"/>
    <w:rsid w:val="002F56A4"/>
    <w:rsid w:val="002F5875"/>
    <w:rsid w:val="002F58E6"/>
    <w:rsid w:val="002F5BF5"/>
    <w:rsid w:val="002F5C89"/>
    <w:rsid w:val="002F5D23"/>
    <w:rsid w:val="002F5EC8"/>
    <w:rsid w:val="002F6285"/>
    <w:rsid w:val="002F6399"/>
    <w:rsid w:val="002F658F"/>
    <w:rsid w:val="002F663B"/>
    <w:rsid w:val="002F6799"/>
    <w:rsid w:val="002F683B"/>
    <w:rsid w:val="002F6966"/>
    <w:rsid w:val="002F6BA6"/>
    <w:rsid w:val="002F6C92"/>
    <w:rsid w:val="002F6CCD"/>
    <w:rsid w:val="002F6CEC"/>
    <w:rsid w:val="002F6E03"/>
    <w:rsid w:val="002F724F"/>
    <w:rsid w:val="002F7338"/>
    <w:rsid w:val="002F735C"/>
    <w:rsid w:val="002F7479"/>
    <w:rsid w:val="002F7922"/>
    <w:rsid w:val="002F7AC3"/>
    <w:rsid w:val="002F7C8E"/>
    <w:rsid w:val="002F7EDD"/>
    <w:rsid w:val="00300401"/>
    <w:rsid w:val="00300468"/>
    <w:rsid w:val="003007BB"/>
    <w:rsid w:val="00300B77"/>
    <w:rsid w:val="00300CA3"/>
    <w:rsid w:val="00300E1A"/>
    <w:rsid w:val="003010E5"/>
    <w:rsid w:val="00301195"/>
    <w:rsid w:val="003011B3"/>
    <w:rsid w:val="003011D3"/>
    <w:rsid w:val="00301845"/>
    <w:rsid w:val="003018B6"/>
    <w:rsid w:val="00301990"/>
    <w:rsid w:val="00301A54"/>
    <w:rsid w:val="00301D5F"/>
    <w:rsid w:val="00301DF7"/>
    <w:rsid w:val="00301F45"/>
    <w:rsid w:val="0030228D"/>
    <w:rsid w:val="00302438"/>
    <w:rsid w:val="003024F9"/>
    <w:rsid w:val="00302509"/>
    <w:rsid w:val="003026EA"/>
    <w:rsid w:val="00302860"/>
    <w:rsid w:val="00302876"/>
    <w:rsid w:val="003029B0"/>
    <w:rsid w:val="00302C3F"/>
    <w:rsid w:val="00302DC3"/>
    <w:rsid w:val="00303073"/>
    <w:rsid w:val="00303168"/>
    <w:rsid w:val="003033C2"/>
    <w:rsid w:val="003033FB"/>
    <w:rsid w:val="003035D1"/>
    <w:rsid w:val="0030398A"/>
    <w:rsid w:val="00303C34"/>
    <w:rsid w:val="00303CBA"/>
    <w:rsid w:val="00303D5D"/>
    <w:rsid w:val="00303D9A"/>
    <w:rsid w:val="00304434"/>
    <w:rsid w:val="003044CC"/>
    <w:rsid w:val="00304559"/>
    <w:rsid w:val="00304701"/>
    <w:rsid w:val="003048EB"/>
    <w:rsid w:val="00304CDC"/>
    <w:rsid w:val="00304DD9"/>
    <w:rsid w:val="00304E2C"/>
    <w:rsid w:val="003053EB"/>
    <w:rsid w:val="00305AE9"/>
    <w:rsid w:val="00305B6B"/>
    <w:rsid w:val="00305C45"/>
    <w:rsid w:val="00305D7F"/>
    <w:rsid w:val="00305DEF"/>
    <w:rsid w:val="003060F9"/>
    <w:rsid w:val="00306122"/>
    <w:rsid w:val="00306249"/>
    <w:rsid w:val="0030638D"/>
    <w:rsid w:val="0030644F"/>
    <w:rsid w:val="0030650A"/>
    <w:rsid w:val="00306600"/>
    <w:rsid w:val="00306755"/>
    <w:rsid w:val="00306B5A"/>
    <w:rsid w:val="00306C96"/>
    <w:rsid w:val="00306D7A"/>
    <w:rsid w:val="00306DFD"/>
    <w:rsid w:val="00306E36"/>
    <w:rsid w:val="00306F76"/>
    <w:rsid w:val="003070E4"/>
    <w:rsid w:val="00307187"/>
    <w:rsid w:val="00307571"/>
    <w:rsid w:val="0030771A"/>
    <w:rsid w:val="00307813"/>
    <w:rsid w:val="00307867"/>
    <w:rsid w:val="00307A9B"/>
    <w:rsid w:val="00307CA1"/>
    <w:rsid w:val="00307CA6"/>
    <w:rsid w:val="00307F1E"/>
    <w:rsid w:val="00310038"/>
    <w:rsid w:val="00310128"/>
    <w:rsid w:val="00310285"/>
    <w:rsid w:val="00310315"/>
    <w:rsid w:val="00310378"/>
    <w:rsid w:val="003103E9"/>
    <w:rsid w:val="003104BA"/>
    <w:rsid w:val="00310549"/>
    <w:rsid w:val="003105C5"/>
    <w:rsid w:val="00310828"/>
    <w:rsid w:val="00310F12"/>
    <w:rsid w:val="00310FEC"/>
    <w:rsid w:val="00311190"/>
    <w:rsid w:val="00311290"/>
    <w:rsid w:val="00311718"/>
    <w:rsid w:val="00311A8C"/>
    <w:rsid w:val="00311AF2"/>
    <w:rsid w:val="00311CA7"/>
    <w:rsid w:val="00312006"/>
    <w:rsid w:val="0031204E"/>
    <w:rsid w:val="00312519"/>
    <w:rsid w:val="00312549"/>
    <w:rsid w:val="00312BBB"/>
    <w:rsid w:val="00312C11"/>
    <w:rsid w:val="00312C9B"/>
    <w:rsid w:val="00312EF9"/>
    <w:rsid w:val="00312F50"/>
    <w:rsid w:val="00312F8A"/>
    <w:rsid w:val="003130C3"/>
    <w:rsid w:val="003135ED"/>
    <w:rsid w:val="00313648"/>
    <w:rsid w:val="0031391D"/>
    <w:rsid w:val="00313BD5"/>
    <w:rsid w:val="00313D31"/>
    <w:rsid w:val="00313E57"/>
    <w:rsid w:val="00314057"/>
    <w:rsid w:val="00314190"/>
    <w:rsid w:val="00314307"/>
    <w:rsid w:val="00314497"/>
    <w:rsid w:val="00314656"/>
    <w:rsid w:val="003147BE"/>
    <w:rsid w:val="00314E99"/>
    <w:rsid w:val="00314F3D"/>
    <w:rsid w:val="00314FB8"/>
    <w:rsid w:val="00315296"/>
    <w:rsid w:val="003153F5"/>
    <w:rsid w:val="00315449"/>
    <w:rsid w:val="00315508"/>
    <w:rsid w:val="00315BB7"/>
    <w:rsid w:val="00315EAC"/>
    <w:rsid w:val="00315F53"/>
    <w:rsid w:val="00315FEE"/>
    <w:rsid w:val="003160B9"/>
    <w:rsid w:val="0031615C"/>
    <w:rsid w:val="0031626E"/>
    <w:rsid w:val="003163ED"/>
    <w:rsid w:val="00316476"/>
    <w:rsid w:val="003167C2"/>
    <w:rsid w:val="00316EA7"/>
    <w:rsid w:val="0031710A"/>
    <w:rsid w:val="00317349"/>
    <w:rsid w:val="00317544"/>
    <w:rsid w:val="00317796"/>
    <w:rsid w:val="003177CC"/>
    <w:rsid w:val="00317B41"/>
    <w:rsid w:val="00317DAB"/>
    <w:rsid w:val="00317F6B"/>
    <w:rsid w:val="00320186"/>
    <w:rsid w:val="00320322"/>
    <w:rsid w:val="0032033A"/>
    <w:rsid w:val="003204D0"/>
    <w:rsid w:val="00320BD6"/>
    <w:rsid w:val="00320DAC"/>
    <w:rsid w:val="00320DD4"/>
    <w:rsid w:val="00321063"/>
    <w:rsid w:val="0032154B"/>
    <w:rsid w:val="00321752"/>
    <w:rsid w:val="00321AB5"/>
    <w:rsid w:val="00321ABF"/>
    <w:rsid w:val="00321F23"/>
    <w:rsid w:val="003220A3"/>
    <w:rsid w:val="0032239B"/>
    <w:rsid w:val="003223EE"/>
    <w:rsid w:val="00322723"/>
    <w:rsid w:val="003227A5"/>
    <w:rsid w:val="003229C5"/>
    <w:rsid w:val="00322AC6"/>
    <w:rsid w:val="0032343B"/>
    <w:rsid w:val="0032350B"/>
    <w:rsid w:val="0032383E"/>
    <w:rsid w:val="00323982"/>
    <w:rsid w:val="00323A22"/>
    <w:rsid w:val="00323BCD"/>
    <w:rsid w:val="00323BF1"/>
    <w:rsid w:val="00323CC7"/>
    <w:rsid w:val="00323EE6"/>
    <w:rsid w:val="00323F25"/>
    <w:rsid w:val="003241ED"/>
    <w:rsid w:val="0032482A"/>
    <w:rsid w:val="00324946"/>
    <w:rsid w:val="00324A4A"/>
    <w:rsid w:val="00324E6A"/>
    <w:rsid w:val="00325087"/>
    <w:rsid w:val="0032509A"/>
    <w:rsid w:val="00325664"/>
    <w:rsid w:val="00325949"/>
    <w:rsid w:val="00325AA2"/>
    <w:rsid w:val="00325CE5"/>
    <w:rsid w:val="00325D30"/>
    <w:rsid w:val="00325DD1"/>
    <w:rsid w:val="00325E80"/>
    <w:rsid w:val="00325EF6"/>
    <w:rsid w:val="00325FAA"/>
    <w:rsid w:val="0032639C"/>
    <w:rsid w:val="0032687A"/>
    <w:rsid w:val="00326DF8"/>
    <w:rsid w:val="00326E5B"/>
    <w:rsid w:val="0032746F"/>
    <w:rsid w:val="00327739"/>
    <w:rsid w:val="00327772"/>
    <w:rsid w:val="00327794"/>
    <w:rsid w:val="0032786E"/>
    <w:rsid w:val="00327AE5"/>
    <w:rsid w:val="00327BA8"/>
    <w:rsid w:val="003301D6"/>
    <w:rsid w:val="00330274"/>
    <w:rsid w:val="00330388"/>
    <w:rsid w:val="003306A5"/>
    <w:rsid w:val="00330712"/>
    <w:rsid w:val="0033075E"/>
    <w:rsid w:val="003307BA"/>
    <w:rsid w:val="003307C4"/>
    <w:rsid w:val="00330B28"/>
    <w:rsid w:val="00330BD2"/>
    <w:rsid w:val="00330E03"/>
    <w:rsid w:val="00330F7D"/>
    <w:rsid w:val="00331444"/>
    <w:rsid w:val="00331553"/>
    <w:rsid w:val="00331D05"/>
    <w:rsid w:val="00331D9E"/>
    <w:rsid w:val="00331EB4"/>
    <w:rsid w:val="00332169"/>
    <w:rsid w:val="00332259"/>
    <w:rsid w:val="0033236E"/>
    <w:rsid w:val="00332445"/>
    <w:rsid w:val="00332613"/>
    <w:rsid w:val="0033265B"/>
    <w:rsid w:val="003326DE"/>
    <w:rsid w:val="00332A47"/>
    <w:rsid w:val="00332BE0"/>
    <w:rsid w:val="00332E5F"/>
    <w:rsid w:val="00333236"/>
    <w:rsid w:val="003332C6"/>
    <w:rsid w:val="0033339A"/>
    <w:rsid w:val="0033347C"/>
    <w:rsid w:val="00333753"/>
    <w:rsid w:val="0033391F"/>
    <w:rsid w:val="00333CCF"/>
    <w:rsid w:val="00333EA9"/>
    <w:rsid w:val="003342D3"/>
    <w:rsid w:val="0033436F"/>
    <w:rsid w:val="003346DB"/>
    <w:rsid w:val="003349F2"/>
    <w:rsid w:val="00334A17"/>
    <w:rsid w:val="00334CD5"/>
    <w:rsid w:val="00334D5D"/>
    <w:rsid w:val="00334EE3"/>
    <w:rsid w:val="0033519E"/>
    <w:rsid w:val="003351F0"/>
    <w:rsid w:val="00335560"/>
    <w:rsid w:val="00335695"/>
    <w:rsid w:val="003358D1"/>
    <w:rsid w:val="003358DB"/>
    <w:rsid w:val="00335923"/>
    <w:rsid w:val="00335B2C"/>
    <w:rsid w:val="00335C6B"/>
    <w:rsid w:val="00335D9D"/>
    <w:rsid w:val="003360AD"/>
    <w:rsid w:val="00336351"/>
    <w:rsid w:val="003364B5"/>
    <w:rsid w:val="00336825"/>
    <w:rsid w:val="00336861"/>
    <w:rsid w:val="003368DA"/>
    <w:rsid w:val="00336A0F"/>
    <w:rsid w:val="00336B09"/>
    <w:rsid w:val="00336B9F"/>
    <w:rsid w:val="00336C58"/>
    <w:rsid w:val="00336DE9"/>
    <w:rsid w:val="00336F6A"/>
    <w:rsid w:val="0033701F"/>
    <w:rsid w:val="00337061"/>
    <w:rsid w:val="00337071"/>
    <w:rsid w:val="003371BB"/>
    <w:rsid w:val="00337337"/>
    <w:rsid w:val="003373D9"/>
    <w:rsid w:val="00337441"/>
    <w:rsid w:val="00337942"/>
    <w:rsid w:val="00337BDF"/>
    <w:rsid w:val="00337F17"/>
    <w:rsid w:val="0034095E"/>
    <w:rsid w:val="00340DFB"/>
    <w:rsid w:val="0034139A"/>
    <w:rsid w:val="0034143A"/>
    <w:rsid w:val="003416A4"/>
    <w:rsid w:val="00341B04"/>
    <w:rsid w:val="00341C65"/>
    <w:rsid w:val="00341DA9"/>
    <w:rsid w:val="0034207A"/>
    <w:rsid w:val="003423CA"/>
    <w:rsid w:val="003424AE"/>
    <w:rsid w:val="003425A3"/>
    <w:rsid w:val="00342879"/>
    <w:rsid w:val="00342998"/>
    <w:rsid w:val="00342CA4"/>
    <w:rsid w:val="00342CE4"/>
    <w:rsid w:val="00342E19"/>
    <w:rsid w:val="0034313A"/>
    <w:rsid w:val="003432B4"/>
    <w:rsid w:val="003438E2"/>
    <w:rsid w:val="00343F5D"/>
    <w:rsid w:val="0034403E"/>
    <w:rsid w:val="003440D2"/>
    <w:rsid w:val="003443EC"/>
    <w:rsid w:val="0034465D"/>
    <w:rsid w:val="00344660"/>
    <w:rsid w:val="003448EB"/>
    <w:rsid w:val="003449F3"/>
    <w:rsid w:val="00344B2B"/>
    <w:rsid w:val="00344B34"/>
    <w:rsid w:val="00344B64"/>
    <w:rsid w:val="00344DF1"/>
    <w:rsid w:val="00344F28"/>
    <w:rsid w:val="00345163"/>
    <w:rsid w:val="00345185"/>
    <w:rsid w:val="00345298"/>
    <w:rsid w:val="0034544D"/>
    <w:rsid w:val="003455E3"/>
    <w:rsid w:val="003459EE"/>
    <w:rsid w:val="00345FDD"/>
    <w:rsid w:val="003461BC"/>
    <w:rsid w:val="003462F3"/>
    <w:rsid w:val="003462FC"/>
    <w:rsid w:val="003469CF"/>
    <w:rsid w:val="00347484"/>
    <w:rsid w:val="003474E1"/>
    <w:rsid w:val="00347613"/>
    <w:rsid w:val="0034774F"/>
    <w:rsid w:val="003478D1"/>
    <w:rsid w:val="003478FC"/>
    <w:rsid w:val="0034796C"/>
    <w:rsid w:val="00347976"/>
    <w:rsid w:val="00347C09"/>
    <w:rsid w:val="00347FA2"/>
    <w:rsid w:val="00350274"/>
    <w:rsid w:val="00350484"/>
    <w:rsid w:val="003506D0"/>
    <w:rsid w:val="00350792"/>
    <w:rsid w:val="003507BA"/>
    <w:rsid w:val="00350888"/>
    <w:rsid w:val="003508DA"/>
    <w:rsid w:val="003508ED"/>
    <w:rsid w:val="003508F8"/>
    <w:rsid w:val="00350C8A"/>
    <w:rsid w:val="00350CE0"/>
    <w:rsid w:val="00350D85"/>
    <w:rsid w:val="00351196"/>
    <w:rsid w:val="0035164B"/>
    <w:rsid w:val="00351810"/>
    <w:rsid w:val="00351B66"/>
    <w:rsid w:val="00351CA3"/>
    <w:rsid w:val="00351D46"/>
    <w:rsid w:val="00352582"/>
    <w:rsid w:val="00352681"/>
    <w:rsid w:val="00352ABA"/>
    <w:rsid w:val="00352B82"/>
    <w:rsid w:val="00352C8C"/>
    <w:rsid w:val="00352D65"/>
    <w:rsid w:val="00352EDB"/>
    <w:rsid w:val="003530C2"/>
    <w:rsid w:val="0035334C"/>
    <w:rsid w:val="003534CE"/>
    <w:rsid w:val="003534E5"/>
    <w:rsid w:val="00353531"/>
    <w:rsid w:val="00353C38"/>
    <w:rsid w:val="00353D47"/>
    <w:rsid w:val="00353EF4"/>
    <w:rsid w:val="00354745"/>
    <w:rsid w:val="0035477A"/>
    <w:rsid w:val="003548CB"/>
    <w:rsid w:val="00354ADF"/>
    <w:rsid w:val="00354C03"/>
    <w:rsid w:val="0035503F"/>
    <w:rsid w:val="00355380"/>
    <w:rsid w:val="003553EB"/>
    <w:rsid w:val="003554AD"/>
    <w:rsid w:val="0035558A"/>
    <w:rsid w:val="003556E4"/>
    <w:rsid w:val="00355802"/>
    <w:rsid w:val="003558B7"/>
    <w:rsid w:val="00355911"/>
    <w:rsid w:val="00356047"/>
    <w:rsid w:val="00356049"/>
    <w:rsid w:val="00356125"/>
    <w:rsid w:val="0035645B"/>
    <w:rsid w:val="00356465"/>
    <w:rsid w:val="00356759"/>
    <w:rsid w:val="00356B55"/>
    <w:rsid w:val="00356CE8"/>
    <w:rsid w:val="00356EEC"/>
    <w:rsid w:val="00356F59"/>
    <w:rsid w:val="00356F73"/>
    <w:rsid w:val="00357493"/>
    <w:rsid w:val="0035781C"/>
    <w:rsid w:val="003579C5"/>
    <w:rsid w:val="00357A95"/>
    <w:rsid w:val="00357AC0"/>
    <w:rsid w:val="00357AC7"/>
    <w:rsid w:val="00357CA5"/>
    <w:rsid w:val="00357D24"/>
    <w:rsid w:val="00360017"/>
    <w:rsid w:val="00360067"/>
    <w:rsid w:val="00360169"/>
    <w:rsid w:val="00360443"/>
    <w:rsid w:val="0036071A"/>
    <w:rsid w:val="00360767"/>
    <w:rsid w:val="003609AA"/>
    <w:rsid w:val="00360AAF"/>
    <w:rsid w:val="00360B64"/>
    <w:rsid w:val="00360B8A"/>
    <w:rsid w:val="00360C96"/>
    <w:rsid w:val="00360E59"/>
    <w:rsid w:val="00361262"/>
    <w:rsid w:val="0036175C"/>
    <w:rsid w:val="003618FF"/>
    <w:rsid w:val="0036192F"/>
    <w:rsid w:val="00361C09"/>
    <w:rsid w:val="00361CB3"/>
    <w:rsid w:val="00361D7A"/>
    <w:rsid w:val="00361E12"/>
    <w:rsid w:val="0036208D"/>
    <w:rsid w:val="00362095"/>
    <w:rsid w:val="003620D7"/>
    <w:rsid w:val="00362114"/>
    <w:rsid w:val="00362392"/>
    <w:rsid w:val="00362968"/>
    <w:rsid w:val="00362DA2"/>
    <w:rsid w:val="00363391"/>
    <w:rsid w:val="003635B3"/>
    <w:rsid w:val="0036373E"/>
    <w:rsid w:val="00363AFE"/>
    <w:rsid w:val="00363BEC"/>
    <w:rsid w:val="00363D09"/>
    <w:rsid w:val="00363D9C"/>
    <w:rsid w:val="00363DE2"/>
    <w:rsid w:val="0036407C"/>
    <w:rsid w:val="003641CD"/>
    <w:rsid w:val="0036431A"/>
    <w:rsid w:val="0036463C"/>
    <w:rsid w:val="00364673"/>
    <w:rsid w:val="0036474E"/>
    <w:rsid w:val="00364767"/>
    <w:rsid w:val="00364993"/>
    <w:rsid w:val="00364F64"/>
    <w:rsid w:val="00364F68"/>
    <w:rsid w:val="0036528E"/>
    <w:rsid w:val="003653DC"/>
    <w:rsid w:val="003653F2"/>
    <w:rsid w:val="0036548A"/>
    <w:rsid w:val="003654D3"/>
    <w:rsid w:val="003654E1"/>
    <w:rsid w:val="003655F0"/>
    <w:rsid w:val="003659D8"/>
    <w:rsid w:val="00365A7D"/>
    <w:rsid w:val="00365B34"/>
    <w:rsid w:val="00365C71"/>
    <w:rsid w:val="00365D06"/>
    <w:rsid w:val="00366075"/>
    <w:rsid w:val="00366236"/>
    <w:rsid w:val="0036683D"/>
    <w:rsid w:val="003668C6"/>
    <w:rsid w:val="00366F75"/>
    <w:rsid w:val="0036722F"/>
    <w:rsid w:val="003672BE"/>
    <w:rsid w:val="00367416"/>
    <w:rsid w:val="0036747A"/>
    <w:rsid w:val="003675CA"/>
    <w:rsid w:val="003677D9"/>
    <w:rsid w:val="003678EB"/>
    <w:rsid w:val="00367AC5"/>
    <w:rsid w:val="00367D84"/>
    <w:rsid w:val="0037013C"/>
    <w:rsid w:val="00370221"/>
    <w:rsid w:val="0037030B"/>
    <w:rsid w:val="003703F1"/>
    <w:rsid w:val="00370775"/>
    <w:rsid w:val="00370986"/>
    <w:rsid w:val="00370C04"/>
    <w:rsid w:val="00370EFB"/>
    <w:rsid w:val="00371026"/>
    <w:rsid w:val="00371278"/>
    <w:rsid w:val="00371531"/>
    <w:rsid w:val="003716A5"/>
    <w:rsid w:val="00371759"/>
    <w:rsid w:val="003719CD"/>
    <w:rsid w:val="00371A2F"/>
    <w:rsid w:val="00371CF7"/>
    <w:rsid w:val="00372121"/>
    <w:rsid w:val="0037223B"/>
    <w:rsid w:val="003722B6"/>
    <w:rsid w:val="003725CB"/>
    <w:rsid w:val="003727A2"/>
    <w:rsid w:val="003727AB"/>
    <w:rsid w:val="003727B0"/>
    <w:rsid w:val="003728A2"/>
    <w:rsid w:val="0037295C"/>
    <w:rsid w:val="00372B96"/>
    <w:rsid w:val="003734F7"/>
    <w:rsid w:val="00373834"/>
    <w:rsid w:val="00373891"/>
    <w:rsid w:val="00373A1A"/>
    <w:rsid w:val="00373B3F"/>
    <w:rsid w:val="00373C35"/>
    <w:rsid w:val="00373C57"/>
    <w:rsid w:val="00373EBD"/>
    <w:rsid w:val="00374076"/>
    <w:rsid w:val="003740C4"/>
    <w:rsid w:val="00374101"/>
    <w:rsid w:val="003745B1"/>
    <w:rsid w:val="003745E5"/>
    <w:rsid w:val="003747B4"/>
    <w:rsid w:val="00374851"/>
    <w:rsid w:val="00374980"/>
    <w:rsid w:val="00374A41"/>
    <w:rsid w:val="00374B93"/>
    <w:rsid w:val="00374BFA"/>
    <w:rsid w:val="00374CAB"/>
    <w:rsid w:val="00374D58"/>
    <w:rsid w:val="00374F2F"/>
    <w:rsid w:val="00375099"/>
    <w:rsid w:val="0037518E"/>
    <w:rsid w:val="003753FC"/>
    <w:rsid w:val="00375482"/>
    <w:rsid w:val="003755E7"/>
    <w:rsid w:val="003757D1"/>
    <w:rsid w:val="0037589F"/>
    <w:rsid w:val="00375CF1"/>
    <w:rsid w:val="00375EFA"/>
    <w:rsid w:val="00376276"/>
    <w:rsid w:val="0037632C"/>
    <w:rsid w:val="00376408"/>
    <w:rsid w:val="003767E6"/>
    <w:rsid w:val="00376846"/>
    <w:rsid w:val="003769AA"/>
    <w:rsid w:val="00376A36"/>
    <w:rsid w:val="00376B00"/>
    <w:rsid w:val="00376B62"/>
    <w:rsid w:val="00376C81"/>
    <w:rsid w:val="00376CCE"/>
    <w:rsid w:val="003772C5"/>
    <w:rsid w:val="0037751B"/>
    <w:rsid w:val="00377527"/>
    <w:rsid w:val="0037758E"/>
    <w:rsid w:val="003777EE"/>
    <w:rsid w:val="00377831"/>
    <w:rsid w:val="0037786E"/>
    <w:rsid w:val="0037794D"/>
    <w:rsid w:val="00377AAC"/>
    <w:rsid w:val="00377B00"/>
    <w:rsid w:val="00377E0E"/>
    <w:rsid w:val="00380216"/>
    <w:rsid w:val="0038034B"/>
    <w:rsid w:val="00380688"/>
    <w:rsid w:val="00380722"/>
    <w:rsid w:val="00380A79"/>
    <w:rsid w:val="00380BE9"/>
    <w:rsid w:val="00380CA3"/>
    <w:rsid w:val="00380ECD"/>
    <w:rsid w:val="00380F10"/>
    <w:rsid w:val="00381550"/>
    <w:rsid w:val="00381DF2"/>
    <w:rsid w:val="0038213F"/>
    <w:rsid w:val="0038241B"/>
    <w:rsid w:val="00382573"/>
    <w:rsid w:val="003826E5"/>
    <w:rsid w:val="003826F3"/>
    <w:rsid w:val="003827CF"/>
    <w:rsid w:val="003828CB"/>
    <w:rsid w:val="003829E2"/>
    <w:rsid w:val="00382A69"/>
    <w:rsid w:val="00382C77"/>
    <w:rsid w:val="00382DC2"/>
    <w:rsid w:val="00382DCF"/>
    <w:rsid w:val="00382FEB"/>
    <w:rsid w:val="00383043"/>
    <w:rsid w:val="00383288"/>
    <w:rsid w:val="003833C6"/>
    <w:rsid w:val="003833E2"/>
    <w:rsid w:val="0038344C"/>
    <w:rsid w:val="003834D0"/>
    <w:rsid w:val="00383745"/>
    <w:rsid w:val="00384089"/>
    <w:rsid w:val="00384249"/>
    <w:rsid w:val="003843CF"/>
    <w:rsid w:val="003844BF"/>
    <w:rsid w:val="003844F8"/>
    <w:rsid w:val="0038478C"/>
    <w:rsid w:val="003847C6"/>
    <w:rsid w:val="003848AA"/>
    <w:rsid w:val="003849F0"/>
    <w:rsid w:val="00384B29"/>
    <w:rsid w:val="0038503A"/>
    <w:rsid w:val="003851A4"/>
    <w:rsid w:val="00385231"/>
    <w:rsid w:val="00385536"/>
    <w:rsid w:val="00385AF3"/>
    <w:rsid w:val="00385C9B"/>
    <w:rsid w:val="00386096"/>
    <w:rsid w:val="003862A8"/>
    <w:rsid w:val="003864AD"/>
    <w:rsid w:val="00386556"/>
    <w:rsid w:val="0038659B"/>
    <w:rsid w:val="003866D5"/>
    <w:rsid w:val="003869C9"/>
    <w:rsid w:val="00386C0B"/>
    <w:rsid w:val="00386CC4"/>
    <w:rsid w:val="00386F0D"/>
    <w:rsid w:val="0038709F"/>
    <w:rsid w:val="0038732E"/>
    <w:rsid w:val="0038742A"/>
    <w:rsid w:val="00387673"/>
    <w:rsid w:val="003876B8"/>
    <w:rsid w:val="0038774E"/>
    <w:rsid w:val="0038780E"/>
    <w:rsid w:val="00387AA8"/>
    <w:rsid w:val="00390066"/>
    <w:rsid w:val="003901A5"/>
    <w:rsid w:val="003903B8"/>
    <w:rsid w:val="003904C9"/>
    <w:rsid w:val="003904D9"/>
    <w:rsid w:val="003905B6"/>
    <w:rsid w:val="00390797"/>
    <w:rsid w:val="00390ABD"/>
    <w:rsid w:val="00390B75"/>
    <w:rsid w:val="00390BE6"/>
    <w:rsid w:val="00390F67"/>
    <w:rsid w:val="00390FFB"/>
    <w:rsid w:val="00391182"/>
    <w:rsid w:val="003912F2"/>
    <w:rsid w:val="00391328"/>
    <w:rsid w:val="00391369"/>
    <w:rsid w:val="003916D3"/>
    <w:rsid w:val="00391CB5"/>
    <w:rsid w:val="00391F56"/>
    <w:rsid w:val="00392375"/>
    <w:rsid w:val="00392ADF"/>
    <w:rsid w:val="00392BCB"/>
    <w:rsid w:val="00392E5E"/>
    <w:rsid w:val="00393308"/>
    <w:rsid w:val="00393509"/>
    <w:rsid w:val="00393589"/>
    <w:rsid w:val="003935B5"/>
    <w:rsid w:val="00393647"/>
    <w:rsid w:val="0039379D"/>
    <w:rsid w:val="00393970"/>
    <w:rsid w:val="00393976"/>
    <w:rsid w:val="00393998"/>
    <w:rsid w:val="00393BEA"/>
    <w:rsid w:val="00393CD0"/>
    <w:rsid w:val="0039405B"/>
    <w:rsid w:val="00394132"/>
    <w:rsid w:val="00394691"/>
    <w:rsid w:val="003946BE"/>
    <w:rsid w:val="00394741"/>
    <w:rsid w:val="00394A3B"/>
    <w:rsid w:val="00394C5E"/>
    <w:rsid w:val="00394E8A"/>
    <w:rsid w:val="00394ED6"/>
    <w:rsid w:val="00395065"/>
    <w:rsid w:val="00395235"/>
    <w:rsid w:val="00395306"/>
    <w:rsid w:val="00395419"/>
    <w:rsid w:val="003955AB"/>
    <w:rsid w:val="003955C0"/>
    <w:rsid w:val="00395753"/>
    <w:rsid w:val="003957F0"/>
    <w:rsid w:val="00395C7D"/>
    <w:rsid w:val="00395D08"/>
    <w:rsid w:val="00395F12"/>
    <w:rsid w:val="0039628C"/>
    <w:rsid w:val="00396387"/>
    <w:rsid w:val="0039681A"/>
    <w:rsid w:val="00396954"/>
    <w:rsid w:val="003969DC"/>
    <w:rsid w:val="00396BA6"/>
    <w:rsid w:val="00397010"/>
    <w:rsid w:val="003970F8"/>
    <w:rsid w:val="00397196"/>
    <w:rsid w:val="0039755F"/>
    <w:rsid w:val="00397623"/>
    <w:rsid w:val="003976B0"/>
    <w:rsid w:val="00397B2E"/>
    <w:rsid w:val="00397C94"/>
    <w:rsid w:val="00397CA8"/>
    <w:rsid w:val="00397D9C"/>
    <w:rsid w:val="00397E0C"/>
    <w:rsid w:val="003A00A6"/>
    <w:rsid w:val="003A01A2"/>
    <w:rsid w:val="003A037D"/>
    <w:rsid w:val="003A0447"/>
    <w:rsid w:val="003A0578"/>
    <w:rsid w:val="003A068D"/>
    <w:rsid w:val="003A07AA"/>
    <w:rsid w:val="003A083E"/>
    <w:rsid w:val="003A0A5F"/>
    <w:rsid w:val="003A0BEB"/>
    <w:rsid w:val="003A1025"/>
    <w:rsid w:val="003A143C"/>
    <w:rsid w:val="003A1659"/>
    <w:rsid w:val="003A172E"/>
    <w:rsid w:val="003A19C7"/>
    <w:rsid w:val="003A1B70"/>
    <w:rsid w:val="003A2043"/>
    <w:rsid w:val="003A206A"/>
    <w:rsid w:val="003A244E"/>
    <w:rsid w:val="003A290F"/>
    <w:rsid w:val="003A2B06"/>
    <w:rsid w:val="003A2B5B"/>
    <w:rsid w:val="003A3079"/>
    <w:rsid w:val="003A3348"/>
    <w:rsid w:val="003A3529"/>
    <w:rsid w:val="003A35CF"/>
    <w:rsid w:val="003A371E"/>
    <w:rsid w:val="003A375D"/>
    <w:rsid w:val="003A3841"/>
    <w:rsid w:val="003A3B01"/>
    <w:rsid w:val="003A3B12"/>
    <w:rsid w:val="003A3C5F"/>
    <w:rsid w:val="003A3E98"/>
    <w:rsid w:val="003A42B7"/>
    <w:rsid w:val="003A4859"/>
    <w:rsid w:val="003A4C60"/>
    <w:rsid w:val="003A4E42"/>
    <w:rsid w:val="003A51BE"/>
    <w:rsid w:val="003A5344"/>
    <w:rsid w:val="003A564C"/>
    <w:rsid w:val="003A56E2"/>
    <w:rsid w:val="003A574E"/>
    <w:rsid w:val="003A5986"/>
    <w:rsid w:val="003A59FF"/>
    <w:rsid w:val="003A5B9F"/>
    <w:rsid w:val="003A5BF9"/>
    <w:rsid w:val="003A5D2C"/>
    <w:rsid w:val="003A5D59"/>
    <w:rsid w:val="003A5F64"/>
    <w:rsid w:val="003A6457"/>
    <w:rsid w:val="003A6480"/>
    <w:rsid w:val="003A64E8"/>
    <w:rsid w:val="003A6526"/>
    <w:rsid w:val="003A668B"/>
    <w:rsid w:val="003A6917"/>
    <w:rsid w:val="003A6979"/>
    <w:rsid w:val="003A6A18"/>
    <w:rsid w:val="003A6C4B"/>
    <w:rsid w:val="003A6E31"/>
    <w:rsid w:val="003A7369"/>
    <w:rsid w:val="003A7428"/>
    <w:rsid w:val="003A752A"/>
    <w:rsid w:val="003A7731"/>
    <w:rsid w:val="003A78A4"/>
    <w:rsid w:val="003A7B95"/>
    <w:rsid w:val="003A7E69"/>
    <w:rsid w:val="003B0680"/>
    <w:rsid w:val="003B07D3"/>
    <w:rsid w:val="003B086F"/>
    <w:rsid w:val="003B0EE0"/>
    <w:rsid w:val="003B1264"/>
    <w:rsid w:val="003B12AC"/>
    <w:rsid w:val="003B141C"/>
    <w:rsid w:val="003B14C2"/>
    <w:rsid w:val="003B15F8"/>
    <w:rsid w:val="003B1710"/>
    <w:rsid w:val="003B1744"/>
    <w:rsid w:val="003B1919"/>
    <w:rsid w:val="003B1B69"/>
    <w:rsid w:val="003B1C0F"/>
    <w:rsid w:val="003B1CEB"/>
    <w:rsid w:val="003B1DAF"/>
    <w:rsid w:val="003B201B"/>
    <w:rsid w:val="003B20DA"/>
    <w:rsid w:val="003B25BA"/>
    <w:rsid w:val="003B267B"/>
    <w:rsid w:val="003B2837"/>
    <w:rsid w:val="003B2B36"/>
    <w:rsid w:val="003B3079"/>
    <w:rsid w:val="003B30E2"/>
    <w:rsid w:val="003B3252"/>
    <w:rsid w:val="003B3299"/>
    <w:rsid w:val="003B341D"/>
    <w:rsid w:val="003B34A3"/>
    <w:rsid w:val="003B3A38"/>
    <w:rsid w:val="003B3A93"/>
    <w:rsid w:val="003B3AF1"/>
    <w:rsid w:val="003B3DBB"/>
    <w:rsid w:val="003B408D"/>
    <w:rsid w:val="003B43E6"/>
    <w:rsid w:val="003B440E"/>
    <w:rsid w:val="003B442C"/>
    <w:rsid w:val="003B442F"/>
    <w:rsid w:val="003B47C0"/>
    <w:rsid w:val="003B49A0"/>
    <w:rsid w:val="003B4A12"/>
    <w:rsid w:val="003B4D1E"/>
    <w:rsid w:val="003B4DDF"/>
    <w:rsid w:val="003B4DEF"/>
    <w:rsid w:val="003B4EC5"/>
    <w:rsid w:val="003B50B0"/>
    <w:rsid w:val="003B50DF"/>
    <w:rsid w:val="003B51D0"/>
    <w:rsid w:val="003B5316"/>
    <w:rsid w:val="003B532A"/>
    <w:rsid w:val="003B571D"/>
    <w:rsid w:val="003B5B51"/>
    <w:rsid w:val="003B5CEF"/>
    <w:rsid w:val="003B5D2C"/>
    <w:rsid w:val="003B5D5D"/>
    <w:rsid w:val="003B5EBA"/>
    <w:rsid w:val="003B5F22"/>
    <w:rsid w:val="003B5FB8"/>
    <w:rsid w:val="003B6124"/>
    <w:rsid w:val="003B6249"/>
    <w:rsid w:val="003B66E7"/>
    <w:rsid w:val="003B68A8"/>
    <w:rsid w:val="003B6C5C"/>
    <w:rsid w:val="003B6EC9"/>
    <w:rsid w:val="003B6ECD"/>
    <w:rsid w:val="003B724D"/>
    <w:rsid w:val="003B7340"/>
    <w:rsid w:val="003B74B7"/>
    <w:rsid w:val="003B75A6"/>
    <w:rsid w:val="003B761D"/>
    <w:rsid w:val="003B7876"/>
    <w:rsid w:val="003B79FE"/>
    <w:rsid w:val="003B7A53"/>
    <w:rsid w:val="003B7ABC"/>
    <w:rsid w:val="003B7C22"/>
    <w:rsid w:val="003B7CED"/>
    <w:rsid w:val="003B7D7B"/>
    <w:rsid w:val="003B7DC1"/>
    <w:rsid w:val="003B7EFD"/>
    <w:rsid w:val="003B7F17"/>
    <w:rsid w:val="003C00E6"/>
    <w:rsid w:val="003C01EC"/>
    <w:rsid w:val="003C0AEA"/>
    <w:rsid w:val="003C0D52"/>
    <w:rsid w:val="003C1019"/>
    <w:rsid w:val="003C1043"/>
    <w:rsid w:val="003C12DB"/>
    <w:rsid w:val="003C14E1"/>
    <w:rsid w:val="003C1D62"/>
    <w:rsid w:val="003C22F7"/>
    <w:rsid w:val="003C236D"/>
    <w:rsid w:val="003C244A"/>
    <w:rsid w:val="003C28E8"/>
    <w:rsid w:val="003C2A38"/>
    <w:rsid w:val="003C2ADC"/>
    <w:rsid w:val="003C2D06"/>
    <w:rsid w:val="003C2D86"/>
    <w:rsid w:val="003C3121"/>
    <w:rsid w:val="003C3387"/>
    <w:rsid w:val="003C36E6"/>
    <w:rsid w:val="003C378F"/>
    <w:rsid w:val="003C3886"/>
    <w:rsid w:val="003C3C40"/>
    <w:rsid w:val="003C3E22"/>
    <w:rsid w:val="003C3E55"/>
    <w:rsid w:val="003C40DA"/>
    <w:rsid w:val="003C4275"/>
    <w:rsid w:val="003C4704"/>
    <w:rsid w:val="003C4745"/>
    <w:rsid w:val="003C48CA"/>
    <w:rsid w:val="003C4906"/>
    <w:rsid w:val="003C49FA"/>
    <w:rsid w:val="003C4AC7"/>
    <w:rsid w:val="003C4C0F"/>
    <w:rsid w:val="003C501A"/>
    <w:rsid w:val="003C5156"/>
    <w:rsid w:val="003C5895"/>
    <w:rsid w:val="003C58A0"/>
    <w:rsid w:val="003C58D8"/>
    <w:rsid w:val="003C5B9C"/>
    <w:rsid w:val="003C5BB3"/>
    <w:rsid w:val="003C5C75"/>
    <w:rsid w:val="003C5F8E"/>
    <w:rsid w:val="003C60D1"/>
    <w:rsid w:val="003C61DC"/>
    <w:rsid w:val="003C656A"/>
    <w:rsid w:val="003C65B0"/>
    <w:rsid w:val="003C6809"/>
    <w:rsid w:val="003C699B"/>
    <w:rsid w:val="003C6C2A"/>
    <w:rsid w:val="003C7204"/>
    <w:rsid w:val="003C7562"/>
    <w:rsid w:val="003C75F5"/>
    <w:rsid w:val="003C7624"/>
    <w:rsid w:val="003C77EF"/>
    <w:rsid w:val="003C77FB"/>
    <w:rsid w:val="003C7822"/>
    <w:rsid w:val="003C78E8"/>
    <w:rsid w:val="003C7B46"/>
    <w:rsid w:val="003C7BEE"/>
    <w:rsid w:val="003C7CFA"/>
    <w:rsid w:val="003C7D20"/>
    <w:rsid w:val="003D0092"/>
    <w:rsid w:val="003D0664"/>
    <w:rsid w:val="003D06C1"/>
    <w:rsid w:val="003D0983"/>
    <w:rsid w:val="003D09A9"/>
    <w:rsid w:val="003D0E91"/>
    <w:rsid w:val="003D129A"/>
    <w:rsid w:val="003D13FB"/>
    <w:rsid w:val="003D14E0"/>
    <w:rsid w:val="003D1536"/>
    <w:rsid w:val="003D18A2"/>
    <w:rsid w:val="003D19EB"/>
    <w:rsid w:val="003D1A03"/>
    <w:rsid w:val="003D1C39"/>
    <w:rsid w:val="003D1CAA"/>
    <w:rsid w:val="003D1D98"/>
    <w:rsid w:val="003D1E20"/>
    <w:rsid w:val="003D231D"/>
    <w:rsid w:val="003D2562"/>
    <w:rsid w:val="003D27C7"/>
    <w:rsid w:val="003D2B0B"/>
    <w:rsid w:val="003D2B2B"/>
    <w:rsid w:val="003D3050"/>
    <w:rsid w:val="003D31F3"/>
    <w:rsid w:val="003D3935"/>
    <w:rsid w:val="003D3969"/>
    <w:rsid w:val="003D4057"/>
    <w:rsid w:val="003D406B"/>
    <w:rsid w:val="003D4175"/>
    <w:rsid w:val="003D4213"/>
    <w:rsid w:val="003D4E3F"/>
    <w:rsid w:val="003D51FA"/>
    <w:rsid w:val="003D52D7"/>
    <w:rsid w:val="003D5326"/>
    <w:rsid w:val="003D56BA"/>
    <w:rsid w:val="003D598C"/>
    <w:rsid w:val="003D5BCD"/>
    <w:rsid w:val="003D5D29"/>
    <w:rsid w:val="003D5D30"/>
    <w:rsid w:val="003D5D7A"/>
    <w:rsid w:val="003D6163"/>
    <w:rsid w:val="003D6636"/>
    <w:rsid w:val="003D6666"/>
    <w:rsid w:val="003D66E3"/>
    <w:rsid w:val="003D69AE"/>
    <w:rsid w:val="003D6A97"/>
    <w:rsid w:val="003D6A99"/>
    <w:rsid w:val="003D6E3B"/>
    <w:rsid w:val="003D6EEC"/>
    <w:rsid w:val="003D70F6"/>
    <w:rsid w:val="003D738B"/>
    <w:rsid w:val="003D74FC"/>
    <w:rsid w:val="003D7746"/>
    <w:rsid w:val="003D799A"/>
    <w:rsid w:val="003D7B48"/>
    <w:rsid w:val="003D7C54"/>
    <w:rsid w:val="003D7DF5"/>
    <w:rsid w:val="003D7E8A"/>
    <w:rsid w:val="003D7F61"/>
    <w:rsid w:val="003E0002"/>
    <w:rsid w:val="003E0189"/>
    <w:rsid w:val="003E05F6"/>
    <w:rsid w:val="003E0638"/>
    <w:rsid w:val="003E064E"/>
    <w:rsid w:val="003E069F"/>
    <w:rsid w:val="003E0854"/>
    <w:rsid w:val="003E093E"/>
    <w:rsid w:val="003E0D85"/>
    <w:rsid w:val="003E0F17"/>
    <w:rsid w:val="003E1000"/>
    <w:rsid w:val="003E1492"/>
    <w:rsid w:val="003E19C9"/>
    <w:rsid w:val="003E1A8E"/>
    <w:rsid w:val="003E1AF2"/>
    <w:rsid w:val="003E1B53"/>
    <w:rsid w:val="003E1BD0"/>
    <w:rsid w:val="003E1C52"/>
    <w:rsid w:val="003E1D66"/>
    <w:rsid w:val="003E2051"/>
    <w:rsid w:val="003E22C6"/>
    <w:rsid w:val="003E251A"/>
    <w:rsid w:val="003E27B2"/>
    <w:rsid w:val="003E2A75"/>
    <w:rsid w:val="003E2AC8"/>
    <w:rsid w:val="003E2C2C"/>
    <w:rsid w:val="003E2E2E"/>
    <w:rsid w:val="003E2E34"/>
    <w:rsid w:val="003E30AF"/>
    <w:rsid w:val="003E3328"/>
    <w:rsid w:val="003E337A"/>
    <w:rsid w:val="003E338E"/>
    <w:rsid w:val="003E3392"/>
    <w:rsid w:val="003E347F"/>
    <w:rsid w:val="003E35C1"/>
    <w:rsid w:val="003E3665"/>
    <w:rsid w:val="003E3691"/>
    <w:rsid w:val="003E3A77"/>
    <w:rsid w:val="003E3B45"/>
    <w:rsid w:val="003E4022"/>
    <w:rsid w:val="003E4312"/>
    <w:rsid w:val="003E438D"/>
    <w:rsid w:val="003E4491"/>
    <w:rsid w:val="003E4697"/>
    <w:rsid w:val="003E4BB2"/>
    <w:rsid w:val="003E4BF6"/>
    <w:rsid w:val="003E4DB5"/>
    <w:rsid w:val="003E50C8"/>
    <w:rsid w:val="003E5143"/>
    <w:rsid w:val="003E52B2"/>
    <w:rsid w:val="003E54F6"/>
    <w:rsid w:val="003E56E0"/>
    <w:rsid w:val="003E5DB5"/>
    <w:rsid w:val="003E5F73"/>
    <w:rsid w:val="003E6082"/>
    <w:rsid w:val="003E6263"/>
    <w:rsid w:val="003E63C3"/>
    <w:rsid w:val="003E6432"/>
    <w:rsid w:val="003E65F7"/>
    <w:rsid w:val="003E69E8"/>
    <w:rsid w:val="003E6A69"/>
    <w:rsid w:val="003E6B33"/>
    <w:rsid w:val="003E6C0D"/>
    <w:rsid w:val="003E6E09"/>
    <w:rsid w:val="003E6F54"/>
    <w:rsid w:val="003E6FE1"/>
    <w:rsid w:val="003E703D"/>
    <w:rsid w:val="003E72F9"/>
    <w:rsid w:val="003E75D7"/>
    <w:rsid w:val="003E773B"/>
    <w:rsid w:val="003E7A4D"/>
    <w:rsid w:val="003E7AC2"/>
    <w:rsid w:val="003E7D2F"/>
    <w:rsid w:val="003E7F28"/>
    <w:rsid w:val="003F008D"/>
    <w:rsid w:val="003F04CE"/>
    <w:rsid w:val="003F05E1"/>
    <w:rsid w:val="003F0898"/>
    <w:rsid w:val="003F08D6"/>
    <w:rsid w:val="003F08F9"/>
    <w:rsid w:val="003F0EC0"/>
    <w:rsid w:val="003F0F29"/>
    <w:rsid w:val="003F0F94"/>
    <w:rsid w:val="003F1238"/>
    <w:rsid w:val="003F162E"/>
    <w:rsid w:val="003F18E3"/>
    <w:rsid w:val="003F1A2B"/>
    <w:rsid w:val="003F1BA3"/>
    <w:rsid w:val="003F1FBE"/>
    <w:rsid w:val="003F20BC"/>
    <w:rsid w:val="003F21BB"/>
    <w:rsid w:val="003F2406"/>
    <w:rsid w:val="003F24DF"/>
    <w:rsid w:val="003F27CD"/>
    <w:rsid w:val="003F286C"/>
    <w:rsid w:val="003F2904"/>
    <w:rsid w:val="003F29DC"/>
    <w:rsid w:val="003F29F6"/>
    <w:rsid w:val="003F2A10"/>
    <w:rsid w:val="003F2A3B"/>
    <w:rsid w:val="003F2B53"/>
    <w:rsid w:val="003F2BC6"/>
    <w:rsid w:val="003F2E12"/>
    <w:rsid w:val="003F307A"/>
    <w:rsid w:val="003F31CD"/>
    <w:rsid w:val="003F355B"/>
    <w:rsid w:val="003F3584"/>
    <w:rsid w:val="003F3603"/>
    <w:rsid w:val="003F3706"/>
    <w:rsid w:val="003F396A"/>
    <w:rsid w:val="003F3A79"/>
    <w:rsid w:val="003F42CF"/>
    <w:rsid w:val="003F4363"/>
    <w:rsid w:val="003F4506"/>
    <w:rsid w:val="003F457A"/>
    <w:rsid w:val="003F46EC"/>
    <w:rsid w:val="003F4B18"/>
    <w:rsid w:val="003F4B3F"/>
    <w:rsid w:val="003F4DCE"/>
    <w:rsid w:val="003F4E6B"/>
    <w:rsid w:val="003F4FE3"/>
    <w:rsid w:val="003F5078"/>
    <w:rsid w:val="003F5405"/>
    <w:rsid w:val="003F5408"/>
    <w:rsid w:val="003F55B2"/>
    <w:rsid w:val="003F56CE"/>
    <w:rsid w:val="003F5AE2"/>
    <w:rsid w:val="003F63B9"/>
    <w:rsid w:val="003F6704"/>
    <w:rsid w:val="003F670E"/>
    <w:rsid w:val="003F6920"/>
    <w:rsid w:val="003F694F"/>
    <w:rsid w:val="003F696C"/>
    <w:rsid w:val="003F69B0"/>
    <w:rsid w:val="003F6A01"/>
    <w:rsid w:val="003F6B3E"/>
    <w:rsid w:val="003F6E3B"/>
    <w:rsid w:val="003F6E98"/>
    <w:rsid w:val="003F6F56"/>
    <w:rsid w:val="003F71FF"/>
    <w:rsid w:val="003F7317"/>
    <w:rsid w:val="003F73D5"/>
    <w:rsid w:val="003F74FF"/>
    <w:rsid w:val="003F775E"/>
    <w:rsid w:val="003F7808"/>
    <w:rsid w:val="003F7856"/>
    <w:rsid w:val="003F797F"/>
    <w:rsid w:val="003F7D11"/>
    <w:rsid w:val="0040021B"/>
    <w:rsid w:val="00400B50"/>
    <w:rsid w:val="00400F64"/>
    <w:rsid w:val="00401047"/>
    <w:rsid w:val="00401385"/>
    <w:rsid w:val="00401CA5"/>
    <w:rsid w:val="00401DED"/>
    <w:rsid w:val="00401EA5"/>
    <w:rsid w:val="004021BF"/>
    <w:rsid w:val="004022AF"/>
    <w:rsid w:val="0040236F"/>
    <w:rsid w:val="00402405"/>
    <w:rsid w:val="0040258B"/>
    <w:rsid w:val="00402BDE"/>
    <w:rsid w:val="00402D66"/>
    <w:rsid w:val="00402E6E"/>
    <w:rsid w:val="00402F30"/>
    <w:rsid w:val="0040320B"/>
    <w:rsid w:val="00403591"/>
    <w:rsid w:val="004035A8"/>
    <w:rsid w:val="00403B1D"/>
    <w:rsid w:val="00403D22"/>
    <w:rsid w:val="004040F1"/>
    <w:rsid w:val="00404285"/>
    <w:rsid w:val="004042D3"/>
    <w:rsid w:val="0040437B"/>
    <w:rsid w:val="00404A22"/>
    <w:rsid w:val="00404E3B"/>
    <w:rsid w:val="00405082"/>
    <w:rsid w:val="00405088"/>
    <w:rsid w:val="004050EC"/>
    <w:rsid w:val="00405183"/>
    <w:rsid w:val="00405272"/>
    <w:rsid w:val="004052AB"/>
    <w:rsid w:val="0040537B"/>
    <w:rsid w:val="004053E4"/>
    <w:rsid w:val="0040581A"/>
    <w:rsid w:val="0040588A"/>
    <w:rsid w:val="004059B8"/>
    <w:rsid w:val="00405A1F"/>
    <w:rsid w:val="00405AAF"/>
    <w:rsid w:val="00405BEC"/>
    <w:rsid w:val="00405E83"/>
    <w:rsid w:val="00405F9E"/>
    <w:rsid w:val="0040615E"/>
    <w:rsid w:val="0040626B"/>
    <w:rsid w:val="004063D9"/>
    <w:rsid w:val="00406512"/>
    <w:rsid w:val="004065C6"/>
    <w:rsid w:val="004065DE"/>
    <w:rsid w:val="0040675D"/>
    <w:rsid w:val="004067F3"/>
    <w:rsid w:val="004069D5"/>
    <w:rsid w:val="00406A67"/>
    <w:rsid w:val="00406EE0"/>
    <w:rsid w:val="0040730C"/>
    <w:rsid w:val="004073AF"/>
    <w:rsid w:val="0040783D"/>
    <w:rsid w:val="004079AC"/>
    <w:rsid w:val="00407B99"/>
    <w:rsid w:val="00407BCF"/>
    <w:rsid w:val="00407CFA"/>
    <w:rsid w:val="00410306"/>
    <w:rsid w:val="0041063E"/>
    <w:rsid w:val="00410B1E"/>
    <w:rsid w:val="00410BE5"/>
    <w:rsid w:val="00410F07"/>
    <w:rsid w:val="00410FBD"/>
    <w:rsid w:val="004110BC"/>
    <w:rsid w:val="00411261"/>
    <w:rsid w:val="0041130A"/>
    <w:rsid w:val="004113FC"/>
    <w:rsid w:val="0041149D"/>
    <w:rsid w:val="00411580"/>
    <w:rsid w:val="0041195B"/>
    <w:rsid w:val="00411E55"/>
    <w:rsid w:val="00411EF8"/>
    <w:rsid w:val="00411FBA"/>
    <w:rsid w:val="004120E5"/>
    <w:rsid w:val="004123E4"/>
    <w:rsid w:val="00412436"/>
    <w:rsid w:val="00412523"/>
    <w:rsid w:val="00412582"/>
    <w:rsid w:val="0041267C"/>
    <w:rsid w:val="00412772"/>
    <w:rsid w:val="004127D2"/>
    <w:rsid w:val="0041288D"/>
    <w:rsid w:val="00412948"/>
    <w:rsid w:val="00413002"/>
    <w:rsid w:val="004130B6"/>
    <w:rsid w:val="004130F9"/>
    <w:rsid w:val="004131B8"/>
    <w:rsid w:val="004132A1"/>
    <w:rsid w:val="0041390C"/>
    <w:rsid w:val="00413AAE"/>
    <w:rsid w:val="00413BE1"/>
    <w:rsid w:val="00413C19"/>
    <w:rsid w:val="00413C9C"/>
    <w:rsid w:val="00413E63"/>
    <w:rsid w:val="00414131"/>
    <w:rsid w:val="004144DE"/>
    <w:rsid w:val="00414821"/>
    <w:rsid w:val="00414A41"/>
    <w:rsid w:val="00414E87"/>
    <w:rsid w:val="00414EA1"/>
    <w:rsid w:val="0041507D"/>
    <w:rsid w:val="004152E6"/>
    <w:rsid w:val="00415353"/>
    <w:rsid w:val="00415422"/>
    <w:rsid w:val="004158CB"/>
    <w:rsid w:val="00415B3F"/>
    <w:rsid w:val="00415CAF"/>
    <w:rsid w:val="00415D01"/>
    <w:rsid w:val="0041623D"/>
    <w:rsid w:val="00416636"/>
    <w:rsid w:val="00416AA2"/>
    <w:rsid w:val="00416B30"/>
    <w:rsid w:val="00417152"/>
    <w:rsid w:val="004172D5"/>
    <w:rsid w:val="004173D2"/>
    <w:rsid w:val="0041754A"/>
    <w:rsid w:val="0041761F"/>
    <w:rsid w:val="0041773D"/>
    <w:rsid w:val="004177CF"/>
    <w:rsid w:val="00417871"/>
    <w:rsid w:val="0041791F"/>
    <w:rsid w:val="00417A9A"/>
    <w:rsid w:val="00417D9E"/>
    <w:rsid w:val="00420493"/>
    <w:rsid w:val="0042049D"/>
    <w:rsid w:val="004204D2"/>
    <w:rsid w:val="004206BE"/>
    <w:rsid w:val="00420927"/>
    <w:rsid w:val="00420999"/>
    <w:rsid w:val="00420B22"/>
    <w:rsid w:val="00420BDB"/>
    <w:rsid w:val="00420BF3"/>
    <w:rsid w:val="00420C4F"/>
    <w:rsid w:val="00420E73"/>
    <w:rsid w:val="00420EFA"/>
    <w:rsid w:val="00420F49"/>
    <w:rsid w:val="00421172"/>
    <w:rsid w:val="004212E5"/>
    <w:rsid w:val="004213EC"/>
    <w:rsid w:val="0042197D"/>
    <w:rsid w:val="00421B40"/>
    <w:rsid w:val="00421B82"/>
    <w:rsid w:val="00421BD0"/>
    <w:rsid w:val="00421CD0"/>
    <w:rsid w:val="00421DD8"/>
    <w:rsid w:val="00421FFE"/>
    <w:rsid w:val="00422187"/>
    <w:rsid w:val="0042221B"/>
    <w:rsid w:val="0042267F"/>
    <w:rsid w:val="00422692"/>
    <w:rsid w:val="00422CEB"/>
    <w:rsid w:val="00422DC1"/>
    <w:rsid w:val="00422F9B"/>
    <w:rsid w:val="0042302E"/>
    <w:rsid w:val="004232C4"/>
    <w:rsid w:val="00423699"/>
    <w:rsid w:val="00423895"/>
    <w:rsid w:val="004239FF"/>
    <w:rsid w:val="00423AF7"/>
    <w:rsid w:val="00423E2F"/>
    <w:rsid w:val="00423FBA"/>
    <w:rsid w:val="00424288"/>
    <w:rsid w:val="004242BD"/>
    <w:rsid w:val="004245DB"/>
    <w:rsid w:val="0042462F"/>
    <w:rsid w:val="00424652"/>
    <w:rsid w:val="004248E6"/>
    <w:rsid w:val="00424AE4"/>
    <w:rsid w:val="00424BD7"/>
    <w:rsid w:val="00424F18"/>
    <w:rsid w:val="00424F20"/>
    <w:rsid w:val="00425129"/>
    <w:rsid w:val="004251CF"/>
    <w:rsid w:val="00425266"/>
    <w:rsid w:val="004252A5"/>
    <w:rsid w:val="004254C3"/>
    <w:rsid w:val="004254DB"/>
    <w:rsid w:val="004255DF"/>
    <w:rsid w:val="0042564D"/>
    <w:rsid w:val="00425B0D"/>
    <w:rsid w:val="004260D5"/>
    <w:rsid w:val="00426193"/>
    <w:rsid w:val="004264DE"/>
    <w:rsid w:val="004265E2"/>
    <w:rsid w:val="00426A73"/>
    <w:rsid w:val="00427067"/>
    <w:rsid w:val="00427270"/>
    <w:rsid w:val="00427316"/>
    <w:rsid w:val="0042732B"/>
    <w:rsid w:val="004273FA"/>
    <w:rsid w:val="004277A6"/>
    <w:rsid w:val="00427822"/>
    <w:rsid w:val="0042790B"/>
    <w:rsid w:val="00427C20"/>
    <w:rsid w:val="00427C22"/>
    <w:rsid w:val="00427C57"/>
    <w:rsid w:val="00427C83"/>
    <w:rsid w:val="00427CE2"/>
    <w:rsid w:val="00427F2F"/>
    <w:rsid w:val="00427F9B"/>
    <w:rsid w:val="00430298"/>
    <w:rsid w:val="00430484"/>
    <w:rsid w:val="0043060D"/>
    <w:rsid w:val="00430806"/>
    <w:rsid w:val="004308AF"/>
    <w:rsid w:val="00430A4E"/>
    <w:rsid w:val="00430ABF"/>
    <w:rsid w:val="00430CC1"/>
    <w:rsid w:val="00430E1A"/>
    <w:rsid w:val="00431169"/>
    <w:rsid w:val="0043149C"/>
    <w:rsid w:val="00431A8C"/>
    <w:rsid w:val="00431C31"/>
    <w:rsid w:val="00431DD2"/>
    <w:rsid w:val="00431FB4"/>
    <w:rsid w:val="00432194"/>
    <w:rsid w:val="00432282"/>
    <w:rsid w:val="004322CC"/>
    <w:rsid w:val="004322F6"/>
    <w:rsid w:val="004324B2"/>
    <w:rsid w:val="004325E8"/>
    <w:rsid w:val="00432881"/>
    <w:rsid w:val="004330C8"/>
    <w:rsid w:val="004330CC"/>
    <w:rsid w:val="004330DD"/>
    <w:rsid w:val="004332B4"/>
    <w:rsid w:val="0043336B"/>
    <w:rsid w:val="0043342C"/>
    <w:rsid w:val="004335D8"/>
    <w:rsid w:val="00433665"/>
    <w:rsid w:val="00433C37"/>
    <w:rsid w:val="00433C72"/>
    <w:rsid w:val="00433D13"/>
    <w:rsid w:val="00433DB6"/>
    <w:rsid w:val="00433E1B"/>
    <w:rsid w:val="00433FA4"/>
    <w:rsid w:val="0043402B"/>
    <w:rsid w:val="0043434D"/>
    <w:rsid w:val="0043445F"/>
    <w:rsid w:val="004347EA"/>
    <w:rsid w:val="00434832"/>
    <w:rsid w:val="00434AC2"/>
    <w:rsid w:val="00434ACC"/>
    <w:rsid w:val="00434AD5"/>
    <w:rsid w:val="00434DA6"/>
    <w:rsid w:val="00434F8E"/>
    <w:rsid w:val="004356B4"/>
    <w:rsid w:val="004356E4"/>
    <w:rsid w:val="0043590A"/>
    <w:rsid w:val="00435B43"/>
    <w:rsid w:val="00435B54"/>
    <w:rsid w:val="00435C20"/>
    <w:rsid w:val="00435FE4"/>
    <w:rsid w:val="0043601A"/>
    <w:rsid w:val="00436299"/>
    <w:rsid w:val="0043640B"/>
    <w:rsid w:val="004367AF"/>
    <w:rsid w:val="0043684F"/>
    <w:rsid w:val="00436B4F"/>
    <w:rsid w:val="00436E90"/>
    <w:rsid w:val="004373BD"/>
    <w:rsid w:val="0043779B"/>
    <w:rsid w:val="0043779C"/>
    <w:rsid w:val="0043799A"/>
    <w:rsid w:val="00437D1C"/>
    <w:rsid w:val="00437EEA"/>
    <w:rsid w:val="0044008B"/>
    <w:rsid w:val="004400D1"/>
    <w:rsid w:val="004400FD"/>
    <w:rsid w:val="00440369"/>
    <w:rsid w:val="00440679"/>
    <w:rsid w:val="004408C6"/>
    <w:rsid w:val="0044097C"/>
    <w:rsid w:val="00440FE1"/>
    <w:rsid w:val="00441423"/>
    <w:rsid w:val="004414B7"/>
    <w:rsid w:val="004417CE"/>
    <w:rsid w:val="00441A06"/>
    <w:rsid w:val="00441B3F"/>
    <w:rsid w:val="00441C10"/>
    <w:rsid w:val="00441D72"/>
    <w:rsid w:val="004422D9"/>
    <w:rsid w:val="00442470"/>
    <w:rsid w:val="004425E4"/>
    <w:rsid w:val="0044281A"/>
    <w:rsid w:val="004428B6"/>
    <w:rsid w:val="00442918"/>
    <w:rsid w:val="00442B66"/>
    <w:rsid w:val="00442EF9"/>
    <w:rsid w:val="00443170"/>
    <w:rsid w:val="00443391"/>
    <w:rsid w:val="004433F3"/>
    <w:rsid w:val="004433F5"/>
    <w:rsid w:val="00443408"/>
    <w:rsid w:val="00443519"/>
    <w:rsid w:val="0044396D"/>
    <w:rsid w:val="00443CC7"/>
    <w:rsid w:val="00443CD8"/>
    <w:rsid w:val="00443E1E"/>
    <w:rsid w:val="00444029"/>
    <w:rsid w:val="00444303"/>
    <w:rsid w:val="00444552"/>
    <w:rsid w:val="004446AE"/>
    <w:rsid w:val="00444710"/>
    <w:rsid w:val="00444FF2"/>
    <w:rsid w:val="00445319"/>
    <w:rsid w:val="004453D6"/>
    <w:rsid w:val="004455B2"/>
    <w:rsid w:val="00445BEF"/>
    <w:rsid w:val="00445E53"/>
    <w:rsid w:val="00445F79"/>
    <w:rsid w:val="00446706"/>
    <w:rsid w:val="0044674F"/>
    <w:rsid w:val="004467BD"/>
    <w:rsid w:val="0044694F"/>
    <w:rsid w:val="0044696E"/>
    <w:rsid w:val="00446999"/>
    <w:rsid w:val="004469EB"/>
    <w:rsid w:val="00446A42"/>
    <w:rsid w:val="00446EA9"/>
    <w:rsid w:val="00446F2B"/>
    <w:rsid w:val="0044706C"/>
    <w:rsid w:val="00447320"/>
    <w:rsid w:val="00447330"/>
    <w:rsid w:val="00447689"/>
    <w:rsid w:val="0044787E"/>
    <w:rsid w:val="00447AC9"/>
    <w:rsid w:val="00447CBE"/>
    <w:rsid w:val="00447ED0"/>
    <w:rsid w:val="00450531"/>
    <w:rsid w:val="004508B2"/>
    <w:rsid w:val="00450964"/>
    <w:rsid w:val="00450A51"/>
    <w:rsid w:val="00450A83"/>
    <w:rsid w:val="00450B00"/>
    <w:rsid w:val="00450D65"/>
    <w:rsid w:val="00450DE9"/>
    <w:rsid w:val="00450EDB"/>
    <w:rsid w:val="00451084"/>
    <w:rsid w:val="00451169"/>
    <w:rsid w:val="004514CE"/>
    <w:rsid w:val="004515E0"/>
    <w:rsid w:val="0045164F"/>
    <w:rsid w:val="0045194E"/>
    <w:rsid w:val="004519ED"/>
    <w:rsid w:val="00451B50"/>
    <w:rsid w:val="00451C54"/>
    <w:rsid w:val="00452405"/>
    <w:rsid w:val="004527EF"/>
    <w:rsid w:val="004528A9"/>
    <w:rsid w:val="00452A11"/>
    <w:rsid w:val="00452AFC"/>
    <w:rsid w:val="00452B9E"/>
    <w:rsid w:val="00452D80"/>
    <w:rsid w:val="00452DD3"/>
    <w:rsid w:val="00453621"/>
    <w:rsid w:val="004536CE"/>
    <w:rsid w:val="00453770"/>
    <w:rsid w:val="0045379A"/>
    <w:rsid w:val="00453AB0"/>
    <w:rsid w:val="00453B9A"/>
    <w:rsid w:val="00453C22"/>
    <w:rsid w:val="00453C68"/>
    <w:rsid w:val="00453E15"/>
    <w:rsid w:val="004540B2"/>
    <w:rsid w:val="0045418F"/>
    <w:rsid w:val="004541E2"/>
    <w:rsid w:val="0045442D"/>
    <w:rsid w:val="004544E1"/>
    <w:rsid w:val="004544F7"/>
    <w:rsid w:val="00454629"/>
    <w:rsid w:val="00454DCF"/>
    <w:rsid w:val="00455512"/>
    <w:rsid w:val="0045575E"/>
    <w:rsid w:val="004558D0"/>
    <w:rsid w:val="00455D6E"/>
    <w:rsid w:val="0045602F"/>
    <w:rsid w:val="004560BD"/>
    <w:rsid w:val="0045617B"/>
    <w:rsid w:val="004562C2"/>
    <w:rsid w:val="00456A1D"/>
    <w:rsid w:val="00456C2D"/>
    <w:rsid w:val="00456C8E"/>
    <w:rsid w:val="00456CD8"/>
    <w:rsid w:val="00456D55"/>
    <w:rsid w:val="00456D88"/>
    <w:rsid w:val="00456E13"/>
    <w:rsid w:val="00456E2F"/>
    <w:rsid w:val="00456E54"/>
    <w:rsid w:val="00456F83"/>
    <w:rsid w:val="00457008"/>
    <w:rsid w:val="004570D8"/>
    <w:rsid w:val="0045724D"/>
    <w:rsid w:val="0045738D"/>
    <w:rsid w:val="00457520"/>
    <w:rsid w:val="00457739"/>
    <w:rsid w:val="0045794E"/>
    <w:rsid w:val="00457C78"/>
    <w:rsid w:val="00457E07"/>
    <w:rsid w:val="00460111"/>
    <w:rsid w:val="00460685"/>
    <w:rsid w:val="00460829"/>
    <w:rsid w:val="00460DA2"/>
    <w:rsid w:val="0046106D"/>
    <w:rsid w:val="00461276"/>
    <w:rsid w:val="00461B92"/>
    <w:rsid w:val="00461F79"/>
    <w:rsid w:val="004620E6"/>
    <w:rsid w:val="00462350"/>
    <w:rsid w:val="00462796"/>
    <w:rsid w:val="0046284C"/>
    <w:rsid w:val="004628A4"/>
    <w:rsid w:val="00462E1A"/>
    <w:rsid w:val="00463088"/>
    <w:rsid w:val="0046347F"/>
    <w:rsid w:val="00463484"/>
    <w:rsid w:val="004636E6"/>
    <w:rsid w:val="004638E2"/>
    <w:rsid w:val="00463A17"/>
    <w:rsid w:val="00463C19"/>
    <w:rsid w:val="00463CD6"/>
    <w:rsid w:val="0046408D"/>
    <w:rsid w:val="004640C2"/>
    <w:rsid w:val="00464262"/>
    <w:rsid w:val="004644DF"/>
    <w:rsid w:val="0046472F"/>
    <w:rsid w:val="00464B30"/>
    <w:rsid w:val="00464BA8"/>
    <w:rsid w:val="00464BAD"/>
    <w:rsid w:val="00465209"/>
    <w:rsid w:val="0046553D"/>
    <w:rsid w:val="00465635"/>
    <w:rsid w:val="0046588A"/>
    <w:rsid w:val="00465B02"/>
    <w:rsid w:val="00465CFE"/>
    <w:rsid w:val="00465DBC"/>
    <w:rsid w:val="00465E49"/>
    <w:rsid w:val="00465FE3"/>
    <w:rsid w:val="0046616A"/>
    <w:rsid w:val="004663FE"/>
    <w:rsid w:val="0046658C"/>
    <w:rsid w:val="00466712"/>
    <w:rsid w:val="0046681C"/>
    <w:rsid w:val="00466C95"/>
    <w:rsid w:val="00466FCE"/>
    <w:rsid w:val="00467227"/>
    <w:rsid w:val="004674DC"/>
    <w:rsid w:val="00467569"/>
    <w:rsid w:val="004676D5"/>
    <w:rsid w:val="0046783A"/>
    <w:rsid w:val="00467930"/>
    <w:rsid w:val="00467B90"/>
    <w:rsid w:val="00467F93"/>
    <w:rsid w:val="0047006A"/>
    <w:rsid w:val="004701B3"/>
    <w:rsid w:val="0047027F"/>
    <w:rsid w:val="004703BF"/>
    <w:rsid w:val="00470804"/>
    <w:rsid w:val="00470DED"/>
    <w:rsid w:val="004711E4"/>
    <w:rsid w:val="00471206"/>
    <w:rsid w:val="004712E7"/>
    <w:rsid w:val="00471694"/>
    <w:rsid w:val="00471A23"/>
    <w:rsid w:val="00471ADC"/>
    <w:rsid w:val="00471FAE"/>
    <w:rsid w:val="0047215B"/>
    <w:rsid w:val="004723D9"/>
    <w:rsid w:val="004723F5"/>
    <w:rsid w:val="00472497"/>
    <w:rsid w:val="004725BB"/>
    <w:rsid w:val="0047273C"/>
    <w:rsid w:val="0047273F"/>
    <w:rsid w:val="00472E34"/>
    <w:rsid w:val="00473010"/>
    <w:rsid w:val="00473290"/>
    <w:rsid w:val="004732B2"/>
    <w:rsid w:val="0047332A"/>
    <w:rsid w:val="0047336F"/>
    <w:rsid w:val="00473467"/>
    <w:rsid w:val="004734E9"/>
    <w:rsid w:val="00473986"/>
    <w:rsid w:val="00473BBB"/>
    <w:rsid w:val="00473C0C"/>
    <w:rsid w:val="00473C2C"/>
    <w:rsid w:val="00473CBA"/>
    <w:rsid w:val="00473D1F"/>
    <w:rsid w:val="00473D49"/>
    <w:rsid w:val="00473E45"/>
    <w:rsid w:val="0047456A"/>
    <w:rsid w:val="0047474B"/>
    <w:rsid w:val="00474A4A"/>
    <w:rsid w:val="00474A82"/>
    <w:rsid w:val="00474A8D"/>
    <w:rsid w:val="00474E42"/>
    <w:rsid w:val="00474EA7"/>
    <w:rsid w:val="00474ED1"/>
    <w:rsid w:val="00475293"/>
    <w:rsid w:val="0047547D"/>
    <w:rsid w:val="004755CB"/>
    <w:rsid w:val="004755FA"/>
    <w:rsid w:val="00475811"/>
    <w:rsid w:val="00475842"/>
    <w:rsid w:val="00475860"/>
    <w:rsid w:val="00475A13"/>
    <w:rsid w:val="0047607E"/>
    <w:rsid w:val="004760BE"/>
    <w:rsid w:val="004760E7"/>
    <w:rsid w:val="00476141"/>
    <w:rsid w:val="004767EF"/>
    <w:rsid w:val="00476F67"/>
    <w:rsid w:val="004772BC"/>
    <w:rsid w:val="004773FF"/>
    <w:rsid w:val="0047740D"/>
    <w:rsid w:val="004774D7"/>
    <w:rsid w:val="00477701"/>
    <w:rsid w:val="004777B9"/>
    <w:rsid w:val="00477948"/>
    <w:rsid w:val="00477988"/>
    <w:rsid w:val="00477A12"/>
    <w:rsid w:val="00477A52"/>
    <w:rsid w:val="00477B15"/>
    <w:rsid w:val="00477DB5"/>
    <w:rsid w:val="004803BA"/>
    <w:rsid w:val="00480493"/>
    <w:rsid w:val="0048058F"/>
    <w:rsid w:val="004805D6"/>
    <w:rsid w:val="0048071B"/>
    <w:rsid w:val="004809DE"/>
    <w:rsid w:val="00480A03"/>
    <w:rsid w:val="00480C7B"/>
    <w:rsid w:val="00480E7C"/>
    <w:rsid w:val="004810EA"/>
    <w:rsid w:val="00481126"/>
    <w:rsid w:val="00481198"/>
    <w:rsid w:val="0048138F"/>
    <w:rsid w:val="00481468"/>
    <w:rsid w:val="0048163E"/>
    <w:rsid w:val="00481A3F"/>
    <w:rsid w:val="00482028"/>
    <w:rsid w:val="004821EB"/>
    <w:rsid w:val="00482399"/>
    <w:rsid w:val="0048268E"/>
    <w:rsid w:val="0048279C"/>
    <w:rsid w:val="00482965"/>
    <w:rsid w:val="00482A59"/>
    <w:rsid w:val="00482D41"/>
    <w:rsid w:val="00482E8C"/>
    <w:rsid w:val="00482F82"/>
    <w:rsid w:val="004831D3"/>
    <w:rsid w:val="00483339"/>
    <w:rsid w:val="004833F4"/>
    <w:rsid w:val="004835C2"/>
    <w:rsid w:val="0048364A"/>
    <w:rsid w:val="004837F3"/>
    <w:rsid w:val="00483A30"/>
    <w:rsid w:val="00483A94"/>
    <w:rsid w:val="00483EB8"/>
    <w:rsid w:val="004841C5"/>
    <w:rsid w:val="004842BF"/>
    <w:rsid w:val="004845C2"/>
    <w:rsid w:val="0048473F"/>
    <w:rsid w:val="00484C86"/>
    <w:rsid w:val="00484E88"/>
    <w:rsid w:val="00484EDD"/>
    <w:rsid w:val="00485101"/>
    <w:rsid w:val="0048550C"/>
    <w:rsid w:val="0048561C"/>
    <w:rsid w:val="00485732"/>
    <w:rsid w:val="004858CF"/>
    <w:rsid w:val="00485F1D"/>
    <w:rsid w:val="00486250"/>
    <w:rsid w:val="004863DC"/>
    <w:rsid w:val="00486CDF"/>
    <w:rsid w:val="00486CFA"/>
    <w:rsid w:val="0048722D"/>
    <w:rsid w:val="0048734B"/>
    <w:rsid w:val="004874A5"/>
    <w:rsid w:val="00487526"/>
    <w:rsid w:val="00487573"/>
    <w:rsid w:val="00487EBC"/>
    <w:rsid w:val="00490175"/>
    <w:rsid w:val="00490459"/>
    <w:rsid w:val="00490470"/>
    <w:rsid w:val="004906A5"/>
    <w:rsid w:val="004907C9"/>
    <w:rsid w:val="00490CA9"/>
    <w:rsid w:val="0049126D"/>
    <w:rsid w:val="004915DB"/>
    <w:rsid w:val="004916A2"/>
    <w:rsid w:val="00491976"/>
    <w:rsid w:val="00491A2F"/>
    <w:rsid w:val="00491A59"/>
    <w:rsid w:val="00491BA2"/>
    <w:rsid w:val="00491BE1"/>
    <w:rsid w:val="00491D1C"/>
    <w:rsid w:val="00491DE3"/>
    <w:rsid w:val="00491ED4"/>
    <w:rsid w:val="0049209B"/>
    <w:rsid w:val="00492485"/>
    <w:rsid w:val="00492755"/>
    <w:rsid w:val="00492A0E"/>
    <w:rsid w:val="00492B7B"/>
    <w:rsid w:val="004930D4"/>
    <w:rsid w:val="00493121"/>
    <w:rsid w:val="004933CF"/>
    <w:rsid w:val="00493545"/>
    <w:rsid w:val="004938B9"/>
    <w:rsid w:val="00493D24"/>
    <w:rsid w:val="00493E43"/>
    <w:rsid w:val="004941EA"/>
    <w:rsid w:val="004945B7"/>
    <w:rsid w:val="0049467B"/>
    <w:rsid w:val="00494688"/>
    <w:rsid w:val="0049471C"/>
    <w:rsid w:val="004949F4"/>
    <w:rsid w:val="00494A62"/>
    <w:rsid w:val="00494C6E"/>
    <w:rsid w:val="00494CCE"/>
    <w:rsid w:val="00494EFB"/>
    <w:rsid w:val="00494F20"/>
    <w:rsid w:val="00494FCB"/>
    <w:rsid w:val="00495199"/>
    <w:rsid w:val="00495462"/>
    <w:rsid w:val="00495594"/>
    <w:rsid w:val="004955CD"/>
    <w:rsid w:val="004956CA"/>
    <w:rsid w:val="00495F84"/>
    <w:rsid w:val="00495FCC"/>
    <w:rsid w:val="00496036"/>
    <w:rsid w:val="004961E0"/>
    <w:rsid w:val="0049625B"/>
    <w:rsid w:val="00496452"/>
    <w:rsid w:val="004965B4"/>
    <w:rsid w:val="004965EC"/>
    <w:rsid w:val="004968FA"/>
    <w:rsid w:val="00496D43"/>
    <w:rsid w:val="00496E58"/>
    <w:rsid w:val="00496E5F"/>
    <w:rsid w:val="00496E6E"/>
    <w:rsid w:val="0049714B"/>
    <w:rsid w:val="00497226"/>
    <w:rsid w:val="00497570"/>
    <w:rsid w:val="00497680"/>
    <w:rsid w:val="00497759"/>
    <w:rsid w:val="00497BD7"/>
    <w:rsid w:val="00497D3E"/>
    <w:rsid w:val="00497DDE"/>
    <w:rsid w:val="00497E7A"/>
    <w:rsid w:val="004A01BA"/>
    <w:rsid w:val="004A04C4"/>
    <w:rsid w:val="004A0D49"/>
    <w:rsid w:val="004A0E7D"/>
    <w:rsid w:val="004A0F6A"/>
    <w:rsid w:val="004A135D"/>
    <w:rsid w:val="004A1397"/>
    <w:rsid w:val="004A1459"/>
    <w:rsid w:val="004A17A1"/>
    <w:rsid w:val="004A1970"/>
    <w:rsid w:val="004A19B5"/>
    <w:rsid w:val="004A19FA"/>
    <w:rsid w:val="004A1AB1"/>
    <w:rsid w:val="004A1D5E"/>
    <w:rsid w:val="004A1E32"/>
    <w:rsid w:val="004A1F08"/>
    <w:rsid w:val="004A2037"/>
    <w:rsid w:val="004A20BB"/>
    <w:rsid w:val="004A2299"/>
    <w:rsid w:val="004A2367"/>
    <w:rsid w:val="004A26FA"/>
    <w:rsid w:val="004A2BA9"/>
    <w:rsid w:val="004A2C18"/>
    <w:rsid w:val="004A2F9E"/>
    <w:rsid w:val="004A3208"/>
    <w:rsid w:val="004A34CC"/>
    <w:rsid w:val="004A378D"/>
    <w:rsid w:val="004A3830"/>
    <w:rsid w:val="004A39CD"/>
    <w:rsid w:val="004A3EE3"/>
    <w:rsid w:val="004A3F09"/>
    <w:rsid w:val="004A3F5D"/>
    <w:rsid w:val="004A4054"/>
    <w:rsid w:val="004A422E"/>
    <w:rsid w:val="004A43D5"/>
    <w:rsid w:val="004A45FA"/>
    <w:rsid w:val="004A4683"/>
    <w:rsid w:val="004A46C8"/>
    <w:rsid w:val="004A49AB"/>
    <w:rsid w:val="004A4C1D"/>
    <w:rsid w:val="004A4D05"/>
    <w:rsid w:val="004A4E5F"/>
    <w:rsid w:val="004A5076"/>
    <w:rsid w:val="004A579E"/>
    <w:rsid w:val="004A5F1A"/>
    <w:rsid w:val="004A629D"/>
    <w:rsid w:val="004A67CF"/>
    <w:rsid w:val="004A6988"/>
    <w:rsid w:val="004A6DD4"/>
    <w:rsid w:val="004A6FDA"/>
    <w:rsid w:val="004A7002"/>
    <w:rsid w:val="004A74C4"/>
    <w:rsid w:val="004A78F6"/>
    <w:rsid w:val="004A7923"/>
    <w:rsid w:val="004A7B66"/>
    <w:rsid w:val="004A7C63"/>
    <w:rsid w:val="004A7DCA"/>
    <w:rsid w:val="004B00D9"/>
    <w:rsid w:val="004B12A1"/>
    <w:rsid w:val="004B12D1"/>
    <w:rsid w:val="004B1F2B"/>
    <w:rsid w:val="004B2216"/>
    <w:rsid w:val="004B2337"/>
    <w:rsid w:val="004B23CF"/>
    <w:rsid w:val="004B2446"/>
    <w:rsid w:val="004B2673"/>
    <w:rsid w:val="004B2A2D"/>
    <w:rsid w:val="004B2AC6"/>
    <w:rsid w:val="004B2B13"/>
    <w:rsid w:val="004B2CEC"/>
    <w:rsid w:val="004B2DAB"/>
    <w:rsid w:val="004B2F26"/>
    <w:rsid w:val="004B3004"/>
    <w:rsid w:val="004B31F2"/>
    <w:rsid w:val="004B32E5"/>
    <w:rsid w:val="004B3324"/>
    <w:rsid w:val="004B33E7"/>
    <w:rsid w:val="004B352A"/>
    <w:rsid w:val="004B36B2"/>
    <w:rsid w:val="004B3A01"/>
    <w:rsid w:val="004B40B4"/>
    <w:rsid w:val="004B4268"/>
    <w:rsid w:val="004B4277"/>
    <w:rsid w:val="004B4287"/>
    <w:rsid w:val="004B4292"/>
    <w:rsid w:val="004B43A0"/>
    <w:rsid w:val="004B45C0"/>
    <w:rsid w:val="004B4963"/>
    <w:rsid w:val="004B4AB6"/>
    <w:rsid w:val="004B4ACA"/>
    <w:rsid w:val="004B4BA7"/>
    <w:rsid w:val="004B4BEC"/>
    <w:rsid w:val="004B4C0C"/>
    <w:rsid w:val="004B4CB7"/>
    <w:rsid w:val="004B5037"/>
    <w:rsid w:val="004B52E9"/>
    <w:rsid w:val="004B53C9"/>
    <w:rsid w:val="004B5558"/>
    <w:rsid w:val="004B5C17"/>
    <w:rsid w:val="004B5EDD"/>
    <w:rsid w:val="004B5FF4"/>
    <w:rsid w:val="004B6102"/>
    <w:rsid w:val="004B62E5"/>
    <w:rsid w:val="004B64C7"/>
    <w:rsid w:val="004B6739"/>
    <w:rsid w:val="004B6781"/>
    <w:rsid w:val="004B68ED"/>
    <w:rsid w:val="004B692A"/>
    <w:rsid w:val="004B69E0"/>
    <w:rsid w:val="004B6C5C"/>
    <w:rsid w:val="004B6C82"/>
    <w:rsid w:val="004B6D12"/>
    <w:rsid w:val="004B6FB1"/>
    <w:rsid w:val="004B720A"/>
    <w:rsid w:val="004B7273"/>
    <w:rsid w:val="004B72F2"/>
    <w:rsid w:val="004B74C6"/>
    <w:rsid w:val="004B79E3"/>
    <w:rsid w:val="004B7C94"/>
    <w:rsid w:val="004C01A7"/>
    <w:rsid w:val="004C01EA"/>
    <w:rsid w:val="004C060A"/>
    <w:rsid w:val="004C0A41"/>
    <w:rsid w:val="004C0C06"/>
    <w:rsid w:val="004C0C47"/>
    <w:rsid w:val="004C0D6E"/>
    <w:rsid w:val="004C0F94"/>
    <w:rsid w:val="004C10F7"/>
    <w:rsid w:val="004C1A5D"/>
    <w:rsid w:val="004C1B9E"/>
    <w:rsid w:val="004C1E6E"/>
    <w:rsid w:val="004C20E9"/>
    <w:rsid w:val="004C23B9"/>
    <w:rsid w:val="004C23CF"/>
    <w:rsid w:val="004C273F"/>
    <w:rsid w:val="004C285C"/>
    <w:rsid w:val="004C285D"/>
    <w:rsid w:val="004C2909"/>
    <w:rsid w:val="004C2CDE"/>
    <w:rsid w:val="004C31F5"/>
    <w:rsid w:val="004C31F8"/>
    <w:rsid w:val="004C32C4"/>
    <w:rsid w:val="004C3674"/>
    <w:rsid w:val="004C37F0"/>
    <w:rsid w:val="004C385E"/>
    <w:rsid w:val="004C38B0"/>
    <w:rsid w:val="004C3CB5"/>
    <w:rsid w:val="004C3E8C"/>
    <w:rsid w:val="004C4558"/>
    <w:rsid w:val="004C4A59"/>
    <w:rsid w:val="004C4CB2"/>
    <w:rsid w:val="004C516E"/>
    <w:rsid w:val="004C5394"/>
    <w:rsid w:val="004C5444"/>
    <w:rsid w:val="004C5560"/>
    <w:rsid w:val="004C561D"/>
    <w:rsid w:val="004C57FA"/>
    <w:rsid w:val="004C5A6A"/>
    <w:rsid w:val="004C6283"/>
    <w:rsid w:val="004C66AA"/>
    <w:rsid w:val="004C66F5"/>
    <w:rsid w:val="004C6BFE"/>
    <w:rsid w:val="004C6E49"/>
    <w:rsid w:val="004C6EED"/>
    <w:rsid w:val="004C705B"/>
    <w:rsid w:val="004C7105"/>
    <w:rsid w:val="004C71BE"/>
    <w:rsid w:val="004C7370"/>
    <w:rsid w:val="004C75B9"/>
    <w:rsid w:val="004C7755"/>
    <w:rsid w:val="004C78CD"/>
    <w:rsid w:val="004C7A28"/>
    <w:rsid w:val="004C7B4D"/>
    <w:rsid w:val="004C7E91"/>
    <w:rsid w:val="004D01A1"/>
    <w:rsid w:val="004D02E3"/>
    <w:rsid w:val="004D0300"/>
    <w:rsid w:val="004D03B6"/>
    <w:rsid w:val="004D042E"/>
    <w:rsid w:val="004D04FE"/>
    <w:rsid w:val="004D09ED"/>
    <w:rsid w:val="004D0AC3"/>
    <w:rsid w:val="004D0B76"/>
    <w:rsid w:val="004D0D1C"/>
    <w:rsid w:val="004D0D46"/>
    <w:rsid w:val="004D1466"/>
    <w:rsid w:val="004D1841"/>
    <w:rsid w:val="004D1E37"/>
    <w:rsid w:val="004D2018"/>
    <w:rsid w:val="004D2087"/>
    <w:rsid w:val="004D2284"/>
    <w:rsid w:val="004D24FC"/>
    <w:rsid w:val="004D253C"/>
    <w:rsid w:val="004D25E2"/>
    <w:rsid w:val="004D283D"/>
    <w:rsid w:val="004D327F"/>
    <w:rsid w:val="004D33B4"/>
    <w:rsid w:val="004D348C"/>
    <w:rsid w:val="004D3493"/>
    <w:rsid w:val="004D35D8"/>
    <w:rsid w:val="004D36FD"/>
    <w:rsid w:val="004D371C"/>
    <w:rsid w:val="004D38D6"/>
    <w:rsid w:val="004D399C"/>
    <w:rsid w:val="004D3A61"/>
    <w:rsid w:val="004D3AD5"/>
    <w:rsid w:val="004D3AEF"/>
    <w:rsid w:val="004D3DF3"/>
    <w:rsid w:val="004D3F93"/>
    <w:rsid w:val="004D4007"/>
    <w:rsid w:val="004D407C"/>
    <w:rsid w:val="004D42C2"/>
    <w:rsid w:val="004D4376"/>
    <w:rsid w:val="004D44D1"/>
    <w:rsid w:val="004D465F"/>
    <w:rsid w:val="004D4886"/>
    <w:rsid w:val="004D489B"/>
    <w:rsid w:val="004D490C"/>
    <w:rsid w:val="004D4B96"/>
    <w:rsid w:val="004D4DC0"/>
    <w:rsid w:val="004D4E01"/>
    <w:rsid w:val="004D4FF6"/>
    <w:rsid w:val="004D55AC"/>
    <w:rsid w:val="004D56F1"/>
    <w:rsid w:val="004D5803"/>
    <w:rsid w:val="004D5A4E"/>
    <w:rsid w:val="004D5BFC"/>
    <w:rsid w:val="004D5D14"/>
    <w:rsid w:val="004D5E7B"/>
    <w:rsid w:val="004D5FC0"/>
    <w:rsid w:val="004D60EF"/>
    <w:rsid w:val="004D627D"/>
    <w:rsid w:val="004D6384"/>
    <w:rsid w:val="004D6451"/>
    <w:rsid w:val="004D651C"/>
    <w:rsid w:val="004D6D9B"/>
    <w:rsid w:val="004D6DF8"/>
    <w:rsid w:val="004D6F6F"/>
    <w:rsid w:val="004D714A"/>
    <w:rsid w:val="004D71E8"/>
    <w:rsid w:val="004D7495"/>
    <w:rsid w:val="004D7647"/>
    <w:rsid w:val="004D7841"/>
    <w:rsid w:val="004D7867"/>
    <w:rsid w:val="004D78D1"/>
    <w:rsid w:val="004D796B"/>
    <w:rsid w:val="004D7D63"/>
    <w:rsid w:val="004D7DE3"/>
    <w:rsid w:val="004E00E2"/>
    <w:rsid w:val="004E02C8"/>
    <w:rsid w:val="004E05AA"/>
    <w:rsid w:val="004E05FD"/>
    <w:rsid w:val="004E0D88"/>
    <w:rsid w:val="004E0DC2"/>
    <w:rsid w:val="004E1480"/>
    <w:rsid w:val="004E15FB"/>
    <w:rsid w:val="004E190C"/>
    <w:rsid w:val="004E1A04"/>
    <w:rsid w:val="004E1C27"/>
    <w:rsid w:val="004E1C3A"/>
    <w:rsid w:val="004E1E72"/>
    <w:rsid w:val="004E1FE9"/>
    <w:rsid w:val="004E2022"/>
    <w:rsid w:val="004E2159"/>
    <w:rsid w:val="004E247F"/>
    <w:rsid w:val="004E287F"/>
    <w:rsid w:val="004E2888"/>
    <w:rsid w:val="004E2975"/>
    <w:rsid w:val="004E2A90"/>
    <w:rsid w:val="004E2C8B"/>
    <w:rsid w:val="004E2EFE"/>
    <w:rsid w:val="004E3336"/>
    <w:rsid w:val="004E333F"/>
    <w:rsid w:val="004E33D8"/>
    <w:rsid w:val="004E3493"/>
    <w:rsid w:val="004E3726"/>
    <w:rsid w:val="004E3955"/>
    <w:rsid w:val="004E3BF6"/>
    <w:rsid w:val="004E40EF"/>
    <w:rsid w:val="004E4117"/>
    <w:rsid w:val="004E4191"/>
    <w:rsid w:val="004E4623"/>
    <w:rsid w:val="004E4C8A"/>
    <w:rsid w:val="004E4E4A"/>
    <w:rsid w:val="004E4E57"/>
    <w:rsid w:val="004E50FC"/>
    <w:rsid w:val="004E5460"/>
    <w:rsid w:val="004E54F3"/>
    <w:rsid w:val="004E5628"/>
    <w:rsid w:val="004E5B44"/>
    <w:rsid w:val="004E606B"/>
    <w:rsid w:val="004E61BD"/>
    <w:rsid w:val="004E644F"/>
    <w:rsid w:val="004E6553"/>
    <w:rsid w:val="004E696E"/>
    <w:rsid w:val="004E6DE7"/>
    <w:rsid w:val="004E6F17"/>
    <w:rsid w:val="004E73DC"/>
    <w:rsid w:val="004E7873"/>
    <w:rsid w:val="004E7943"/>
    <w:rsid w:val="004E7997"/>
    <w:rsid w:val="004E7A60"/>
    <w:rsid w:val="004E7EFF"/>
    <w:rsid w:val="004E7F5A"/>
    <w:rsid w:val="004F0440"/>
    <w:rsid w:val="004F04A3"/>
    <w:rsid w:val="004F0551"/>
    <w:rsid w:val="004F07DE"/>
    <w:rsid w:val="004F080F"/>
    <w:rsid w:val="004F0BAF"/>
    <w:rsid w:val="004F0DE7"/>
    <w:rsid w:val="004F0E87"/>
    <w:rsid w:val="004F0F90"/>
    <w:rsid w:val="004F1095"/>
    <w:rsid w:val="004F11FE"/>
    <w:rsid w:val="004F1317"/>
    <w:rsid w:val="004F1324"/>
    <w:rsid w:val="004F1455"/>
    <w:rsid w:val="004F1572"/>
    <w:rsid w:val="004F16B5"/>
    <w:rsid w:val="004F1DAF"/>
    <w:rsid w:val="004F1F9F"/>
    <w:rsid w:val="004F202B"/>
    <w:rsid w:val="004F2351"/>
    <w:rsid w:val="004F23C9"/>
    <w:rsid w:val="004F24FE"/>
    <w:rsid w:val="004F26AE"/>
    <w:rsid w:val="004F277F"/>
    <w:rsid w:val="004F27DB"/>
    <w:rsid w:val="004F2B30"/>
    <w:rsid w:val="004F2B53"/>
    <w:rsid w:val="004F2CB8"/>
    <w:rsid w:val="004F2DB4"/>
    <w:rsid w:val="004F2EC8"/>
    <w:rsid w:val="004F2FB7"/>
    <w:rsid w:val="004F305A"/>
    <w:rsid w:val="004F3245"/>
    <w:rsid w:val="004F344E"/>
    <w:rsid w:val="004F3706"/>
    <w:rsid w:val="004F3AA2"/>
    <w:rsid w:val="004F3B2E"/>
    <w:rsid w:val="004F3C2E"/>
    <w:rsid w:val="004F3CFA"/>
    <w:rsid w:val="004F3D46"/>
    <w:rsid w:val="004F3DA4"/>
    <w:rsid w:val="004F41D3"/>
    <w:rsid w:val="004F43C4"/>
    <w:rsid w:val="004F4660"/>
    <w:rsid w:val="004F4742"/>
    <w:rsid w:val="004F4789"/>
    <w:rsid w:val="004F4830"/>
    <w:rsid w:val="004F484D"/>
    <w:rsid w:val="004F487D"/>
    <w:rsid w:val="004F495E"/>
    <w:rsid w:val="004F4B93"/>
    <w:rsid w:val="004F4BA0"/>
    <w:rsid w:val="004F4CAD"/>
    <w:rsid w:val="004F4DAE"/>
    <w:rsid w:val="004F4FBC"/>
    <w:rsid w:val="004F4FD0"/>
    <w:rsid w:val="004F51CA"/>
    <w:rsid w:val="004F5295"/>
    <w:rsid w:val="004F559F"/>
    <w:rsid w:val="004F56FB"/>
    <w:rsid w:val="004F587D"/>
    <w:rsid w:val="004F5E1B"/>
    <w:rsid w:val="004F5FCD"/>
    <w:rsid w:val="004F5FFB"/>
    <w:rsid w:val="004F61AC"/>
    <w:rsid w:val="004F61F5"/>
    <w:rsid w:val="004F656A"/>
    <w:rsid w:val="004F6763"/>
    <w:rsid w:val="004F6861"/>
    <w:rsid w:val="004F69D5"/>
    <w:rsid w:val="004F6B05"/>
    <w:rsid w:val="004F6E1F"/>
    <w:rsid w:val="004F6EA8"/>
    <w:rsid w:val="004F6EAC"/>
    <w:rsid w:val="004F707B"/>
    <w:rsid w:val="004F70FE"/>
    <w:rsid w:val="004F7127"/>
    <w:rsid w:val="004F7340"/>
    <w:rsid w:val="004F76FC"/>
    <w:rsid w:val="004F7E86"/>
    <w:rsid w:val="004F7F6F"/>
    <w:rsid w:val="005000F7"/>
    <w:rsid w:val="00500206"/>
    <w:rsid w:val="0050040B"/>
    <w:rsid w:val="00500540"/>
    <w:rsid w:val="0050079E"/>
    <w:rsid w:val="00500992"/>
    <w:rsid w:val="00500CBD"/>
    <w:rsid w:val="005011C3"/>
    <w:rsid w:val="005013DF"/>
    <w:rsid w:val="00501431"/>
    <w:rsid w:val="005018C6"/>
    <w:rsid w:val="00501ED1"/>
    <w:rsid w:val="0050200F"/>
    <w:rsid w:val="005020CB"/>
    <w:rsid w:val="0050271D"/>
    <w:rsid w:val="00502F30"/>
    <w:rsid w:val="00502F6A"/>
    <w:rsid w:val="0050310C"/>
    <w:rsid w:val="005031F3"/>
    <w:rsid w:val="00503337"/>
    <w:rsid w:val="0050338D"/>
    <w:rsid w:val="005033E6"/>
    <w:rsid w:val="005036BA"/>
    <w:rsid w:val="005036DA"/>
    <w:rsid w:val="00503F8A"/>
    <w:rsid w:val="00504401"/>
    <w:rsid w:val="00504482"/>
    <w:rsid w:val="00504566"/>
    <w:rsid w:val="0050479B"/>
    <w:rsid w:val="00504930"/>
    <w:rsid w:val="00504B97"/>
    <w:rsid w:val="00504D8C"/>
    <w:rsid w:val="00504E03"/>
    <w:rsid w:val="00504E7C"/>
    <w:rsid w:val="00504EBF"/>
    <w:rsid w:val="00505206"/>
    <w:rsid w:val="005054BE"/>
    <w:rsid w:val="0050568D"/>
    <w:rsid w:val="00505792"/>
    <w:rsid w:val="00505A8E"/>
    <w:rsid w:val="00505DC4"/>
    <w:rsid w:val="00505EFE"/>
    <w:rsid w:val="00506067"/>
    <w:rsid w:val="00506284"/>
    <w:rsid w:val="0050658F"/>
    <w:rsid w:val="00506750"/>
    <w:rsid w:val="00506831"/>
    <w:rsid w:val="00506941"/>
    <w:rsid w:val="0050699E"/>
    <w:rsid w:val="00506D6F"/>
    <w:rsid w:val="005070DA"/>
    <w:rsid w:val="005071CD"/>
    <w:rsid w:val="00507235"/>
    <w:rsid w:val="005072C3"/>
    <w:rsid w:val="00507325"/>
    <w:rsid w:val="00507423"/>
    <w:rsid w:val="0050769B"/>
    <w:rsid w:val="00507775"/>
    <w:rsid w:val="00507807"/>
    <w:rsid w:val="005079EC"/>
    <w:rsid w:val="00507C6D"/>
    <w:rsid w:val="00507E4E"/>
    <w:rsid w:val="00510099"/>
    <w:rsid w:val="00510331"/>
    <w:rsid w:val="00510520"/>
    <w:rsid w:val="0051062A"/>
    <w:rsid w:val="00510905"/>
    <w:rsid w:val="0051098D"/>
    <w:rsid w:val="00510B8F"/>
    <w:rsid w:val="00510BBB"/>
    <w:rsid w:val="00510C70"/>
    <w:rsid w:val="0051100A"/>
    <w:rsid w:val="00511026"/>
    <w:rsid w:val="005110AD"/>
    <w:rsid w:val="005111AF"/>
    <w:rsid w:val="00511293"/>
    <w:rsid w:val="00511489"/>
    <w:rsid w:val="005117AD"/>
    <w:rsid w:val="00511A83"/>
    <w:rsid w:val="00511BD3"/>
    <w:rsid w:val="00511D83"/>
    <w:rsid w:val="00511F32"/>
    <w:rsid w:val="00512155"/>
    <w:rsid w:val="0051240F"/>
    <w:rsid w:val="005124BE"/>
    <w:rsid w:val="0051263F"/>
    <w:rsid w:val="00512683"/>
    <w:rsid w:val="00512A4E"/>
    <w:rsid w:val="00512A5C"/>
    <w:rsid w:val="00512AD5"/>
    <w:rsid w:val="0051414A"/>
    <w:rsid w:val="0051426F"/>
    <w:rsid w:val="0051440B"/>
    <w:rsid w:val="00514426"/>
    <w:rsid w:val="00514505"/>
    <w:rsid w:val="0051460E"/>
    <w:rsid w:val="005146C2"/>
    <w:rsid w:val="00514790"/>
    <w:rsid w:val="005149E8"/>
    <w:rsid w:val="00514AD7"/>
    <w:rsid w:val="00514BA9"/>
    <w:rsid w:val="00514CF7"/>
    <w:rsid w:val="00514DC3"/>
    <w:rsid w:val="00514F1D"/>
    <w:rsid w:val="00515472"/>
    <w:rsid w:val="005157F2"/>
    <w:rsid w:val="005157FF"/>
    <w:rsid w:val="005158E1"/>
    <w:rsid w:val="005159D1"/>
    <w:rsid w:val="00515B26"/>
    <w:rsid w:val="00515BFB"/>
    <w:rsid w:val="00515D0C"/>
    <w:rsid w:val="00515D5F"/>
    <w:rsid w:val="00515DAD"/>
    <w:rsid w:val="00515E14"/>
    <w:rsid w:val="00515F3C"/>
    <w:rsid w:val="00515F49"/>
    <w:rsid w:val="0051600F"/>
    <w:rsid w:val="00516088"/>
    <w:rsid w:val="005160D2"/>
    <w:rsid w:val="0051627E"/>
    <w:rsid w:val="0051646D"/>
    <w:rsid w:val="00516B6F"/>
    <w:rsid w:val="00516FA0"/>
    <w:rsid w:val="005170D2"/>
    <w:rsid w:val="00517186"/>
    <w:rsid w:val="005171AB"/>
    <w:rsid w:val="005171BD"/>
    <w:rsid w:val="005171D0"/>
    <w:rsid w:val="00517465"/>
    <w:rsid w:val="0051755F"/>
    <w:rsid w:val="005177D7"/>
    <w:rsid w:val="0051786E"/>
    <w:rsid w:val="00517950"/>
    <w:rsid w:val="00517991"/>
    <w:rsid w:val="00517CA3"/>
    <w:rsid w:val="00517F08"/>
    <w:rsid w:val="00520007"/>
    <w:rsid w:val="0052042F"/>
    <w:rsid w:val="00520450"/>
    <w:rsid w:val="005206C9"/>
    <w:rsid w:val="00520824"/>
    <w:rsid w:val="00520ECA"/>
    <w:rsid w:val="005215BC"/>
    <w:rsid w:val="005217FF"/>
    <w:rsid w:val="00521A41"/>
    <w:rsid w:val="00521A73"/>
    <w:rsid w:val="00521AA4"/>
    <w:rsid w:val="00521CBC"/>
    <w:rsid w:val="00521E79"/>
    <w:rsid w:val="005225F9"/>
    <w:rsid w:val="00522816"/>
    <w:rsid w:val="00522970"/>
    <w:rsid w:val="00522B71"/>
    <w:rsid w:val="00522C42"/>
    <w:rsid w:val="00522ECA"/>
    <w:rsid w:val="00523001"/>
    <w:rsid w:val="0052307A"/>
    <w:rsid w:val="005230C9"/>
    <w:rsid w:val="005230EA"/>
    <w:rsid w:val="005233A6"/>
    <w:rsid w:val="00523A16"/>
    <w:rsid w:val="00523C21"/>
    <w:rsid w:val="0052413F"/>
    <w:rsid w:val="0052452B"/>
    <w:rsid w:val="005247D5"/>
    <w:rsid w:val="005247EE"/>
    <w:rsid w:val="00524F5B"/>
    <w:rsid w:val="0052529B"/>
    <w:rsid w:val="0052562B"/>
    <w:rsid w:val="0052597B"/>
    <w:rsid w:val="00525AEB"/>
    <w:rsid w:val="00525C1F"/>
    <w:rsid w:val="00525C86"/>
    <w:rsid w:val="00525E92"/>
    <w:rsid w:val="00525FD0"/>
    <w:rsid w:val="0052626B"/>
    <w:rsid w:val="0052636A"/>
    <w:rsid w:val="00526486"/>
    <w:rsid w:val="00526501"/>
    <w:rsid w:val="005265BC"/>
    <w:rsid w:val="00526703"/>
    <w:rsid w:val="00526916"/>
    <w:rsid w:val="00526A36"/>
    <w:rsid w:val="00526A52"/>
    <w:rsid w:val="00526FAF"/>
    <w:rsid w:val="005275B0"/>
    <w:rsid w:val="0052777B"/>
    <w:rsid w:val="0052784B"/>
    <w:rsid w:val="0053002A"/>
    <w:rsid w:val="0053013C"/>
    <w:rsid w:val="00530153"/>
    <w:rsid w:val="0053056C"/>
    <w:rsid w:val="005305F0"/>
    <w:rsid w:val="0053075F"/>
    <w:rsid w:val="005309C4"/>
    <w:rsid w:val="00530D22"/>
    <w:rsid w:val="005310E2"/>
    <w:rsid w:val="00531224"/>
    <w:rsid w:val="0053129E"/>
    <w:rsid w:val="00531317"/>
    <w:rsid w:val="00531332"/>
    <w:rsid w:val="005314F7"/>
    <w:rsid w:val="00531563"/>
    <w:rsid w:val="0053158D"/>
    <w:rsid w:val="0053167C"/>
    <w:rsid w:val="005317D4"/>
    <w:rsid w:val="005319C3"/>
    <w:rsid w:val="005319EC"/>
    <w:rsid w:val="00531AEF"/>
    <w:rsid w:val="00531E18"/>
    <w:rsid w:val="005321A6"/>
    <w:rsid w:val="0053236F"/>
    <w:rsid w:val="0053252A"/>
    <w:rsid w:val="0053270B"/>
    <w:rsid w:val="00532856"/>
    <w:rsid w:val="005328DA"/>
    <w:rsid w:val="00532AD7"/>
    <w:rsid w:val="00532BCB"/>
    <w:rsid w:val="00532C5B"/>
    <w:rsid w:val="00532DA8"/>
    <w:rsid w:val="00532FFC"/>
    <w:rsid w:val="00533056"/>
    <w:rsid w:val="00533084"/>
    <w:rsid w:val="0053319E"/>
    <w:rsid w:val="00533269"/>
    <w:rsid w:val="005332DE"/>
    <w:rsid w:val="0053341B"/>
    <w:rsid w:val="00533505"/>
    <w:rsid w:val="005337A6"/>
    <w:rsid w:val="00533EEF"/>
    <w:rsid w:val="00533F3F"/>
    <w:rsid w:val="005342E1"/>
    <w:rsid w:val="0053432B"/>
    <w:rsid w:val="0053460C"/>
    <w:rsid w:val="00534D34"/>
    <w:rsid w:val="00534DC0"/>
    <w:rsid w:val="00534F9F"/>
    <w:rsid w:val="005351F8"/>
    <w:rsid w:val="0053539D"/>
    <w:rsid w:val="0053546C"/>
    <w:rsid w:val="005356D4"/>
    <w:rsid w:val="00535A16"/>
    <w:rsid w:val="00535AF5"/>
    <w:rsid w:val="00535B5A"/>
    <w:rsid w:val="00535D5A"/>
    <w:rsid w:val="005360C8"/>
    <w:rsid w:val="005361A7"/>
    <w:rsid w:val="005361DE"/>
    <w:rsid w:val="00536411"/>
    <w:rsid w:val="00536624"/>
    <w:rsid w:val="0053667C"/>
    <w:rsid w:val="0053669F"/>
    <w:rsid w:val="0053689D"/>
    <w:rsid w:val="0053692D"/>
    <w:rsid w:val="00536939"/>
    <w:rsid w:val="00536B66"/>
    <w:rsid w:val="005371A4"/>
    <w:rsid w:val="0053743A"/>
    <w:rsid w:val="005376D0"/>
    <w:rsid w:val="005377FC"/>
    <w:rsid w:val="005379C4"/>
    <w:rsid w:val="00537A61"/>
    <w:rsid w:val="00537C1A"/>
    <w:rsid w:val="00540051"/>
    <w:rsid w:val="00540291"/>
    <w:rsid w:val="00540331"/>
    <w:rsid w:val="005404A0"/>
    <w:rsid w:val="00540B0A"/>
    <w:rsid w:val="00540BA0"/>
    <w:rsid w:val="00540ED8"/>
    <w:rsid w:val="00541083"/>
    <w:rsid w:val="005411B5"/>
    <w:rsid w:val="005417F9"/>
    <w:rsid w:val="00541CA5"/>
    <w:rsid w:val="005424EF"/>
    <w:rsid w:val="005424FB"/>
    <w:rsid w:val="005427F3"/>
    <w:rsid w:val="005428B8"/>
    <w:rsid w:val="00542A44"/>
    <w:rsid w:val="00542AA4"/>
    <w:rsid w:val="00542D66"/>
    <w:rsid w:val="005430C6"/>
    <w:rsid w:val="00543536"/>
    <w:rsid w:val="005437F2"/>
    <w:rsid w:val="005438D3"/>
    <w:rsid w:val="005439BA"/>
    <w:rsid w:val="00543DB7"/>
    <w:rsid w:val="00543E5E"/>
    <w:rsid w:val="00543E7A"/>
    <w:rsid w:val="00543FB7"/>
    <w:rsid w:val="00544021"/>
    <w:rsid w:val="0054464B"/>
    <w:rsid w:val="00544863"/>
    <w:rsid w:val="00544C06"/>
    <w:rsid w:val="00544DCC"/>
    <w:rsid w:val="00544EC7"/>
    <w:rsid w:val="00545084"/>
    <w:rsid w:val="005450AB"/>
    <w:rsid w:val="0054516E"/>
    <w:rsid w:val="005451C0"/>
    <w:rsid w:val="005452D2"/>
    <w:rsid w:val="00545342"/>
    <w:rsid w:val="00545462"/>
    <w:rsid w:val="005454AE"/>
    <w:rsid w:val="00545938"/>
    <w:rsid w:val="00545AB2"/>
    <w:rsid w:val="00545F2D"/>
    <w:rsid w:val="00546122"/>
    <w:rsid w:val="005468B5"/>
    <w:rsid w:val="00546FCF"/>
    <w:rsid w:val="0054712D"/>
    <w:rsid w:val="00547294"/>
    <w:rsid w:val="0054736D"/>
    <w:rsid w:val="00547623"/>
    <w:rsid w:val="0054771C"/>
    <w:rsid w:val="005479B2"/>
    <w:rsid w:val="00547A03"/>
    <w:rsid w:val="00547A4E"/>
    <w:rsid w:val="00547B4B"/>
    <w:rsid w:val="00547D61"/>
    <w:rsid w:val="00550182"/>
    <w:rsid w:val="005501AF"/>
    <w:rsid w:val="0055095F"/>
    <w:rsid w:val="00550CAB"/>
    <w:rsid w:val="00550E36"/>
    <w:rsid w:val="00550EC8"/>
    <w:rsid w:val="005511C3"/>
    <w:rsid w:val="00551221"/>
    <w:rsid w:val="00551316"/>
    <w:rsid w:val="00551420"/>
    <w:rsid w:val="0055157D"/>
    <w:rsid w:val="0055162B"/>
    <w:rsid w:val="00551718"/>
    <w:rsid w:val="00551850"/>
    <w:rsid w:val="005518D4"/>
    <w:rsid w:val="0055191C"/>
    <w:rsid w:val="00551B3E"/>
    <w:rsid w:val="00551C22"/>
    <w:rsid w:val="00551DFC"/>
    <w:rsid w:val="00551EC7"/>
    <w:rsid w:val="00552065"/>
    <w:rsid w:val="00552288"/>
    <w:rsid w:val="005522E0"/>
    <w:rsid w:val="0055258D"/>
    <w:rsid w:val="0055269D"/>
    <w:rsid w:val="005526E3"/>
    <w:rsid w:val="00552BE8"/>
    <w:rsid w:val="00552D91"/>
    <w:rsid w:val="00552DB2"/>
    <w:rsid w:val="00552E47"/>
    <w:rsid w:val="00552FCC"/>
    <w:rsid w:val="0055308C"/>
    <w:rsid w:val="0055321D"/>
    <w:rsid w:val="00553242"/>
    <w:rsid w:val="005534C1"/>
    <w:rsid w:val="005534DE"/>
    <w:rsid w:val="005538C1"/>
    <w:rsid w:val="005538F9"/>
    <w:rsid w:val="00553AFD"/>
    <w:rsid w:val="00553D85"/>
    <w:rsid w:val="00553F9F"/>
    <w:rsid w:val="00554038"/>
    <w:rsid w:val="0055418A"/>
    <w:rsid w:val="00554193"/>
    <w:rsid w:val="00554208"/>
    <w:rsid w:val="00554406"/>
    <w:rsid w:val="00554563"/>
    <w:rsid w:val="005548B0"/>
    <w:rsid w:val="005549E0"/>
    <w:rsid w:val="00554ACC"/>
    <w:rsid w:val="00554C10"/>
    <w:rsid w:val="005551FB"/>
    <w:rsid w:val="00555208"/>
    <w:rsid w:val="00555483"/>
    <w:rsid w:val="00555571"/>
    <w:rsid w:val="00555764"/>
    <w:rsid w:val="00555887"/>
    <w:rsid w:val="00555BAC"/>
    <w:rsid w:val="00555BD5"/>
    <w:rsid w:val="00555C57"/>
    <w:rsid w:val="00555C67"/>
    <w:rsid w:val="00555D46"/>
    <w:rsid w:val="00555E1E"/>
    <w:rsid w:val="00556202"/>
    <w:rsid w:val="0055622D"/>
    <w:rsid w:val="00556397"/>
    <w:rsid w:val="00556533"/>
    <w:rsid w:val="00556631"/>
    <w:rsid w:val="00556817"/>
    <w:rsid w:val="005568E0"/>
    <w:rsid w:val="0055691D"/>
    <w:rsid w:val="00556CF3"/>
    <w:rsid w:val="00556F80"/>
    <w:rsid w:val="005572B9"/>
    <w:rsid w:val="00557388"/>
    <w:rsid w:val="00557E89"/>
    <w:rsid w:val="005604AE"/>
    <w:rsid w:val="005606AE"/>
    <w:rsid w:val="0056075D"/>
    <w:rsid w:val="0056087A"/>
    <w:rsid w:val="005609AD"/>
    <w:rsid w:val="00560E51"/>
    <w:rsid w:val="00560E79"/>
    <w:rsid w:val="00561083"/>
    <w:rsid w:val="005611D5"/>
    <w:rsid w:val="00561252"/>
    <w:rsid w:val="005612F5"/>
    <w:rsid w:val="00561372"/>
    <w:rsid w:val="005613F1"/>
    <w:rsid w:val="00561699"/>
    <w:rsid w:val="00561D84"/>
    <w:rsid w:val="00561EE3"/>
    <w:rsid w:val="00562221"/>
    <w:rsid w:val="0056222C"/>
    <w:rsid w:val="0056226E"/>
    <w:rsid w:val="00562420"/>
    <w:rsid w:val="005626F3"/>
    <w:rsid w:val="00562866"/>
    <w:rsid w:val="00562D3A"/>
    <w:rsid w:val="00562E9E"/>
    <w:rsid w:val="00562ED6"/>
    <w:rsid w:val="00563078"/>
    <w:rsid w:val="00563407"/>
    <w:rsid w:val="00563491"/>
    <w:rsid w:val="00563724"/>
    <w:rsid w:val="0056396E"/>
    <w:rsid w:val="00563B3D"/>
    <w:rsid w:val="00563C18"/>
    <w:rsid w:val="00563C80"/>
    <w:rsid w:val="00563D6B"/>
    <w:rsid w:val="00563D84"/>
    <w:rsid w:val="00563DC6"/>
    <w:rsid w:val="0056404A"/>
    <w:rsid w:val="005641A5"/>
    <w:rsid w:val="005646F1"/>
    <w:rsid w:val="00564736"/>
    <w:rsid w:val="005648A9"/>
    <w:rsid w:val="0056497D"/>
    <w:rsid w:val="00564ABD"/>
    <w:rsid w:val="00564AC8"/>
    <w:rsid w:val="00564D3A"/>
    <w:rsid w:val="005650FA"/>
    <w:rsid w:val="00565520"/>
    <w:rsid w:val="005655D4"/>
    <w:rsid w:val="00565BBD"/>
    <w:rsid w:val="00565DAC"/>
    <w:rsid w:val="00565E55"/>
    <w:rsid w:val="00565E65"/>
    <w:rsid w:val="00565FB0"/>
    <w:rsid w:val="00566167"/>
    <w:rsid w:val="0056622F"/>
    <w:rsid w:val="00566600"/>
    <w:rsid w:val="005667B9"/>
    <w:rsid w:val="005667D3"/>
    <w:rsid w:val="00566F65"/>
    <w:rsid w:val="0056745A"/>
    <w:rsid w:val="0056750A"/>
    <w:rsid w:val="005676A9"/>
    <w:rsid w:val="005679CD"/>
    <w:rsid w:val="00567FF7"/>
    <w:rsid w:val="00570899"/>
    <w:rsid w:val="00570BDB"/>
    <w:rsid w:val="00570E85"/>
    <w:rsid w:val="0057102C"/>
    <w:rsid w:val="00571202"/>
    <w:rsid w:val="005712CE"/>
    <w:rsid w:val="005712DE"/>
    <w:rsid w:val="005713BA"/>
    <w:rsid w:val="00571423"/>
    <w:rsid w:val="0057147D"/>
    <w:rsid w:val="00571606"/>
    <w:rsid w:val="0057171F"/>
    <w:rsid w:val="00571ADB"/>
    <w:rsid w:val="00571B70"/>
    <w:rsid w:val="0057226E"/>
    <w:rsid w:val="0057238C"/>
    <w:rsid w:val="005729F5"/>
    <w:rsid w:val="00572BF5"/>
    <w:rsid w:val="00572FEB"/>
    <w:rsid w:val="00573203"/>
    <w:rsid w:val="005734DF"/>
    <w:rsid w:val="00573524"/>
    <w:rsid w:val="0057358F"/>
    <w:rsid w:val="00573963"/>
    <w:rsid w:val="00573BF8"/>
    <w:rsid w:val="00573CA5"/>
    <w:rsid w:val="00573DAE"/>
    <w:rsid w:val="00573E66"/>
    <w:rsid w:val="00573EF4"/>
    <w:rsid w:val="00574396"/>
    <w:rsid w:val="00574443"/>
    <w:rsid w:val="00574467"/>
    <w:rsid w:val="00574657"/>
    <w:rsid w:val="00574842"/>
    <w:rsid w:val="00574882"/>
    <w:rsid w:val="005748B4"/>
    <w:rsid w:val="00574B5B"/>
    <w:rsid w:val="00574C7E"/>
    <w:rsid w:val="00574D53"/>
    <w:rsid w:val="00574E0B"/>
    <w:rsid w:val="00574EE1"/>
    <w:rsid w:val="005754E0"/>
    <w:rsid w:val="00575690"/>
    <w:rsid w:val="0057570B"/>
    <w:rsid w:val="00575841"/>
    <w:rsid w:val="00575A6A"/>
    <w:rsid w:val="00575BC6"/>
    <w:rsid w:val="00575E5D"/>
    <w:rsid w:val="00575F5A"/>
    <w:rsid w:val="00575F5D"/>
    <w:rsid w:val="00576251"/>
    <w:rsid w:val="005765EF"/>
    <w:rsid w:val="00576996"/>
    <w:rsid w:val="00576A67"/>
    <w:rsid w:val="00576B5E"/>
    <w:rsid w:val="00576B76"/>
    <w:rsid w:val="00576C8D"/>
    <w:rsid w:val="0057722B"/>
    <w:rsid w:val="005775C3"/>
    <w:rsid w:val="005776DE"/>
    <w:rsid w:val="00577794"/>
    <w:rsid w:val="0057790F"/>
    <w:rsid w:val="00577C18"/>
    <w:rsid w:val="00577C71"/>
    <w:rsid w:val="00577C81"/>
    <w:rsid w:val="00577F6C"/>
    <w:rsid w:val="0058010C"/>
    <w:rsid w:val="005801B7"/>
    <w:rsid w:val="00580297"/>
    <w:rsid w:val="0058039A"/>
    <w:rsid w:val="0058058B"/>
    <w:rsid w:val="005807AA"/>
    <w:rsid w:val="005809F8"/>
    <w:rsid w:val="00580BCE"/>
    <w:rsid w:val="00580C98"/>
    <w:rsid w:val="00580DB6"/>
    <w:rsid w:val="00580F5A"/>
    <w:rsid w:val="0058117F"/>
    <w:rsid w:val="005812FF"/>
    <w:rsid w:val="00581652"/>
    <w:rsid w:val="0058167A"/>
    <w:rsid w:val="005818B6"/>
    <w:rsid w:val="00581A18"/>
    <w:rsid w:val="00581ABA"/>
    <w:rsid w:val="00581D90"/>
    <w:rsid w:val="00581DCB"/>
    <w:rsid w:val="00581E7E"/>
    <w:rsid w:val="00581FB9"/>
    <w:rsid w:val="00582037"/>
    <w:rsid w:val="00582180"/>
    <w:rsid w:val="005821BE"/>
    <w:rsid w:val="00582415"/>
    <w:rsid w:val="00582479"/>
    <w:rsid w:val="0058292C"/>
    <w:rsid w:val="00582A10"/>
    <w:rsid w:val="00582C7B"/>
    <w:rsid w:val="00582FA3"/>
    <w:rsid w:val="00583060"/>
    <w:rsid w:val="0058337F"/>
    <w:rsid w:val="005833C7"/>
    <w:rsid w:val="0058358B"/>
    <w:rsid w:val="00583770"/>
    <w:rsid w:val="00583C8F"/>
    <w:rsid w:val="00583D6F"/>
    <w:rsid w:val="0058402D"/>
    <w:rsid w:val="0058409A"/>
    <w:rsid w:val="005840D4"/>
    <w:rsid w:val="0058410B"/>
    <w:rsid w:val="0058429A"/>
    <w:rsid w:val="00584513"/>
    <w:rsid w:val="00584814"/>
    <w:rsid w:val="0058481C"/>
    <w:rsid w:val="00584964"/>
    <w:rsid w:val="00584B37"/>
    <w:rsid w:val="00584BB3"/>
    <w:rsid w:val="00584F25"/>
    <w:rsid w:val="00584F72"/>
    <w:rsid w:val="00584F88"/>
    <w:rsid w:val="00585017"/>
    <w:rsid w:val="00585149"/>
    <w:rsid w:val="005854C8"/>
    <w:rsid w:val="005854E5"/>
    <w:rsid w:val="005855B5"/>
    <w:rsid w:val="0058568E"/>
    <w:rsid w:val="00585808"/>
    <w:rsid w:val="0058586F"/>
    <w:rsid w:val="00585B27"/>
    <w:rsid w:val="00585D88"/>
    <w:rsid w:val="00585DAC"/>
    <w:rsid w:val="00585DC0"/>
    <w:rsid w:val="00585DEF"/>
    <w:rsid w:val="00585FCC"/>
    <w:rsid w:val="005869FA"/>
    <w:rsid w:val="00586AEE"/>
    <w:rsid w:val="00586D4A"/>
    <w:rsid w:val="00587044"/>
    <w:rsid w:val="00587277"/>
    <w:rsid w:val="005872CB"/>
    <w:rsid w:val="00587515"/>
    <w:rsid w:val="005875EA"/>
    <w:rsid w:val="00587B67"/>
    <w:rsid w:val="00587BBC"/>
    <w:rsid w:val="00587DE0"/>
    <w:rsid w:val="00587EC5"/>
    <w:rsid w:val="00587F38"/>
    <w:rsid w:val="00587FE7"/>
    <w:rsid w:val="00590389"/>
    <w:rsid w:val="00590538"/>
    <w:rsid w:val="00590868"/>
    <w:rsid w:val="005908EF"/>
    <w:rsid w:val="00590B2E"/>
    <w:rsid w:val="00590B46"/>
    <w:rsid w:val="00590B9F"/>
    <w:rsid w:val="00590BAB"/>
    <w:rsid w:val="0059136A"/>
    <w:rsid w:val="00591690"/>
    <w:rsid w:val="0059184B"/>
    <w:rsid w:val="005918B7"/>
    <w:rsid w:val="00591A21"/>
    <w:rsid w:val="00591B07"/>
    <w:rsid w:val="00591D61"/>
    <w:rsid w:val="0059235B"/>
    <w:rsid w:val="005925C3"/>
    <w:rsid w:val="005928D6"/>
    <w:rsid w:val="00592983"/>
    <w:rsid w:val="00592B25"/>
    <w:rsid w:val="00592BD1"/>
    <w:rsid w:val="00592E57"/>
    <w:rsid w:val="00592EB0"/>
    <w:rsid w:val="00592FEB"/>
    <w:rsid w:val="005931ED"/>
    <w:rsid w:val="0059323E"/>
    <w:rsid w:val="00593325"/>
    <w:rsid w:val="005933BD"/>
    <w:rsid w:val="00593444"/>
    <w:rsid w:val="00593459"/>
    <w:rsid w:val="00593532"/>
    <w:rsid w:val="005936A4"/>
    <w:rsid w:val="00593867"/>
    <w:rsid w:val="005939E4"/>
    <w:rsid w:val="00593B5D"/>
    <w:rsid w:val="00593BD0"/>
    <w:rsid w:val="005941E1"/>
    <w:rsid w:val="0059466B"/>
    <w:rsid w:val="00594909"/>
    <w:rsid w:val="00594984"/>
    <w:rsid w:val="00594B16"/>
    <w:rsid w:val="00594B39"/>
    <w:rsid w:val="00594BAC"/>
    <w:rsid w:val="00594D74"/>
    <w:rsid w:val="00594EE2"/>
    <w:rsid w:val="00594F6C"/>
    <w:rsid w:val="005952FF"/>
    <w:rsid w:val="00595583"/>
    <w:rsid w:val="00595921"/>
    <w:rsid w:val="00595BA0"/>
    <w:rsid w:val="005960C8"/>
    <w:rsid w:val="005963A2"/>
    <w:rsid w:val="00596707"/>
    <w:rsid w:val="005967DD"/>
    <w:rsid w:val="005967F7"/>
    <w:rsid w:val="0059681A"/>
    <w:rsid w:val="0059695B"/>
    <w:rsid w:val="005969A4"/>
    <w:rsid w:val="00596B2D"/>
    <w:rsid w:val="00596D29"/>
    <w:rsid w:val="00596EE7"/>
    <w:rsid w:val="0059700A"/>
    <w:rsid w:val="0059722F"/>
    <w:rsid w:val="00597290"/>
    <w:rsid w:val="005972A7"/>
    <w:rsid w:val="005972C0"/>
    <w:rsid w:val="0059731C"/>
    <w:rsid w:val="00597492"/>
    <w:rsid w:val="00597862"/>
    <w:rsid w:val="005979E5"/>
    <w:rsid w:val="00597D55"/>
    <w:rsid w:val="00597E73"/>
    <w:rsid w:val="00597EAA"/>
    <w:rsid w:val="00597EC3"/>
    <w:rsid w:val="00597F17"/>
    <w:rsid w:val="005A04FF"/>
    <w:rsid w:val="005A0565"/>
    <w:rsid w:val="005A0807"/>
    <w:rsid w:val="005A0C01"/>
    <w:rsid w:val="005A0D30"/>
    <w:rsid w:val="005A0D59"/>
    <w:rsid w:val="005A0F8C"/>
    <w:rsid w:val="005A1181"/>
    <w:rsid w:val="005A143C"/>
    <w:rsid w:val="005A1713"/>
    <w:rsid w:val="005A18F2"/>
    <w:rsid w:val="005A1ACA"/>
    <w:rsid w:val="005A1C02"/>
    <w:rsid w:val="005A2037"/>
    <w:rsid w:val="005A2139"/>
    <w:rsid w:val="005A217C"/>
    <w:rsid w:val="005A256D"/>
    <w:rsid w:val="005A282A"/>
    <w:rsid w:val="005A284F"/>
    <w:rsid w:val="005A2A65"/>
    <w:rsid w:val="005A2A92"/>
    <w:rsid w:val="005A2B25"/>
    <w:rsid w:val="005A2C0E"/>
    <w:rsid w:val="005A2C3F"/>
    <w:rsid w:val="005A2CD8"/>
    <w:rsid w:val="005A2ED7"/>
    <w:rsid w:val="005A2F95"/>
    <w:rsid w:val="005A3005"/>
    <w:rsid w:val="005A3217"/>
    <w:rsid w:val="005A3376"/>
    <w:rsid w:val="005A35C9"/>
    <w:rsid w:val="005A3728"/>
    <w:rsid w:val="005A3BD9"/>
    <w:rsid w:val="005A405F"/>
    <w:rsid w:val="005A41B2"/>
    <w:rsid w:val="005A442D"/>
    <w:rsid w:val="005A4482"/>
    <w:rsid w:val="005A46F6"/>
    <w:rsid w:val="005A47F0"/>
    <w:rsid w:val="005A4B0B"/>
    <w:rsid w:val="005A4C61"/>
    <w:rsid w:val="005A5150"/>
    <w:rsid w:val="005A51C5"/>
    <w:rsid w:val="005A51DF"/>
    <w:rsid w:val="005A5504"/>
    <w:rsid w:val="005A56B8"/>
    <w:rsid w:val="005A5715"/>
    <w:rsid w:val="005A5845"/>
    <w:rsid w:val="005A5921"/>
    <w:rsid w:val="005A59E9"/>
    <w:rsid w:val="005A5DC9"/>
    <w:rsid w:val="005A5E0A"/>
    <w:rsid w:val="005A5E44"/>
    <w:rsid w:val="005A5FC0"/>
    <w:rsid w:val="005A6038"/>
    <w:rsid w:val="005A6290"/>
    <w:rsid w:val="005A62A5"/>
    <w:rsid w:val="005A648E"/>
    <w:rsid w:val="005A6699"/>
    <w:rsid w:val="005A6764"/>
    <w:rsid w:val="005A689E"/>
    <w:rsid w:val="005A698A"/>
    <w:rsid w:val="005A69EB"/>
    <w:rsid w:val="005A69F6"/>
    <w:rsid w:val="005A6D95"/>
    <w:rsid w:val="005A6DA8"/>
    <w:rsid w:val="005A6EA7"/>
    <w:rsid w:val="005A7023"/>
    <w:rsid w:val="005A70BE"/>
    <w:rsid w:val="005A70C8"/>
    <w:rsid w:val="005A74D0"/>
    <w:rsid w:val="005A7538"/>
    <w:rsid w:val="005A76F3"/>
    <w:rsid w:val="005A7C78"/>
    <w:rsid w:val="005A7DF5"/>
    <w:rsid w:val="005B03EE"/>
    <w:rsid w:val="005B04C1"/>
    <w:rsid w:val="005B0886"/>
    <w:rsid w:val="005B0BE2"/>
    <w:rsid w:val="005B0D26"/>
    <w:rsid w:val="005B0DF5"/>
    <w:rsid w:val="005B0FD9"/>
    <w:rsid w:val="005B1217"/>
    <w:rsid w:val="005B12C1"/>
    <w:rsid w:val="005B148A"/>
    <w:rsid w:val="005B1557"/>
    <w:rsid w:val="005B17D2"/>
    <w:rsid w:val="005B18A4"/>
    <w:rsid w:val="005B1A97"/>
    <w:rsid w:val="005B1D91"/>
    <w:rsid w:val="005B1DAB"/>
    <w:rsid w:val="005B1F2B"/>
    <w:rsid w:val="005B1F49"/>
    <w:rsid w:val="005B21EF"/>
    <w:rsid w:val="005B2230"/>
    <w:rsid w:val="005B2398"/>
    <w:rsid w:val="005B25FC"/>
    <w:rsid w:val="005B261E"/>
    <w:rsid w:val="005B2643"/>
    <w:rsid w:val="005B2714"/>
    <w:rsid w:val="005B2742"/>
    <w:rsid w:val="005B27DE"/>
    <w:rsid w:val="005B2889"/>
    <w:rsid w:val="005B29D7"/>
    <w:rsid w:val="005B2D6E"/>
    <w:rsid w:val="005B3263"/>
    <w:rsid w:val="005B32A2"/>
    <w:rsid w:val="005B32FA"/>
    <w:rsid w:val="005B357D"/>
    <w:rsid w:val="005B3601"/>
    <w:rsid w:val="005B36F3"/>
    <w:rsid w:val="005B389A"/>
    <w:rsid w:val="005B3B01"/>
    <w:rsid w:val="005B3B5F"/>
    <w:rsid w:val="005B3B86"/>
    <w:rsid w:val="005B3C23"/>
    <w:rsid w:val="005B3E3B"/>
    <w:rsid w:val="005B3F25"/>
    <w:rsid w:val="005B40E7"/>
    <w:rsid w:val="005B42B2"/>
    <w:rsid w:val="005B43BB"/>
    <w:rsid w:val="005B43CD"/>
    <w:rsid w:val="005B443F"/>
    <w:rsid w:val="005B452C"/>
    <w:rsid w:val="005B469E"/>
    <w:rsid w:val="005B49F1"/>
    <w:rsid w:val="005B4B1A"/>
    <w:rsid w:val="005B4D33"/>
    <w:rsid w:val="005B4F63"/>
    <w:rsid w:val="005B5114"/>
    <w:rsid w:val="005B5459"/>
    <w:rsid w:val="005B56C2"/>
    <w:rsid w:val="005B56E6"/>
    <w:rsid w:val="005B57A0"/>
    <w:rsid w:val="005B58BF"/>
    <w:rsid w:val="005B59F9"/>
    <w:rsid w:val="005B5B73"/>
    <w:rsid w:val="005B5C47"/>
    <w:rsid w:val="005B5C77"/>
    <w:rsid w:val="005B5C84"/>
    <w:rsid w:val="005B5CF8"/>
    <w:rsid w:val="005B5D33"/>
    <w:rsid w:val="005B5D9A"/>
    <w:rsid w:val="005B604B"/>
    <w:rsid w:val="005B6297"/>
    <w:rsid w:val="005B6429"/>
    <w:rsid w:val="005B64E1"/>
    <w:rsid w:val="005B6E38"/>
    <w:rsid w:val="005B7038"/>
    <w:rsid w:val="005B70E7"/>
    <w:rsid w:val="005B718B"/>
    <w:rsid w:val="005B74E1"/>
    <w:rsid w:val="005B75C3"/>
    <w:rsid w:val="005B7616"/>
    <w:rsid w:val="005B762E"/>
    <w:rsid w:val="005B79AB"/>
    <w:rsid w:val="005B7A39"/>
    <w:rsid w:val="005B7DD0"/>
    <w:rsid w:val="005C0364"/>
    <w:rsid w:val="005C04D1"/>
    <w:rsid w:val="005C04DF"/>
    <w:rsid w:val="005C10E0"/>
    <w:rsid w:val="005C123F"/>
    <w:rsid w:val="005C12EF"/>
    <w:rsid w:val="005C1450"/>
    <w:rsid w:val="005C1465"/>
    <w:rsid w:val="005C14B6"/>
    <w:rsid w:val="005C15A9"/>
    <w:rsid w:val="005C170E"/>
    <w:rsid w:val="005C17BD"/>
    <w:rsid w:val="005C17D3"/>
    <w:rsid w:val="005C17D5"/>
    <w:rsid w:val="005C18A4"/>
    <w:rsid w:val="005C1B7A"/>
    <w:rsid w:val="005C1CE6"/>
    <w:rsid w:val="005C1DF3"/>
    <w:rsid w:val="005C1EB6"/>
    <w:rsid w:val="005C1F36"/>
    <w:rsid w:val="005C1F5E"/>
    <w:rsid w:val="005C1FDC"/>
    <w:rsid w:val="005C2286"/>
    <w:rsid w:val="005C239C"/>
    <w:rsid w:val="005C2638"/>
    <w:rsid w:val="005C267B"/>
    <w:rsid w:val="005C268C"/>
    <w:rsid w:val="005C2A1D"/>
    <w:rsid w:val="005C2AE2"/>
    <w:rsid w:val="005C2EFA"/>
    <w:rsid w:val="005C2F53"/>
    <w:rsid w:val="005C3007"/>
    <w:rsid w:val="005C308E"/>
    <w:rsid w:val="005C30CA"/>
    <w:rsid w:val="005C325B"/>
    <w:rsid w:val="005C33EF"/>
    <w:rsid w:val="005C33FF"/>
    <w:rsid w:val="005C3498"/>
    <w:rsid w:val="005C364B"/>
    <w:rsid w:val="005C371A"/>
    <w:rsid w:val="005C3C03"/>
    <w:rsid w:val="005C3C62"/>
    <w:rsid w:val="005C3C99"/>
    <w:rsid w:val="005C3CFC"/>
    <w:rsid w:val="005C3DFB"/>
    <w:rsid w:val="005C3F12"/>
    <w:rsid w:val="005C3F74"/>
    <w:rsid w:val="005C4049"/>
    <w:rsid w:val="005C4240"/>
    <w:rsid w:val="005C4363"/>
    <w:rsid w:val="005C4601"/>
    <w:rsid w:val="005C469B"/>
    <w:rsid w:val="005C46B9"/>
    <w:rsid w:val="005C4A5D"/>
    <w:rsid w:val="005C4AFC"/>
    <w:rsid w:val="005C4B0C"/>
    <w:rsid w:val="005C5258"/>
    <w:rsid w:val="005C52FC"/>
    <w:rsid w:val="005C53CF"/>
    <w:rsid w:val="005C5457"/>
    <w:rsid w:val="005C56FB"/>
    <w:rsid w:val="005C58AA"/>
    <w:rsid w:val="005C59AC"/>
    <w:rsid w:val="005C59D0"/>
    <w:rsid w:val="005C5BC8"/>
    <w:rsid w:val="005C5C2E"/>
    <w:rsid w:val="005C5C70"/>
    <w:rsid w:val="005C5E27"/>
    <w:rsid w:val="005C5EBB"/>
    <w:rsid w:val="005C5EFE"/>
    <w:rsid w:val="005C638C"/>
    <w:rsid w:val="005C655D"/>
    <w:rsid w:val="005C65C3"/>
    <w:rsid w:val="005C65D7"/>
    <w:rsid w:val="005C668A"/>
    <w:rsid w:val="005C6900"/>
    <w:rsid w:val="005C694F"/>
    <w:rsid w:val="005C6BD1"/>
    <w:rsid w:val="005C6E97"/>
    <w:rsid w:val="005C7107"/>
    <w:rsid w:val="005C739D"/>
    <w:rsid w:val="005C73AB"/>
    <w:rsid w:val="005C7465"/>
    <w:rsid w:val="005C7544"/>
    <w:rsid w:val="005C7761"/>
    <w:rsid w:val="005C7795"/>
    <w:rsid w:val="005C7CDA"/>
    <w:rsid w:val="005C7EF5"/>
    <w:rsid w:val="005D0298"/>
    <w:rsid w:val="005D02AD"/>
    <w:rsid w:val="005D02C3"/>
    <w:rsid w:val="005D034F"/>
    <w:rsid w:val="005D0498"/>
    <w:rsid w:val="005D076E"/>
    <w:rsid w:val="005D1112"/>
    <w:rsid w:val="005D13A0"/>
    <w:rsid w:val="005D14DF"/>
    <w:rsid w:val="005D191F"/>
    <w:rsid w:val="005D1951"/>
    <w:rsid w:val="005D1CD6"/>
    <w:rsid w:val="005D1CDF"/>
    <w:rsid w:val="005D20B5"/>
    <w:rsid w:val="005D244C"/>
    <w:rsid w:val="005D24D6"/>
    <w:rsid w:val="005D2768"/>
    <w:rsid w:val="005D28F5"/>
    <w:rsid w:val="005D2A40"/>
    <w:rsid w:val="005D2B03"/>
    <w:rsid w:val="005D2D53"/>
    <w:rsid w:val="005D2E77"/>
    <w:rsid w:val="005D3124"/>
    <w:rsid w:val="005D312F"/>
    <w:rsid w:val="005D3164"/>
    <w:rsid w:val="005D34DD"/>
    <w:rsid w:val="005D34ED"/>
    <w:rsid w:val="005D3ABB"/>
    <w:rsid w:val="005D3E15"/>
    <w:rsid w:val="005D3FC5"/>
    <w:rsid w:val="005D4118"/>
    <w:rsid w:val="005D43CC"/>
    <w:rsid w:val="005D43E2"/>
    <w:rsid w:val="005D43FA"/>
    <w:rsid w:val="005D4747"/>
    <w:rsid w:val="005D475B"/>
    <w:rsid w:val="005D478B"/>
    <w:rsid w:val="005D4A26"/>
    <w:rsid w:val="005D4A31"/>
    <w:rsid w:val="005D4A54"/>
    <w:rsid w:val="005D4D5A"/>
    <w:rsid w:val="005D4D77"/>
    <w:rsid w:val="005D4DEF"/>
    <w:rsid w:val="005D4E8E"/>
    <w:rsid w:val="005D4ECF"/>
    <w:rsid w:val="005D5021"/>
    <w:rsid w:val="005D5178"/>
    <w:rsid w:val="005D5881"/>
    <w:rsid w:val="005D5A21"/>
    <w:rsid w:val="005D5A9B"/>
    <w:rsid w:val="005D5ADC"/>
    <w:rsid w:val="005D5CCF"/>
    <w:rsid w:val="005D5D0C"/>
    <w:rsid w:val="005D5D84"/>
    <w:rsid w:val="005D60B8"/>
    <w:rsid w:val="005D61E1"/>
    <w:rsid w:val="005D6234"/>
    <w:rsid w:val="005D6344"/>
    <w:rsid w:val="005D648A"/>
    <w:rsid w:val="005D65F0"/>
    <w:rsid w:val="005D65F2"/>
    <w:rsid w:val="005D667C"/>
    <w:rsid w:val="005D691A"/>
    <w:rsid w:val="005D69B1"/>
    <w:rsid w:val="005D6A21"/>
    <w:rsid w:val="005D6DB4"/>
    <w:rsid w:val="005D7024"/>
    <w:rsid w:val="005D737E"/>
    <w:rsid w:val="005D7380"/>
    <w:rsid w:val="005D746B"/>
    <w:rsid w:val="005D7698"/>
    <w:rsid w:val="005D7936"/>
    <w:rsid w:val="005D7CC0"/>
    <w:rsid w:val="005D7FB9"/>
    <w:rsid w:val="005E039B"/>
    <w:rsid w:val="005E0699"/>
    <w:rsid w:val="005E0790"/>
    <w:rsid w:val="005E085E"/>
    <w:rsid w:val="005E08AC"/>
    <w:rsid w:val="005E09BC"/>
    <w:rsid w:val="005E0B24"/>
    <w:rsid w:val="005E0CC3"/>
    <w:rsid w:val="005E0F43"/>
    <w:rsid w:val="005E0FFD"/>
    <w:rsid w:val="005E143E"/>
    <w:rsid w:val="005E1479"/>
    <w:rsid w:val="005E193A"/>
    <w:rsid w:val="005E19C9"/>
    <w:rsid w:val="005E1A3A"/>
    <w:rsid w:val="005E1A71"/>
    <w:rsid w:val="005E1C01"/>
    <w:rsid w:val="005E1C4A"/>
    <w:rsid w:val="005E1CBD"/>
    <w:rsid w:val="005E1DF3"/>
    <w:rsid w:val="005E1EBC"/>
    <w:rsid w:val="005E2273"/>
    <w:rsid w:val="005E2281"/>
    <w:rsid w:val="005E244F"/>
    <w:rsid w:val="005E2508"/>
    <w:rsid w:val="005E256B"/>
    <w:rsid w:val="005E2597"/>
    <w:rsid w:val="005E289E"/>
    <w:rsid w:val="005E2A7F"/>
    <w:rsid w:val="005E2BD3"/>
    <w:rsid w:val="005E2D87"/>
    <w:rsid w:val="005E3121"/>
    <w:rsid w:val="005E3297"/>
    <w:rsid w:val="005E39D0"/>
    <w:rsid w:val="005E3EA1"/>
    <w:rsid w:val="005E42D4"/>
    <w:rsid w:val="005E4521"/>
    <w:rsid w:val="005E49A4"/>
    <w:rsid w:val="005E4E61"/>
    <w:rsid w:val="005E4E6F"/>
    <w:rsid w:val="005E4FAC"/>
    <w:rsid w:val="005E50F0"/>
    <w:rsid w:val="005E5208"/>
    <w:rsid w:val="005E52B6"/>
    <w:rsid w:val="005E532F"/>
    <w:rsid w:val="005E54BA"/>
    <w:rsid w:val="005E5571"/>
    <w:rsid w:val="005E5881"/>
    <w:rsid w:val="005E5A75"/>
    <w:rsid w:val="005E5ABE"/>
    <w:rsid w:val="005E604A"/>
    <w:rsid w:val="005E60D0"/>
    <w:rsid w:val="005E638E"/>
    <w:rsid w:val="005E63D4"/>
    <w:rsid w:val="005E643E"/>
    <w:rsid w:val="005E6C32"/>
    <w:rsid w:val="005E6CEA"/>
    <w:rsid w:val="005E6D51"/>
    <w:rsid w:val="005E6DA4"/>
    <w:rsid w:val="005E6E04"/>
    <w:rsid w:val="005E71AA"/>
    <w:rsid w:val="005E7513"/>
    <w:rsid w:val="005E75D2"/>
    <w:rsid w:val="005E786A"/>
    <w:rsid w:val="005E7912"/>
    <w:rsid w:val="005E79B3"/>
    <w:rsid w:val="005E7C93"/>
    <w:rsid w:val="005E7D8F"/>
    <w:rsid w:val="005F004B"/>
    <w:rsid w:val="005F0361"/>
    <w:rsid w:val="005F0477"/>
    <w:rsid w:val="005F0683"/>
    <w:rsid w:val="005F06B0"/>
    <w:rsid w:val="005F06BB"/>
    <w:rsid w:val="005F06D4"/>
    <w:rsid w:val="005F07CF"/>
    <w:rsid w:val="005F090D"/>
    <w:rsid w:val="005F094F"/>
    <w:rsid w:val="005F0B28"/>
    <w:rsid w:val="005F0C51"/>
    <w:rsid w:val="005F0DA1"/>
    <w:rsid w:val="005F0EE1"/>
    <w:rsid w:val="005F100E"/>
    <w:rsid w:val="005F10B4"/>
    <w:rsid w:val="005F19A1"/>
    <w:rsid w:val="005F1AD7"/>
    <w:rsid w:val="005F275B"/>
    <w:rsid w:val="005F2934"/>
    <w:rsid w:val="005F29B4"/>
    <w:rsid w:val="005F2AFB"/>
    <w:rsid w:val="005F2B17"/>
    <w:rsid w:val="005F2DA1"/>
    <w:rsid w:val="005F2F7B"/>
    <w:rsid w:val="005F30D5"/>
    <w:rsid w:val="005F31C9"/>
    <w:rsid w:val="005F35A0"/>
    <w:rsid w:val="005F3914"/>
    <w:rsid w:val="005F3EFC"/>
    <w:rsid w:val="005F40CB"/>
    <w:rsid w:val="005F4100"/>
    <w:rsid w:val="005F42F8"/>
    <w:rsid w:val="005F44C4"/>
    <w:rsid w:val="005F476E"/>
    <w:rsid w:val="005F4793"/>
    <w:rsid w:val="005F4D5E"/>
    <w:rsid w:val="005F4FBF"/>
    <w:rsid w:val="005F509E"/>
    <w:rsid w:val="005F50BC"/>
    <w:rsid w:val="005F5531"/>
    <w:rsid w:val="005F56A5"/>
    <w:rsid w:val="005F5734"/>
    <w:rsid w:val="005F5CA9"/>
    <w:rsid w:val="005F5F82"/>
    <w:rsid w:val="005F5FCC"/>
    <w:rsid w:val="005F6062"/>
    <w:rsid w:val="005F60A4"/>
    <w:rsid w:val="005F6236"/>
    <w:rsid w:val="005F62B3"/>
    <w:rsid w:val="005F6309"/>
    <w:rsid w:val="005F63EF"/>
    <w:rsid w:val="005F655F"/>
    <w:rsid w:val="005F6721"/>
    <w:rsid w:val="005F67BC"/>
    <w:rsid w:val="005F6B9F"/>
    <w:rsid w:val="005F6CF7"/>
    <w:rsid w:val="005F6EDD"/>
    <w:rsid w:val="005F71E9"/>
    <w:rsid w:val="005F7271"/>
    <w:rsid w:val="005F7302"/>
    <w:rsid w:val="005F73DB"/>
    <w:rsid w:val="005F744F"/>
    <w:rsid w:val="005F7457"/>
    <w:rsid w:val="005F7935"/>
    <w:rsid w:val="005F7DBA"/>
    <w:rsid w:val="005F7DBC"/>
    <w:rsid w:val="00600162"/>
    <w:rsid w:val="006001BA"/>
    <w:rsid w:val="00600536"/>
    <w:rsid w:val="00600675"/>
    <w:rsid w:val="0060087C"/>
    <w:rsid w:val="00600945"/>
    <w:rsid w:val="006009B5"/>
    <w:rsid w:val="00600A2B"/>
    <w:rsid w:val="00600AB5"/>
    <w:rsid w:val="00600DB5"/>
    <w:rsid w:val="00600E45"/>
    <w:rsid w:val="00600F53"/>
    <w:rsid w:val="006011F6"/>
    <w:rsid w:val="006013A5"/>
    <w:rsid w:val="0060172B"/>
    <w:rsid w:val="00601884"/>
    <w:rsid w:val="00601973"/>
    <w:rsid w:val="00601E4F"/>
    <w:rsid w:val="00601F15"/>
    <w:rsid w:val="00602494"/>
    <w:rsid w:val="0060260A"/>
    <w:rsid w:val="00602698"/>
    <w:rsid w:val="00602746"/>
    <w:rsid w:val="00602A02"/>
    <w:rsid w:val="00602BD6"/>
    <w:rsid w:val="00602D97"/>
    <w:rsid w:val="00602DDE"/>
    <w:rsid w:val="0060324E"/>
    <w:rsid w:val="006032E9"/>
    <w:rsid w:val="006033AD"/>
    <w:rsid w:val="006035E8"/>
    <w:rsid w:val="00603A75"/>
    <w:rsid w:val="00603CAD"/>
    <w:rsid w:val="00603E0B"/>
    <w:rsid w:val="00603FA7"/>
    <w:rsid w:val="0060401B"/>
    <w:rsid w:val="006040A7"/>
    <w:rsid w:val="00604126"/>
    <w:rsid w:val="00604332"/>
    <w:rsid w:val="00604336"/>
    <w:rsid w:val="006045D6"/>
    <w:rsid w:val="006046B4"/>
    <w:rsid w:val="00605135"/>
    <w:rsid w:val="00605294"/>
    <w:rsid w:val="006055EC"/>
    <w:rsid w:val="00605B2C"/>
    <w:rsid w:val="00605BF8"/>
    <w:rsid w:val="00605C33"/>
    <w:rsid w:val="00605FBE"/>
    <w:rsid w:val="00606267"/>
    <w:rsid w:val="0060644F"/>
    <w:rsid w:val="00606670"/>
    <w:rsid w:val="0060679D"/>
    <w:rsid w:val="00606BBC"/>
    <w:rsid w:val="00606CCA"/>
    <w:rsid w:val="00606CEE"/>
    <w:rsid w:val="00606D1B"/>
    <w:rsid w:val="00607093"/>
    <w:rsid w:val="00607159"/>
    <w:rsid w:val="006072E4"/>
    <w:rsid w:val="00607415"/>
    <w:rsid w:val="006077CC"/>
    <w:rsid w:val="00610388"/>
    <w:rsid w:val="00610558"/>
    <w:rsid w:val="0061069C"/>
    <w:rsid w:val="0061082F"/>
    <w:rsid w:val="00610B29"/>
    <w:rsid w:val="00610C5A"/>
    <w:rsid w:val="00610C7E"/>
    <w:rsid w:val="00610EEF"/>
    <w:rsid w:val="00611051"/>
    <w:rsid w:val="00611241"/>
    <w:rsid w:val="00611753"/>
    <w:rsid w:val="006117E8"/>
    <w:rsid w:val="0061183C"/>
    <w:rsid w:val="00611869"/>
    <w:rsid w:val="0061188E"/>
    <w:rsid w:val="00611C35"/>
    <w:rsid w:val="00611DA8"/>
    <w:rsid w:val="006121D4"/>
    <w:rsid w:val="0061235D"/>
    <w:rsid w:val="006123E7"/>
    <w:rsid w:val="00612410"/>
    <w:rsid w:val="006126BB"/>
    <w:rsid w:val="006126E3"/>
    <w:rsid w:val="006128E3"/>
    <w:rsid w:val="00612D9A"/>
    <w:rsid w:val="00613203"/>
    <w:rsid w:val="00613399"/>
    <w:rsid w:val="006134D4"/>
    <w:rsid w:val="006135ED"/>
    <w:rsid w:val="0061375C"/>
    <w:rsid w:val="00613B6C"/>
    <w:rsid w:val="00613C1C"/>
    <w:rsid w:val="00613DDD"/>
    <w:rsid w:val="00613E05"/>
    <w:rsid w:val="00614011"/>
    <w:rsid w:val="006141DC"/>
    <w:rsid w:val="0061429B"/>
    <w:rsid w:val="0061431E"/>
    <w:rsid w:val="006143D2"/>
    <w:rsid w:val="0061452C"/>
    <w:rsid w:val="00614878"/>
    <w:rsid w:val="00614972"/>
    <w:rsid w:val="0061499F"/>
    <w:rsid w:val="006149C6"/>
    <w:rsid w:val="006149F8"/>
    <w:rsid w:val="00614CEC"/>
    <w:rsid w:val="00614DFC"/>
    <w:rsid w:val="006155F2"/>
    <w:rsid w:val="00615635"/>
    <w:rsid w:val="00615A4B"/>
    <w:rsid w:val="00615C92"/>
    <w:rsid w:val="00615CC4"/>
    <w:rsid w:val="0061610B"/>
    <w:rsid w:val="006163A0"/>
    <w:rsid w:val="0061683E"/>
    <w:rsid w:val="0061695A"/>
    <w:rsid w:val="00616E0B"/>
    <w:rsid w:val="00616E2B"/>
    <w:rsid w:val="006174D8"/>
    <w:rsid w:val="00617520"/>
    <w:rsid w:val="006178E8"/>
    <w:rsid w:val="00617945"/>
    <w:rsid w:val="00617ADE"/>
    <w:rsid w:val="00617AFA"/>
    <w:rsid w:val="00617B7D"/>
    <w:rsid w:val="00617D03"/>
    <w:rsid w:val="00620323"/>
    <w:rsid w:val="006206F0"/>
    <w:rsid w:val="00620874"/>
    <w:rsid w:val="006209A5"/>
    <w:rsid w:val="00620B58"/>
    <w:rsid w:val="0062127F"/>
    <w:rsid w:val="0062132D"/>
    <w:rsid w:val="0062158A"/>
    <w:rsid w:val="006217E9"/>
    <w:rsid w:val="00621BC3"/>
    <w:rsid w:val="00621EE9"/>
    <w:rsid w:val="006221F0"/>
    <w:rsid w:val="0062237F"/>
    <w:rsid w:val="006224A6"/>
    <w:rsid w:val="0062271C"/>
    <w:rsid w:val="0062299B"/>
    <w:rsid w:val="00622D8D"/>
    <w:rsid w:val="0062313C"/>
    <w:rsid w:val="00623140"/>
    <w:rsid w:val="0062349B"/>
    <w:rsid w:val="00623587"/>
    <w:rsid w:val="00623AB8"/>
    <w:rsid w:val="00623B5C"/>
    <w:rsid w:val="00623F73"/>
    <w:rsid w:val="00624182"/>
    <w:rsid w:val="006242CD"/>
    <w:rsid w:val="006243B5"/>
    <w:rsid w:val="0062445C"/>
    <w:rsid w:val="0062450F"/>
    <w:rsid w:val="00624556"/>
    <w:rsid w:val="0062466C"/>
    <w:rsid w:val="006248C6"/>
    <w:rsid w:val="00624A35"/>
    <w:rsid w:val="00624CBD"/>
    <w:rsid w:val="00624E14"/>
    <w:rsid w:val="00624E32"/>
    <w:rsid w:val="00624E52"/>
    <w:rsid w:val="006250EB"/>
    <w:rsid w:val="00625855"/>
    <w:rsid w:val="00625AD4"/>
    <w:rsid w:val="00625FCF"/>
    <w:rsid w:val="00626007"/>
    <w:rsid w:val="006261CC"/>
    <w:rsid w:val="00626839"/>
    <w:rsid w:val="0062683B"/>
    <w:rsid w:val="006268F1"/>
    <w:rsid w:val="006269AE"/>
    <w:rsid w:val="00626C02"/>
    <w:rsid w:val="00626ED6"/>
    <w:rsid w:val="00626FA5"/>
    <w:rsid w:val="00627047"/>
    <w:rsid w:val="00627451"/>
    <w:rsid w:val="00627671"/>
    <w:rsid w:val="006277A7"/>
    <w:rsid w:val="00627C5B"/>
    <w:rsid w:val="00627C79"/>
    <w:rsid w:val="00627EEB"/>
    <w:rsid w:val="00627F4D"/>
    <w:rsid w:val="006300CB"/>
    <w:rsid w:val="006302C3"/>
    <w:rsid w:val="00630886"/>
    <w:rsid w:val="006309E8"/>
    <w:rsid w:val="00630B4B"/>
    <w:rsid w:val="00630B61"/>
    <w:rsid w:val="00630DF3"/>
    <w:rsid w:val="00630E1F"/>
    <w:rsid w:val="00631296"/>
    <w:rsid w:val="00631310"/>
    <w:rsid w:val="0063146E"/>
    <w:rsid w:val="00631503"/>
    <w:rsid w:val="00631551"/>
    <w:rsid w:val="00631A50"/>
    <w:rsid w:val="00631B70"/>
    <w:rsid w:val="00631BA2"/>
    <w:rsid w:val="00632186"/>
    <w:rsid w:val="0063233B"/>
    <w:rsid w:val="006327A0"/>
    <w:rsid w:val="00632979"/>
    <w:rsid w:val="00632B41"/>
    <w:rsid w:val="00632C24"/>
    <w:rsid w:val="00633102"/>
    <w:rsid w:val="00633235"/>
    <w:rsid w:val="0063335D"/>
    <w:rsid w:val="00633542"/>
    <w:rsid w:val="006336AA"/>
    <w:rsid w:val="006336D3"/>
    <w:rsid w:val="00633A33"/>
    <w:rsid w:val="00633A64"/>
    <w:rsid w:val="00633AAA"/>
    <w:rsid w:val="00633B51"/>
    <w:rsid w:val="00633D4B"/>
    <w:rsid w:val="00633EC9"/>
    <w:rsid w:val="00633F27"/>
    <w:rsid w:val="00634127"/>
    <w:rsid w:val="00634178"/>
    <w:rsid w:val="006343E6"/>
    <w:rsid w:val="0063474D"/>
    <w:rsid w:val="0063478A"/>
    <w:rsid w:val="0063482E"/>
    <w:rsid w:val="00634996"/>
    <w:rsid w:val="006349E4"/>
    <w:rsid w:val="00634AFF"/>
    <w:rsid w:val="00634B08"/>
    <w:rsid w:val="00634B8C"/>
    <w:rsid w:val="00634C49"/>
    <w:rsid w:val="00634E1B"/>
    <w:rsid w:val="00634ED4"/>
    <w:rsid w:val="006354AB"/>
    <w:rsid w:val="0063553A"/>
    <w:rsid w:val="006355E7"/>
    <w:rsid w:val="006358E4"/>
    <w:rsid w:val="0063594F"/>
    <w:rsid w:val="006359D6"/>
    <w:rsid w:val="00636267"/>
    <w:rsid w:val="0063647D"/>
    <w:rsid w:val="006368E1"/>
    <w:rsid w:val="0063692D"/>
    <w:rsid w:val="00636967"/>
    <w:rsid w:val="00636B2B"/>
    <w:rsid w:val="00636BCA"/>
    <w:rsid w:val="00636C1A"/>
    <w:rsid w:val="00636F4A"/>
    <w:rsid w:val="00636FB6"/>
    <w:rsid w:val="00637038"/>
    <w:rsid w:val="00637168"/>
    <w:rsid w:val="00637585"/>
    <w:rsid w:val="006376F8"/>
    <w:rsid w:val="00637808"/>
    <w:rsid w:val="006378C5"/>
    <w:rsid w:val="00637960"/>
    <w:rsid w:val="00637B7A"/>
    <w:rsid w:val="00637BFF"/>
    <w:rsid w:val="00637F9F"/>
    <w:rsid w:val="00637FD0"/>
    <w:rsid w:val="00637FD7"/>
    <w:rsid w:val="00640018"/>
    <w:rsid w:val="00640131"/>
    <w:rsid w:val="00640603"/>
    <w:rsid w:val="00640911"/>
    <w:rsid w:val="00640BFD"/>
    <w:rsid w:val="00640CD5"/>
    <w:rsid w:val="00640F50"/>
    <w:rsid w:val="0064131A"/>
    <w:rsid w:val="0064149A"/>
    <w:rsid w:val="006415F5"/>
    <w:rsid w:val="0064177C"/>
    <w:rsid w:val="00641B5C"/>
    <w:rsid w:val="00641C1F"/>
    <w:rsid w:val="00641C34"/>
    <w:rsid w:val="00641EFE"/>
    <w:rsid w:val="00642174"/>
    <w:rsid w:val="00642686"/>
    <w:rsid w:val="0064275F"/>
    <w:rsid w:val="006427F2"/>
    <w:rsid w:val="006429E8"/>
    <w:rsid w:val="00642A08"/>
    <w:rsid w:val="00642A0A"/>
    <w:rsid w:val="00642AE5"/>
    <w:rsid w:val="00642BE4"/>
    <w:rsid w:val="0064359F"/>
    <w:rsid w:val="00643BB1"/>
    <w:rsid w:val="00643DCB"/>
    <w:rsid w:val="00643E3C"/>
    <w:rsid w:val="00643F7F"/>
    <w:rsid w:val="00644068"/>
    <w:rsid w:val="00644171"/>
    <w:rsid w:val="006442FC"/>
    <w:rsid w:val="0064457D"/>
    <w:rsid w:val="0064478E"/>
    <w:rsid w:val="00644AE7"/>
    <w:rsid w:val="00644B21"/>
    <w:rsid w:val="00644E6D"/>
    <w:rsid w:val="0064510D"/>
    <w:rsid w:val="006452A9"/>
    <w:rsid w:val="00645381"/>
    <w:rsid w:val="00645582"/>
    <w:rsid w:val="006456D9"/>
    <w:rsid w:val="00645777"/>
    <w:rsid w:val="006457A3"/>
    <w:rsid w:val="00645864"/>
    <w:rsid w:val="006460CA"/>
    <w:rsid w:val="006465B1"/>
    <w:rsid w:val="006468C3"/>
    <w:rsid w:val="006468D8"/>
    <w:rsid w:val="0064694B"/>
    <w:rsid w:val="00646963"/>
    <w:rsid w:val="00646A4C"/>
    <w:rsid w:val="00646EC1"/>
    <w:rsid w:val="00646ED9"/>
    <w:rsid w:val="00646F99"/>
    <w:rsid w:val="00647059"/>
    <w:rsid w:val="006470F8"/>
    <w:rsid w:val="00647472"/>
    <w:rsid w:val="0064761B"/>
    <w:rsid w:val="006479E3"/>
    <w:rsid w:val="00647C87"/>
    <w:rsid w:val="006502FD"/>
    <w:rsid w:val="006503FD"/>
    <w:rsid w:val="006504FD"/>
    <w:rsid w:val="00650629"/>
    <w:rsid w:val="006507E0"/>
    <w:rsid w:val="00650A70"/>
    <w:rsid w:val="00650D4B"/>
    <w:rsid w:val="00651052"/>
    <w:rsid w:val="006511CE"/>
    <w:rsid w:val="0065130B"/>
    <w:rsid w:val="00651370"/>
    <w:rsid w:val="00651965"/>
    <w:rsid w:val="00651B8B"/>
    <w:rsid w:val="00651D13"/>
    <w:rsid w:val="00651DCC"/>
    <w:rsid w:val="006522F9"/>
    <w:rsid w:val="00652344"/>
    <w:rsid w:val="0065237C"/>
    <w:rsid w:val="00652728"/>
    <w:rsid w:val="00652835"/>
    <w:rsid w:val="006529A4"/>
    <w:rsid w:val="00652A3A"/>
    <w:rsid w:val="00652B53"/>
    <w:rsid w:val="00652BE7"/>
    <w:rsid w:val="00652F95"/>
    <w:rsid w:val="00652FCA"/>
    <w:rsid w:val="00653090"/>
    <w:rsid w:val="0065316E"/>
    <w:rsid w:val="00653176"/>
    <w:rsid w:val="0065323A"/>
    <w:rsid w:val="006533C9"/>
    <w:rsid w:val="006534CD"/>
    <w:rsid w:val="006536C4"/>
    <w:rsid w:val="00653709"/>
    <w:rsid w:val="006539FE"/>
    <w:rsid w:val="00653D39"/>
    <w:rsid w:val="00653D59"/>
    <w:rsid w:val="00653DA2"/>
    <w:rsid w:val="00653F71"/>
    <w:rsid w:val="006540AB"/>
    <w:rsid w:val="0065429F"/>
    <w:rsid w:val="0065436C"/>
    <w:rsid w:val="0065443A"/>
    <w:rsid w:val="00654667"/>
    <w:rsid w:val="00654928"/>
    <w:rsid w:val="006549A4"/>
    <w:rsid w:val="00654A45"/>
    <w:rsid w:val="00654ACB"/>
    <w:rsid w:val="00654F7E"/>
    <w:rsid w:val="006550DE"/>
    <w:rsid w:val="0065553F"/>
    <w:rsid w:val="006558DB"/>
    <w:rsid w:val="00655E19"/>
    <w:rsid w:val="00655E7C"/>
    <w:rsid w:val="00655EBC"/>
    <w:rsid w:val="00655F74"/>
    <w:rsid w:val="006560B1"/>
    <w:rsid w:val="006562EF"/>
    <w:rsid w:val="0065639F"/>
    <w:rsid w:val="00656780"/>
    <w:rsid w:val="0065679B"/>
    <w:rsid w:val="00656850"/>
    <w:rsid w:val="00656ADD"/>
    <w:rsid w:val="00656C97"/>
    <w:rsid w:val="00656F2B"/>
    <w:rsid w:val="00657350"/>
    <w:rsid w:val="00657679"/>
    <w:rsid w:val="00657857"/>
    <w:rsid w:val="00657ABA"/>
    <w:rsid w:val="00657BD2"/>
    <w:rsid w:val="00657BD9"/>
    <w:rsid w:val="00657C35"/>
    <w:rsid w:val="00657CC3"/>
    <w:rsid w:val="00657FF6"/>
    <w:rsid w:val="00660053"/>
    <w:rsid w:val="00660ED8"/>
    <w:rsid w:val="00660F28"/>
    <w:rsid w:val="00660F35"/>
    <w:rsid w:val="00660F79"/>
    <w:rsid w:val="006610D7"/>
    <w:rsid w:val="00661145"/>
    <w:rsid w:val="006616AD"/>
    <w:rsid w:val="00661A13"/>
    <w:rsid w:val="00661A63"/>
    <w:rsid w:val="00661CA8"/>
    <w:rsid w:val="00661D15"/>
    <w:rsid w:val="00661D8C"/>
    <w:rsid w:val="00661EB8"/>
    <w:rsid w:val="00661EE3"/>
    <w:rsid w:val="00661FB3"/>
    <w:rsid w:val="00662151"/>
    <w:rsid w:val="00662159"/>
    <w:rsid w:val="0066244B"/>
    <w:rsid w:val="00662733"/>
    <w:rsid w:val="006628C9"/>
    <w:rsid w:val="00662D5E"/>
    <w:rsid w:val="0066319E"/>
    <w:rsid w:val="0066344F"/>
    <w:rsid w:val="0066346B"/>
    <w:rsid w:val="006636D1"/>
    <w:rsid w:val="00663811"/>
    <w:rsid w:val="00663DD1"/>
    <w:rsid w:val="00663FDB"/>
    <w:rsid w:val="006645B2"/>
    <w:rsid w:val="00664686"/>
    <w:rsid w:val="0066469E"/>
    <w:rsid w:val="0066472D"/>
    <w:rsid w:val="00664986"/>
    <w:rsid w:val="00664D3F"/>
    <w:rsid w:val="00664E56"/>
    <w:rsid w:val="00664F58"/>
    <w:rsid w:val="006652B9"/>
    <w:rsid w:val="0066554F"/>
    <w:rsid w:val="0066588E"/>
    <w:rsid w:val="0066590C"/>
    <w:rsid w:val="00665AF8"/>
    <w:rsid w:val="00666052"/>
    <w:rsid w:val="00666088"/>
    <w:rsid w:val="006660E0"/>
    <w:rsid w:val="00666155"/>
    <w:rsid w:val="006664DE"/>
    <w:rsid w:val="006666E6"/>
    <w:rsid w:val="00666816"/>
    <w:rsid w:val="0066690B"/>
    <w:rsid w:val="0066691A"/>
    <w:rsid w:val="006669D3"/>
    <w:rsid w:val="00666D6D"/>
    <w:rsid w:val="00667004"/>
    <w:rsid w:val="00667091"/>
    <w:rsid w:val="0066712F"/>
    <w:rsid w:val="006672BA"/>
    <w:rsid w:val="00667541"/>
    <w:rsid w:val="0066767F"/>
    <w:rsid w:val="00667760"/>
    <w:rsid w:val="006677C4"/>
    <w:rsid w:val="00667B27"/>
    <w:rsid w:val="00667BE4"/>
    <w:rsid w:val="00667D09"/>
    <w:rsid w:val="006701B4"/>
    <w:rsid w:val="00670290"/>
    <w:rsid w:val="0067069B"/>
    <w:rsid w:val="0067071B"/>
    <w:rsid w:val="006708FC"/>
    <w:rsid w:val="00670B65"/>
    <w:rsid w:val="00670C25"/>
    <w:rsid w:val="00670CE5"/>
    <w:rsid w:val="00671438"/>
    <w:rsid w:val="00671884"/>
    <w:rsid w:val="00671AD6"/>
    <w:rsid w:val="00671BFB"/>
    <w:rsid w:val="00671D55"/>
    <w:rsid w:val="00671DAF"/>
    <w:rsid w:val="0067240B"/>
    <w:rsid w:val="00672779"/>
    <w:rsid w:val="00672B17"/>
    <w:rsid w:val="00672B1D"/>
    <w:rsid w:val="00672D82"/>
    <w:rsid w:val="00672DB2"/>
    <w:rsid w:val="006731EF"/>
    <w:rsid w:val="006735AE"/>
    <w:rsid w:val="00673717"/>
    <w:rsid w:val="006737F7"/>
    <w:rsid w:val="00673897"/>
    <w:rsid w:val="00673B6D"/>
    <w:rsid w:val="00673BA7"/>
    <w:rsid w:val="0067415F"/>
    <w:rsid w:val="006741F6"/>
    <w:rsid w:val="0067469F"/>
    <w:rsid w:val="00674866"/>
    <w:rsid w:val="00674B48"/>
    <w:rsid w:val="00674C31"/>
    <w:rsid w:val="00674C5B"/>
    <w:rsid w:val="0067533F"/>
    <w:rsid w:val="00675445"/>
    <w:rsid w:val="006754D5"/>
    <w:rsid w:val="0067559A"/>
    <w:rsid w:val="00675A8E"/>
    <w:rsid w:val="00675D6A"/>
    <w:rsid w:val="00675F61"/>
    <w:rsid w:val="00676111"/>
    <w:rsid w:val="0067617A"/>
    <w:rsid w:val="00676E2A"/>
    <w:rsid w:val="00676EEC"/>
    <w:rsid w:val="00676F69"/>
    <w:rsid w:val="0067748B"/>
    <w:rsid w:val="00677751"/>
    <w:rsid w:val="0067792B"/>
    <w:rsid w:val="00677B01"/>
    <w:rsid w:val="00677B46"/>
    <w:rsid w:val="00677FAB"/>
    <w:rsid w:val="00680062"/>
    <w:rsid w:val="006804C0"/>
    <w:rsid w:val="00680705"/>
    <w:rsid w:val="006807AC"/>
    <w:rsid w:val="00680858"/>
    <w:rsid w:val="006808C0"/>
    <w:rsid w:val="006808C3"/>
    <w:rsid w:val="00680C2F"/>
    <w:rsid w:val="00680C47"/>
    <w:rsid w:val="00680F3A"/>
    <w:rsid w:val="00680FB7"/>
    <w:rsid w:val="00681018"/>
    <w:rsid w:val="006814E7"/>
    <w:rsid w:val="006815EE"/>
    <w:rsid w:val="0068199B"/>
    <w:rsid w:val="00681D2E"/>
    <w:rsid w:val="00681F24"/>
    <w:rsid w:val="00682360"/>
    <w:rsid w:val="0068246B"/>
    <w:rsid w:val="00682DA7"/>
    <w:rsid w:val="00682E08"/>
    <w:rsid w:val="00682EF4"/>
    <w:rsid w:val="006833DF"/>
    <w:rsid w:val="00683448"/>
    <w:rsid w:val="006838D0"/>
    <w:rsid w:val="00683939"/>
    <w:rsid w:val="00683CCE"/>
    <w:rsid w:val="006840BE"/>
    <w:rsid w:val="00684266"/>
    <w:rsid w:val="0068428E"/>
    <w:rsid w:val="006845D5"/>
    <w:rsid w:val="00684720"/>
    <w:rsid w:val="00684B19"/>
    <w:rsid w:val="00684B5D"/>
    <w:rsid w:val="00684D9C"/>
    <w:rsid w:val="00684E41"/>
    <w:rsid w:val="00684F5A"/>
    <w:rsid w:val="00684FB3"/>
    <w:rsid w:val="00685001"/>
    <w:rsid w:val="006853A0"/>
    <w:rsid w:val="006853F3"/>
    <w:rsid w:val="006856AF"/>
    <w:rsid w:val="006856D5"/>
    <w:rsid w:val="00685C5E"/>
    <w:rsid w:val="00685CCC"/>
    <w:rsid w:val="00686656"/>
    <w:rsid w:val="00686C01"/>
    <w:rsid w:val="00686F35"/>
    <w:rsid w:val="006871AA"/>
    <w:rsid w:val="00687217"/>
    <w:rsid w:val="00687449"/>
    <w:rsid w:val="00687953"/>
    <w:rsid w:val="00687C47"/>
    <w:rsid w:val="00687EF6"/>
    <w:rsid w:val="00690115"/>
    <w:rsid w:val="006901FC"/>
    <w:rsid w:val="00690272"/>
    <w:rsid w:val="0069047B"/>
    <w:rsid w:val="00690A43"/>
    <w:rsid w:val="00690C53"/>
    <w:rsid w:val="00690D4F"/>
    <w:rsid w:val="00690E9C"/>
    <w:rsid w:val="00691174"/>
    <w:rsid w:val="00691283"/>
    <w:rsid w:val="0069155C"/>
    <w:rsid w:val="00691690"/>
    <w:rsid w:val="00691F5D"/>
    <w:rsid w:val="006920C4"/>
    <w:rsid w:val="006923D6"/>
    <w:rsid w:val="00692429"/>
    <w:rsid w:val="006927CF"/>
    <w:rsid w:val="006929CF"/>
    <w:rsid w:val="00692A91"/>
    <w:rsid w:val="00692D88"/>
    <w:rsid w:val="00692E08"/>
    <w:rsid w:val="00692E3F"/>
    <w:rsid w:val="00692F20"/>
    <w:rsid w:val="00693132"/>
    <w:rsid w:val="006931A5"/>
    <w:rsid w:val="0069325E"/>
    <w:rsid w:val="0069328E"/>
    <w:rsid w:val="006932BC"/>
    <w:rsid w:val="006936FF"/>
    <w:rsid w:val="0069397C"/>
    <w:rsid w:val="00693BF9"/>
    <w:rsid w:val="00693D82"/>
    <w:rsid w:val="00693DB5"/>
    <w:rsid w:val="00693DB9"/>
    <w:rsid w:val="00693FF0"/>
    <w:rsid w:val="00694096"/>
    <w:rsid w:val="0069431E"/>
    <w:rsid w:val="00694340"/>
    <w:rsid w:val="006943FD"/>
    <w:rsid w:val="00694738"/>
    <w:rsid w:val="00694881"/>
    <w:rsid w:val="00694882"/>
    <w:rsid w:val="00694897"/>
    <w:rsid w:val="006948E8"/>
    <w:rsid w:val="006949C4"/>
    <w:rsid w:val="00694D59"/>
    <w:rsid w:val="00694F71"/>
    <w:rsid w:val="006950B0"/>
    <w:rsid w:val="006951B8"/>
    <w:rsid w:val="00695515"/>
    <w:rsid w:val="00695A4E"/>
    <w:rsid w:val="00695D94"/>
    <w:rsid w:val="00695E8B"/>
    <w:rsid w:val="00696071"/>
    <w:rsid w:val="006960AE"/>
    <w:rsid w:val="00696438"/>
    <w:rsid w:val="006967AC"/>
    <w:rsid w:val="00696853"/>
    <w:rsid w:val="00696A74"/>
    <w:rsid w:val="00696D0A"/>
    <w:rsid w:val="00696DF2"/>
    <w:rsid w:val="00696E18"/>
    <w:rsid w:val="006971AF"/>
    <w:rsid w:val="00697B62"/>
    <w:rsid w:val="00697B8B"/>
    <w:rsid w:val="00697CAF"/>
    <w:rsid w:val="00697E47"/>
    <w:rsid w:val="00697F92"/>
    <w:rsid w:val="006A0025"/>
    <w:rsid w:val="006A0033"/>
    <w:rsid w:val="006A03DD"/>
    <w:rsid w:val="006A0402"/>
    <w:rsid w:val="006A06D4"/>
    <w:rsid w:val="006A0897"/>
    <w:rsid w:val="006A09A2"/>
    <w:rsid w:val="006A0A17"/>
    <w:rsid w:val="006A0A1F"/>
    <w:rsid w:val="006A0A76"/>
    <w:rsid w:val="006A0C46"/>
    <w:rsid w:val="006A1481"/>
    <w:rsid w:val="006A1568"/>
    <w:rsid w:val="006A193B"/>
    <w:rsid w:val="006A1ACF"/>
    <w:rsid w:val="006A1B23"/>
    <w:rsid w:val="006A1BD3"/>
    <w:rsid w:val="006A1C42"/>
    <w:rsid w:val="006A1E3B"/>
    <w:rsid w:val="006A21FC"/>
    <w:rsid w:val="006A2858"/>
    <w:rsid w:val="006A296A"/>
    <w:rsid w:val="006A2A0A"/>
    <w:rsid w:val="006A2B72"/>
    <w:rsid w:val="006A2B7D"/>
    <w:rsid w:val="006A2D59"/>
    <w:rsid w:val="006A2DAA"/>
    <w:rsid w:val="006A310E"/>
    <w:rsid w:val="006A3245"/>
    <w:rsid w:val="006A3660"/>
    <w:rsid w:val="006A36ED"/>
    <w:rsid w:val="006A3C1F"/>
    <w:rsid w:val="006A3CDA"/>
    <w:rsid w:val="006A3EDE"/>
    <w:rsid w:val="006A3FA5"/>
    <w:rsid w:val="006A3FBF"/>
    <w:rsid w:val="006A4541"/>
    <w:rsid w:val="006A4834"/>
    <w:rsid w:val="006A4926"/>
    <w:rsid w:val="006A4A11"/>
    <w:rsid w:val="006A4B69"/>
    <w:rsid w:val="006A4EF6"/>
    <w:rsid w:val="006A4F7A"/>
    <w:rsid w:val="006A4FA2"/>
    <w:rsid w:val="006A56F4"/>
    <w:rsid w:val="006A57C3"/>
    <w:rsid w:val="006A5A0A"/>
    <w:rsid w:val="006A5EC5"/>
    <w:rsid w:val="006A61FB"/>
    <w:rsid w:val="006A6243"/>
    <w:rsid w:val="006A67DA"/>
    <w:rsid w:val="006A6807"/>
    <w:rsid w:val="006A68DC"/>
    <w:rsid w:val="006A6F88"/>
    <w:rsid w:val="006A71CA"/>
    <w:rsid w:val="006A736A"/>
    <w:rsid w:val="006A73BF"/>
    <w:rsid w:val="006A765A"/>
    <w:rsid w:val="006A7743"/>
    <w:rsid w:val="006A790B"/>
    <w:rsid w:val="006A79DC"/>
    <w:rsid w:val="006A7A5B"/>
    <w:rsid w:val="006A7DEB"/>
    <w:rsid w:val="006A7EFE"/>
    <w:rsid w:val="006A7FDC"/>
    <w:rsid w:val="006A7FF7"/>
    <w:rsid w:val="006B026B"/>
    <w:rsid w:val="006B027D"/>
    <w:rsid w:val="006B0280"/>
    <w:rsid w:val="006B0375"/>
    <w:rsid w:val="006B0422"/>
    <w:rsid w:val="006B07EB"/>
    <w:rsid w:val="006B0D78"/>
    <w:rsid w:val="006B0E24"/>
    <w:rsid w:val="006B1042"/>
    <w:rsid w:val="006B117D"/>
    <w:rsid w:val="006B17A6"/>
    <w:rsid w:val="006B17CA"/>
    <w:rsid w:val="006B1825"/>
    <w:rsid w:val="006B1F2D"/>
    <w:rsid w:val="006B21ED"/>
    <w:rsid w:val="006B2343"/>
    <w:rsid w:val="006B2870"/>
    <w:rsid w:val="006B2D5F"/>
    <w:rsid w:val="006B2E65"/>
    <w:rsid w:val="006B31DC"/>
    <w:rsid w:val="006B31E9"/>
    <w:rsid w:val="006B33AC"/>
    <w:rsid w:val="006B34CB"/>
    <w:rsid w:val="006B3A5A"/>
    <w:rsid w:val="006B3A7A"/>
    <w:rsid w:val="006B40B4"/>
    <w:rsid w:val="006B422E"/>
    <w:rsid w:val="006B4309"/>
    <w:rsid w:val="006B477A"/>
    <w:rsid w:val="006B4AE3"/>
    <w:rsid w:val="006B4FDD"/>
    <w:rsid w:val="006B50E3"/>
    <w:rsid w:val="006B53E9"/>
    <w:rsid w:val="006B54F0"/>
    <w:rsid w:val="006B55AB"/>
    <w:rsid w:val="006B5615"/>
    <w:rsid w:val="006B5655"/>
    <w:rsid w:val="006B5693"/>
    <w:rsid w:val="006B5773"/>
    <w:rsid w:val="006B5883"/>
    <w:rsid w:val="006B589A"/>
    <w:rsid w:val="006B5AB2"/>
    <w:rsid w:val="006B5C6E"/>
    <w:rsid w:val="006B5CDF"/>
    <w:rsid w:val="006B5EA1"/>
    <w:rsid w:val="006B5EE8"/>
    <w:rsid w:val="006B5F60"/>
    <w:rsid w:val="006B6231"/>
    <w:rsid w:val="006B6313"/>
    <w:rsid w:val="006B64C1"/>
    <w:rsid w:val="006B6720"/>
    <w:rsid w:val="006B699E"/>
    <w:rsid w:val="006B6AE0"/>
    <w:rsid w:val="006B6BC7"/>
    <w:rsid w:val="006B6BD0"/>
    <w:rsid w:val="006B6BF6"/>
    <w:rsid w:val="006B6BFD"/>
    <w:rsid w:val="006B6F4F"/>
    <w:rsid w:val="006B6FC6"/>
    <w:rsid w:val="006B78BF"/>
    <w:rsid w:val="006B79EB"/>
    <w:rsid w:val="006B7C61"/>
    <w:rsid w:val="006B7F42"/>
    <w:rsid w:val="006B7FBA"/>
    <w:rsid w:val="006C019B"/>
    <w:rsid w:val="006C040B"/>
    <w:rsid w:val="006C0459"/>
    <w:rsid w:val="006C05A0"/>
    <w:rsid w:val="006C06EC"/>
    <w:rsid w:val="006C0A2D"/>
    <w:rsid w:val="006C0A2F"/>
    <w:rsid w:val="006C0BBD"/>
    <w:rsid w:val="006C0D5D"/>
    <w:rsid w:val="006C0D73"/>
    <w:rsid w:val="006C10DF"/>
    <w:rsid w:val="006C122A"/>
    <w:rsid w:val="006C1446"/>
    <w:rsid w:val="006C1473"/>
    <w:rsid w:val="006C14DC"/>
    <w:rsid w:val="006C164C"/>
    <w:rsid w:val="006C179E"/>
    <w:rsid w:val="006C1800"/>
    <w:rsid w:val="006C19D3"/>
    <w:rsid w:val="006C1A65"/>
    <w:rsid w:val="006C1B96"/>
    <w:rsid w:val="006C1C64"/>
    <w:rsid w:val="006C20DB"/>
    <w:rsid w:val="006C2272"/>
    <w:rsid w:val="006C2395"/>
    <w:rsid w:val="006C2608"/>
    <w:rsid w:val="006C2666"/>
    <w:rsid w:val="006C273F"/>
    <w:rsid w:val="006C28F3"/>
    <w:rsid w:val="006C29C9"/>
    <w:rsid w:val="006C2AAD"/>
    <w:rsid w:val="006C2ED6"/>
    <w:rsid w:val="006C300F"/>
    <w:rsid w:val="006C34DA"/>
    <w:rsid w:val="006C350B"/>
    <w:rsid w:val="006C35F6"/>
    <w:rsid w:val="006C385E"/>
    <w:rsid w:val="006C38F0"/>
    <w:rsid w:val="006C3B36"/>
    <w:rsid w:val="006C3E70"/>
    <w:rsid w:val="006C3F39"/>
    <w:rsid w:val="006C42B8"/>
    <w:rsid w:val="006C434A"/>
    <w:rsid w:val="006C460B"/>
    <w:rsid w:val="006C4753"/>
    <w:rsid w:val="006C4866"/>
    <w:rsid w:val="006C4D58"/>
    <w:rsid w:val="006C4D5A"/>
    <w:rsid w:val="006C4E5E"/>
    <w:rsid w:val="006C4E9E"/>
    <w:rsid w:val="006C4F84"/>
    <w:rsid w:val="006C52CB"/>
    <w:rsid w:val="006C53E2"/>
    <w:rsid w:val="006C54F8"/>
    <w:rsid w:val="006C55B4"/>
    <w:rsid w:val="006C5A4B"/>
    <w:rsid w:val="006C5B7D"/>
    <w:rsid w:val="006C5E13"/>
    <w:rsid w:val="006C6072"/>
    <w:rsid w:val="006C62FF"/>
    <w:rsid w:val="006C65C3"/>
    <w:rsid w:val="006C6667"/>
    <w:rsid w:val="006C6849"/>
    <w:rsid w:val="006C684E"/>
    <w:rsid w:val="006C6B6C"/>
    <w:rsid w:val="006C6FF6"/>
    <w:rsid w:val="006C747F"/>
    <w:rsid w:val="006C756A"/>
    <w:rsid w:val="006C75A8"/>
    <w:rsid w:val="006C75D7"/>
    <w:rsid w:val="006C7643"/>
    <w:rsid w:val="006C76AA"/>
    <w:rsid w:val="006C76D9"/>
    <w:rsid w:val="006C7F35"/>
    <w:rsid w:val="006D0018"/>
    <w:rsid w:val="006D027C"/>
    <w:rsid w:val="006D02C3"/>
    <w:rsid w:val="006D0675"/>
    <w:rsid w:val="006D0999"/>
    <w:rsid w:val="006D09FB"/>
    <w:rsid w:val="006D09FD"/>
    <w:rsid w:val="006D0A09"/>
    <w:rsid w:val="006D0E65"/>
    <w:rsid w:val="006D0ECD"/>
    <w:rsid w:val="006D0FEA"/>
    <w:rsid w:val="006D10CD"/>
    <w:rsid w:val="006D157B"/>
    <w:rsid w:val="006D16AF"/>
    <w:rsid w:val="006D195C"/>
    <w:rsid w:val="006D19F4"/>
    <w:rsid w:val="006D1B32"/>
    <w:rsid w:val="006D1B63"/>
    <w:rsid w:val="006D1D35"/>
    <w:rsid w:val="006D204F"/>
    <w:rsid w:val="006D22BF"/>
    <w:rsid w:val="006D2492"/>
    <w:rsid w:val="006D2835"/>
    <w:rsid w:val="006D2B2B"/>
    <w:rsid w:val="006D2CA6"/>
    <w:rsid w:val="006D2F9C"/>
    <w:rsid w:val="006D3159"/>
    <w:rsid w:val="006D3251"/>
    <w:rsid w:val="006D36FE"/>
    <w:rsid w:val="006D3772"/>
    <w:rsid w:val="006D3821"/>
    <w:rsid w:val="006D3822"/>
    <w:rsid w:val="006D3A2F"/>
    <w:rsid w:val="006D3A92"/>
    <w:rsid w:val="006D3B82"/>
    <w:rsid w:val="006D3C00"/>
    <w:rsid w:val="006D3D44"/>
    <w:rsid w:val="006D406C"/>
    <w:rsid w:val="006D40D2"/>
    <w:rsid w:val="006D43D5"/>
    <w:rsid w:val="006D46E2"/>
    <w:rsid w:val="006D49B0"/>
    <w:rsid w:val="006D4B4D"/>
    <w:rsid w:val="006D4B51"/>
    <w:rsid w:val="006D539B"/>
    <w:rsid w:val="006D54D5"/>
    <w:rsid w:val="006D558B"/>
    <w:rsid w:val="006D5706"/>
    <w:rsid w:val="006D580D"/>
    <w:rsid w:val="006D5AC2"/>
    <w:rsid w:val="006D5B3B"/>
    <w:rsid w:val="006D5B87"/>
    <w:rsid w:val="006D5F1F"/>
    <w:rsid w:val="006D6183"/>
    <w:rsid w:val="006D636C"/>
    <w:rsid w:val="006D63A0"/>
    <w:rsid w:val="006D64A3"/>
    <w:rsid w:val="006D65EA"/>
    <w:rsid w:val="006D669C"/>
    <w:rsid w:val="006D6AA9"/>
    <w:rsid w:val="006D6B0B"/>
    <w:rsid w:val="006D6B4F"/>
    <w:rsid w:val="006D6F55"/>
    <w:rsid w:val="006D6F99"/>
    <w:rsid w:val="006D7260"/>
    <w:rsid w:val="006D73E8"/>
    <w:rsid w:val="006D75A2"/>
    <w:rsid w:val="006D7735"/>
    <w:rsid w:val="006D77B0"/>
    <w:rsid w:val="006D7A3B"/>
    <w:rsid w:val="006D7B0E"/>
    <w:rsid w:val="006D7C2C"/>
    <w:rsid w:val="006E003D"/>
    <w:rsid w:val="006E043F"/>
    <w:rsid w:val="006E04A8"/>
    <w:rsid w:val="006E04BD"/>
    <w:rsid w:val="006E066A"/>
    <w:rsid w:val="006E0742"/>
    <w:rsid w:val="006E0933"/>
    <w:rsid w:val="006E0AAC"/>
    <w:rsid w:val="006E0D62"/>
    <w:rsid w:val="006E0E99"/>
    <w:rsid w:val="006E0FED"/>
    <w:rsid w:val="006E1196"/>
    <w:rsid w:val="006E1321"/>
    <w:rsid w:val="006E15A0"/>
    <w:rsid w:val="006E171E"/>
    <w:rsid w:val="006E1C74"/>
    <w:rsid w:val="006E1DD0"/>
    <w:rsid w:val="006E1F56"/>
    <w:rsid w:val="006E1F95"/>
    <w:rsid w:val="006E233E"/>
    <w:rsid w:val="006E2807"/>
    <w:rsid w:val="006E2B56"/>
    <w:rsid w:val="006E2D2E"/>
    <w:rsid w:val="006E3094"/>
    <w:rsid w:val="006E3353"/>
    <w:rsid w:val="006E346B"/>
    <w:rsid w:val="006E3537"/>
    <w:rsid w:val="006E35F4"/>
    <w:rsid w:val="006E3898"/>
    <w:rsid w:val="006E3C94"/>
    <w:rsid w:val="006E3D73"/>
    <w:rsid w:val="006E40A1"/>
    <w:rsid w:val="006E4623"/>
    <w:rsid w:val="006E4697"/>
    <w:rsid w:val="006E4829"/>
    <w:rsid w:val="006E500B"/>
    <w:rsid w:val="006E50FF"/>
    <w:rsid w:val="006E52D5"/>
    <w:rsid w:val="006E5581"/>
    <w:rsid w:val="006E5689"/>
    <w:rsid w:val="006E5C26"/>
    <w:rsid w:val="006E5D63"/>
    <w:rsid w:val="006E5E48"/>
    <w:rsid w:val="006E60AB"/>
    <w:rsid w:val="006E61DE"/>
    <w:rsid w:val="006E63A4"/>
    <w:rsid w:val="006E63CE"/>
    <w:rsid w:val="006E6788"/>
    <w:rsid w:val="006E6A15"/>
    <w:rsid w:val="006E6BCB"/>
    <w:rsid w:val="006E6CCF"/>
    <w:rsid w:val="006E7092"/>
    <w:rsid w:val="006E70FF"/>
    <w:rsid w:val="006E7185"/>
    <w:rsid w:val="006E7585"/>
    <w:rsid w:val="006E76C6"/>
    <w:rsid w:val="006E7BCA"/>
    <w:rsid w:val="006E7DAB"/>
    <w:rsid w:val="006E7DC0"/>
    <w:rsid w:val="006E7DEC"/>
    <w:rsid w:val="006F0349"/>
    <w:rsid w:val="006F0502"/>
    <w:rsid w:val="006F06BB"/>
    <w:rsid w:val="006F0C5F"/>
    <w:rsid w:val="006F0D3D"/>
    <w:rsid w:val="006F0DFB"/>
    <w:rsid w:val="006F0EEA"/>
    <w:rsid w:val="006F0F55"/>
    <w:rsid w:val="006F105C"/>
    <w:rsid w:val="006F1126"/>
    <w:rsid w:val="006F1177"/>
    <w:rsid w:val="006F11E9"/>
    <w:rsid w:val="006F12B2"/>
    <w:rsid w:val="006F14FF"/>
    <w:rsid w:val="006F1553"/>
    <w:rsid w:val="006F15E8"/>
    <w:rsid w:val="006F17BE"/>
    <w:rsid w:val="006F195C"/>
    <w:rsid w:val="006F19AF"/>
    <w:rsid w:val="006F1B09"/>
    <w:rsid w:val="006F1CE7"/>
    <w:rsid w:val="006F1DDF"/>
    <w:rsid w:val="006F1EE7"/>
    <w:rsid w:val="006F2159"/>
    <w:rsid w:val="006F228E"/>
    <w:rsid w:val="006F2291"/>
    <w:rsid w:val="006F25E9"/>
    <w:rsid w:val="006F2ECB"/>
    <w:rsid w:val="006F2F89"/>
    <w:rsid w:val="006F2FB5"/>
    <w:rsid w:val="006F305F"/>
    <w:rsid w:val="006F38F7"/>
    <w:rsid w:val="006F39D9"/>
    <w:rsid w:val="006F3CC0"/>
    <w:rsid w:val="006F45DE"/>
    <w:rsid w:val="006F488B"/>
    <w:rsid w:val="006F49D3"/>
    <w:rsid w:val="006F4ACC"/>
    <w:rsid w:val="006F4C34"/>
    <w:rsid w:val="006F4C7A"/>
    <w:rsid w:val="006F4CF0"/>
    <w:rsid w:val="006F5286"/>
    <w:rsid w:val="006F55B3"/>
    <w:rsid w:val="006F55B8"/>
    <w:rsid w:val="006F580A"/>
    <w:rsid w:val="006F5939"/>
    <w:rsid w:val="006F5E33"/>
    <w:rsid w:val="006F5F11"/>
    <w:rsid w:val="006F5F1B"/>
    <w:rsid w:val="006F6275"/>
    <w:rsid w:val="006F6451"/>
    <w:rsid w:val="006F6CA5"/>
    <w:rsid w:val="006F72FC"/>
    <w:rsid w:val="006F738A"/>
    <w:rsid w:val="006F7507"/>
    <w:rsid w:val="006F78E0"/>
    <w:rsid w:val="006F78E7"/>
    <w:rsid w:val="006F78FE"/>
    <w:rsid w:val="006F7944"/>
    <w:rsid w:val="006F796B"/>
    <w:rsid w:val="006F7AAD"/>
    <w:rsid w:val="006F7AC5"/>
    <w:rsid w:val="006F7D25"/>
    <w:rsid w:val="006F7EAD"/>
    <w:rsid w:val="0070020F"/>
    <w:rsid w:val="007002BE"/>
    <w:rsid w:val="00700B70"/>
    <w:rsid w:val="00701046"/>
    <w:rsid w:val="007010FA"/>
    <w:rsid w:val="0070116B"/>
    <w:rsid w:val="007013EC"/>
    <w:rsid w:val="00701509"/>
    <w:rsid w:val="00701D9F"/>
    <w:rsid w:val="00701E1E"/>
    <w:rsid w:val="00701F95"/>
    <w:rsid w:val="00702187"/>
    <w:rsid w:val="00702B11"/>
    <w:rsid w:val="00702BE1"/>
    <w:rsid w:val="007030BD"/>
    <w:rsid w:val="00703471"/>
    <w:rsid w:val="00704688"/>
    <w:rsid w:val="00704725"/>
    <w:rsid w:val="0070485E"/>
    <w:rsid w:val="00704DA3"/>
    <w:rsid w:val="0070513A"/>
    <w:rsid w:val="007052CB"/>
    <w:rsid w:val="007054B5"/>
    <w:rsid w:val="007055EE"/>
    <w:rsid w:val="00705B94"/>
    <w:rsid w:val="00705C8B"/>
    <w:rsid w:val="00705DD5"/>
    <w:rsid w:val="00705E37"/>
    <w:rsid w:val="0070654D"/>
    <w:rsid w:val="00706A5F"/>
    <w:rsid w:val="00706B7F"/>
    <w:rsid w:val="00706BCE"/>
    <w:rsid w:val="00706CF6"/>
    <w:rsid w:val="00706E3E"/>
    <w:rsid w:val="007072CB"/>
    <w:rsid w:val="0070761D"/>
    <w:rsid w:val="0070777D"/>
    <w:rsid w:val="00707BC5"/>
    <w:rsid w:val="00707F3B"/>
    <w:rsid w:val="00707FCB"/>
    <w:rsid w:val="007100A4"/>
    <w:rsid w:val="007101AB"/>
    <w:rsid w:val="007104B8"/>
    <w:rsid w:val="00710538"/>
    <w:rsid w:val="0071063F"/>
    <w:rsid w:val="00710654"/>
    <w:rsid w:val="00710686"/>
    <w:rsid w:val="00710762"/>
    <w:rsid w:val="0071091D"/>
    <w:rsid w:val="00710B2C"/>
    <w:rsid w:val="00710C73"/>
    <w:rsid w:val="00710CA9"/>
    <w:rsid w:val="00710F94"/>
    <w:rsid w:val="007110C5"/>
    <w:rsid w:val="007112D5"/>
    <w:rsid w:val="007117B1"/>
    <w:rsid w:val="007118FF"/>
    <w:rsid w:val="007119A4"/>
    <w:rsid w:val="00711BDB"/>
    <w:rsid w:val="00712096"/>
    <w:rsid w:val="007120F3"/>
    <w:rsid w:val="00712142"/>
    <w:rsid w:val="007122AE"/>
    <w:rsid w:val="00712387"/>
    <w:rsid w:val="00712665"/>
    <w:rsid w:val="007126AF"/>
    <w:rsid w:val="00712741"/>
    <w:rsid w:val="007127EC"/>
    <w:rsid w:val="00712A3E"/>
    <w:rsid w:val="00712E76"/>
    <w:rsid w:val="00712E86"/>
    <w:rsid w:val="00712FE3"/>
    <w:rsid w:val="0071324D"/>
    <w:rsid w:val="007133D0"/>
    <w:rsid w:val="00713542"/>
    <w:rsid w:val="007136A3"/>
    <w:rsid w:val="0071375F"/>
    <w:rsid w:val="0071386D"/>
    <w:rsid w:val="0071388D"/>
    <w:rsid w:val="007139A2"/>
    <w:rsid w:val="007139FA"/>
    <w:rsid w:val="00713B78"/>
    <w:rsid w:val="00713BA7"/>
    <w:rsid w:val="00713C29"/>
    <w:rsid w:val="007141C3"/>
    <w:rsid w:val="00714338"/>
    <w:rsid w:val="00714481"/>
    <w:rsid w:val="00714ACE"/>
    <w:rsid w:val="00714F13"/>
    <w:rsid w:val="0071505A"/>
    <w:rsid w:val="007151B5"/>
    <w:rsid w:val="007153EA"/>
    <w:rsid w:val="00715486"/>
    <w:rsid w:val="00715607"/>
    <w:rsid w:val="00715640"/>
    <w:rsid w:val="00715642"/>
    <w:rsid w:val="0071581D"/>
    <w:rsid w:val="007158E7"/>
    <w:rsid w:val="00715A09"/>
    <w:rsid w:val="00715A5B"/>
    <w:rsid w:val="00715F5D"/>
    <w:rsid w:val="007160EE"/>
    <w:rsid w:val="00716129"/>
    <w:rsid w:val="0071650A"/>
    <w:rsid w:val="00716638"/>
    <w:rsid w:val="00716807"/>
    <w:rsid w:val="00716B36"/>
    <w:rsid w:val="00716C1F"/>
    <w:rsid w:val="00716CCE"/>
    <w:rsid w:val="00716ECA"/>
    <w:rsid w:val="00717102"/>
    <w:rsid w:val="00717164"/>
    <w:rsid w:val="00717205"/>
    <w:rsid w:val="00717245"/>
    <w:rsid w:val="0071757A"/>
    <w:rsid w:val="00717896"/>
    <w:rsid w:val="007178CE"/>
    <w:rsid w:val="0071795B"/>
    <w:rsid w:val="00717DA3"/>
    <w:rsid w:val="00717F0B"/>
    <w:rsid w:val="00720430"/>
    <w:rsid w:val="007205E6"/>
    <w:rsid w:val="007206F6"/>
    <w:rsid w:val="0072081C"/>
    <w:rsid w:val="00720A0C"/>
    <w:rsid w:val="00720B90"/>
    <w:rsid w:val="0072116D"/>
    <w:rsid w:val="007211DD"/>
    <w:rsid w:val="00721332"/>
    <w:rsid w:val="00721433"/>
    <w:rsid w:val="0072159F"/>
    <w:rsid w:val="00721784"/>
    <w:rsid w:val="00721846"/>
    <w:rsid w:val="00721AE7"/>
    <w:rsid w:val="00721C9B"/>
    <w:rsid w:val="00721C9F"/>
    <w:rsid w:val="007220D9"/>
    <w:rsid w:val="00722136"/>
    <w:rsid w:val="007226C4"/>
    <w:rsid w:val="007226E2"/>
    <w:rsid w:val="0072289B"/>
    <w:rsid w:val="00722A96"/>
    <w:rsid w:val="00722A9E"/>
    <w:rsid w:val="00722AB6"/>
    <w:rsid w:val="00722DD2"/>
    <w:rsid w:val="00722F63"/>
    <w:rsid w:val="00722F90"/>
    <w:rsid w:val="00723390"/>
    <w:rsid w:val="007234AA"/>
    <w:rsid w:val="00723663"/>
    <w:rsid w:val="00723906"/>
    <w:rsid w:val="00723E25"/>
    <w:rsid w:val="007240DC"/>
    <w:rsid w:val="007245CE"/>
    <w:rsid w:val="00724616"/>
    <w:rsid w:val="00724681"/>
    <w:rsid w:val="007246C7"/>
    <w:rsid w:val="00724B0E"/>
    <w:rsid w:val="00724E05"/>
    <w:rsid w:val="00724FD5"/>
    <w:rsid w:val="0072515C"/>
    <w:rsid w:val="00725606"/>
    <w:rsid w:val="00725956"/>
    <w:rsid w:val="00725AD5"/>
    <w:rsid w:val="00725B42"/>
    <w:rsid w:val="007265B7"/>
    <w:rsid w:val="00726856"/>
    <w:rsid w:val="00726AFA"/>
    <w:rsid w:val="00726D00"/>
    <w:rsid w:val="00726D89"/>
    <w:rsid w:val="00727258"/>
    <w:rsid w:val="00727281"/>
    <w:rsid w:val="00727438"/>
    <w:rsid w:val="007274AC"/>
    <w:rsid w:val="0072751D"/>
    <w:rsid w:val="00727525"/>
    <w:rsid w:val="007276F5"/>
    <w:rsid w:val="00727B33"/>
    <w:rsid w:val="00727E9E"/>
    <w:rsid w:val="00727EBD"/>
    <w:rsid w:val="0073030F"/>
    <w:rsid w:val="0073035F"/>
    <w:rsid w:val="007304F4"/>
    <w:rsid w:val="007304F9"/>
    <w:rsid w:val="00730544"/>
    <w:rsid w:val="007305AD"/>
    <w:rsid w:val="007305D2"/>
    <w:rsid w:val="00730630"/>
    <w:rsid w:val="00730B25"/>
    <w:rsid w:val="00730BDF"/>
    <w:rsid w:val="00730DAA"/>
    <w:rsid w:val="00730E1C"/>
    <w:rsid w:val="00730F11"/>
    <w:rsid w:val="007318B3"/>
    <w:rsid w:val="007319E6"/>
    <w:rsid w:val="00731A01"/>
    <w:rsid w:val="00731D67"/>
    <w:rsid w:val="00731DB8"/>
    <w:rsid w:val="007320F2"/>
    <w:rsid w:val="007323DB"/>
    <w:rsid w:val="0073270C"/>
    <w:rsid w:val="00732797"/>
    <w:rsid w:val="007329A4"/>
    <w:rsid w:val="00732E05"/>
    <w:rsid w:val="00732E53"/>
    <w:rsid w:val="00732EE9"/>
    <w:rsid w:val="00732F4B"/>
    <w:rsid w:val="007330EF"/>
    <w:rsid w:val="00733105"/>
    <w:rsid w:val="007332B3"/>
    <w:rsid w:val="00733563"/>
    <w:rsid w:val="0073399C"/>
    <w:rsid w:val="00733C1E"/>
    <w:rsid w:val="00733C91"/>
    <w:rsid w:val="0073409B"/>
    <w:rsid w:val="007342BE"/>
    <w:rsid w:val="00734539"/>
    <w:rsid w:val="00734745"/>
    <w:rsid w:val="0073480C"/>
    <w:rsid w:val="007348CF"/>
    <w:rsid w:val="00734AEB"/>
    <w:rsid w:val="00734D2C"/>
    <w:rsid w:val="00734DFD"/>
    <w:rsid w:val="00734E3E"/>
    <w:rsid w:val="00734EF4"/>
    <w:rsid w:val="00734F80"/>
    <w:rsid w:val="0073515E"/>
    <w:rsid w:val="00735286"/>
    <w:rsid w:val="00735533"/>
    <w:rsid w:val="007357C6"/>
    <w:rsid w:val="00735808"/>
    <w:rsid w:val="00735A6C"/>
    <w:rsid w:val="00735A7C"/>
    <w:rsid w:val="00735DCA"/>
    <w:rsid w:val="00735FA2"/>
    <w:rsid w:val="0073605A"/>
    <w:rsid w:val="00736171"/>
    <w:rsid w:val="00736246"/>
    <w:rsid w:val="00736448"/>
    <w:rsid w:val="007366DE"/>
    <w:rsid w:val="007369A1"/>
    <w:rsid w:val="00736A06"/>
    <w:rsid w:val="00736C6C"/>
    <w:rsid w:val="00736C8D"/>
    <w:rsid w:val="00737086"/>
    <w:rsid w:val="007376B6"/>
    <w:rsid w:val="007376CE"/>
    <w:rsid w:val="007376CF"/>
    <w:rsid w:val="007378C6"/>
    <w:rsid w:val="00737BB8"/>
    <w:rsid w:val="00737BBD"/>
    <w:rsid w:val="00737CC5"/>
    <w:rsid w:val="00737DB0"/>
    <w:rsid w:val="00737EA9"/>
    <w:rsid w:val="00737F19"/>
    <w:rsid w:val="00737F68"/>
    <w:rsid w:val="00737F84"/>
    <w:rsid w:val="00737FB3"/>
    <w:rsid w:val="00737FF1"/>
    <w:rsid w:val="007401F3"/>
    <w:rsid w:val="0074027A"/>
    <w:rsid w:val="007403B5"/>
    <w:rsid w:val="007404D6"/>
    <w:rsid w:val="00740670"/>
    <w:rsid w:val="007406DC"/>
    <w:rsid w:val="00740828"/>
    <w:rsid w:val="007408D7"/>
    <w:rsid w:val="00740A7F"/>
    <w:rsid w:val="00740AB8"/>
    <w:rsid w:val="00740B4B"/>
    <w:rsid w:val="00740C89"/>
    <w:rsid w:val="00741881"/>
    <w:rsid w:val="00741970"/>
    <w:rsid w:val="00741B59"/>
    <w:rsid w:val="00741DD4"/>
    <w:rsid w:val="00741FFB"/>
    <w:rsid w:val="00742069"/>
    <w:rsid w:val="0074208B"/>
    <w:rsid w:val="0074212C"/>
    <w:rsid w:val="0074243E"/>
    <w:rsid w:val="007425C9"/>
    <w:rsid w:val="007426A1"/>
    <w:rsid w:val="00742C4F"/>
    <w:rsid w:val="00742CE9"/>
    <w:rsid w:val="00742DB2"/>
    <w:rsid w:val="00743056"/>
    <w:rsid w:val="00743080"/>
    <w:rsid w:val="007434A8"/>
    <w:rsid w:val="007436BB"/>
    <w:rsid w:val="00743844"/>
    <w:rsid w:val="00743866"/>
    <w:rsid w:val="007439F6"/>
    <w:rsid w:val="00743C1E"/>
    <w:rsid w:val="00743DA7"/>
    <w:rsid w:val="00744280"/>
    <w:rsid w:val="007442AF"/>
    <w:rsid w:val="007443CE"/>
    <w:rsid w:val="0074471F"/>
    <w:rsid w:val="00744A87"/>
    <w:rsid w:val="00744B30"/>
    <w:rsid w:val="00744B53"/>
    <w:rsid w:val="00744C35"/>
    <w:rsid w:val="00744D72"/>
    <w:rsid w:val="00744F14"/>
    <w:rsid w:val="00745780"/>
    <w:rsid w:val="007457E3"/>
    <w:rsid w:val="00745867"/>
    <w:rsid w:val="0074595F"/>
    <w:rsid w:val="00745AD4"/>
    <w:rsid w:val="00745AEA"/>
    <w:rsid w:val="00745F3E"/>
    <w:rsid w:val="00746256"/>
    <w:rsid w:val="00746439"/>
    <w:rsid w:val="007464BC"/>
    <w:rsid w:val="00746661"/>
    <w:rsid w:val="0074672D"/>
    <w:rsid w:val="0074679A"/>
    <w:rsid w:val="00746815"/>
    <w:rsid w:val="00746866"/>
    <w:rsid w:val="00746F40"/>
    <w:rsid w:val="00747195"/>
    <w:rsid w:val="00747300"/>
    <w:rsid w:val="0074766F"/>
    <w:rsid w:val="00747B80"/>
    <w:rsid w:val="00747E3A"/>
    <w:rsid w:val="00747FCE"/>
    <w:rsid w:val="007500EA"/>
    <w:rsid w:val="007507CA"/>
    <w:rsid w:val="0075085C"/>
    <w:rsid w:val="00750C15"/>
    <w:rsid w:val="00750C6C"/>
    <w:rsid w:val="00750DB5"/>
    <w:rsid w:val="00750E26"/>
    <w:rsid w:val="00750F2F"/>
    <w:rsid w:val="007511FF"/>
    <w:rsid w:val="00751458"/>
    <w:rsid w:val="007514A0"/>
    <w:rsid w:val="007514A6"/>
    <w:rsid w:val="007514B7"/>
    <w:rsid w:val="00751755"/>
    <w:rsid w:val="007518D1"/>
    <w:rsid w:val="00751924"/>
    <w:rsid w:val="00751EB8"/>
    <w:rsid w:val="00751EC7"/>
    <w:rsid w:val="007523B4"/>
    <w:rsid w:val="00752542"/>
    <w:rsid w:val="0075263E"/>
    <w:rsid w:val="007527AD"/>
    <w:rsid w:val="00752A8C"/>
    <w:rsid w:val="00752AC6"/>
    <w:rsid w:val="00752B75"/>
    <w:rsid w:val="00752DB9"/>
    <w:rsid w:val="00752E39"/>
    <w:rsid w:val="0075304A"/>
    <w:rsid w:val="00753065"/>
    <w:rsid w:val="007530F5"/>
    <w:rsid w:val="0075346C"/>
    <w:rsid w:val="00753A16"/>
    <w:rsid w:val="00753A6D"/>
    <w:rsid w:val="00753BF9"/>
    <w:rsid w:val="00753D26"/>
    <w:rsid w:val="007542D6"/>
    <w:rsid w:val="00754366"/>
    <w:rsid w:val="0075472D"/>
    <w:rsid w:val="00754A05"/>
    <w:rsid w:val="00754B7E"/>
    <w:rsid w:val="00754C90"/>
    <w:rsid w:val="00754D32"/>
    <w:rsid w:val="00754D6B"/>
    <w:rsid w:val="00754F6C"/>
    <w:rsid w:val="007552D9"/>
    <w:rsid w:val="0075545C"/>
    <w:rsid w:val="00755571"/>
    <w:rsid w:val="00755699"/>
    <w:rsid w:val="0075601D"/>
    <w:rsid w:val="00756692"/>
    <w:rsid w:val="00756816"/>
    <w:rsid w:val="007568F4"/>
    <w:rsid w:val="00756A63"/>
    <w:rsid w:val="00756AA2"/>
    <w:rsid w:val="00756C96"/>
    <w:rsid w:val="00756E91"/>
    <w:rsid w:val="00757033"/>
    <w:rsid w:val="0075704B"/>
    <w:rsid w:val="00757182"/>
    <w:rsid w:val="007573B2"/>
    <w:rsid w:val="007576C7"/>
    <w:rsid w:val="0075783D"/>
    <w:rsid w:val="00757A22"/>
    <w:rsid w:val="00757B16"/>
    <w:rsid w:val="00757BC1"/>
    <w:rsid w:val="00757D5C"/>
    <w:rsid w:val="007602BC"/>
    <w:rsid w:val="0076043D"/>
    <w:rsid w:val="0076050C"/>
    <w:rsid w:val="00760AA0"/>
    <w:rsid w:val="00760D5B"/>
    <w:rsid w:val="00760F35"/>
    <w:rsid w:val="00760F7B"/>
    <w:rsid w:val="007610BD"/>
    <w:rsid w:val="007610F2"/>
    <w:rsid w:val="00761182"/>
    <w:rsid w:val="00761330"/>
    <w:rsid w:val="007616D4"/>
    <w:rsid w:val="00761C06"/>
    <w:rsid w:val="00761D9A"/>
    <w:rsid w:val="00761DF0"/>
    <w:rsid w:val="0076217B"/>
    <w:rsid w:val="00762250"/>
    <w:rsid w:val="00762283"/>
    <w:rsid w:val="007629F0"/>
    <w:rsid w:val="00762B7D"/>
    <w:rsid w:val="00763236"/>
    <w:rsid w:val="007634F3"/>
    <w:rsid w:val="0076386B"/>
    <w:rsid w:val="007639D7"/>
    <w:rsid w:val="00763A74"/>
    <w:rsid w:val="00763E4B"/>
    <w:rsid w:val="00764024"/>
    <w:rsid w:val="0076424B"/>
    <w:rsid w:val="0076424C"/>
    <w:rsid w:val="00764266"/>
    <w:rsid w:val="007643C5"/>
    <w:rsid w:val="00764582"/>
    <w:rsid w:val="007647C7"/>
    <w:rsid w:val="0076492C"/>
    <w:rsid w:val="00764C99"/>
    <w:rsid w:val="00764D35"/>
    <w:rsid w:val="00764D68"/>
    <w:rsid w:val="00764EA5"/>
    <w:rsid w:val="00764F5F"/>
    <w:rsid w:val="0076511D"/>
    <w:rsid w:val="0076529D"/>
    <w:rsid w:val="00765584"/>
    <w:rsid w:val="007655A3"/>
    <w:rsid w:val="007655C9"/>
    <w:rsid w:val="00765625"/>
    <w:rsid w:val="00765702"/>
    <w:rsid w:val="00765A5E"/>
    <w:rsid w:val="00765B1E"/>
    <w:rsid w:val="00765CFE"/>
    <w:rsid w:val="00765D3E"/>
    <w:rsid w:val="00765E26"/>
    <w:rsid w:val="00766242"/>
    <w:rsid w:val="00766602"/>
    <w:rsid w:val="0076660D"/>
    <w:rsid w:val="007666B4"/>
    <w:rsid w:val="007667F2"/>
    <w:rsid w:val="00766CE5"/>
    <w:rsid w:val="00766CF1"/>
    <w:rsid w:val="00766F00"/>
    <w:rsid w:val="00766F4E"/>
    <w:rsid w:val="0076715F"/>
    <w:rsid w:val="007674C1"/>
    <w:rsid w:val="00767564"/>
    <w:rsid w:val="007675AD"/>
    <w:rsid w:val="00767695"/>
    <w:rsid w:val="00767755"/>
    <w:rsid w:val="00767909"/>
    <w:rsid w:val="00767C37"/>
    <w:rsid w:val="00767E89"/>
    <w:rsid w:val="00767FD9"/>
    <w:rsid w:val="00770277"/>
    <w:rsid w:val="007703AB"/>
    <w:rsid w:val="00770602"/>
    <w:rsid w:val="00770A68"/>
    <w:rsid w:val="00770AA3"/>
    <w:rsid w:val="00770B8A"/>
    <w:rsid w:val="00770BC7"/>
    <w:rsid w:val="00770C7F"/>
    <w:rsid w:val="00770CAE"/>
    <w:rsid w:val="00771255"/>
    <w:rsid w:val="0077143A"/>
    <w:rsid w:val="007714CA"/>
    <w:rsid w:val="00771745"/>
    <w:rsid w:val="00771842"/>
    <w:rsid w:val="0077184A"/>
    <w:rsid w:val="0077188B"/>
    <w:rsid w:val="0077239D"/>
    <w:rsid w:val="007724CC"/>
    <w:rsid w:val="0077280D"/>
    <w:rsid w:val="007729B2"/>
    <w:rsid w:val="00772CF9"/>
    <w:rsid w:val="00772E1A"/>
    <w:rsid w:val="00772E54"/>
    <w:rsid w:val="0077320A"/>
    <w:rsid w:val="007732CA"/>
    <w:rsid w:val="00773432"/>
    <w:rsid w:val="00773826"/>
    <w:rsid w:val="0077382B"/>
    <w:rsid w:val="00773A1D"/>
    <w:rsid w:val="00773A87"/>
    <w:rsid w:val="00773CCF"/>
    <w:rsid w:val="007742CB"/>
    <w:rsid w:val="00774448"/>
    <w:rsid w:val="00774464"/>
    <w:rsid w:val="007746B5"/>
    <w:rsid w:val="00774A29"/>
    <w:rsid w:val="00774A6C"/>
    <w:rsid w:val="00774A9E"/>
    <w:rsid w:val="00774BA4"/>
    <w:rsid w:val="00774EB4"/>
    <w:rsid w:val="00774EE2"/>
    <w:rsid w:val="00774FA2"/>
    <w:rsid w:val="00775200"/>
    <w:rsid w:val="00775210"/>
    <w:rsid w:val="0077527B"/>
    <w:rsid w:val="007758A3"/>
    <w:rsid w:val="00775A79"/>
    <w:rsid w:val="00775B84"/>
    <w:rsid w:val="007761F0"/>
    <w:rsid w:val="007761FE"/>
    <w:rsid w:val="007762BE"/>
    <w:rsid w:val="00776386"/>
    <w:rsid w:val="00776441"/>
    <w:rsid w:val="00776755"/>
    <w:rsid w:val="00776A59"/>
    <w:rsid w:val="00777547"/>
    <w:rsid w:val="0077761E"/>
    <w:rsid w:val="00777A0C"/>
    <w:rsid w:val="00777A51"/>
    <w:rsid w:val="00777C72"/>
    <w:rsid w:val="00777E9D"/>
    <w:rsid w:val="00777FB2"/>
    <w:rsid w:val="0078005C"/>
    <w:rsid w:val="00780531"/>
    <w:rsid w:val="0078070E"/>
    <w:rsid w:val="00780EBB"/>
    <w:rsid w:val="00780F54"/>
    <w:rsid w:val="00781140"/>
    <w:rsid w:val="0078118A"/>
    <w:rsid w:val="00781365"/>
    <w:rsid w:val="007818D6"/>
    <w:rsid w:val="00781910"/>
    <w:rsid w:val="00781DB3"/>
    <w:rsid w:val="007822BF"/>
    <w:rsid w:val="007824CC"/>
    <w:rsid w:val="007824FA"/>
    <w:rsid w:val="007825BD"/>
    <w:rsid w:val="00782752"/>
    <w:rsid w:val="0078275A"/>
    <w:rsid w:val="007827CC"/>
    <w:rsid w:val="00782924"/>
    <w:rsid w:val="007829BE"/>
    <w:rsid w:val="00783111"/>
    <w:rsid w:val="007831DE"/>
    <w:rsid w:val="0078365E"/>
    <w:rsid w:val="00783895"/>
    <w:rsid w:val="007838AA"/>
    <w:rsid w:val="00783BD6"/>
    <w:rsid w:val="0078430A"/>
    <w:rsid w:val="00784714"/>
    <w:rsid w:val="00784934"/>
    <w:rsid w:val="00784993"/>
    <w:rsid w:val="00784E8A"/>
    <w:rsid w:val="00784EBE"/>
    <w:rsid w:val="007856BD"/>
    <w:rsid w:val="00785749"/>
    <w:rsid w:val="007857A4"/>
    <w:rsid w:val="00785B4E"/>
    <w:rsid w:val="00785B96"/>
    <w:rsid w:val="00785D05"/>
    <w:rsid w:val="00785D59"/>
    <w:rsid w:val="00785E40"/>
    <w:rsid w:val="007868B2"/>
    <w:rsid w:val="00786967"/>
    <w:rsid w:val="00786CFA"/>
    <w:rsid w:val="00786D27"/>
    <w:rsid w:val="00786DE4"/>
    <w:rsid w:val="00786E83"/>
    <w:rsid w:val="00786EE3"/>
    <w:rsid w:val="007870EA"/>
    <w:rsid w:val="00787400"/>
    <w:rsid w:val="00787403"/>
    <w:rsid w:val="00787487"/>
    <w:rsid w:val="00787765"/>
    <w:rsid w:val="00787BF6"/>
    <w:rsid w:val="00787CC9"/>
    <w:rsid w:val="00787D94"/>
    <w:rsid w:val="00787DF2"/>
    <w:rsid w:val="00787E3C"/>
    <w:rsid w:val="00787E50"/>
    <w:rsid w:val="00787ECC"/>
    <w:rsid w:val="00790180"/>
    <w:rsid w:val="00790608"/>
    <w:rsid w:val="0079060B"/>
    <w:rsid w:val="007908FB"/>
    <w:rsid w:val="0079090F"/>
    <w:rsid w:val="00790923"/>
    <w:rsid w:val="00790B4D"/>
    <w:rsid w:val="00790C22"/>
    <w:rsid w:val="00791104"/>
    <w:rsid w:val="007913E7"/>
    <w:rsid w:val="00791478"/>
    <w:rsid w:val="007914DD"/>
    <w:rsid w:val="00791729"/>
    <w:rsid w:val="0079177D"/>
    <w:rsid w:val="00791E0D"/>
    <w:rsid w:val="007920C1"/>
    <w:rsid w:val="007920F1"/>
    <w:rsid w:val="0079217D"/>
    <w:rsid w:val="007921EF"/>
    <w:rsid w:val="00792209"/>
    <w:rsid w:val="00792333"/>
    <w:rsid w:val="00792BB8"/>
    <w:rsid w:val="00792C3F"/>
    <w:rsid w:val="00792C7D"/>
    <w:rsid w:val="00792E98"/>
    <w:rsid w:val="00792E9A"/>
    <w:rsid w:val="00792F07"/>
    <w:rsid w:val="0079304D"/>
    <w:rsid w:val="0079306B"/>
    <w:rsid w:val="0079322A"/>
    <w:rsid w:val="00793725"/>
    <w:rsid w:val="00793762"/>
    <w:rsid w:val="007937F0"/>
    <w:rsid w:val="0079382D"/>
    <w:rsid w:val="00793C9B"/>
    <w:rsid w:val="00793CFD"/>
    <w:rsid w:val="00793D75"/>
    <w:rsid w:val="007940E6"/>
    <w:rsid w:val="0079439A"/>
    <w:rsid w:val="007944E7"/>
    <w:rsid w:val="00794C8C"/>
    <w:rsid w:val="00794C9E"/>
    <w:rsid w:val="00794D83"/>
    <w:rsid w:val="00794E25"/>
    <w:rsid w:val="00794FF9"/>
    <w:rsid w:val="00795053"/>
    <w:rsid w:val="007950DB"/>
    <w:rsid w:val="007950E5"/>
    <w:rsid w:val="007951E1"/>
    <w:rsid w:val="00795209"/>
    <w:rsid w:val="007953E8"/>
    <w:rsid w:val="00795430"/>
    <w:rsid w:val="007954D1"/>
    <w:rsid w:val="0079561A"/>
    <w:rsid w:val="007956A7"/>
    <w:rsid w:val="00795725"/>
    <w:rsid w:val="007958A7"/>
    <w:rsid w:val="007959C1"/>
    <w:rsid w:val="00795A02"/>
    <w:rsid w:val="00795A77"/>
    <w:rsid w:val="00795E9E"/>
    <w:rsid w:val="00796275"/>
    <w:rsid w:val="007963FE"/>
    <w:rsid w:val="007967C1"/>
    <w:rsid w:val="007969E5"/>
    <w:rsid w:val="00796ABF"/>
    <w:rsid w:val="00796B53"/>
    <w:rsid w:val="00796EF8"/>
    <w:rsid w:val="007971CC"/>
    <w:rsid w:val="0079742C"/>
    <w:rsid w:val="007975C8"/>
    <w:rsid w:val="007975D4"/>
    <w:rsid w:val="007977B4"/>
    <w:rsid w:val="0079782E"/>
    <w:rsid w:val="007978E1"/>
    <w:rsid w:val="007979D0"/>
    <w:rsid w:val="00797EC1"/>
    <w:rsid w:val="007A0045"/>
    <w:rsid w:val="007A048A"/>
    <w:rsid w:val="007A04EE"/>
    <w:rsid w:val="007A0558"/>
    <w:rsid w:val="007A073F"/>
    <w:rsid w:val="007A0886"/>
    <w:rsid w:val="007A0D6E"/>
    <w:rsid w:val="007A0DF4"/>
    <w:rsid w:val="007A0E5E"/>
    <w:rsid w:val="007A142B"/>
    <w:rsid w:val="007A14DB"/>
    <w:rsid w:val="007A1587"/>
    <w:rsid w:val="007A1592"/>
    <w:rsid w:val="007A175A"/>
    <w:rsid w:val="007A1993"/>
    <w:rsid w:val="007A1AB5"/>
    <w:rsid w:val="007A1BFA"/>
    <w:rsid w:val="007A1C44"/>
    <w:rsid w:val="007A1D0E"/>
    <w:rsid w:val="007A1E9F"/>
    <w:rsid w:val="007A1F39"/>
    <w:rsid w:val="007A2066"/>
    <w:rsid w:val="007A21BA"/>
    <w:rsid w:val="007A24D3"/>
    <w:rsid w:val="007A2561"/>
    <w:rsid w:val="007A27E0"/>
    <w:rsid w:val="007A2B7F"/>
    <w:rsid w:val="007A2BBD"/>
    <w:rsid w:val="007A2F44"/>
    <w:rsid w:val="007A3036"/>
    <w:rsid w:val="007A39BF"/>
    <w:rsid w:val="007A3CED"/>
    <w:rsid w:val="007A3D59"/>
    <w:rsid w:val="007A4079"/>
    <w:rsid w:val="007A4226"/>
    <w:rsid w:val="007A436A"/>
    <w:rsid w:val="007A471C"/>
    <w:rsid w:val="007A496B"/>
    <w:rsid w:val="007A4A7C"/>
    <w:rsid w:val="007A4C67"/>
    <w:rsid w:val="007A4ECE"/>
    <w:rsid w:val="007A4F1E"/>
    <w:rsid w:val="007A503E"/>
    <w:rsid w:val="007A5142"/>
    <w:rsid w:val="007A5501"/>
    <w:rsid w:val="007A561E"/>
    <w:rsid w:val="007A5709"/>
    <w:rsid w:val="007A5998"/>
    <w:rsid w:val="007A5B61"/>
    <w:rsid w:val="007A5D40"/>
    <w:rsid w:val="007A5DCC"/>
    <w:rsid w:val="007A5EE9"/>
    <w:rsid w:val="007A6000"/>
    <w:rsid w:val="007A60D3"/>
    <w:rsid w:val="007A64CF"/>
    <w:rsid w:val="007A651C"/>
    <w:rsid w:val="007A6587"/>
    <w:rsid w:val="007A660B"/>
    <w:rsid w:val="007A6661"/>
    <w:rsid w:val="007A6675"/>
    <w:rsid w:val="007A66B0"/>
    <w:rsid w:val="007A67AF"/>
    <w:rsid w:val="007A67D8"/>
    <w:rsid w:val="007A6B5A"/>
    <w:rsid w:val="007A70DD"/>
    <w:rsid w:val="007A715C"/>
    <w:rsid w:val="007A741C"/>
    <w:rsid w:val="007A7578"/>
    <w:rsid w:val="007A75B6"/>
    <w:rsid w:val="007A7934"/>
    <w:rsid w:val="007A7B70"/>
    <w:rsid w:val="007A7B8D"/>
    <w:rsid w:val="007A7C06"/>
    <w:rsid w:val="007A7CDB"/>
    <w:rsid w:val="007B0045"/>
    <w:rsid w:val="007B04F1"/>
    <w:rsid w:val="007B0755"/>
    <w:rsid w:val="007B077E"/>
    <w:rsid w:val="007B08E0"/>
    <w:rsid w:val="007B0981"/>
    <w:rsid w:val="007B0AA5"/>
    <w:rsid w:val="007B0B1C"/>
    <w:rsid w:val="007B0BB5"/>
    <w:rsid w:val="007B0D88"/>
    <w:rsid w:val="007B0D9D"/>
    <w:rsid w:val="007B0E31"/>
    <w:rsid w:val="007B0E85"/>
    <w:rsid w:val="007B0EC8"/>
    <w:rsid w:val="007B0ED2"/>
    <w:rsid w:val="007B1145"/>
    <w:rsid w:val="007B12D3"/>
    <w:rsid w:val="007B1768"/>
    <w:rsid w:val="007B17F8"/>
    <w:rsid w:val="007B18D4"/>
    <w:rsid w:val="007B19D0"/>
    <w:rsid w:val="007B1A44"/>
    <w:rsid w:val="007B1AFB"/>
    <w:rsid w:val="007B1B1C"/>
    <w:rsid w:val="007B1B58"/>
    <w:rsid w:val="007B1CAB"/>
    <w:rsid w:val="007B1F3C"/>
    <w:rsid w:val="007B1F7F"/>
    <w:rsid w:val="007B242C"/>
    <w:rsid w:val="007B24C0"/>
    <w:rsid w:val="007B251E"/>
    <w:rsid w:val="007B25D8"/>
    <w:rsid w:val="007B2838"/>
    <w:rsid w:val="007B2951"/>
    <w:rsid w:val="007B2A3E"/>
    <w:rsid w:val="007B2A77"/>
    <w:rsid w:val="007B2B20"/>
    <w:rsid w:val="007B2DAE"/>
    <w:rsid w:val="007B2E9E"/>
    <w:rsid w:val="007B2FB2"/>
    <w:rsid w:val="007B3074"/>
    <w:rsid w:val="007B31D1"/>
    <w:rsid w:val="007B342A"/>
    <w:rsid w:val="007B3605"/>
    <w:rsid w:val="007B360F"/>
    <w:rsid w:val="007B3A73"/>
    <w:rsid w:val="007B3CA1"/>
    <w:rsid w:val="007B3CA8"/>
    <w:rsid w:val="007B3DC6"/>
    <w:rsid w:val="007B4075"/>
    <w:rsid w:val="007B41CE"/>
    <w:rsid w:val="007B41E5"/>
    <w:rsid w:val="007B4239"/>
    <w:rsid w:val="007B423F"/>
    <w:rsid w:val="007B448C"/>
    <w:rsid w:val="007B464F"/>
    <w:rsid w:val="007B4704"/>
    <w:rsid w:val="007B487B"/>
    <w:rsid w:val="007B490F"/>
    <w:rsid w:val="007B4923"/>
    <w:rsid w:val="007B496C"/>
    <w:rsid w:val="007B4AE9"/>
    <w:rsid w:val="007B53DE"/>
    <w:rsid w:val="007B55C9"/>
    <w:rsid w:val="007B59FD"/>
    <w:rsid w:val="007B5B65"/>
    <w:rsid w:val="007B5CA6"/>
    <w:rsid w:val="007B5E2E"/>
    <w:rsid w:val="007B5F82"/>
    <w:rsid w:val="007B601A"/>
    <w:rsid w:val="007B6118"/>
    <w:rsid w:val="007B6342"/>
    <w:rsid w:val="007B64D4"/>
    <w:rsid w:val="007B659B"/>
    <w:rsid w:val="007B69A3"/>
    <w:rsid w:val="007B6B00"/>
    <w:rsid w:val="007B6C79"/>
    <w:rsid w:val="007B7213"/>
    <w:rsid w:val="007B75F1"/>
    <w:rsid w:val="007B763B"/>
    <w:rsid w:val="007B76B8"/>
    <w:rsid w:val="007B77DA"/>
    <w:rsid w:val="007B78AB"/>
    <w:rsid w:val="007B7A39"/>
    <w:rsid w:val="007B7B1C"/>
    <w:rsid w:val="007B7BB3"/>
    <w:rsid w:val="007B7DF9"/>
    <w:rsid w:val="007C02D1"/>
    <w:rsid w:val="007C037E"/>
    <w:rsid w:val="007C0396"/>
    <w:rsid w:val="007C04DF"/>
    <w:rsid w:val="007C0A19"/>
    <w:rsid w:val="007C0CDA"/>
    <w:rsid w:val="007C0EA0"/>
    <w:rsid w:val="007C14CE"/>
    <w:rsid w:val="007C164D"/>
    <w:rsid w:val="007C1D45"/>
    <w:rsid w:val="007C1D50"/>
    <w:rsid w:val="007C1E64"/>
    <w:rsid w:val="007C1F52"/>
    <w:rsid w:val="007C1F7A"/>
    <w:rsid w:val="007C201E"/>
    <w:rsid w:val="007C2094"/>
    <w:rsid w:val="007C218E"/>
    <w:rsid w:val="007C253D"/>
    <w:rsid w:val="007C2788"/>
    <w:rsid w:val="007C2D8B"/>
    <w:rsid w:val="007C2F70"/>
    <w:rsid w:val="007C2F94"/>
    <w:rsid w:val="007C3093"/>
    <w:rsid w:val="007C30D9"/>
    <w:rsid w:val="007C319D"/>
    <w:rsid w:val="007C31F8"/>
    <w:rsid w:val="007C3888"/>
    <w:rsid w:val="007C396F"/>
    <w:rsid w:val="007C3A3C"/>
    <w:rsid w:val="007C3A6C"/>
    <w:rsid w:val="007C3A8E"/>
    <w:rsid w:val="007C3C74"/>
    <w:rsid w:val="007C3DD3"/>
    <w:rsid w:val="007C4641"/>
    <w:rsid w:val="007C4690"/>
    <w:rsid w:val="007C47AC"/>
    <w:rsid w:val="007C48F3"/>
    <w:rsid w:val="007C4C06"/>
    <w:rsid w:val="007C4DD6"/>
    <w:rsid w:val="007C4F53"/>
    <w:rsid w:val="007C4FBC"/>
    <w:rsid w:val="007C50CC"/>
    <w:rsid w:val="007C52DC"/>
    <w:rsid w:val="007C5418"/>
    <w:rsid w:val="007C5671"/>
    <w:rsid w:val="007C56D5"/>
    <w:rsid w:val="007C5AA3"/>
    <w:rsid w:val="007C637B"/>
    <w:rsid w:val="007C6790"/>
    <w:rsid w:val="007C6E51"/>
    <w:rsid w:val="007C6F83"/>
    <w:rsid w:val="007C6FAD"/>
    <w:rsid w:val="007C7193"/>
    <w:rsid w:val="007C71E0"/>
    <w:rsid w:val="007C7599"/>
    <w:rsid w:val="007C759F"/>
    <w:rsid w:val="007C7655"/>
    <w:rsid w:val="007C78EB"/>
    <w:rsid w:val="007C7995"/>
    <w:rsid w:val="007C7AF3"/>
    <w:rsid w:val="007C7B8E"/>
    <w:rsid w:val="007C7BC2"/>
    <w:rsid w:val="007C7E41"/>
    <w:rsid w:val="007C7EF7"/>
    <w:rsid w:val="007D00BD"/>
    <w:rsid w:val="007D046C"/>
    <w:rsid w:val="007D04D5"/>
    <w:rsid w:val="007D07FE"/>
    <w:rsid w:val="007D0B44"/>
    <w:rsid w:val="007D1195"/>
    <w:rsid w:val="007D152D"/>
    <w:rsid w:val="007D182E"/>
    <w:rsid w:val="007D1978"/>
    <w:rsid w:val="007D1DD6"/>
    <w:rsid w:val="007D1E8C"/>
    <w:rsid w:val="007D1EA1"/>
    <w:rsid w:val="007D1F1D"/>
    <w:rsid w:val="007D203B"/>
    <w:rsid w:val="007D224F"/>
    <w:rsid w:val="007D23F0"/>
    <w:rsid w:val="007D2663"/>
    <w:rsid w:val="007D28BE"/>
    <w:rsid w:val="007D2A89"/>
    <w:rsid w:val="007D301B"/>
    <w:rsid w:val="007D3067"/>
    <w:rsid w:val="007D3296"/>
    <w:rsid w:val="007D3396"/>
    <w:rsid w:val="007D33E5"/>
    <w:rsid w:val="007D3798"/>
    <w:rsid w:val="007D37FE"/>
    <w:rsid w:val="007D3A24"/>
    <w:rsid w:val="007D3B17"/>
    <w:rsid w:val="007D3BDF"/>
    <w:rsid w:val="007D3C84"/>
    <w:rsid w:val="007D3CAB"/>
    <w:rsid w:val="007D3DE2"/>
    <w:rsid w:val="007D3EA3"/>
    <w:rsid w:val="007D3F1A"/>
    <w:rsid w:val="007D4620"/>
    <w:rsid w:val="007D4942"/>
    <w:rsid w:val="007D4A67"/>
    <w:rsid w:val="007D4BC2"/>
    <w:rsid w:val="007D5088"/>
    <w:rsid w:val="007D5190"/>
    <w:rsid w:val="007D536F"/>
    <w:rsid w:val="007D56D0"/>
    <w:rsid w:val="007D56E0"/>
    <w:rsid w:val="007D57DF"/>
    <w:rsid w:val="007D5BEF"/>
    <w:rsid w:val="007D5F04"/>
    <w:rsid w:val="007D610E"/>
    <w:rsid w:val="007D6241"/>
    <w:rsid w:val="007D63C8"/>
    <w:rsid w:val="007D6418"/>
    <w:rsid w:val="007D660E"/>
    <w:rsid w:val="007D6614"/>
    <w:rsid w:val="007D6670"/>
    <w:rsid w:val="007D67D1"/>
    <w:rsid w:val="007D6A2F"/>
    <w:rsid w:val="007D6A6A"/>
    <w:rsid w:val="007D6AB3"/>
    <w:rsid w:val="007D6AEA"/>
    <w:rsid w:val="007D6F96"/>
    <w:rsid w:val="007D71F1"/>
    <w:rsid w:val="007D7219"/>
    <w:rsid w:val="007D731F"/>
    <w:rsid w:val="007D7476"/>
    <w:rsid w:val="007D74B2"/>
    <w:rsid w:val="007D7615"/>
    <w:rsid w:val="007D7677"/>
    <w:rsid w:val="007D76F7"/>
    <w:rsid w:val="007D7729"/>
    <w:rsid w:val="007D7A7A"/>
    <w:rsid w:val="007D7B02"/>
    <w:rsid w:val="007D7E92"/>
    <w:rsid w:val="007E0027"/>
    <w:rsid w:val="007E045B"/>
    <w:rsid w:val="007E0491"/>
    <w:rsid w:val="007E09E7"/>
    <w:rsid w:val="007E0C3E"/>
    <w:rsid w:val="007E0D36"/>
    <w:rsid w:val="007E0E71"/>
    <w:rsid w:val="007E0EDE"/>
    <w:rsid w:val="007E13EB"/>
    <w:rsid w:val="007E14F1"/>
    <w:rsid w:val="007E17AF"/>
    <w:rsid w:val="007E18CF"/>
    <w:rsid w:val="007E190A"/>
    <w:rsid w:val="007E1E42"/>
    <w:rsid w:val="007E1E63"/>
    <w:rsid w:val="007E1F08"/>
    <w:rsid w:val="007E1F74"/>
    <w:rsid w:val="007E2012"/>
    <w:rsid w:val="007E20A8"/>
    <w:rsid w:val="007E210E"/>
    <w:rsid w:val="007E227E"/>
    <w:rsid w:val="007E23A3"/>
    <w:rsid w:val="007E23D1"/>
    <w:rsid w:val="007E2475"/>
    <w:rsid w:val="007E2586"/>
    <w:rsid w:val="007E28D6"/>
    <w:rsid w:val="007E2DD2"/>
    <w:rsid w:val="007E2E6B"/>
    <w:rsid w:val="007E2F51"/>
    <w:rsid w:val="007E31C0"/>
    <w:rsid w:val="007E3363"/>
    <w:rsid w:val="007E38A4"/>
    <w:rsid w:val="007E393B"/>
    <w:rsid w:val="007E3D71"/>
    <w:rsid w:val="007E3DEB"/>
    <w:rsid w:val="007E3E50"/>
    <w:rsid w:val="007E3EBD"/>
    <w:rsid w:val="007E4104"/>
    <w:rsid w:val="007E4230"/>
    <w:rsid w:val="007E43E5"/>
    <w:rsid w:val="007E441E"/>
    <w:rsid w:val="007E454C"/>
    <w:rsid w:val="007E484D"/>
    <w:rsid w:val="007E486C"/>
    <w:rsid w:val="007E496E"/>
    <w:rsid w:val="007E4998"/>
    <w:rsid w:val="007E4D95"/>
    <w:rsid w:val="007E5041"/>
    <w:rsid w:val="007E53EB"/>
    <w:rsid w:val="007E570E"/>
    <w:rsid w:val="007E57C6"/>
    <w:rsid w:val="007E5832"/>
    <w:rsid w:val="007E5974"/>
    <w:rsid w:val="007E5C73"/>
    <w:rsid w:val="007E5E19"/>
    <w:rsid w:val="007E5EC0"/>
    <w:rsid w:val="007E6171"/>
    <w:rsid w:val="007E62BA"/>
    <w:rsid w:val="007E63F2"/>
    <w:rsid w:val="007E68A2"/>
    <w:rsid w:val="007E6FC4"/>
    <w:rsid w:val="007E71C8"/>
    <w:rsid w:val="007E72C2"/>
    <w:rsid w:val="007E7376"/>
    <w:rsid w:val="007E7551"/>
    <w:rsid w:val="007E7680"/>
    <w:rsid w:val="007E791F"/>
    <w:rsid w:val="007E79BF"/>
    <w:rsid w:val="007E7B7F"/>
    <w:rsid w:val="007E7D3A"/>
    <w:rsid w:val="007E7D8E"/>
    <w:rsid w:val="007E7EF9"/>
    <w:rsid w:val="007F0056"/>
    <w:rsid w:val="007F01C0"/>
    <w:rsid w:val="007F065B"/>
    <w:rsid w:val="007F06AB"/>
    <w:rsid w:val="007F0782"/>
    <w:rsid w:val="007F090F"/>
    <w:rsid w:val="007F096A"/>
    <w:rsid w:val="007F0CA3"/>
    <w:rsid w:val="007F0D1B"/>
    <w:rsid w:val="007F0ED6"/>
    <w:rsid w:val="007F10E6"/>
    <w:rsid w:val="007F1113"/>
    <w:rsid w:val="007F11D5"/>
    <w:rsid w:val="007F12A6"/>
    <w:rsid w:val="007F13D9"/>
    <w:rsid w:val="007F13FF"/>
    <w:rsid w:val="007F1463"/>
    <w:rsid w:val="007F1477"/>
    <w:rsid w:val="007F15FF"/>
    <w:rsid w:val="007F188F"/>
    <w:rsid w:val="007F18E9"/>
    <w:rsid w:val="007F1AA6"/>
    <w:rsid w:val="007F1AE2"/>
    <w:rsid w:val="007F1D7A"/>
    <w:rsid w:val="007F1F9D"/>
    <w:rsid w:val="007F21C7"/>
    <w:rsid w:val="007F2247"/>
    <w:rsid w:val="007F2320"/>
    <w:rsid w:val="007F255C"/>
    <w:rsid w:val="007F2672"/>
    <w:rsid w:val="007F26A4"/>
    <w:rsid w:val="007F26F2"/>
    <w:rsid w:val="007F26F3"/>
    <w:rsid w:val="007F28EA"/>
    <w:rsid w:val="007F2977"/>
    <w:rsid w:val="007F29D9"/>
    <w:rsid w:val="007F2AD3"/>
    <w:rsid w:val="007F2C0D"/>
    <w:rsid w:val="007F2CA9"/>
    <w:rsid w:val="007F2CE6"/>
    <w:rsid w:val="007F2D8F"/>
    <w:rsid w:val="007F2F0E"/>
    <w:rsid w:val="007F338C"/>
    <w:rsid w:val="007F35A7"/>
    <w:rsid w:val="007F36EE"/>
    <w:rsid w:val="007F3780"/>
    <w:rsid w:val="007F38B4"/>
    <w:rsid w:val="007F3A03"/>
    <w:rsid w:val="007F3AB9"/>
    <w:rsid w:val="007F3C77"/>
    <w:rsid w:val="007F3CEB"/>
    <w:rsid w:val="007F425E"/>
    <w:rsid w:val="007F44CE"/>
    <w:rsid w:val="007F44F9"/>
    <w:rsid w:val="007F466B"/>
    <w:rsid w:val="007F46C5"/>
    <w:rsid w:val="007F4976"/>
    <w:rsid w:val="007F498E"/>
    <w:rsid w:val="007F4B78"/>
    <w:rsid w:val="007F4DEB"/>
    <w:rsid w:val="007F53F6"/>
    <w:rsid w:val="007F55AB"/>
    <w:rsid w:val="007F578B"/>
    <w:rsid w:val="007F5952"/>
    <w:rsid w:val="007F59F8"/>
    <w:rsid w:val="007F5A64"/>
    <w:rsid w:val="007F5AB3"/>
    <w:rsid w:val="007F5E0B"/>
    <w:rsid w:val="007F5E8D"/>
    <w:rsid w:val="007F6064"/>
    <w:rsid w:val="007F628A"/>
    <w:rsid w:val="007F6499"/>
    <w:rsid w:val="007F6521"/>
    <w:rsid w:val="007F6572"/>
    <w:rsid w:val="007F65C1"/>
    <w:rsid w:val="007F6614"/>
    <w:rsid w:val="007F66D5"/>
    <w:rsid w:val="007F6724"/>
    <w:rsid w:val="007F6735"/>
    <w:rsid w:val="007F6786"/>
    <w:rsid w:val="007F67B7"/>
    <w:rsid w:val="007F6CD2"/>
    <w:rsid w:val="007F6E8E"/>
    <w:rsid w:val="007F706A"/>
    <w:rsid w:val="007F726E"/>
    <w:rsid w:val="007F7358"/>
    <w:rsid w:val="007F73AF"/>
    <w:rsid w:val="007F7544"/>
    <w:rsid w:val="007F7796"/>
    <w:rsid w:val="007F7C8C"/>
    <w:rsid w:val="007F7E9B"/>
    <w:rsid w:val="007F7EE4"/>
    <w:rsid w:val="008003B5"/>
    <w:rsid w:val="008006F3"/>
    <w:rsid w:val="00800AD2"/>
    <w:rsid w:val="00801084"/>
    <w:rsid w:val="0080117C"/>
    <w:rsid w:val="00801634"/>
    <w:rsid w:val="008016A7"/>
    <w:rsid w:val="00801857"/>
    <w:rsid w:val="00801B87"/>
    <w:rsid w:val="0080208C"/>
    <w:rsid w:val="0080220D"/>
    <w:rsid w:val="008022FF"/>
    <w:rsid w:val="00802658"/>
    <w:rsid w:val="008026E3"/>
    <w:rsid w:val="0080270E"/>
    <w:rsid w:val="0080292A"/>
    <w:rsid w:val="008029C8"/>
    <w:rsid w:val="00802B3C"/>
    <w:rsid w:val="00802D20"/>
    <w:rsid w:val="00802D33"/>
    <w:rsid w:val="00803155"/>
    <w:rsid w:val="00803220"/>
    <w:rsid w:val="0080339B"/>
    <w:rsid w:val="00803566"/>
    <w:rsid w:val="008035AE"/>
    <w:rsid w:val="00803709"/>
    <w:rsid w:val="00803A68"/>
    <w:rsid w:val="00803B83"/>
    <w:rsid w:val="00803D70"/>
    <w:rsid w:val="00803E30"/>
    <w:rsid w:val="00803E52"/>
    <w:rsid w:val="00804052"/>
    <w:rsid w:val="008041E6"/>
    <w:rsid w:val="008043D5"/>
    <w:rsid w:val="00804533"/>
    <w:rsid w:val="00804872"/>
    <w:rsid w:val="008049C4"/>
    <w:rsid w:val="00804E73"/>
    <w:rsid w:val="00805173"/>
    <w:rsid w:val="0080552D"/>
    <w:rsid w:val="00805779"/>
    <w:rsid w:val="00805825"/>
    <w:rsid w:val="008058D8"/>
    <w:rsid w:val="0080597E"/>
    <w:rsid w:val="00805A5B"/>
    <w:rsid w:val="00805E0C"/>
    <w:rsid w:val="00806258"/>
    <w:rsid w:val="008063CC"/>
    <w:rsid w:val="008065A4"/>
    <w:rsid w:val="00806948"/>
    <w:rsid w:val="00806AC8"/>
    <w:rsid w:val="00806C13"/>
    <w:rsid w:val="00806D23"/>
    <w:rsid w:val="00806E70"/>
    <w:rsid w:val="008074FC"/>
    <w:rsid w:val="0080757D"/>
    <w:rsid w:val="008076A3"/>
    <w:rsid w:val="00807880"/>
    <w:rsid w:val="008079CB"/>
    <w:rsid w:val="00807A36"/>
    <w:rsid w:val="00807D35"/>
    <w:rsid w:val="00807ED7"/>
    <w:rsid w:val="008100A3"/>
    <w:rsid w:val="008100C2"/>
    <w:rsid w:val="008103D6"/>
    <w:rsid w:val="0081056B"/>
    <w:rsid w:val="0081058C"/>
    <w:rsid w:val="008107ED"/>
    <w:rsid w:val="00810ADF"/>
    <w:rsid w:val="00810B0E"/>
    <w:rsid w:val="00810B63"/>
    <w:rsid w:val="00810D1E"/>
    <w:rsid w:val="00810F85"/>
    <w:rsid w:val="00811212"/>
    <w:rsid w:val="0081123F"/>
    <w:rsid w:val="00811276"/>
    <w:rsid w:val="00811377"/>
    <w:rsid w:val="008115F3"/>
    <w:rsid w:val="00811796"/>
    <w:rsid w:val="0081179E"/>
    <w:rsid w:val="00811AEB"/>
    <w:rsid w:val="00811BF6"/>
    <w:rsid w:val="00811C79"/>
    <w:rsid w:val="00811EDF"/>
    <w:rsid w:val="00812712"/>
    <w:rsid w:val="00812F72"/>
    <w:rsid w:val="008131D3"/>
    <w:rsid w:val="008133D3"/>
    <w:rsid w:val="00813429"/>
    <w:rsid w:val="00813667"/>
    <w:rsid w:val="00813C16"/>
    <w:rsid w:val="00813DA0"/>
    <w:rsid w:val="00813EF0"/>
    <w:rsid w:val="00813FA4"/>
    <w:rsid w:val="0081495F"/>
    <w:rsid w:val="00814A84"/>
    <w:rsid w:val="00814A98"/>
    <w:rsid w:val="00814B72"/>
    <w:rsid w:val="00814C86"/>
    <w:rsid w:val="00814CC1"/>
    <w:rsid w:val="00814DDF"/>
    <w:rsid w:val="00814F83"/>
    <w:rsid w:val="00815256"/>
    <w:rsid w:val="00815359"/>
    <w:rsid w:val="00815513"/>
    <w:rsid w:val="00815541"/>
    <w:rsid w:val="008157CE"/>
    <w:rsid w:val="0081589D"/>
    <w:rsid w:val="0081591C"/>
    <w:rsid w:val="00815A6C"/>
    <w:rsid w:val="00815C12"/>
    <w:rsid w:val="00816058"/>
    <w:rsid w:val="00816118"/>
    <w:rsid w:val="008162FD"/>
    <w:rsid w:val="0081685F"/>
    <w:rsid w:val="00816A18"/>
    <w:rsid w:val="00816BE5"/>
    <w:rsid w:val="00816CA6"/>
    <w:rsid w:val="00816DAE"/>
    <w:rsid w:val="00816FDB"/>
    <w:rsid w:val="008170D9"/>
    <w:rsid w:val="0081719E"/>
    <w:rsid w:val="008174A6"/>
    <w:rsid w:val="00817CC1"/>
    <w:rsid w:val="008200E1"/>
    <w:rsid w:val="00820260"/>
    <w:rsid w:val="008207C5"/>
    <w:rsid w:val="00820A44"/>
    <w:rsid w:val="00820CE5"/>
    <w:rsid w:val="00820DEA"/>
    <w:rsid w:val="00820E27"/>
    <w:rsid w:val="00821376"/>
    <w:rsid w:val="008215A6"/>
    <w:rsid w:val="008217BC"/>
    <w:rsid w:val="008219CE"/>
    <w:rsid w:val="00821C91"/>
    <w:rsid w:val="00821E80"/>
    <w:rsid w:val="00822244"/>
    <w:rsid w:val="00822355"/>
    <w:rsid w:val="008223C5"/>
    <w:rsid w:val="0082299F"/>
    <w:rsid w:val="00822B55"/>
    <w:rsid w:val="00822EAD"/>
    <w:rsid w:val="00822F4B"/>
    <w:rsid w:val="008234F8"/>
    <w:rsid w:val="0082372F"/>
    <w:rsid w:val="008237BE"/>
    <w:rsid w:val="008239A0"/>
    <w:rsid w:val="00823C30"/>
    <w:rsid w:val="00823DEC"/>
    <w:rsid w:val="00824161"/>
    <w:rsid w:val="008243A8"/>
    <w:rsid w:val="0082456F"/>
    <w:rsid w:val="00824624"/>
    <w:rsid w:val="00824A22"/>
    <w:rsid w:val="00824CA9"/>
    <w:rsid w:val="0082567C"/>
    <w:rsid w:val="008257A2"/>
    <w:rsid w:val="00825850"/>
    <w:rsid w:val="00825922"/>
    <w:rsid w:val="00825A3E"/>
    <w:rsid w:val="00825FD1"/>
    <w:rsid w:val="00826093"/>
    <w:rsid w:val="0082610C"/>
    <w:rsid w:val="0082616D"/>
    <w:rsid w:val="008264AA"/>
    <w:rsid w:val="008267CB"/>
    <w:rsid w:val="00826971"/>
    <w:rsid w:val="0082698A"/>
    <w:rsid w:val="00826B61"/>
    <w:rsid w:val="008272D2"/>
    <w:rsid w:val="008273BF"/>
    <w:rsid w:val="00827404"/>
    <w:rsid w:val="008276F7"/>
    <w:rsid w:val="00827723"/>
    <w:rsid w:val="008279C0"/>
    <w:rsid w:val="00827D21"/>
    <w:rsid w:val="00827DEE"/>
    <w:rsid w:val="008301A8"/>
    <w:rsid w:val="00830337"/>
    <w:rsid w:val="00830421"/>
    <w:rsid w:val="0083045D"/>
    <w:rsid w:val="00830752"/>
    <w:rsid w:val="00830763"/>
    <w:rsid w:val="00830C05"/>
    <w:rsid w:val="00830E01"/>
    <w:rsid w:val="0083129B"/>
    <w:rsid w:val="008312E9"/>
    <w:rsid w:val="008314B5"/>
    <w:rsid w:val="008318C7"/>
    <w:rsid w:val="00831C26"/>
    <w:rsid w:val="00831D64"/>
    <w:rsid w:val="00831DE5"/>
    <w:rsid w:val="00831ECC"/>
    <w:rsid w:val="00832033"/>
    <w:rsid w:val="00832041"/>
    <w:rsid w:val="008320D3"/>
    <w:rsid w:val="0083212F"/>
    <w:rsid w:val="00832185"/>
    <w:rsid w:val="0083219D"/>
    <w:rsid w:val="00832BF5"/>
    <w:rsid w:val="00832C08"/>
    <w:rsid w:val="00832C7E"/>
    <w:rsid w:val="00832E0B"/>
    <w:rsid w:val="008338CC"/>
    <w:rsid w:val="00833A21"/>
    <w:rsid w:val="00833B14"/>
    <w:rsid w:val="00833DE0"/>
    <w:rsid w:val="00833F1B"/>
    <w:rsid w:val="0083413E"/>
    <w:rsid w:val="00834557"/>
    <w:rsid w:val="0083466C"/>
    <w:rsid w:val="008347D8"/>
    <w:rsid w:val="00834950"/>
    <w:rsid w:val="00834995"/>
    <w:rsid w:val="00834A2C"/>
    <w:rsid w:val="00834D50"/>
    <w:rsid w:val="008352FA"/>
    <w:rsid w:val="00835332"/>
    <w:rsid w:val="008353D8"/>
    <w:rsid w:val="00835436"/>
    <w:rsid w:val="008358C4"/>
    <w:rsid w:val="00835AC0"/>
    <w:rsid w:val="00835E8A"/>
    <w:rsid w:val="00835EDE"/>
    <w:rsid w:val="00835EE1"/>
    <w:rsid w:val="0083614F"/>
    <w:rsid w:val="008361A7"/>
    <w:rsid w:val="008361E7"/>
    <w:rsid w:val="0083643A"/>
    <w:rsid w:val="008366DE"/>
    <w:rsid w:val="00836708"/>
    <w:rsid w:val="0083672C"/>
    <w:rsid w:val="008367F0"/>
    <w:rsid w:val="00836AA9"/>
    <w:rsid w:val="00836CA4"/>
    <w:rsid w:val="00836E1A"/>
    <w:rsid w:val="0083722D"/>
    <w:rsid w:val="0083732D"/>
    <w:rsid w:val="008374D1"/>
    <w:rsid w:val="0083764A"/>
    <w:rsid w:val="008377D5"/>
    <w:rsid w:val="0083782C"/>
    <w:rsid w:val="00837951"/>
    <w:rsid w:val="00837BAA"/>
    <w:rsid w:val="00837D80"/>
    <w:rsid w:val="00840141"/>
    <w:rsid w:val="00840727"/>
    <w:rsid w:val="008409EA"/>
    <w:rsid w:val="00840B4B"/>
    <w:rsid w:val="00840E1C"/>
    <w:rsid w:val="00841081"/>
    <w:rsid w:val="00841A22"/>
    <w:rsid w:val="00841C13"/>
    <w:rsid w:val="00842193"/>
    <w:rsid w:val="008421B5"/>
    <w:rsid w:val="008422A1"/>
    <w:rsid w:val="00842393"/>
    <w:rsid w:val="008424EE"/>
    <w:rsid w:val="0084251F"/>
    <w:rsid w:val="008426CA"/>
    <w:rsid w:val="008426CC"/>
    <w:rsid w:val="00842D17"/>
    <w:rsid w:val="00842DBF"/>
    <w:rsid w:val="00842F17"/>
    <w:rsid w:val="00842F73"/>
    <w:rsid w:val="008430E8"/>
    <w:rsid w:val="0084315A"/>
    <w:rsid w:val="00843168"/>
    <w:rsid w:val="0084364C"/>
    <w:rsid w:val="008436F9"/>
    <w:rsid w:val="008438B8"/>
    <w:rsid w:val="008438FD"/>
    <w:rsid w:val="00843998"/>
    <w:rsid w:val="00843B59"/>
    <w:rsid w:val="00843BFA"/>
    <w:rsid w:val="00843DF3"/>
    <w:rsid w:val="00843E2D"/>
    <w:rsid w:val="0084421B"/>
    <w:rsid w:val="008442F7"/>
    <w:rsid w:val="00844927"/>
    <w:rsid w:val="00844963"/>
    <w:rsid w:val="00844CFA"/>
    <w:rsid w:val="00844E56"/>
    <w:rsid w:val="00844EE4"/>
    <w:rsid w:val="00845152"/>
    <w:rsid w:val="008452A9"/>
    <w:rsid w:val="0084561C"/>
    <w:rsid w:val="00845BAB"/>
    <w:rsid w:val="00845D33"/>
    <w:rsid w:val="00845DE6"/>
    <w:rsid w:val="00845F02"/>
    <w:rsid w:val="0084637E"/>
    <w:rsid w:val="0084648C"/>
    <w:rsid w:val="008465CB"/>
    <w:rsid w:val="00846659"/>
    <w:rsid w:val="008469DF"/>
    <w:rsid w:val="00846A17"/>
    <w:rsid w:val="00846AB6"/>
    <w:rsid w:val="00846B1C"/>
    <w:rsid w:val="00846C45"/>
    <w:rsid w:val="00846E47"/>
    <w:rsid w:val="00846E51"/>
    <w:rsid w:val="00846F4F"/>
    <w:rsid w:val="008471AE"/>
    <w:rsid w:val="00847203"/>
    <w:rsid w:val="008476C7"/>
    <w:rsid w:val="008476DC"/>
    <w:rsid w:val="00847752"/>
    <w:rsid w:val="008478CD"/>
    <w:rsid w:val="00847B22"/>
    <w:rsid w:val="00847B9D"/>
    <w:rsid w:val="00847E9B"/>
    <w:rsid w:val="0085007F"/>
    <w:rsid w:val="00850303"/>
    <w:rsid w:val="008503E5"/>
    <w:rsid w:val="008508AC"/>
    <w:rsid w:val="00850949"/>
    <w:rsid w:val="008509B5"/>
    <w:rsid w:val="00850E75"/>
    <w:rsid w:val="00850F28"/>
    <w:rsid w:val="00851051"/>
    <w:rsid w:val="008510BC"/>
    <w:rsid w:val="0085138C"/>
    <w:rsid w:val="0085161F"/>
    <w:rsid w:val="00851675"/>
    <w:rsid w:val="008516E7"/>
    <w:rsid w:val="00851804"/>
    <w:rsid w:val="00851B59"/>
    <w:rsid w:val="00851BA2"/>
    <w:rsid w:val="00851D60"/>
    <w:rsid w:val="00851F09"/>
    <w:rsid w:val="008520D5"/>
    <w:rsid w:val="0085286A"/>
    <w:rsid w:val="008528C7"/>
    <w:rsid w:val="00852901"/>
    <w:rsid w:val="00852C31"/>
    <w:rsid w:val="00852D7D"/>
    <w:rsid w:val="00852DFF"/>
    <w:rsid w:val="00852E2D"/>
    <w:rsid w:val="00853062"/>
    <w:rsid w:val="00853152"/>
    <w:rsid w:val="00853245"/>
    <w:rsid w:val="0085326A"/>
    <w:rsid w:val="00853AAD"/>
    <w:rsid w:val="00853AF9"/>
    <w:rsid w:val="00853CB8"/>
    <w:rsid w:val="00853D61"/>
    <w:rsid w:val="00853F28"/>
    <w:rsid w:val="00854303"/>
    <w:rsid w:val="00854305"/>
    <w:rsid w:val="00854AE8"/>
    <w:rsid w:val="00854B7E"/>
    <w:rsid w:val="00854C37"/>
    <w:rsid w:val="00854D98"/>
    <w:rsid w:val="00854EFD"/>
    <w:rsid w:val="00855222"/>
    <w:rsid w:val="00855230"/>
    <w:rsid w:val="008552BC"/>
    <w:rsid w:val="0085622D"/>
    <w:rsid w:val="00856279"/>
    <w:rsid w:val="008565F5"/>
    <w:rsid w:val="00856ADC"/>
    <w:rsid w:val="00856B37"/>
    <w:rsid w:val="00856C3A"/>
    <w:rsid w:val="00856E57"/>
    <w:rsid w:val="00856F74"/>
    <w:rsid w:val="00856FAA"/>
    <w:rsid w:val="0085725F"/>
    <w:rsid w:val="00857285"/>
    <w:rsid w:val="008573F4"/>
    <w:rsid w:val="008576C6"/>
    <w:rsid w:val="008577D6"/>
    <w:rsid w:val="008578FB"/>
    <w:rsid w:val="008579F2"/>
    <w:rsid w:val="00857D1B"/>
    <w:rsid w:val="008601FB"/>
    <w:rsid w:val="008602FB"/>
    <w:rsid w:val="0086055D"/>
    <w:rsid w:val="008606BA"/>
    <w:rsid w:val="00860831"/>
    <w:rsid w:val="00860B3F"/>
    <w:rsid w:val="00860B53"/>
    <w:rsid w:val="00860C93"/>
    <w:rsid w:val="00860F91"/>
    <w:rsid w:val="00860F96"/>
    <w:rsid w:val="00861068"/>
    <w:rsid w:val="00861100"/>
    <w:rsid w:val="00861197"/>
    <w:rsid w:val="008611C6"/>
    <w:rsid w:val="008614B0"/>
    <w:rsid w:val="00861C40"/>
    <w:rsid w:val="00861CE9"/>
    <w:rsid w:val="00861E45"/>
    <w:rsid w:val="00862022"/>
    <w:rsid w:val="008623CB"/>
    <w:rsid w:val="008625A1"/>
    <w:rsid w:val="00862A5F"/>
    <w:rsid w:val="00862AE4"/>
    <w:rsid w:val="00862B2C"/>
    <w:rsid w:val="00862C2E"/>
    <w:rsid w:val="00862F66"/>
    <w:rsid w:val="008630AB"/>
    <w:rsid w:val="00863148"/>
    <w:rsid w:val="00863167"/>
    <w:rsid w:val="00863259"/>
    <w:rsid w:val="00863570"/>
    <w:rsid w:val="008635BD"/>
    <w:rsid w:val="008636C0"/>
    <w:rsid w:val="008638B2"/>
    <w:rsid w:val="00863A3A"/>
    <w:rsid w:val="00863A97"/>
    <w:rsid w:val="00863B41"/>
    <w:rsid w:val="00863C8E"/>
    <w:rsid w:val="00864038"/>
    <w:rsid w:val="0086412F"/>
    <w:rsid w:val="008642CA"/>
    <w:rsid w:val="00864382"/>
    <w:rsid w:val="00864867"/>
    <w:rsid w:val="00864B12"/>
    <w:rsid w:val="00864C13"/>
    <w:rsid w:val="008651DD"/>
    <w:rsid w:val="00865492"/>
    <w:rsid w:val="008654DF"/>
    <w:rsid w:val="00865530"/>
    <w:rsid w:val="0086572B"/>
    <w:rsid w:val="008659B1"/>
    <w:rsid w:val="00865B4C"/>
    <w:rsid w:val="00865B97"/>
    <w:rsid w:val="00865B9B"/>
    <w:rsid w:val="00865BE3"/>
    <w:rsid w:val="0086614E"/>
    <w:rsid w:val="00866306"/>
    <w:rsid w:val="008666A8"/>
    <w:rsid w:val="00866994"/>
    <w:rsid w:val="008669AB"/>
    <w:rsid w:val="00866BC8"/>
    <w:rsid w:val="00866D65"/>
    <w:rsid w:val="00866FB3"/>
    <w:rsid w:val="0086720B"/>
    <w:rsid w:val="0086779E"/>
    <w:rsid w:val="00867916"/>
    <w:rsid w:val="0086792B"/>
    <w:rsid w:val="008679FB"/>
    <w:rsid w:val="00867DE5"/>
    <w:rsid w:val="008700CA"/>
    <w:rsid w:val="00870216"/>
    <w:rsid w:val="0087044B"/>
    <w:rsid w:val="0087057E"/>
    <w:rsid w:val="008705B7"/>
    <w:rsid w:val="0087098A"/>
    <w:rsid w:val="00870DB6"/>
    <w:rsid w:val="00870F67"/>
    <w:rsid w:val="008713AF"/>
    <w:rsid w:val="00871581"/>
    <w:rsid w:val="0087164D"/>
    <w:rsid w:val="008716B7"/>
    <w:rsid w:val="0087174C"/>
    <w:rsid w:val="008718AB"/>
    <w:rsid w:val="00871B97"/>
    <w:rsid w:val="00871CB9"/>
    <w:rsid w:val="008720B3"/>
    <w:rsid w:val="00872160"/>
    <w:rsid w:val="008721D4"/>
    <w:rsid w:val="00872347"/>
    <w:rsid w:val="008723DC"/>
    <w:rsid w:val="008724E8"/>
    <w:rsid w:val="008724F7"/>
    <w:rsid w:val="00872602"/>
    <w:rsid w:val="00872802"/>
    <w:rsid w:val="008728E2"/>
    <w:rsid w:val="00872900"/>
    <w:rsid w:val="00872F79"/>
    <w:rsid w:val="0087300E"/>
    <w:rsid w:val="00873066"/>
    <w:rsid w:val="00873504"/>
    <w:rsid w:val="008735DE"/>
    <w:rsid w:val="0087390C"/>
    <w:rsid w:val="00873C6A"/>
    <w:rsid w:val="00873D1F"/>
    <w:rsid w:val="00873D4D"/>
    <w:rsid w:val="00873F1C"/>
    <w:rsid w:val="008740A9"/>
    <w:rsid w:val="008740EA"/>
    <w:rsid w:val="0087418C"/>
    <w:rsid w:val="00874195"/>
    <w:rsid w:val="008743CA"/>
    <w:rsid w:val="008744E5"/>
    <w:rsid w:val="0087471A"/>
    <w:rsid w:val="008747D9"/>
    <w:rsid w:val="00874A2D"/>
    <w:rsid w:val="00874D04"/>
    <w:rsid w:val="00875491"/>
    <w:rsid w:val="00875628"/>
    <w:rsid w:val="0087570C"/>
    <w:rsid w:val="008758C0"/>
    <w:rsid w:val="0087592C"/>
    <w:rsid w:val="0087598D"/>
    <w:rsid w:val="00875A13"/>
    <w:rsid w:val="00875C15"/>
    <w:rsid w:val="008761B9"/>
    <w:rsid w:val="00876440"/>
    <w:rsid w:val="008764A3"/>
    <w:rsid w:val="008764EF"/>
    <w:rsid w:val="0087655C"/>
    <w:rsid w:val="0087676E"/>
    <w:rsid w:val="00876881"/>
    <w:rsid w:val="008768EE"/>
    <w:rsid w:val="008768F7"/>
    <w:rsid w:val="00876B19"/>
    <w:rsid w:val="00876D23"/>
    <w:rsid w:val="00876D60"/>
    <w:rsid w:val="008771F5"/>
    <w:rsid w:val="008771FB"/>
    <w:rsid w:val="00877268"/>
    <w:rsid w:val="008773A4"/>
    <w:rsid w:val="008774E9"/>
    <w:rsid w:val="00877665"/>
    <w:rsid w:val="0087782F"/>
    <w:rsid w:val="0087786B"/>
    <w:rsid w:val="00877977"/>
    <w:rsid w:val="00877981"/>
    <w:rsid w:val="00877BEA"/>
    <w:rsid w:val="00877FE5"/>
    <w:rsid w:val="00880040"/>
    <w:rsid w:val="00880168"/>
    <w:rsid w:val="00880230"/>
    <w:rsid w:val="0088027A"/>
    <w:rsid w:val="008802BC"/>
    <w:rsid w:val="0088043F"/>
    <w:rsid w:val="008804C5"/>
    <w:rsid w:val="0088056C"/>
    <w:rsid w:val="008805C1"/>
    <w:rsid w:val="008814E2"/>
    <w:rsid w:val="008814F6"/>
    <w:rsid w:val="0088173A"/>
    <w:rsid w:val="0088199B"/>
    <w:rsid w:val="008819C7"/>
    <w:rsid w:val="00881BFE"/>
    <w:rsid w:val="00881C41"/>
    <w:rsid w:val="00881D28"/>
    <w:rsid w:val="00881E0B"/>
    <w:rsid w:val="00881E81"/>
    <w:rsid w:val="00881EB3"/>
    <w:rsid w:val="00881F1F"/>
    <w:rsid w:val="00881F60"/>
    <w:rsid w:val="0088207F"/>
    <w:rsid w:val="008821A2"/>
    <w:rsid w:val="00882367"/>
    <w:rsid w:val="00882980"/>
    <w:rsid w:val="00882BCC"/>
    <w:rsid w:val="00882BF8"/>
    <w:rsid w:val="00882C43"/>
    <w:rsid w:val="00882EA8"/>
    <w:rsid w:val="00883042"/>
    <w:rsid w:val="008831DD"/>
    <w:rsid w:val="00883202"/>
    <w:rsid w:val="00883308"/>
    <w:rsid w:val="00883509"/>
    <w:rsid w:val="00883528"/>
    <w:rsid w:val="00883995"/>
    <w:rsid w:val="00883A90"/>
    <w:rsid w:val="00883D73"/>
    <w:rsid w:val="00883E09"/>
    <w:rsid w:val="00883E82"/>
    <w:rsid w:val="00883EB9"/>
    <w:rsid w:val="00883ECA"/>
    <w:rsid w:val="00883F14"/>
    <w:rsid w:val="00884193"/>
    <w:rsid w:val="00884508"/>
    <w:rsid w:val="008845D1"/>
    <w:rsid w:val="00884874"/>
    <w:rsid w:val="008848BE"/>
    <w:rsid w:val="00884B09"/>
    <w:rsid w:val="00884B98"/>
    <w:rsid w:val="00884BA8"/>
    <w:rsid w:val="0088505D"/>
    <w:rsid w:val="0088506E"/>
    <w:rsid w:val="0088517B"/>
    <w:rsid w:val="0088560B"/>
    <w:rsid w:val="00885626"/>
    <w:rsid w:val="00885782"/>
    <w:rsid w:val="008857EA"/>
    <w:rsid w:val="00885856"/>
    <w:rsid w:val="00885ACF"/>
    <w:rsid w:val="00885C47"/>
    <w:rsid w:val="00885CB8"/>
    <w:rsid w:val="00885D74"/>
    <w:rsid w:val="00885F13"/>
    <w:rsid w:val="00886470"/>
    <w:rsid w:val="0088647A"/>
    <w:rsid w:val="0088656C"/>
    <w:rsid w:val="00886599"/>
    <w:rsid w:val="008866B6"/>
    <w:rsid w:val="00886A3C"/>
    <w:rsid w:val="00886C99"/>
    <w:rsid w:val="00886DC5"/>
    <w:rsid w:val="00886ECA"/>
    <w:rsid w:val="0088701D"/>
    <w:rsid w:val="00887107"/>
    <w:rsid w:val="00887126"/>
    <w:rsid w:val="00887130"/>
    <w:rsid w:val="00887197"/>
    <w:rsid w:val="0088720C"/>
    <w:rsid w:val="00887403"/>
    <w:rsid w:val="00887524"/>
    <w:rsid w:val="008875ED"/>
    <w:rsid w:val="00887868"/>
    <w:rsid w:val="00887A8D"/>
    <w:rsid w:val="00887BBE"/>
    <w:rsid w:val="00890325"/>
    <w:rsid w:val="008906D4"/>
    <w:rsid w:val="0089072A"/>
    <w:rsid w:val="00890BF6"/>
    <w:rsid w:val="00890C2C"/>
    <w:rsid w:val="00891014"/>
    <w:rsid w:val="00891357"/>
    <w:rsid w:val="00891478"/>
    <w:rsid w:val="008914C6"/>
    <w:rsid w:val="00891643"/>
    <w:rsid w:val="008917EC"/>
    <w:rsid w:val="008918C9"/>
    <w:rsid w:val="00891B1C"/>
    <w:rsid w:val="00891BFB"/>
    <w:rsid w:val="00891DD7"/>
    <w:rsid w:val="00891E9B"/>
    <w:rsid w:val="00892138"/>
    <w:rsid w:val="008922A5"/>
    <w:rsid w:val="00892483"/>
    <w:rsid w:val="0089255B"/>
    <w:rsid w:val="00892895"/>
    <w:rsid w:val="008928B8"/>
    <w:rsid w:val="00892DDD"/>
    <w:rsid w:val="00892EAD"/>
    <w:rsid w:val="00893057"/>
    <w:rsid w:val="008936B4"/>
    <w:rsid w:val="00893786"/>
    <w:rsid w:val="00893AF9"/>
    <w:rsid w:val="00893C58"/>
    <w:rsid w:val="00893CCF"/>
    <w:rsid w:val="008940BD"/>
    <w:rsid w:val="00894316"/>
    <w:rsid w:val="008944A5"/>
    <w:rsid w:val="00894622"/>
    <w:rsid w:val="0089484D"/>
    <w:rsid w:val="008948C9"/>
    <w:rsid w:val="00894AAE"/>
    <w:rsid w:val="00894F0E"/>
    <w:rsid w:val="00895048"/>
    <w:rsid w:val="00895061"/>
    <w:rsid w:val="008950A3"/>
    <w:rsid w:val="008954B0"/>
    <w:rsid w:val="00895724"/>
    <w:rsid w:val="00895AA9"/>
    <w:rsid w:val="00895C8C"/>
    <w:rsid w:val="00895D32"/>
    <w:rsid w:val="00895DDE"/>
    <w:rsid w:val="00895EBA"/>
    <w:rsid w:val="00895FDD"/>
    <w:rsid w:val="0089623C"/>
    <w:rsid w:val="008962DD"/>
    <w:rsid w:val="0089651E"/>
    <w:rsid w:val="00896AD0"/>
    <w:rsid w:val="00896DDA"/>
    <w:rsid w:val="00896ED5"/>
    <w:rsid w:val="0089748F"/>
    <w:rsid w:val="0089785C"/>
    <w:rsid w:val="008978C8"/>
    <w:rsid w:val="00897EDC"/>
    <w:rsid w:val="00897EDE"/>
    <w:rsid w:val="00897F35"/>
    <w:rsid w:val="008A0049"/>
    <w:rsid w:val="008A0123"/>
    <w:rsid w:val="008A0452"/>
    <w:rsid w:val="008A04A6"/>
    <w:rsid w:val="008A057E"/>
    <w:rsid w:val="008A07BA"/>
    <w:rsid w:val="008A0A5A"/>
    <w:rsid w:val="008A0D83"/>
    <w:rsid w:val="008A0F17"/>
    <w:rsid w:val="008A0F6E"/>
    <w:rsid w:val="008A10E1"/>
    <w:rsid w:val="008A115D"/>
    <w:rsid w:val="008A1334"/>
    <w:rsid w:val="008A1A61"/>
    <w:rsid w:val="008A200C"/>
    <w:rsid w:val="008A2153"/>
    <w:rsid w:val="008A2189"/>
    <w:rsid w:val="008A229A"/>
    <w:rsid w:val="008A2785"/>
    <w:rsid w:val="008A2929"/>
    <w:rsid w:val="008A2A63"/>
    <w:rsid w:val="008A2C1E"/>
    <w:rsid w:val="008A3510"/>
    <w:rsid w:val="008A3544"/>
    <w:rsid w:val="008A38B3"/>
    <w:rsid w:val="008A39DB"/>
    <w:rsid w:val="008A3B83"/>
    <w:rsid w:val="008A3DA5"/>
    <w:rsid w:val="008A3DB7"/>
    <w:rsid w:val="008A3DCC"/>
    <w:rsid w:val="008A4067"/>
    <w:rsid w:val="008A41A6"/>
    <w:rsid w:val="008A423E"/>
    <w:rsid w:val="008A431C"/>
    <w:rsid w:val="008A4638"/>
    <w:rsid w:val="008A48B7"/>
    <w:rsid w:val="008A4999"/>
    <w:rsid w:val="008A4A3C"/>
    <w:rsid w:val="008A4C8A"/>
    <w:rsid w:val="008A4DB0"/>
    <w:rsid w:val="008A51EB"/>
    <w:rsid w:val="008A5683"/>
    <w:rsid w:val="008A583C"/>
    <w:rsid w:val="008A5A1D"/>
    <w:rsid w:val="008A5BFE"/>
    <w:rsid w:val="008A5F44"/>
    <w:rsid w:val="008A60B3"/>
    <w:rsid w:val="008A666E"/>
    <w:rsid w:val="008A66E8"/>
    <w:rsid w:val="008A675D"/>
    <w:rsid w:val="008A6870"/>
    <w:rsid w:val="008A6907"/>
    <w:rsid w:val="008A6C6B"/>
    <w:rsid w:val="008A6F3B"/>
    <w:rsid w:val="008A7082"/>
    <w:rsid w:val="008A71B3"/>
    <w:rsid w:val="008A76BE"/>
    <w:rsid w:val="008A77E6"/>
    <w:rsid w:val="008A7848"/>
    <w:rsid w:val="008A7AB2"/>
    <w:rsid w:val="008A7B3F"/>
    <w:rsid w:val="008A7D52"/>
    <w:rsid w:val="008A7F26"/>
    <w:rsid w:val="008B03B7"/>
    <w:rsid w:val="008B03D8"/>
    <w:rsid w:val="008B04F9"/>
    <w:rsid w:val="008B0549"/>
    <w:rsid w:val="008B0613"/>
    <w:rsid w:val="008B06F3"/>
    <w:rsid w:val="008B07B6"/>
    <w:rsid w:val="008B09FA"/>
    <w:rsid w:val="008B0AFE"/>
    <w:rsid w:val="008B0E32"/>
    <w:rsid w:val="008B10D6"/>
    <w:rsid w:val="008B127D"/>
    <w:rsid w:val="008B12AE"/>
    <w:rsid w:val="008B18D3"/>
    <w:rsid w:val="008B192A"/>
    <w:rsid w:val="008B1E04"/>
    <w:rsid w:val="008B1FC5"/>
    <w:rsid w:val="008B20CA"/>
    <w:rsid w:val="008B257D"/>
    <w:rsid w:val="008B27AB"/>
    <w:rsid w:val="008B2AF2"/>
    <w:rsid w:val="008B2BEE"/>
    <w:rsid w:val="008B2D1F"/>
    <w:rsid w:val="008B30BC"/>
    <w:rsid w:val="008B30F1"/>
    <w:rsid w:val="008B34C2"/>
    <w:rsid w:val="008B3A45"/>
    <w:rsid w:val="008B3C19"/>
    <w:rsid w:val="008B3D1F"/>
    <w:rsid w:val="008B3E39"/>
    <w:rsid w:val="008B3ED3"/>
    <w:rsid w:val="008B4205"/>
    <w:rsid w:val="008B4789"/>
    <w:rsid w:val="008B4AD2"/>
    <w:rsid w:val="008B50CA"/>
    <w:rsid w:val="008B551B"/>
    <w:rsid w:val="008B55FD"/>
    <w:rsid w:val="008B5892"/>
    <w:rsid w:val="008B5A23"/>
    <w:rsid w:val="008B5C74"/>
    <w:rsid w:val="008B5CD6"/>
    <w:rsid w:val="008B61F9"/>
    <w:rsid w:val="008B6223"/>
    <w:rsid w:val="008B6913"/>
    <w:rsid w:val="008B69F2"/>
    <w:rsid w:val="008B6E75"/>
    <w:rsid w:val="008B6EB3"/>
    <w:rsid w:val="008B6F9C"/>
    <w:rsid w:val="008B6FBA"/>
    <w:rsid w:val="008B701A"/>
    <w:rsid w:val="008B78AB"/>
    <w:rsid w:val="008B7BB7"/>
    <w:rsid w:val="008B7BBF"/>
    <w:rsid w:val="008B7CAA"/>
    <w:rsid w:val="008B7D52"/>
    <w:rsid w:val="008B7EEF"/>
    <w:rsid w:val="008C0382"/>
    <w:rsid w:val="008C03A1"/>
    <w:rsid w:val="008C0463"/>
    <w:rsid w:val="008C050D"/>
    <w:rsid w:val="008C0A32"/>
    <w:rsid w:val="008C0BCD"/>
    <w:rsid w:val="008C0C29"/>
    <w:rsid w:val="008C0C86"/>
    <w:rsid w:val="008C0D40"/>
    <w:rsid w:val="008C0DE0"/>
    <w:rsid w:val="008C0E23"/>
    <w:rsid w:val="008C0E24"/>
    <w:rsid w:val="008C0F3E"/>
    <w:rsid w:val="008C0F4D"/>
    <w:rsid w:val="008C1070"/>
    <w:rsid w:val="008C12CB"/>
    <w:rsid w:val="008C160C"/>
    <w:rsid w:val="008C178B"/>
    <w:rsid w:val="008C19E8"/>
    <w:rsid w:val="008C1AA9"/>
    <w:rsid w:val="008C1BFD"/>
    <w:rsid w:val="008C1C60"/>
    <w:rsid w:val="008C2074"/>
    <w:rsid w:val="008C214A"/>
    <w:rsid w:val="008C271E"/>
    <w:rsid w:val="008C273E"/>
    <w:rsid w:val="008C2954"/>
    <w:rsid w:val="008C2DE3"/>
    <w:rsid w:val="008C2EF3"/>
    <w:rsid w:val="008C3045"/>
    <w:rsid w:val="008C30B9"/>
    <w:rsid w:val="008C315E"/>
    <w:rsid w:val="008C3257"/>
    <w:rsid w:val="008C33B7"/>
    <w:rsid w:val="008C37BA"/>
    <w:rsid w:val="008C3861"/>
    <w:rsid w:val="008C388B"/>
    <w:rsid w:val="008C3AE2"/>
    <w:rsid w:val="008C3F98"/>
    <w:rsid w:val="008C432B"/>
    <w:rsid w:val="008C450E"/>
    <w:rsid w:val="008C4641"/>
    <w:rsid w:val="008C46F5"/>
    <w:rsid w:val="008C492F"/>
    <w:rsid w:val="008C4967"/>
    <w:rsid w:val="008C4A85"/>
    <w:rsid w:val="008C4DED"/>
    <w:rsid w:val="008C51CD"/>
    <w:rsid w:val="008C5369"/>
    <w:rsid w:val="008C53A1"/>
    <w:rsid w:val="008C5464"/>
    <w:rsid w:val="008C55F2"/>
    <w:rsid w:val="008C574D"/>
    <w:rsid w:val="008C575B"/>
    <w:rsid w:val="008C5995"/>
    <w:rsid w:val="008C5A3A"/>
    <w:rsid w:val="008C5B5C"/>
    <w:rsid w:val="008C5B80"/>
    <w:rsid w:val="008C5EEB"/>
    <w:rsid w:val="008C5F50"/>
    <w:rsid w:val="008C5FF9"/>
    <w:rsid w:val="008C63C5"/>
    <w:rsid w:val="008C641C"/>
    <w:rsid w:val="008C695A"/>
    <w:rsid w:val="008C6975"/>
    <w:rsid w:val="008C6A97"/>
    <w:rsid w:val="008C6CE5"/>
    <w:rsid w:val="008C6EFD"/>
    <w:rsid w:val="008C6F22"/>
    <w:rsid w:val="008C6F42"/>
    <w:rsid w:val="008C6FB0"/>
    <w:rsid w:val="008C72FA"/>
    <w:rsid w:val="008C7419"/>
    <w:rsid w:val="008C7469"/>
    <w:rsid w:val="008C7591"/>
    <w:rsid w:val="008C7792"/>
    <w:rsid w:val="008C78C1"/>
    <w:rsid w:val="008C7ABE"/>
    <w:rsid w:val="008C7AD9"/>
    <w:rsid w:val="008D0567"/>
    <w:rsid w:val="008D05F5"/>
    <w:rsid w:val="008D0C80"/>
    <w:rsid w:val="008D10C4"/>
    <w:rsid w:val="008D133F"/>
    <w:rsid w:val="008D1428"/>
    <w:rsid w:val="008D1554"/>
    <w:rsid w:val="008D1619"/>
    <w:rsid w:val="008D1890"/>
    <w:rsid w:val="008D18CF"/>
    <w:rsid w:val="008D1A08"/>
    <w:rsid w:val="008D1B15"/>
    <w:rsid w:val="008D1C05"/>
    <w:rsid w:val="008D1F32"/>
    <w:rsid w:val="008D2350"/>
    <w:rsid w:val="008D2563"/>
    <w:rsid w:val="008D260A"/>
    <w:rsid w:val="008D26B2"/>
    <w:rsid w:val="008D2734"/>
    <w:rsid w:val="008D2897"/>
    <w:rsid w:val="008D2E0D"/>
    <w:rsid w:val="008D2E22"/>
    <w:rsid w:val="008D2E65"/>
    <w:rsid w:val="008D2F9D"/>
    <w:rsid w:val="008D321C"/>
    <w:rsid w:val="008D338E"/>
    <w:rsid w:val="008D3492"/>
    <w:rsid w:val="008D3C1B"/>
    <w:rsid w:val="008D3C8C"/>
    <w:rsid w:val="008D3DE2"/>
    <w:rsid w:val="008D3F71"/>
    <w:rsid w:val="008D3F9E"/>
    <w:rsid w:val="008D43CC"/>
    <w:rsid w:val="008D4576"/>
    <w:rsid w:val="008D462F"/>
    <w:rsid w:val="008D4648"/>
    <w:rsid w:val="008D4692"/>
    <w:rsid w:val="008D46F0"/>
    <w:rsid w:val="008D4776"/>
    <w:rsid w:val="008D48AB"/>
    <w:rsid w:val="008D4A72"/>
    <w:rsid w:val="008D4AD9"/>
    <w:rsid w:val="008D4B67"/>
    <w:rsid w:val="008D4D49"/>
    <w:rsid w:val="008D4F13"/>
    <w:rsid w:val="008D4F94"/>
    <w:rsid w:val="008D5112"/>
    <w:rsid w:val="008D57E7"/>
    <w:rsid w:val="008D5A12"/>
    <w:rsid w:val="008D5A4D"/>
    <w:rsid w:val="008D5B16"/>
    <w:rsid w:val="008D5B1C"/>
    <w:rsid w:val="008D5E88"/>
    <w:rsid w:val="008D5FD0"/>
    <w:rsid w:val="008D60CD"/>
    <w:rsid w:val="008D6577"/>
    <w:rsid w:val="008D6587"/>
    <w:rsid w:val="008D680A"/>
    <w:rsid w:val="008D6B4B"/>
    <w:rsid w:val="008D6C48"/>
    <w:rsid w:val="008D6CB1"/>
    <w:rsid w:val="008D6E5A"/>
    <w:rsid w:val="008D6F39"/>
    <w:rsid w:val="008D7223"/>
    <w:rsid w:val="008D73F7"/>
    <w:rsid w:val="008D7702"/>
    <w:rsid w:val="008D7A32"/>
    <w:rsid w:val="008D7AC6"/>
    <w:rsid w:val="008D7BCA"/>
    <w:rsid w:val="008D7BD3"/>
    <w:rsid w:val="008D7DD9"/>
    <w:rsid w:val="008D7F93"/>
    <w:rsid w:val="008E0056"/>
    <w:rsid w:val="008E00DE"/>
    <w:rsid w:val="008E0256"/>
    <w:rsid w:val="008E05D6"/>
    <w:rsid w:val="008E06A4"/>
    <w:rsid w:val="008E0953"/>
    <w:rsid w:val="008E097C"/>
    <w:rsid w:val="008E1266"/>
    <w:rsid w:val="008E1408"/>
    <w:rsid w:val="008E194B"/>
    <w:rsid w:val="008E19C7"/>
    <w:rsid w:val="008E1BFE"/>
    <w:rsid w:val="008E1CC6"/>
    <w:rsid w:val="008E1D8F"/>
    <w:rsid w:val="008E1E71"/>
    <w:rsid w:val="008E1F17"/>
    <w:rsid w:val="008E1F8C"/>
    <w:rsid w:val="008E2706"/>
    <w:rsid w:val="008E2847"/>
    <w:rsid w:val="008E28D6"/>
    <w:rsid w:val="008E28E1"/>
    <w:rsid w:val="008E2B88"/>
    <w:rsid w:val="008E2BD9"/>
    <w:rsid w:val="008E2C42"/>
    <w:rsid w:val="008E2C78"/>
    <w:rsid w:val="008E3126"/>
    <w:rsid w:val="008E312D"/>
    <w:rsid w:val="008E32FE"/>
    <w:rsid w:val="008E3565"/>
    <w:rsid w:val="008E36BE"/>
    <w:rsid w:val="008E3ABB"/>
    <w:rsid w:val="008E3B8D"/>
    <w:rsid w:val="008E40EB"/>
    <w:rsid w:val="008E4505"/>
    <w:rsid w:val="008E472A"/>
    <w:rsid w:val="008E47C4"/>
    <w:rsid w:val="008E486A"/>
    <w:rsid w:val="008E48C8"/>
    <w:rsid w:val="008E495D"/>
    <w:rsid w:val="008E49FC"/>
    <w:rsid w:val="008E4B9A"/>
    <w:rsid w:val="008E4DF8"/>
    <w:rsid w:val="008E4E2E"/>
    <w:rsid w:val="008E5189"/>
    <w:rsid w:val="008E5233"/>
    <w:rsid w:val="008E5298"/>
    <w:rsid w:val="008E533C"/>
    <w:rsid w:val="008E588E"/>
    <w:rsid w:val="008E590C"/>
    <w:rsid w:val="008E59DD"/>
    <w:rsid w:val="008E5CC0"/>
    <w:rsid w:val="008E603E"/>
    <w:rsid w:val="008E6185"/>
    <w:rsid w:val="008E62F4"/>
    <w:rsid w:val="008E64A2"/>
    <w:rsid w:val="008E66B4"/>
    <w:rsid w:val="008E6710"/>
    <w:rsid w:val="008E6A5A"/>
    <w:rsid w:val="008E6B17"/>
    <w:rsid w:val="008E6E77"/>
    <w:rsid w:val="008E75DE"/>
    <w:rsid w:val="008E7930"/>
    <w:rsid w:val="008E7D1F"/>
    <w:rsid w:val="008E7E0C"/>
    <w:rsid w:val="008F023F"/>
    <w:rsid w:val="008F03C0"/>
    <w:rsid w:val="008F0632"/>
    <w:rsid w:val="008F0745"/>
    <w:rsid w:val="008F07C6"/>
    <w:rsid w:val="008F07E1"/>
    <w:rsid w:val="008F09AA"/>
    <w:rsid w:val="008F09B0"/>
    <w:rsid w:val="008F0BFE"/>
    <w:rsid w:val="008F0DDE"/>
    <w:rsid w:val="008F0EEC"/>
    <w:rsid w:val="008F1042"/>
    <w:rsid w:val="008F11F1"/>
    <w:rsid w:val="008F1261"/>
    <w:rsid w:val="008F16A8"/>
    <w:rsid w:val="008F172E"/>
    <w:rsid w:val="008F17FF"/>
    <w:rsid w:val="008F193A"/>
    <w:rsid w:val="008F1967"/>
    <w:rsid w:val="008F1BC1"/>
    <w:rsid w:val="008F1CAD"/>
    <w:rsid w:val="008F1D9B"/>
    <w:rsid w:val="008F1F20"/>
    <w:rsid w:val="008F1FF3"/>
    <w:rsid w:val="008F2119"/>
    <w:rsid w:val="008F232C"/>
    <w:rsid w:val="008F242F"/>
    <w:rsid w:val="008F252A"/>
    <w:rsid w:val="008F2765"/>
    <w:rsid w:val="008F27AD"/>
    <w:rsid w:val="008F2E28"/>
    <w:rsid w:val="008F334B"/>
    <w:rsid w:val="008F3355"/>
    <w:rsid w:val="008F344C"/>
    <w:rsid w:val="008F34A4"/>
    <w:rsid w:val="008F34AF"/>
    <w:rsid w:val="008F377C"/>
    <w:rsid w:val="008F3A78"/>
    <w:rsid w:val="008F3AAF"/>
    <w:rsid w:val="008F4011"/>
    <w:rsid w:val="008F43EF"/>
    <w:rsid w:val="008F46B8"/>
    <w:rsid w:val="008F47AB"/>
    <w:rsid w:val="008F49C2"/>
    <w:rsid w:val="008F4B6E"/>
    <w:rsid w:val="008F4D36"/>
    <w:rsid w:val="008F4D5D"/>
    <w:rsid w:val="008F5087"/>
    <w:rsid w:val="008F50CF"/>
    <w:rsid w:val="008F5283"/>
    <w:rsid w:val="008F52E9"/>
    <w:rsid w:val="008F545E"/>
    <w:rsid w:val="008F558F"/>
    <w:rsid w:val="008F56BD"/>
    <w:rsid w:val="008F5878"/>
    <w:rsid w:val="008F5CD2"/>
    <w:rsid w:val="008F5E82"/>
    <w:rsid w:val="008F60F4"/>
    <w:rsid w:val="008F615B"/>
    <w:rsid w:val="008F62DB"/>
    <w:rsid w:val="008F66BE"/>
    <w:rsid w:val="008F6B74"/>
    <w:rsid w:val="008F6C6B"/>
    <w:rsid w:val="008F75FD"/>
    <w:rsid w:val="008F7799"/>
    <w:rsid w:val="008F77D2"/>
    <w:rsid w:val="008F7809"/>
    <w:rsid w:val="008F78A5"/>
    <w:rsid w:val="008F7A9D"/>
    <w:rsid w:val="00900324"/>
    <w:rsid w:val="009003EB"/>
    <w:rsid w:val="0090051A"/>
    <w:rsid w:val="00900636"/>
    <w:rsid w:val="009008ED"/>
    <w:rsid w:val="00900D35"/>
    <w:rsid w:val="009010E7"/>
    <w:rsid w:val="009014F9"/>
    <w:rsid w:val="009017E5"/>
    <w:rsid w:val="00901963"/>
    <w:rsid w:val="00901B19"/>
    <w:rsid w:val="00901B1E"/>
    <w:rsid w:val="00901CA9"/>
    <w:rsid w:val="00901D5F"/>
    <w:rsid w:val="00901FF4"/>
    <w:rsid w:val="009025C2"/>
    <w:rsid w:val="0090270E"/>
    <w:rsid w:val="00902787"/>
    <w:rsid w:val="009027FB"/>
    <w:rsid w:val="0090283B"/>
    <w:rsid w:val="00902B1A"/>
    <w:rsid w:val="00902E5A"/>
    <w:rsid w:val="009030D2"/>
    <w:rsid w:val="009032CF"/>
    <w:rsid w:val="00903345"/>
    <w:rsid w:val="009037D4"/>
    <w:rsid w:val="009037F5"/>
    <w:rsid w:val="00903894"/>
    <w:rsid w:val="00903A30"/>
    <w:rsid w:val="00903DCB"/>
    <w:rsid w:val="009045BC"/>
    <w:rsid w:val="00904722"/>
    <w:rsid w:val="0090483E"/>
    <w:rsid w:val="00904997"/>
    <w:rsid w:val="00904A76"/>
    <w:rsid w:val="00904DAA"/>
    <w:rsid w:val="00904EC6"/>
    <w:rsid w:val="00904FB3"/>
    <w:rsid w:val="009050AC"/>
    <w:rsid w:val="009055EC"/>
    <w:rsid w:val="00905769"/>
    <w:rsid w:val="009058EF"/>
    <w:rsid w:val="009061A1"/>
    <w:rsid w:val="009061C6"/>
    <w:rsid w:val="00906360"/>
    <w:rsid w:val="009066D1"/>
    <w:rsid w:val="00906915"/>
    <w:rsid w:val="009069B2"/>
    <w:rsid w:val="00906BE6"/>
    <w:rsid w:val="00906DC7"/>
    <w:rsid w:val="00906E26"/>
    <w:rsid w:val="00906F8B"/>
    <w:rsid w:val="00907044"/>
    <w:rsid w:val="0090713A"/>
    <w:rsid w:val="009073EE"/>
    <w:rsid w:val="00907410"/>
    <w:rsid w:val="00907505"/>
    <w:rsid w:val="0090762A"/>
    <w:rsid w:val="00907650"/>
    <w:rsid w:val="009076CB"/>
    <w:rsid w:val="009078BB"/>
    <w:rsid w:val="00907C0A"/>
    <w:rsid w:val="00907CF4"/>
    <w:rsid w:val="00907E2F"/>
    <w:rsid w:val="00907E30"/>
    <w:rsid w:val="0091019D"/>
    <w:rsid w:val="0091036C"/>
    <w:rsid w:val="00910374"/>
    <w:rsid w:val="00910EED"/>
    <w:rsid w:val="0091101D"/>
    <w:rsid w:val="009110D4"/>
    <w:rsid w:val="009114BF"/>
    <w:rsid w:val="009115F6"/>
    <w:rsid w:val="009116ED"/>
    <w:rsid w:val="009122C3"/>
    <w:rsid w:val="00912328"/>
    <w:rsid w:val="009125C0"/>
    <w:rsid w:val="0091269A"/>
    <w:rsid w:val="0091278A"/>
    <w:rsid w:val="00912991"/>
    <w:rsid w:val="00912A22"/>
    <w:rsid w:val="00912A85"/>
    <w:rsid w:val="00912AFB"/>
    <w:rsid w:val="00912B11"/>
    <w:rsid w:val="00912BB5"/>
    <w:rsid w:val="00912BB8"/>
    <w:rsid w:val="00912C13"/>
    <w:rsid w:val="009130DB"/>
    <w:rsid w:val="00913288"/>
    <w:rsid w:val="00913667"/>
    <w:rsid w:val="0091391B"/>
    <w:rsid w:val="00913D02"/>
    <w:rsid w:val="00913D86"/>
    <w:rsid w:val="00913E66"/>
    <w:rsid w:val="00913FA5"/>
    <w:rsid w:val="009140F8"/>
    <w:rsid w:val="00914475"/>
    <w:rsid w:val="009144E8"/>
    <w:rsid w:val="00914514"/>
    <w:rsid w:val="009145A7"/>
    <w:rsid w:val="009145C2"/>
    <w:rsid w:val="0091476F"/>
    <w:rsid w:val="0091479D"/>
    <w:rsid w:val="00914905"/>
    <w:rsid w:val="00914C38"/>
    <w:rsid w:val="00914E14"/>
    <w:rsid w:val="00914F40"/>
    <w:rsid w:val="009150DD"/>
    <w:rsid w:val="009150F8"/>
    <w:rsid w:val="009152AD"/>
    <w:rsid w:val="009153CE"/>
    <w:rsid w:val="009154D3"/>
    <w:rsid w:val="009154FA"/>
    <w:rsid w:val="00915642"/>
    <w:rsid w:val="0091579E"/>
    <w:rsid w:val="0091596A"/>
    <w:rsid w:val="00915A79"/>
    <w:rsid w:val="00915BB0"/>
    <w:rsid w:val="00915DC0"/>
    <w:rsid w:val="00916180"/>
    <w:rsid w:val="00916702"/>
    <w:rsid w:val="00916899"/>
    <w:rsid w:val="00916965"/>
    <w:rsid w:val="00916E71"/>
    <w:rsid w:val="009171C5"/>
    <w:rsid w:val="00917233"/>
    <w:rsid w:val="0091725A"/>
    <w:rsid w:val="00917585"/>
    <w:rsid w:val="009175D5"/>
    <w:rsid w:val="009179E2"/>
    <w:rsid w:val="00917CEF"/>
    <w:rsid w:val="00917F9B"/>
    <w:rsid w:val="0092005F"/>
    <w:rsid w:val="009202FC"/>
    <w:rsid w:val="0092032A"/>
    <w:rsid w:val="009204D2"/>
    <w:rsid w:val="00920937"/>
    <w:rsid w:val="00920988"/>
    <w:rsid w:val="00920A27"/>
    <w:rsid w:val="00920B17"/>
    <w:rsid w:val="00920B51"/>
    <w:rsid w:val="00921040"/>
    <w:rsid w:val="00921531"/>
    <w:rsid w:val="0092160D"/>
    <w:rsid w:val="00921625"/>
    <w:rsid w:val="00921822"/>
    <w:rsid w:val="00921BF8"/>
    <w:rsid w:val="00921CC3"/>
    <w:rsid w:val="00921D56"/>
    <w:rsid w:val="009221E1"/>
    <w:rsid w:val="0092227D"/>
    <w:rsid w:val="0092235D"/>
    <w:rsid w:val="00922366"/>
    <w:rsid w:val="0092253F"/>
    <w:rsid w:val="0092264E"/>
    <w:rsid w:val="00922771"/>
    <w:rsid w:val="00922D95"/>
    <w:rsid w:val="00923045"/>
    <w:rsid w:val="0092307D"/>
    <w:rsid w:val="0092309E"/>
    <w:rsid w:val="0092326B"/>
    <w:rsid w:val="009234DC"/>
    <w:rsid w:val="009235FD"/>
    <w:rsid w:val="0092366C"/>
    <w:rsid w:val="009237A2"/>
    <w:rsid w:val="009239BE"/>
    <w:rsid w:val="009241BD"/>
    <w:rsid w:val="00924216"/>
    <w:rsid w:val="00924341"/>
    <w:rsid w:val="0092443A"/>
    <w:rsid w:val="0092452A"/>
    <w:rsid w:val="009245CC"/>
    <w:rsid w:val="00924621"/>
    <w:rsid w:val="009246FD"/>
    <w:rsid w:val="009248FD"/>
    <w:rsid w:val="00924908"/>
    <w:rsid w:val="00925271"/>
    <w:rsid w:val="0092549E"/>
    <w:rsid w:val="009257EC"/>
    <w:rsid w:val="009258A5"/>
    <w:rsid w:val="00925CDC"/>
    <w:rsid w:val="00925D61"/>
    <w:rsid w:val="00925E42"/>
    <w:rsid w:val="00925F17"/>
    <w:rsid w:val="009261B9"/>
    <w:rsid w:val="00926280"/>
    <w:rsid w:val="00926A4A"/>
    <w:rsid w:val="00926AE9"/>
    <w:rsid w:val="0092701A"/>
    <w:rsid w:val="009271ED"/>
    <w:rsid w:val="00927227"/>
    <w:rsid w:val="00927262"/>
    <w:rsid w:val="009274D9"/>
    <w:rsid w:val="00927589"/>
    <w:rsid w:val="0092774C"/>
    <w:rsid w:val="009277AD"/>
    <w:rsid w:val="00927812"/>
    <w:rsid w:val="009278C7"/>
    <w:rsid w:val="00927A3B"/>
    <w:rsid w:val="00927D42"/>
    <w:rsid w:val="00927D49"/>
    <w:rsid w:val="00927EE6"/>
    <w:rsid w:val="0093012A"/>
    <w:rsid w:val="009305E0"/>
    <w:rsid w:val="00930E89"/>
    <w:rsid w:val="00930EB6"/>
    <w:rsid w:val="00930F93"/>
    <w:rsid w:val="00930FE3"/>
    <w:rsid w:val="009310FD"/>
    <w:rsid w:val="009311CB"/>
    <w:rsid w:val="0093128F"/>
    <w:rsid w:val="009315D0"/>
    <w:rsid w:val="009316A2"/>
    <w:rsid w:val="0093171C"/>
    <w:rsid w:val="00931A25"/>
    <w:rsid w:val="00931CDE"/>
    <w:rsid w:val="00931FE1"/>
    <w:rsid w:val="00932039"/>
    <w:rsid w:val="0093224A"/>
    <w:rsid w:val="009324B7"/>
    <w:rsid w:val="00932563"/>
    <w:rsid w:val="009329D0"/>
    <w:rsid w:val="00932BC8"/>
    <w:rsid w:val="00932DA6"/>
    <w:rsid w:val="009330C9"/>
    <w:rsid w:val="009331F1"/>
    <w:rsid w:val="00933222"/>
    <w:rsid w:val="009333EA"/>
    <w:rsid w:val="009334AD"/>
    <w:rsid w:val="009334F3"/>
    <w:rsid w:val="00933565"/>
    <w:rsid w:val="009336AD"/>
    <w:rsid w:val="00933929"/>
    <w:rsid w:val="00933A06"/>
    <w:rsid w:val="00933B1A"/>
    <w:rsid w:val="00933E22"/>
    <w:rsid w:val="00933FE4"/>
    <w:rsid w:val="00934456"/>
    <w:rsid w:val="0093463C"/>
    <w:rsid w:val="00934643"/>
    <w:rsid w:val="0093464E"/>
    <w:rsid w:val="009347EF"/>
    <w:rsid w:val="00934931"/>
    <w:rsid w:val="00934984"/>
    <w:rsid w:val="00934B81"/>
    <w:rsid w:val="00935407"/>
    <w:rsid w:val="009354D1"/>
    <w:rsid w:val="009355A8"/>
    <w:rsid w:val="009357A5"/>
    <w:rsid w:val="009357B3"/>
    <w:rsid w:val="009358F3"/>
    <w:rsid w:val="009359AA"/>
    <w:rsid w:val="00935A34"/>
    <w:rsid w:val="00935CEA"/>
    <w:rsid w:val="00935E4A"/>
    <w:rsid w:val="00935F7E"/>
    <w:rsid w:val="009362EF"/>
    <w:rsid w:val="009363BB"/>
    <w:rsid w:val="009365D5"/>
    <w:rsid w:val="009365E5"/>
    <w:rsid w:val="00936C78"/>
    <w:rsid w:val="00936EE4"/>
    <w:rsid w:val="009372BA"/>
    <w:rsid w:val="00937382"/>
    <w:rsid w:val="0093776C"/>
    <w:rsid w:val="0093780F"/>
    <w:rsid w:val="00937BC3"/>
    <w:rsid w:val="00937F5C"/>
    <w:rsid w:val="0094009D"/>
    <w:rsid w:val="009400A7"/>
    <w:rsid w:val="0094010E"/>
    <w:rsid w:val="009407F5"/>
    <w:rsid w:val="00940885"/>
    <w:rsid w:val="00940CC3"/>
    <w:rsid w:val="00940EB6"/>
    <w:rsid w:val="00940F18"/>
    <w:rsid w:val="00941174"/>
    <w:rsid w:val="009412E9"/>
    <w:rsid w:val="00941515"/>
    <w:rsid w:val="009415D9"/>
    <w:rsid w:val="0094176F"/>
    <w:rsid w:val="00941AFD"/>
    <w:rsid w:val="00941EC6"/>
    <w:rsid w:val="00941EED"/>
    <w:rsid w:val="00941FB4"/>
    <w:rsid w:val="00942033"/>
    <w:rsid w:val="00942332"/>
    <w:rsid w:val="00942518"/>
    <w:rsid w:val="00942540"/>
    <w:rsid w:val="009425A7"/>
    <w:rsid w:val="009425C7"/>
    <w:rsid w:val="009425C8"/>
    <w:rsid w:val="00942657"/>
    <w:rsid w:val="009426C4"/>
    <w:rsid w:val="0094286A"/>
    <w:rsid w:val="0094288C"/>
    <w:rsid w:val="00942BC4"/>
    <w:rsid w:val="00942C00"/>
    <w:rsid w:val="00942D83"/>
    <w:rsid w:val="00942DF9"/>
    <w:rsid w:val="00942F5C"/>
    <w:rsid w:val="0094303B"/>
    <w:rsid w:val="009432F9"/>
    <w:rsid w:val="009433ED"/>
    <w:rsid w:val="00943631"/>
    <w:rsid w:val="00943AC3"/>
    <w:rsid w:val="00943DF9"/>
    <w:rsid w:val="00943F0A"/>
    <w:rsid w:val="00944052"/>
    <w:rsid w:val="00944365"/>
    <w:rsid w:val="00944784"/>
    <w:rsid w:val="009448A3"/>
    <w:rsid w:val="00944D3E"/>
    <w:rsid w:val="00944F0D"/>
    <w:rsid w:val="00945320"/>
    <w:rsid w:val="00945345"/>
    <w:rsid w:val="0094542A"/>
    <w:rsid w:val="009454E8"/>
    <w:rsid w:val="00945543"/>
    <w:rsid w:val="00945AAF"/>
    <w:rsid w:val="00945AF5"/>
    <w:rsid w:val="00945CCC"/>
    <w:rsid w:val="00945E44"/>
    <w:rsid w:val="0094605C"/>
    <w:rsid w:val="009466AB"/>
    <w:rsid w:val="0094685A"/>
    <w:rsid w:val="00946AFA"/>
    <w:rsid w:val="00946E60"/>
    <w:rsid w:val="0094703C"/>
    <w:rsid w:val="0094724C"/>
    <w:rsid w:val="0094726F"/>
    <w:rsid w:val="0094737B"/>
    <w:rsid w:val="0094739E"/>
    <w:rsid w:val="009475F4"/>
    <w:rsid w:val="009478A4"/>
    <w:rsid w:val="00947B71"/>
    <w:rsid w:val="00947BD2"/>
    <w:rsid w:val="00947D13"/>
    <w:rsid w:val="00947DC7"/>
    <w:rsid w:val="00950257"/>
    <w:rsid w:val="009504BE"/>
    <w:rsid w:val="0095077D"/>
    <w:rsid w:val="00950D00"/>
    <w:rsid w:val="0095105A"/>
    <w:rsid w:val="009511A8"/>
    <w:rsid w:val="0095152A"/>
    <w:rsid w:val="0095169B"/>
    <w:rsid w:val="009518FE"/>
    <w:rsid w:val="009519F3"/>
    <w:rsid w:val="00951C22"/>
    <w:rsid w:val="009520A7"/>
    <w:rsid w:val="00952700"/>
    <w:rsid w:val="009527EE"/>
    <w:rsid w:val="00952946"/>
    <w:rsid w:val="0095299D"/>
    <w:rsid w:val="00952A82"/>
    <w:rsid w:val="00952A96"/>
    <w:rsid w:val="00952CAA"/>
    <w:rsid w:val="00952E76"/>
    <w:rsid w:val="00952F43"/>
    <w:rsid w:val="009530E1"/>
    <w:rsid w:val="00953826"/>
    <w:rsid w:val="00953838"/>
    <w:rsid w:val="009539C9"/>
    <w:rsid w:val="00953A7A"/>
    <w:rsid w:val="00953B2E"/>
    <w:rsid w:val="00953CC2"/>
    <w:rsid w:val="00953D4F"/>
    <w:rsid w:val="00953E72"/>
    <w:rsid w:val="00953EDA"/>
    <w:rsid w:val="009541E2"/>
    <w:rsid w:val="00954261"/>
    <w:rsid w:val="009542B0"/>
    <w:rsid w:val="00954343"/>
    <w:rsid w:val="0095475C"/>
    <w:rsid w:val="00954906"/>
    <w:rsid w:val="00954A48"/>
    <w:rsid w:val="00954C74"/>
    <w:rsid w:val="00954CC2"/>
    <w:rsid w:val="00954CF2"/>
    <w:rsid w:val="00954EF0"/>
    <w:rsid w:val="00954F10"/>
    <w:rsid w:val="00954F96"/>
    <w:rsid w:val="009550F4"/>
    <w:rsid w:val="00955477"/>
    <w:rsid w:val="009554AE"/>
    <w:rsid w:val="009554BC"/>
    <w:rsid w:val="009559B6"/>
    <w:rsid w:val="00955A7B"/>
    <w:rsid w:val="00956090"/>
    <w:rsid w:val="00956147"/>
    <w:rsid w:val="009566D0"/>
    <w:rsid w:val="00956765"/>
    <w:rsid w:val="00956987"/>
    <w:rsid w:val="00956A06"/>
    <w:rsid w:val="00956A5D"/>
    <w:rsid w:val="00956E3D"/>
    <w:rsid w:val="00956EE1"/>
    <w:rsid w:val="00956F40"/>
    <w:rsid w:val="00956FCE"/>
    <w:rsid w:val="009571A6"/>
    <w:rsid w:val="0095725E"/>
    <w:rsid w:val="00957425"/>
    <w:rsid w:val="009574F4"/>
    <w:rsid w:val="0095750D"/>
    <w:rsid w:val="009578B7"/>
    <w:rsid w:val="009578EB"/>
    <w:rsid w:val="00957AE6"/>
    <w:rsid w:val="00957B4B"/>
    <w:rsid w:val="00957BD4"/>
    <w:rsid w:val="00957C72"/>
    <w:rsid w:val="00957E75"/>
    <w:rsid w:val="0095BEA6"/>
    <w:rsid w:val="00960160"/>
    <w:rsid w:val="009601DD"/>
    <w:rsid w:val="0096022D"/>
    <w:rsid w:val="00960266"/>
    <w:rsid w:val="00960504"/>
    <w:rsid w:val="00960601"/>
    <w:rsid w:val="00960884"/>
    <w:rsid w:val="0096098D"/>
    <w:rsid w:val="00960A4B"/>
    <w:rsid w:val="00960BEA"/>
    <w:rsid w:val="00960CEA"/>
    <w:rsid w:val="0096101D"/>
    <w:rsid w:val="0096117E"/>
    <w:rsid w:val="00961417"/>
    <w:rsid w:val="0096145B"/>
    <w:rsid w:val="009618AF"/>
    <w:rsid w:val="00961C49"/>
    <w:rsid w:val="00961E7D"/>
    <w:rsid w:val="0096204A"/>
    <w:rsid w:val="00962162"/>
    <w:rsid w:val="00962165"/>
    <w:rsid w:val="00962308"/>
    <w:rsid w:val="00962368"/>
    <w:rsid w:val="009627C9"/>
    <w:rsid w:val="0096283C"/>
    <w:rsid w:val="009628DA"/>
    <w:rsid w:val="00962DF3"/>
    <w:rsid w:val="009631CD"/>
    <w:rsid w:val="009631F3"/>
    <w:rsid w:val="009632D5"/>
    <w:rsid w:val="00963312"/>
    <w:rsid w:val="0096360F"/>
    <w:rsid w:val="00963628"/>
    <w:rsid w:val="00963ADA"/>
    <w:rsid w:val="00963BF3"/>
    <w:rsid w:val="00963C8E"/>
    <w:rsid w:val="00963D12"/>
    <w:rsid w:val="00963E28"/>
    <w:rsid w:val="00963E76"/>
    <w:rsid w:val="00964015"/>
    <w:rsid w:val="0096416E"/>
    <w:rsid w:val="00964373"/>
    <w:rsid w:val="0096437B"/>
    <w:rsid w:val="00964492"/>
    <w:rsid w:val="009644DE"/>
    <w:rsid w:val="0096470E"/>
    <w:rsid w:val="009648AE"/>
    <w:rsid w:val="00964AF6"/>
    <w:rsid w:val="00964DBF"/>
    <w:rsid w:val="00964ECD"/>
    <w:rsid w:val="00964EE3"/>
    <w:rsid w:val="00965438"/>
    <w:rsid w:val="00965774"/>
    <w:rsid w:val="0096580F"/>
    <w:rsid w:val="009658CF"/>
    <w:rsid w:val="009658D6"/>
    <w:rsid w:val="0096630C"/>
    <w:rsid w:val="009663EF"/>
    <w:rsid w:val="009665C5"/>
    <w:rsid w:val="00966940"/>
    <w:rsid w:val="00966B6B"/>
    <w:rsid w:val="00966C0B"/>
    <w:rsid w:val="00966CBF"/>
    <w:rsid w:val="00966E87"/>
    <w:rsid w:val="00967210"/>
    <w:rsid w:val="0096728A"/>
    <w:rsid w:val="00967500"/>
    <w:rsid w:val="0096770C"/>
    <w:rsid w:val="00967831"/>
    <w:rsid w:val="00967BEC"/>
    <w:rsid w:val="00967BF2"/>
    <w:rsid w:val="00967CE0"/>
    <w:rsid w:val="00967EB6"/>
    <w:rsid w:val="0097040C"/>
    <w:rsid w:val="0097056F"/>
    <w:rsid w:val="00970830"/>
    <w:rsid w:val="009709A0"/>
    <w:rsid w:val="00970DF9"/>
    <w:rsid w:val="00970F95"/>
    <w:rsid w:val="00971011"/>
    <w:rsid w:val="00971608"/>
    <w:rsid w:val="00971875"/>
    <w:rsid w:val="0097199C"/>
    <w:rsid w:val="00971DC6"/>
    <w:rsid w:val="00971E41"/>
    <w:rsid w:val="009721DD"/>
    <w:rsid w:val="009723FD"/>
    <w:rsid w:val="009725E5"/>
    <w:rsid w:val="0097299A"/>
    <w:rsid w:val="00972B29"/>
    <w:rsid w:val="00972D8D"/>
    <w:rsid w:val="00972EF0"/>
    <w:rsid w:val="00972F54"/>
    <w:rsid w:val="00973266"/>
    <w:rsid w:val="0097348E"/>
    <w:rsid w:val="009734C8"/>
    <w:rsid w:val="0097366E"/>
    <w:rsid w:val="00973762"/>
    <w:rsid w:val="00973873"/>
    <w:rsid w:val="00973DB3"/>
    <w:rsid w:val="00973E13"/>
    <w:rsid w:val="00973EDC"/>
    <w:rsid w:val="00973F11"/>
    <w:rsid w:val="00973FED"/>
    <w:rsid w:val="009742DF"/>
    <w:rsid w:val="009745A2"/>
    <w:rsid w:val="00974777"/>
    <w:rsid w:val="009747D0"/>
    <w:rsid w:val="00974FEA"/>
    <w:rsid w:val="009758DF"/>
    <w:rsid w:val="009759DA"/>
    <w:rsid w:val="00975D35"/>
    <w:rsid w:val="00975FEF"/>
    <w:rsid w:val="00976055"/>
    <w:rsid w:val="0097627D"/>
    <w:rsid w:val="00976641"/>
    <w:rsid w:val="009766A8"/>
    <w:rsid w:val="009767B6"/>
    <w:rsid w:val="0097693E"/>
    <w:rsid w:val="00976A00"/>
    <w:rsid w:val="00976AFC"/>
    <w:rsid w:val="00976C8D"/>
    <w:rsid w:val="00976F0F"/>
    <w:rsid w:val="0097712D"/>
    <w:rsid w:val="00977736"/>
    <w:rsid w:val="009778D5"/>
    <w:rsid w:val="009779FC"/>
    <w:rsid w:val="00977B9F"/>
    <w:rsid w:val="00977C5F"/>
    <w:rsid w:val="0098017B"/>
    <w:rsid w:val="00980216"/>
    <w:rsid w:val="0098042C"/>
    <w:rsid w:val="00980552"/>
    <w:rsid w:val="0098056D"/>
    <w:rsid w:val="0098060B"/>
    <w:rsid w:val="0098071F"/>
    <w:rsid w:val="009809D3"/>
    <w:rsid w:val="00980A06"/>
    <w:rsid w:val="00980AF7"/>
    <w:rsid w:val="00980C3B"/>
    <w:rsid w:val="00980F95"/>
    <w:rsid w:val="00981189"/>
    <w:rsid w:val="009811F5"/>
    <w:rsid w:val="0098125B"/>
    <w:rsid w:val="0098153E"/>
    <w:rsid w:val="00981597"/>
    <w:rsid w:val="0098163E"/>
    <w:rsid w:val="00981BD1"/>
    <w:rsid w:val="00981DDC"/>
    <w:rsid w:val="009821AC"/>
    <w:rsid w:val="0098233B"/>
    <w:rsid w:val="0098235D"/>
    <w:rsid w:val="00982C20"/>
    <w:rsid w:val="00982DF0"/>
    <w:rsid w:val="00982F72"/>
    <w:rsid w:val="00982FA9"/>
    <w:rsid w:val="00983041"/>
    <w:rsid w:val="0098308C"/>
    <w:rsid w:val="00983440"/>
    <w:rsid w:val="0098358A"/>
    <w:rsid w:val="0098376B"/>
    <w:rsid w:val="00983880"/>
    <w:rsid w:val="009839D2"/>
    <w:rsid w:val="009839FF"/>
    <w:rsid w:val="00983A46"/>
    <w:rsid w:val="00983AEC"/>
    <w:rsid w:val="00983EEF"/>
    <w:rsid w:val="00983FD1"/>
    <w:rsid w:val="009842CB"/>
    <w:rsid w:val="0098443C"/>
    <w:rsid w:val="009844E2"/>
    <w:rsid w:val="009846D7"/>
    <w:rsid w:val="009846F9"/>
    <w:rsid w:val="00984A1D"/>
    <w:rsid w:val="00984A69"/>
    <w:rsid w:val="00984B6B"/>
    <w:rsid w:val="00985102"/>
    <w:rsid w:val="009854C1"/>
    <w:rsid w:val="009854CA"/>
    <w:rsid w:val="009854EA"/>
    <w:rsid w:val="009856B2"/>
    <w:rsid w:val="00985911"/>
    <w:rsid w:val="00985A37"/>
    <w:rsid w:val="00985B25"/>
    <w:rsid w:val="00985BE9"/>
    <w:rsid w:val="00985D27"/>
    <w:rsid w:val="00985D72"/>
    <w:rsid w:val="00985DFA"/>
    <w:rsid w:val="00985E10"/>
    <w:rsid w:val="00986046"/>
    <w:rsid w:val="009862E5"/>
    <w:rsid w:val="00986767"/>
    <w:rsid w:val="0098695D"/>
    <w:rsid w:val="00986E48"/>
    <w:rsid w:val="00986FDB"/>
    <w:rsid w:val="00987157"/>
    <w:rsid w:val="009871DE"/>
    <w:rsid w:val="00987296"/>
    <w:rsid w:val="00987369"/>
    <w:rsid w:val="009876CF"/>
    <w:rsid w:val="009878A0"/>
    <w:rsid w:val="00987909"/>
    <w:rsid w:val="00987AB5"/>
    <w:rsid w:val="00987BD0"/>
    <w:rsid w:val="00987D71"/>
    <w:rsid w:val="00987E4B"/>
    <w:rsid w:val="00987F61"/>
    <w:rsid w:val="0099012C"/>
    <w:rsid w:val="00990211"/>
    <w:rsid w:val="009903F7"/>
    <w:rsid w:val="00990A72"/>
    <w:rsid w:val="00990B85"/>
    <w:rsid w:val="00990C51"/>
    <w:rsid w:val="00990CE3"/>
    <w:rsid w:val="00990E27"/>
    <w:rsid w:val="009915D1"/>
    <w:rsid w:val="009916D4"/>
    <w:rsid w:val="00991762"/>
    <w:rsid w:val="00991B25"/>
    <w:rsid w:val="0099203C"/>
    <w:rsid w:val="0099224C"/>
    <w:rsid w:val="0099229F"/>
    <w:rsid w:val="00992615"/>
    <w:rsid w:val="00992691"/>
    <w:rsid w:val="0099279C"/>
    <w:rsid w:val="00992947"/>
    <w:rsid w:val="00992AD5"/>
    <w:rsid w:val="00992C1E"/>
    <w:rsid w:val="00992DEF"/>
    <w:rsid w:val="00992EBC"/>
    <w:rsid w:val="0099309B"/>
    <w:rsid w:val="009931D3"/>
    <w:rsid w:val="00993480"/>
    <w:rsid w:val="0099352B"/>
    <w:rsid w:val="00993947"/>
    <w:rsid w:val="00993B97"/>
    <w:rsid w:val="00993BC7"/>
    <w:rsid w:val="00993C37"/>
    <w:rsid w:val="00994163"/>
    <w:rsid w:val="0099418E"/>
    <w:rsid w:val="009941E9"/>
    <w:rsid w:val="009942FD"/>
    <w:rsid w:val="00994390"/>
    <w:rsid w:val="009943B4"/>
    <w:rsid w:val="009945D2"/>
    <w:rsid w:val="009946AA"/>
    <w:rsid w:val="009946C6"/>
    <w:rsid w:val="009947CA"/>
    <w:rsid w:val="00994C66"/>
    <w:rsid w:val="00994C88"/>
    <w:rsid w:val="00994CEF"/>
    <w:rsid w:val="00994D15"/>
    <w:rsid w:val="00994D47"/>
    <w:rsid w:val="00995019"/>
    <w:rsid w:val="00995140"/>
    <w:rsid w:val="00995310"/>
    <w:rsid w:val="00995373"/>
    <w:rsid w:val="009953AB"/>
    <w:rsid w:val="009953AF"/>
    <w:rsid w:val="009958D6"/>
    <w:rsid w:val="00995C1F"/>
    <w:rsid w:val="0099605D"/>
    <w:rsid w:val="0099659E"/>
    <w:rsid w:val="00996736"/>
    <w:rsid w:val="00996787"/>
    <w:rsid w:val="00996800"/>
    <w:rsid w:val="00996851"/>
    <w:rsid w:val="00996A9D"/>
    <w:rsid w:val="00996C33"/>
    <w:rsid w:val="00996DF1"/>
    <w:rsid w:val="00996F14"/>
    <w:rsid w:val="009970B3"/>
    <w:rsid w:val="0099717C"/>
    <w:rsid w:val="00997442"/>
    <w:rsid w:val="0099745C"/>
    <w:rsid w:val="0099754A"/>
    <w:rsid w:val="0099755D"/>
    <w:rsid w:val="0099768C"/>
    <w:rsid w:val="0099783D"/>
    <w:rsid w:val="00997BAE"/>
    <w:rsid w:val="00997C42"/>
    <w:rsid w:val="00997D42"/>
    <w:rsid w:val="00997F00"/>
    <w:rsid w:val="009A01FA"/>
    <w:rsid w:val="009A05A4"/>
    <w:rsid w:val="009A071F"/>
    <w:rsid w:val="009A099D"/>
    <w:rsid w:val="009A0A57"/>
    <w:rsid w:val="009A0F10"/>
    <w:rsid w:val="009A123F"/>
    <w:rsid w:val="009A125B"/>
    <w:rsid w:val="009A1568"/>
    <w:rsid w:val="009A1624"/>
    <w:rsid w:val="009A1682"/>
    <w:rsid w:val="009A1858"/>
    <w:rsid w:val="009A19AF"/>
    <w:rsid w:val="009A1AF0"/>
    <w:rsid w:val="009A1BBF"/>
    <w:rsid w:val="009A2185"/>
    <w:rsid w:val="009A22E2"/>
    <w:rsid w:val="009A2500"/>
    <w:rsid w:val="009A264B"/>
    <w:rsid w:val="009A26E2"/>
    <w:rsid w:val="009A282B"/>
    <w:rsid w:val="009A28F9"/>
    <w:rsid w:val="009A2909"/>
    <w:rsid w:val="009A295B"/>
    <w:rsid w:val="009A2B0C"/>
    <w:rsid w:val="009A2CAA"/>
    <w:rsid w:val="009A2D7E"/>
    <w:rsid w:val="009A2E14"/>
    <w:rsid w:val="009A314A"/>
    <w:rsid w:val="009A31A3"/>
    <w:rsid w:val="009A31E1"/>
    <w:rsid w:val="009A3275"/>
    <w:rsid w:val="009A3309"/>
    <w:rsid w:val="009A3422"/>
    <w:rsid w:val="009A3476"/>
    <w:rsid w:val="009A3A67"/>
    <w:rsid w:val="009A3A99"/>
    <w:rsid w:val="009A3B8A"/>
    <w:rsid w:val="009A3D75"/>
    <w:rsid w:val="009A3DE2"/>
    <w:rsid w:val="009A40F8"/>
    <w:rsid w:val="009A447A"/>
    <w:rsid w:val="009A4562"/>
    <w:rsid w:val="009A4713"/>
    <w:rsid w:val="009A480E"/>
    <w:rsid w:val="009A4D04"/>
    <w:rsid w:val="009A4EA9"/>
    <w:rsid w:val="009A4F0E"/>
    <w:rsid w:val="009A4F74"/>
    <w:rsid w:val="009A4F7A"/>
    <w:rsid w:val="009A4F7F"/>
    <w:rsid w:val="009A53D4"/>
    <w:rsid w:val="009A5436"/>
    <w:rsid w:val="009A54A7"/>
    <w:rsid w:val="009A5507"/>
    <w:rsid w:val="009A56FB"/>
    <w:rsid w:val="009A58C2"/>
    <w:rsid w:val="009A5A43"/>
    <w:rsid w:val="009A5A5A"/>
    <w:rsid w:val="009A5A5E"/>
    <w:rsid w:val="009A5A8F"/>
    <w:rsid w:val="009A5EAD"/>
    <w:rsid w:val="009A5FC9"/>
    <w:rsid w:val="009A5FEA"/>
    <w:rsid w:val="009A648D"/>
    <w:rsid w:val="009A64B5"/>
    <w:rsid w:val="009A64EA"/>
    <w:rsid w:val="009A6712"/>
    <w:rsid w:val="009A6915"/>
    <w:rsid w:val="009A693B"/>
    <w:rsid w:val="009A6B7F"/>
    <w:rsid w:val="009A6C15"/>
    <w:rsid w:val="009A6CAB"/>
    <w:rsid w:val="009A6EEA"/>
    <w:rsid w:val="009A70F9"/>
    <w:rsid w:val="009A73F7"/>
    <w:rsid w:val="009A7449"/>
    <w:rsid w:val="009A7488"/>
    <w:rsid w:val="009A774A"/>
    <w:rsid w:val="009A7AF4"/>
    <w:rsid w:val="009A7B9E"/>
    <w:rsid w:val="009A7D20"/>
    <w:rsid w:val="009A7D3B"/>
    <w:rsid w:val="009A7FDA"/>
    <w:rsid w:val="009B0170"/>
    <w:rsid w:val="009B02C0"/>
    <w:rsid w:val="009B09AA"/>
    <w:rsid w:val="009B0B76"/>
    <w:rsid w:val="009B0DF5"/>
    <w:rsid w:val="009B0E56"/>
    <w:rsid w:val="009B10E6"/>
    <w:rsid w:val="009B137F"/>
    <w:rsid w:val="009B1397"/>
    <w:rsid w:val="009B179B"/>
    <w:rsid w:val="009B18EE"/>
    <w:rsid w:val="009B1A98"/>
    <w:rsid w:val="009B1F90"/>
    <w:rsid w:val="009B20A3"/>
    <w:rsid w:val="009B2362"/>
    <w:rsid w:val="009B256D"/>
    <w:rsid w:val="009B2850"/>
    <w:rsid w:val="009B29DF"/>
    <w:rsid w:val="009B2D27"/>
    <w:rsid w:val="009B2D36"/>
    <w:rsid w:val="009B3191"/>
    <w:rsid w:val="009B3246"/>
    <w:rsid w:val="009B3335"/>
    <w:rsid w:val="009B3353"/>
    <w:rsid w:val="009B342F"/>
    <w:rsid w:val="009B3672"/>
    <w:rsid w:val="009B371A"/>
    <w:rsid w:val="009B3762"/>
    <w:rsid w:val="009B3849"/>
    <w:rsid w:val="009B38E0"/>
    <w:rsid w:val="009B3977"/>
    <w:rsid w:val="009B3FC8"/>
    <w:rsid w:val="009B4114"/>
    <w:rsid w:val="009B43DC"/>
    <w:rsid w:val="009B4460"/>
    <w:rsid w:val="009B45C6"/>
    <w:rsid w:val="009B45DB"/>
    <w:rsid w:val="009B4791"/>
    <w:rsid w:val="009B47DE"/>
    <w:rsid w:val="009B49F1"/>
    <w:rsid w:val="009B4A43"/>
    <w:rsid w:val="009B4ADC"/>
    <w:rsid w:val="009B5767"/>
    <w:rsid w:val="009B580C"/>
    <w:rsid w:val="009B5934"/>
    <w:rsid w:val="009B59B8"/>
    <w:rsid w:val="009B5DF3"/>
    <w:rsid w:val="009B5F69"/>
    <w:rsid w:val="009B5FC0"/>
    <w:rsid w:val="009B6447"/>
    <w:rsid w:val="009B6517"/>
    <w:rsid w:val="009B6690"/>
    <w:rsid w:val="009B66A7"/>
    <w:rsid w:val="009B6815"/>
    <w:rsid w:val="009B6DDB"/>
    <w:rsid w:val="009B6E54"/>
    <w:rsid w:val="009B6F9C"/>
    <w:rsid w:val="009B70CC"/>
    <w:rsid w:val="009B7128"/>
    <w:rsid w:val="009B7170"/>
    <w:rsid w:val="009B71F9"/>
    <w:rsid w:val="009B73A3"/>
    <w:rsid w:val="009B74E2"/>
    <w:rsid w:val="009B77F3"/>
    <w:rsid w:val="009B780E"/>
    <w:rsid w:val="009B7ADC"/>
    <w:rsid w:val="009B7ADE"/>
    <w:rsid w:val="009B7CE6"/>
    <w:rsid w:val="009B7EE0"/>
    <w:rsid w:val="009B7F43"/>
    <w:rsid w:val="009C0526"/>
    <w:rsid w:val="009C0894"/>
    <w:rsid w:val="009C09C2"/>
    <w:rsid w:val="009C0A62"/>
    <w:rsid w:val="009C0AA8"/>
    <w:rsid w:val="009C0B28"/>
    <w:rsid w:val="009C0BF7"/>
    <w:rsid w:val="009C0F68"/>
    <w:rsid w:val="009C0F86"/>
    <w:rsid w:val="009C12A6"/>
    <w:rsid w:val="009C1445"/>
    <w:rsid w:val="009C16E2"/>
    <w:rsid w:val="009C1856"/>
    <w:rsid w:val="009C1870"/>
    <w:rsid w:val="009C1933"/>
    <w:rsid w:val="009C1A30"/>
    <w:rsid w:val="009C1EE0"/>
    <w:rsid w:val="009C2363"/>
    <w:rsid w:val="009C2389"/>
    <w:rsid w:val="009C2401"/>
    <w:rsid w:val="009C255C"/>
    <w:rsid w:val="009C256E"/>
    <w:rsid w:val="009C2673"/>
    <w:rsid w:val="009C2719"/>
    <w:rsid w:val="009C27B8"/>
    <w:rsid w:val="009C27F4"/>
    <w:rsid w:val="009C28B4"/>
    <w:rsid w:val="009C2D5F"/>
    <w:rsid w:val="009C2E85"/>
    <w:rsid w:val="009C3115"/>
    <w:rsid w:val="009C3288"/>
    <w:rsid w:val="009C353C"/>
    <w:rsid w:val="009C382E"/>
    <w:rsid w:val="009C3B58"/>
    <w:rsid w:val="009C3DD3"/>
    <w:rsid w:val="009C3DD7"/>
    <w:rsid w:val="009C3E0A"/>
    <w:rsid w:val="009C432F"/>
    <w:rsid w:val="009C4587"/>
    <w:rsid w:val="009C47B7"/>
    <w:rsid w:val="009C47B9"/>
    <w:rsid w:val="009C498C"/>
    <w:rsid w:val="009C4AE3"/>
    <w:rsid w:val="009C534C"/>
    <w:rsid w:val="009C53D0"/>
    <w:rsid w:val="009C55D2"/>
    <w:rsid w:val="009C59B4"/>
    <w:rsid w:val="009C5ADF"/>
    <w:rsid w:val="009C5BC9"/>
    <w:rsid w:val="009C5CE5"/>
    <w:rsid w:val="009C5E68"/>
    <w:rsid w:val="009C6054"/>
    <w:rsid w:val="009C612E"/>
    <w:rsid w:val="009C637B"/>
    <w:rsid w:val="009C65BC"/>
    <w:rsid w:val="009C6717"/>
    <w:rsid w:val="009C6795"/>
    <w:rsid w:val="009C6817"/>
    <w:rsid w:val="009C6A0C"/>
    <w:rsid w:val="009C6A6F"/>
    <w:rsid w:val="009C6DD9"/>
    <w:rsid w:val="009C7020"/>
    <w:rsid w:val="009C720E"/>
    <w:rsid w:val="009C7314"/>
    <w:rsid w:val="009C7B3F"/>
    <w:rsid w:val="009C7C72"/>
    <w:rsid w:val="009C7E3C"/>
    <w:rsid w:val="009C7F9A"/>
    <w:rsid w:val="009D002A"/>
    <w:rsid w:val="009D0059"/>
    <w:rsid w:val="009D02D9"/>
    <w:rsid w:val="009D04B7"/>
    <w:rsid w:val="009D0688"/>
    <w:rsid w:val="009D09C9"/>
    <w:rsid w:val="009D0A70"/>
    <w:rsid w:val="009D0C58"/>
    <w:rsid w:val="009D0E0A"/>
    <w:rsid w:val="009D0E58"/>
    <w:rsid w:val="009D0ECD"/>
    <w:rsid w:val="009D11CC"/>
    <w:rsid w:val="009D153F"/>
    <w:rsid w:val="009D1628"/>
    <w:rsid w:val="009D163E"/>
    <w:rsid w:val="009D171D"/>
    <w:rsid w:val="009D1C4B"/>
    <w:rsid w:val="009D1CEF"/>
    <w:rsid w:val="009D1DB0"/>
    <w:rsid w:val="009D1ED2"/>
    <w:rsid w:val="009D2061"/>
    <w:rsid w:val="009D2087"/>
    <w:rsid w:val="009D2359"/>
    <w:rsid w:val="009D265A"/>
    <w:rsid w:val="009D28CB"/>
    <w:rsid w:val="009D2AE3"/>
    <w:rsid w:val="009D2C50"/>
    <w:rsid w:val="009D2F48"/>
    <w:rsid w:val="009D31A5"/>
    <w:rsid w:val="009D33A9"/>
    <w:rsid w:val="009D3568"/>
    <w:rsid w:val="009D36F7"/>
    <w:rsid w:val="009D3B7D"/>
    <w:rsid w:val="009D3BCD"/>
    <w:rsid w:val="009D413B"/>
    <w:rsid w:val="009D45D1"/>
    <w:rsid w:val="009D4765"/>
    <w:rsid w:val="009D4924"/>
    <w:rsid w:val="009D4BE4"/>
    <w:rsid w:val="009D4CA9"/>
    <w:rsid w:val="009D4E3A"/>
    <w:rsid w:val="009D5060"/>
    <w:rsid w:val="009D51F4"/>
    <w:rsid w:val="009D5243"/>
    <w:rsid w:val="009D5257"/>
    <w:rsid w:val="009D5365"/>
    <w:rsid w:val="009D551F"/>
    <w:rsid w:val="009D5A32"/>
    <w:rsid w:val="009D5AA9"/>
    <w:rsid w:val="009D5AAB"/>
    <w:rsid w:val="009D5B05"/>
    <w:rsid w:val="009D5D8C"/>
    <w:rsid w:val="009D5E2B"/>
    <w:rsid w:val="009D5F1E"/>
    <w:rsid w:val="009D6232"/>
    <w:rsid w:val="009D62DC"/>
    <w:rsid w:val="009D63C9"/>
    <w:rsid w:val="009D6D05"/>
    <w:rsid w:val="009D6EAB"/>
    <w:rsid w:val="009D71B4"/>
    <w:rsid w:val="009D73C1"/>
    <w:rsid w:val="009D73F7"/>
    <w:rsid w:val="009D76E6"/>
    <w:rsid w:val="009D77CF"/>
    <w:rsid w:val="009D7834"/>
    <w:rsid w:val="009D7A29"/>
    <w:rsid w:val="009D7DA9"/>
    <w:rsid w:val="009D7E9B"/>
    <w:rsid w:val="009D7FC0"/>
    <w:rsid w:val="009E0473"/>
    <w:rsid w:val="009E05B9"/>
    <w:rsid w:val="009E082F"/>
    <w:rsid w:val="009E092A"/>
    <w:rsid w:val="009E092C"/>
    <w:rsid w:val="009E094B"/>
    <w:rsid w:val="009E0AB0"/>
    <w:rsid w:val="009E0EDC"/>
    <w:rsid w:val="009E0F18"/>
    <w:rsid w:val="009E10B5"/>
    <w:rsid w:val="009E10EC"/>
    <w:rsid w:val="009E10FE"/>
    <w:rsid w:val="009E115F"/>
    <w:rsid w:val="009E14A4"/>
    <w:rsid w:val="009E1958"/>
    <w:rsid w:val="009E1AA9"/>
    <w:rsid w:val="009E1C37"/>
    <w:rsid w:val="009E1CF6"/>
    <w:rsid w:val="009E1EE1"/>
    <w:rsid w:val="009E1F46"/>
    <w:rsid w:val="009E20C7"/>
    <w:rsid w:val="009E2573"/>
    <w:rsid w:val="009E2688"/>
    <w:rsid w:val="009E296F"/>
    <w:rsid w:val="009E2A96"/>
    <w:rsid w:val="009E2C6D"/>
    <w:rsid w:val="009E2C7E"/>
    <w:rsid w:val="009E2EC1"/>
    <w:rsid w:val="009E2F27"/>
    <w:rsid w:val="009E37F9"/>
    <w:rsid w:val="009E3848"/>
    <w:rsid w:val="009E3D3E"/>
    <w:rsid w:val="009E4247"/>
    <w:rsid w:val="009E4297"/>
    <w:rsid w:val="009E4527"/>
    <w:rsid w:val="009E45FA"/>
    <w:rsid w:val="009E4895"/>
    <w:rsid w:val="009E48DB"/>
    <w:rsid w:val="009E4912"/>
    <w:rsid w:val="009E4B21"/>
    <w:rsid w:val="009E4C1E"/>
    <w:rsid w:val="009E4D98"/>
    <w:rsid w:val="009E4DCE"/>
    <w:rsid w:val="009E53A6"/>
    <w:rsid w:val="009E5420"/>
    <w:rsid w:val="009E584C"/>
    <w:rsid w:val="009E58D1"/>
    <w:rsid w:val="009E5A2C"/>
    <w:rsid w:val="009E5C78"/>
    <w:rsid w:val="009E5CC4"/>
    <w:rsid w:val="009E5D6F"/>
    <w:rsid w:val="009E5E59"/>
    <w:rsid w:val="009E613B"/>
    <w:rsid w:val="009E6204"/>
    <w:rsid w:val="009E6439"/>
    <w:rsid w:val="009E64E4"/>
    <w:rsid w:val="009E65BD"/>
    <w:rsid w:val="009E65F6"/>
    <w:rsid w:val="009E665F"/>
    <w:rsid w:val="009E67C8"/>
    <w:rsid w:val="009E67DA"/>
    <w:rsid w:val="009E6CCF"/>
    <w:rsid w:val="009E6EF5"/>
    <w:rsid w:val="009E7029"/>
    <w:rsid w:val="009E728A"/>
    <w:rsid w:val="009E7320"/>
    <w:rsid w:val="009E73F3"/>
    <w:rsid w:val="009E7428"/>
    <w:rsid w:val="009E7551"/>
    <w:rsid w:val="009E763C"/>
    <w:rsid w:val="009E76CC"/>
    <w:rsid w:val="009E797E"/>
    <w:rsid w:val="009E7A56"/>
    <w:rsid w:val="009E7C7C"/>
    <w:rsid w:val="009E7ED4"/>
    <w:rsid w:val="009E7F5D"/>
    <w:rsid w:val="009F008A"/>
    <w:rsid w:val="009F017D"/>
    <w:rsid w:val="009F027D"/>
    <w:rsid w:val="009F03C1"/>
    <w:rsid w:val="009F04D0"/>
    <w:rsid w:val="009F0682"/>
    <w:rsid w:val="009F070E"/>
    <w:rsid w:val="009F0717"/>
    <w:rsid w:val="009F0897"/>
    <w:rsid w:val="009F0A8F"/>
    <w:rsid w:val="009F0B94"/>
    <w:rsid w:val="009F0D61"/>
    <w:rsid w:val="009F0F37"/>
    <w:rsid w:val="009F0F7B"/>
    <w:rsid w:val="009F10C9"/>
    <w:rsid w:val="009F10E7"/>
    <w:rsid w:val="009F1195"/>
    <w:rsid w:val="009F11A3"/>
    <w:rsid w:val="009F11FC"/>
    <w:rsid w:val="009F161A"/>
    <w:rsid w:val="009F1744"/>
    <w:rsid w:val="009F17C4"/>
    <w:rsid w:val="009F1BE1"/>
    <w:rsid w:val="009F1C7C"/>
    <w:rsid w:val="009F2019"/>
    <w:rsid w:val="009F21ED"/>
    <w:rsid w:val="009F2701"/>
    <w:rsid w:val="009F29C7"/>
    <w:rsid w:val="009F2A28"/>
    <w:rsid w:val="009F30F7"/>
    <w:rsid w:val="009F311F"/>
    <w:rsid w:val="009F3204"/>
    <w:rsid w:val="009F336E"/>
    <w:rsid w:val="009F36E1"/>
    <w:rsid w:val="009F3763"/>
    <w:rsid w:val="009F3844"/>
    <w:rsid w:val="009F3968"/>
    <w:rsid w:val="009F3D06"/>
    <w:rsid w:val="009F3DA5"/>
    <w:rsid w:val="009F43B0"/>
    <w:rsid w:val="009F4679"/>
    <w:rsid w:val="009F4C12"/>
    <w:rsid w:val="009F4C6A"/>
    <w:rsid w:val="009F4D38"/>
    <w:rsid w:val="009F4E36"/>
    <w:rsid w:val="009F506D"/>
    <w:rsid w:val="009F5085"/>
    <w:rsid w:val="009F517E"/>
    <w:rsid w:val="009F58FA"/>
    <w:rsid w:val="009F59D3"/>
    <w:rsid w:val="009F5AEE"/>
    <w:rsid w:val="009F5D63"/>
    <w:rsid w:val="009F61E6"/>
    <w:rsid w:val="009F6547"/>
    <w:rsid w:val="009F664F"/>
    <w:rsid w:val="009F6666"/>
    <w:rsid w:val="009F66EF"/>
    <w:rsid w:val="009F6742"/>
    <w:rsid w:val="009F6746"/>
    <w:rsid w:val="009F67B8"/>
    <w:rsid w:val="009F67DB"/>
    <w:rsid w:val="009F68AA"/>
    <w:rsid w:val="009F6B79"/>
    <w:rsid w:val="009F6C94"/>
    <w:rsid w:val="009F6DD5"/>
    <w:rsid w:val="009F708D"/>
    <w:rsid w:val="009F725B"/>
    <w:rsid w:val="009F78EC"/>
    <w:rsid w:val="009F7E60"/>
    <w:rsid w:val="009F7E95"/>
    <w:rsid w:val="00A00014"/>
    <w:rsid w:val="00A000E3"/>
    <w:rsid w:val="00A001EA"/>
    <w:rsid w:val="00A00F7E"/>
    <w:rsid w:val="00A011FE"/>
    <w:rsid w:val="00A01298"/>
    <w:rsid w:val="00A01375"/>
    <w:rsid w:val="00A013A3"/>
    <w:rsid w:val="00A01455"/>
    <w:rsid w:val="00A0166A"/>
    <w:rsid w:val="00A018E8"/>
    <w:rsid w:val="00A01915"/>
    <w:rsid w:val="00A01B34"/>
    <w:rsid w:val="00A01C60"/>
    <w:rsid w:val="00A01DBE"/>
    <w:rsid w:val="00A02170"/>
    <w:rsid w:val="00A02311"/>
    <w:rsid w:val="00A02396"/>
    <w:rsid w:val="00A02448"/>
    <w:rsid w:val="00A02625"/>
    <w:rsid w:val="00A0264A"/>
    <w:rsid w:val="00A02864"/>
    <w:rsid w:val="00A02AD9"/>
    <w:rsid w:val="00A02CF9"/>
    <w:rsid w:val="00A02DC3"/>
    <w:rsid w:val="00A03001"/>
    <w:rsid w:val="00A03086"/>
    <w:rsid w:val="00A03803"/>
    <w:rsid w:val="00A03B15"/>
    <w:rsid w:val="00A03D0D"/>
    <w:rsid w:val="00A03D29"/>
    <w:rsid w:val="00A042C8"/>
    <w:rsid w:val="00A0432B"/>
    <w:rsid w:val="00A044AA"/>
    <w:rsid w:val="00A046AE"/>
    <w:rsid w:val="00A048C2"/>
    <w:rsid w:val="00A0505E"/>
    <w:rsid w:val="00A050C1"/>
    <w:rsid w:val="00A0564F"/>
    <w:rsid w:val="00A05E4E"/>
    <w:rsid w:val="00A05F03"/>
    <w:rsid w:val="00A05F54"/>
    <w:rsid w:val="00A068B6"/>
    <w:rsid w:val="00A068EB"/>
    <w:rsid w:val="00A06B2F"/>
    <w:rsid w:val="00A06BF6"/>
    <w:rsid w:val="00A06F9C"/>
    <w:rsid w:val="00A073D9"/>
    <w:rsid w:val="00A07417"/>
    <w:rsid w:val="00A074EE"/>
    <w:rsid w:val="00A0762A"/>
    <w:rsid w:val="00A07690"/>
    <w:rsid w:val="00A07782"/>
    <w:rsid w:val="00A0780C"/>
    <w:rsid w:val="00A07B45"/>
    <w:rsid w:val="00A07C49"/>
    <w:rsid w:val="00A07F67"/>
    <w:rsid w:val="00A100D9"/>
    <w:rsid w:val="00A103DE"/>
    <w:rsid w:val="00A104C4"/>
    <w:rsid w:val="00A105C4"/>
    <w:rsid w:val="00A10708"/>
    <w:rsid w:val="00A10904"/>
    <w:rsid w:val="00A10A69"/>
    <w:rsid w:val="00A10CAB"/>
    <w:rsid w:val="00A10DD8"/>
    <w:rsid w:val="00A10F6F"/>
    <w:rsid w:val="00A116CD"/>
    <w:rsid w:val="00A1173D"/>
    <w:rsid w:val="00A117E7"/>
    <w:rsid w:val="00A119A4"/>
    <w:rsid w:val="00A11A59"/>
    <w:rsid w:val="00A11A64"/>
    <w:rsid w:val="00A11D3C"/>
    <w:rsid w:val="00A11F4E"/>
    <w:rsid w:val="00A121DA"/>
    <w:rsid w:val="00A12248"/>
    <w:rsid w:val="00A12629"/>
    <w:rsid w:val="00A126C0"/>
    <w:rsid w:val="00A1298F"/>
    <w:rsid w:val="00A12AED"/>
    <w:rsid w:val="00A12EB4"/>
    <w:rsid w:val="00A12F8A"/>
    <w:rsid w:val="00A13161"/>
    <w:rsid w:val="00A13194"/>
    <w:rsid w:val="00A1325F"/>
    <w:rsid w:val="00A1326F"/>
    <w:rsid w:val="00A133AC"/>
    <w:rsid w:val="00A13459"/>
    <w:rsid w:val="00A13527"/>
    <w:rsid w:val="00A13590"/>
    <w:rsid w:val="00A13A38"/>
    <w:rsid w:val="00A13CE2"/>
    <w:rsid w:val="00A13D24"/>
    <w:rsid w:val="00A14343"/>
    <w:rsid w:val="00A143DB"/>
    <w:rsid w:val="00A1446D"/>
    <w:rsid w:val="00A146B0"/>
    <w:rsid w:val="00A1493C"/>
    <w:rsid w:val="00A14A6B"/>
    <w:rsid w:val="00A14AA3"/>
    <w:rsid w:val="00A14B3F"/>
    <w:rsid w:val="00A14B9F"/>
    <w:rsid w:val="00A14CD8"/>
    <w:rsid w:val="00A151D8"/>
    <w:rsid w:val="00A153A4"/>
    <w:rsid w:val="00A155BA"/>
    <w:rsid w:val="00A157B2"/>
    <w:rsid w:val="00A15813"/>
    <w:rsid w:val="00A15918"/>
    <w:rsid w:val="00A159E7"/>
    <w:rsid w:val="00A15B89"/>
    <w:rsid w:val="00A15CDF"/>
    <w:rsid w:val="00A15CE9"/>
    <w:rsid w:val="00A15EF5"/>
    <w:rsid w:val="00A16372"/>
    <w:rsid w:val="00A163CE"/>
    <w:rsid w:val="00A166AB"/>
    <w:rsid w:val="00A1680F"/>
    <w:rsid w:val="00A16A4B"/>
    <w:rsid w:val="00A16AD7"/>
    <w:rsid w:val="00A16B4D"/>
    <w:rsid w:val="00A16C52"/>
    <w:rsid w:val="00A16CE4"/>
    <w:rsid w:val="00A170E3"/>
    <w:rsid w:val="00A176F6"/>
    <w:rsid w:val="00A177DF"/>
    <w:rsid w:val="00A17DEE"/>
    <w:rsid w:val="00A17E3B"/>
    <w:rsid w:val="00A17E8F"/>
    <w:rsid w:val="00A20049"/>
    <w:rsid w:val="00A2047B"/>
    <w:rsid w:val="00A20487"/>
    <w:rsid w:val="00A2053A"/>
    <w:rsid w:val="00A20832"/>
    <w:rsid w:val="00A20A9A"/>
    <w:rsid w:val="00A21180"/>
    <w:rsid w:val="00A212C8"/>
    <w:rsid w:val="00A213BD"/>
    <w:rsid w:val="00A215B4"/>
    <w:rsid w:val="00A21AB2"/>
    <w:rsid w:val="00A21B75"/>
    <w:rsid w:val="00A21C12"/>
    <w:rsid w:val="00A2230F"/>
    <w:rsid w:val="00A224E8"/>
    <w:rsid w:val="00A2271A"/>
    <w:rsid w:val="00A227F6"/>
    <w:rsid w:val="00A2297F"/>
    <w:rsid w:val="00A229CD"/>
    <w:rsid w:val="00A23310"/>
    <w:rsid w:val="00A235E2"/>
    <w:rsid w:val="00A23637"/>
    <w:rsid w:val="00A23AC1"/>
    <w:rsid w:val="00A23C8B"/>
    <w:rsid w:val="00A23D5E"/>
    <w:rsid w:val="00A240D1"/>
    <w:rsid w:val="00A2412F"/>
    <w:rsid w:val="00A243EC"/>
    <w:rsid w:val="00A2447B"/>
    <w:rsid w:val="00A24490"/>
    <w:rsid w:val="00A2489A"/>
    <w:rsid w:val="00A249A1"/>
    <w:rsid w:val="00A249E2"/>
    <w:rsid w:val="00A24AA5"/>
    <w:rsid w:val="00A24B31"/>
    <w:rsid w:val="00A24BE3"/>
    <w:rsid w:val="00A24D65"/>
    <w:rsid w:val="00A24DBB"/>
    <w:rsid w:val="00A24FCC"/>
    <w:rsid w:val="00A252B8"/>
    <w:rsid w:val="00A253D9"/>
    <w:rsid w:val="00A253F7"/>
    <w:rsid w:val="00A25464"/>
    <w:rsid w:val="00A256AA"/>
    <w:rsid w:val="00A25AB4"/>
    <w:rsid w:val="00A25CC0"/>
    <w:rsid w:val="00A262B0"/>
    <w:rsid w:val="00A263A9"/>
    <w:rsid w:val="00A26465"/>
    <w:rsid w:val="00A265CE"/>
    <w:rsid w:val="00A26703"/>
    <w:rsid w:val="00A26803"/>
    <w:rsid w:val="00A26829"/>
    <w:rsid w:val="00A26E35"/>
    <w:rsid w:val="00A27078"/>
    <w:rsid w:val="00A2735F"/>
    <w:rsid w:val="00A27386"/>
    <w:rsid w:val="00A27798"/>
    <w:rsid w:val="00A27AFC"/>
    <w:rsid w:val="00A27BF0"/>
    <w:rsid w:val="00A27D96"/>
    <w:rsid w:val="00A300FF"/>
    <w:rsid w:val="00A309F6"/>
    <w:rsid w:val="00A30AF7"/>
    <w:rsid w:val="00A30E7E"/>
    <w:rsid w:val="00A31021"/>
    <w:rsid w:val="00A310EC"/>
    <w:rsid w:val="00A31208"/>
    <w:rsid w:val="00A31BD1"/>
    <w:rsid w:val="00A31BFC"/>
    <w:rsid w:val="00A31D23"/>
    <w:rsid w:val="00A31D3A"/>
    <w:rsid w:val="00A31FBA"/>
    <w:rsid w:val="00A32108"/>
    <w:rsid w:val="00A321CA"/>
    <w:rsid w:val="00A322B0"/>
    <w:rsid w:val="00A32420"/>
    <w:rsid w:val="00A324F6"/>
    <w:rsid w:val="00A3267D"/>
    <w:rsid w:val="00A32873"/>
    <w:rsid w:val="00A32C62"/>
    <w:rsid w:val="00A32EFF"/>
    <w:rsid w:val="00A32F1D"/>
    <w:rsid w:val="00A331F4"/>
    <w:rsid w:val="00A331FB"/>
    <w:rsid w:val="00A3343B"/>
    <w:rsid w:val="00A3362F"/>
    <w:rsid w:val="00A33763"/>
    <w:rsid w:val="00A33951"/>
    <w:rsid w:val="00A33A62"/>
    <w:rsid w:val="00A33B15"/>
    <w:rsid w:val="00A33DC6"/>
    <w:rsid w:val="00A33DD6"/>
    <w:rsid w:val="00A34012"/>
    <w:rsid w:val="00A340BC"/>
    <w:rsid w:val="00A34108"/>
    <w:rsid w:val="00A34207"/>
    <w:rsid w:val="00A342B7"/>
    <w:rsid w:val="00A342C9"/>
    <w:rsid w:val="00A345E9"/>
    <w:rsid w:val="00A347CD"/>
    <w:rsid w:val="00A34D29"/>
    <w:rsid w:val="00A34FE6"/>
    <w:rsid w:val="00A351B9"/>
    <w:rsid w:val="00A353DD"/>
    <w:rsid w:val="00A35879"/>
    <w:rsid w:val="00A3592D"/>
    <w:rsid w:val="00A35EA9"/>
    <w:rsid w:val="00A35F73"/>
    <w:rsid w:val="00A36033"/>
    <w:rsid w:val="00A36099"/>
    <w:rsid w:val="00A361A6"/>
    <w:rsid w:val="00A364C3"/>
    <w:rsid w:val="00A367D4"/>
    <w:rsid w:val="00A368EF"/>
    <w:rsid w:val="00A368F1"/>
    <w:rsid w:val="00A36A64"/>
    <w:rsid w:val="00A36AC3"/>
    <w:rsid w:val="00A36ACE"/>
    <w:rsid w:val="00A36BBB"/>
    <w:rsid w:val="00A36D11"/>
    <w:rsid w:val="00A36DE4"/>
    <w:rsid w:val="00A36E56"/>
    <w:rsid w:val="00A36FE6"/>
    <w:rsid w:val="00A37032"/>
    <w:rsid w:val="00A37219"/>
    <w:rsid w:val="00A37257"/>
    <w:rsid w:val="00A372D4"/>
    <w:rsid w:val="00A3735D"/>
    <w:rsid w:val="00A375DA"/>
    <w:rsid w:val="00A3761F"/>
    <w:rsid w:val="00A3765E"/>
    <w:rsid w:val="00A377BA"/>
    <w:rsid w:val="00A37834"/>
    <w:rsid w:val="00A3792B"/>
    <w:rsid w:val="00A37A32"/>
    <w:rsid w:val="00A37A81"/>
    <w:rsid w:val="00A37BC7"/>
    <w:rsid w:val="00A37C89"/>
    <w:rsid w:val="00A37D37"/>
    <w:rsid w:val="00A37E1F"/>
    <w:rsid w:val="00A4014A"/>
    <w:rsid w:val="00A404CA"/>
    <w:rsid w:val="00A404EC"/>
    <w:rsid w:val="00A40542"/>
    <w:rsid w:val="00A407B1"/>
    <w:rsid w:val="00A40BB4"/>
    <w:rsid w:val="00A40CC6"/>
    <w:rsid w:val="00A40DBB"/>
    <w:rsid w:val="00A40F6D"/>
    <w:rsid w:val="00A4106A"/>
    <w:rsid w:val="00A41150"/>
    <w:rsid w:val="00A4124C"/>
    <w:rsid w:val="00A4150A"/>
    <w:rsid w:val="00A417F9"/>
    <w:rsid w:val="00A41913"/>
    <w:rsid w:val="00A4191C"/>
    <w:rsid w:val="00A41BE4"/>
    <w:rsid w:val="00A41C9A"/>
    <w:rsid w:val="00A41EBD"/>
    <w:rsid w:val="00A41EFC"/>
    <w:rsid w:val="00A42139"/>
    <w:rsid w:val="00A42206"/>
    <w:rsid w:val="00A426B8"/>
    <w:rsid w:val="00A427FF"/>
    <w:rsid w:val="00A42E11"/>
    <w:rsid w:val="00A42EEF"/>
    <w:rsid w:val="00A4319A"/>
    <w:rsid w:val="00A431DA"/>
    <w:rsid w:val="00A434E0"/>
    <w:rsid w:val="00A43A42"/>
    <w:rsid w:val="00A43E39"/>
    <w:rsid w:val="00A43F65"/>
    <w:rsid w:val="00A43FC0"/>
    <w:rsid w:val="00A447C9"/>
    <w:rsid w:val="00A44887"/>
    <w:rsid w:val="00A44CB8"/>
    <w:rsid w:val="00A44FFD"/>
    <w:rsid w:val="00A4513A"/>
    <w:rsid w:val="00A4522B"/>
    <w:rsid w:val="00A45470"/>
    <w:rsid w:val="00A454CB"/>
    <w:rsid w:val="00A45561"/>
    <w:rsid w:val="00A456D0"/>
    <w:rsid w:val="00A457B8"/>
    <w:rsid w:val="00A45BDD"/>
    <w:rsid w:val="00A462CA"/>
    <w:rsid w:val="00A4694C"/>
    <w:rsid w:val="00A46ADD"/>
    <w:rsid w:val="00A46CEE"/>
    <w:rsid w:val="00A46D71"/>
    <w:rsid w:val="00A46DAF"/>
    <w:rsid w:val="00A47208"/>
    <w:rsid w:val="00A474F0"/>
    <w:rsid w:val="00A476F8"/>
    <w:rsid w:val="00A4777D"/>
    <w:rsid w:val="00A477BE"/>
    <w:rsid w:val="00A5007B"/>
    <w:rsid w:val="00A504DE"/>
    <w:rsid w:val="00A50687"/>
    <w:rsid w:val="00A5072E"/>
    <w:rsid w:val="00A50869"/>
    <w:rsid w:val="00A5098F"/>
    <w:rsid w:val="00A50F23"/>
    <w:rsid w:val="00A517EC"/>
    <w:rsid w:val="00A5181A"/>
    <w:rsid w:val="00A5203C"/>
    <w:rsid w:val="00A5227B"/>
    <w:rsid w:val="00A5227E"/>
    <w:rsid w:val="00A52372"/>
    <w:rsid w:val="00A523E8"/>
    <w:rsid w:val="00A52819"/>
    <w:rsid w:val="00A52849"/>
    <w:rsid w:val="00A52D5A"/>
    <w:rsid w:val="00A52D7E"/>
    <w:rsid w:val="00A52FC5"/>
    <w:rsid w:val="00A536A9"/>
    <w:rsid w:val="00A5391C"/>
    <w:rsid w:val="00A53A16"/>
    <w:rsid w:val="00A53E8A"/>
    <w:rsid w:val="00A540DD"/>
    <w:rsid w:val="00A541F0"/>
    <w:rsid w:val="00A54409"/>
    <w:rsid w:val="00A545BA"/>
    <w:rsid w:val="00A545F6"/>
    <w:rsid w:val="00A5479D"/>
    <w:rsid w:val="00A5497B"/>
    <w:rsid w:val="00A54997"/>
    <w:rsid w:val="00A54A1C"/>
    <w:rsid w:val="00A552BE"/>
    <w:rsid w:val="00A5535E"/>
    <w:rsid w:val="00A55598"/>
    <w:rsid w:val="00A556F3"/>
    <w:rsid w:val="00A557AF"/>
    <w:rsid w:val="00A55A6B"/>
    <w:rsid w:val="00A55C8C"/>
    <w:rsid w:val="00A55CB8"/>
    <w:rsid w:val="00A55E93"/>
    <w:rsid w:val="00A55EC1"/>
    <w:rsid w:val="00A55EF1"/>
    <w:rsid w:val="00A564BF"/>
    <w:rsid w:val="00A56592"/>
    <w:rsid w:val="00A566B9"/>
    <w:rsid w:val="00A5677F"/>
    <w:rsid w:val="00A56A7D"/>
    <w:rsid w:val="00A56AA7"/>
    <w:rsid w:val="00A56BEA"/>
    <w:rsid w:val="00A57511"/>
    <w:rsid w:val="00A57A65"/>
    <w:rsid w:val="00A57C26"/>
    <w:rsid w:val="00A57CB7"/>
    <w:rsid w:val="00A57E54"/>
    <w:rsid w:val="00A6024E"/>
    <w:rsid w:val="00A602E2"/>
    <w:rsid w:val="00A60D75"/>
    <w:rsid w:val="00A60D8F"/>
    <w:rsid w:val="00A60F30"/>
    <w:rsid w:val="00A6106A"/>
    <w:rsid w:val="00A611A0"/>
    <w:rsid w:val="00A611DD"/>
    <w:rsid w:val="00A61354"/>
    <w:rsid w:val="00A6146E"/>
    <w:rsid w:val="00A61565"/>
    <w:rsid w:val="00A61804"/>
    <w:rsid w:val="00A61908"/>
    <w:rsid w:val="00A61D4A"/>
    <w:rsid w:val="00A61F18"/>
    <w:rsid w:val="00A6201D"/>
    <w:rsid w:val="00A620CD"/>
    <w:rsid w:val="00A62795"/>
    <w:rsid w:val="00A627AF"/>
    <w:rsid w:val="00A6287D"/>
    <w:rsid w:val="00A63093"/>
    <w:rsid w:val="00A63165"/>
    <w:rsid w:val="00A63194"/>
    <w:rsid w:val="00A63228"/>
    <w:rsid w:val="00A634E0"/>
    <w:rsid w:val="00A637C8"/>
    <w:rsid w:val="00A637FB"/>
    <w:rsid w:val="00A6380C"/>
    <w:rsid w:val="00A63B0D"/>
    <w:rsid w:val="00A63B5D"/>
    <w:rsid w:val="00A63C4C"/>
    <w:rsid w:val="00A63C4E"/>
    <w:rsid w:val="00A63D81"/>
    <w:rsid w:val="00A63F0A"/>
    <w:rsid w:val="00A64013"/>
    <w:rsid w:val="00A64965"/>
    <w:rsid w:val="00A649DA"/>
    <w:rsid w:val="00A64E70"/>
    <w:rsid w:val="00A64F28"/>
    <w:rsid w:val="00A653F1"/>
    <w:rsid w:val="00A655A5"/>
    <w:rsid w:val="00A657EA"/>
    <w:rsid w:val="00A65861"/>
    <w:rsid w:val="00A658A6"/>
    <w:rsid w:val="00A6594B"/>
    <w:rsid w:val="00A65A8D"/>
    <w:rsid w:val="00A65C00"/>
    <w:rsid w:val="00A663F5"/>
    <w:rsid w:val="00A669D3"/>
    <w:rsid w:val="00A66A5F"/>
    <w:rsid w:val="00A66C5F"/>
    <w:rsid w:val="00A66CE1"/>
    <w:rsid w:val="00A66D34"/>
    <w:rsid w:val="00A66F57"/>
    <w:rsid w:val="00A67071"/>
    <w:rsid w:val="00A6738C"/>
    <w:rsid w:val="00A6749A"/>
    <w:rsid w:val="00A67948"/>
    <w:rsid w:val="00A67AE8"/>
    <w:rsid w:val="00A67B8A"/>
    <w:rsid w:val="00A67CD0"/>
    <w:rsid w:val="00A67D10"/>
    <w:rsid w:val="00A67FA8"/>
    <w:rsid w:val="00A70145"/>
    <w:rsid w:val="00A70247"/>
    <w:rsid w:val="00A70440"/>
    <w:rsid w:val="00A70B86"/>
    <w:rsid w:val="00A70FCA"/>
    <w:rsid w:val="00A70FFD"/>
    <w:rsid w:val="00A71111"/>
    <w:rsid w:val="00A71191"/>
    <w:rsid w:val="00A714DE"/>
    <w:rsid w:val="00A717DB"/>
    <w:rsid w:val="00A71A52"/>
    <w:rsid w:val="00A7204A"/>
    <w:rsid w:val="00A72378"/>
    <w:rsid w:val="00A724ED"/>
    <w:rsid w:val="00A72BAC"/>
    <w:rsid w:val="00A73033"/>
    <w:rsid w:val="00A73185"/>
    <w:rsid w:val="00A738F4"/>
    <w:rsid w:val="00A73983"/>
    <w:rsid w:val="00A73A2D"/>
    <w:rsid w:val="00A73E84"/>
    <w:rsid w:val="00A743B4"/>
    <w:rsid w:val="00A7445A"/>
    <w:rsid w:val="00A74504"/>
    <w:rsid w:val="00A745C6"/>
    <w:rsid w:val="00A74656"/>
    <w:rsid w:val="00A74842"/>
    <w:rsid w:val="00A7489E"/>
    <w:rsid w:val="00A748B2"/>
    <w:rsid w:val="00A74C56"/>
    <w:rsid w:val="00A75027"/>
    <w:rsid w:val="00A7519E"/>
    <w:rsid w:val="00A75208"/>
    <w:rsid w:val="00A7520F"/>
    <w:rsid w:val="00A75229"/>
    <w:rsid w:val="00A754C4"/>
    <w:rsid w:val="00A7582F"/>
    <w:rsid w:val="00A75943"/>
    <w:rsid w:val="00A75DFE"/>
    <w:rsid w:val="00A75E93"/>
    <w:rsid w:val="00A76050"/>
    <w:rsid w:val="00A760A5"/>
    <w:rsid w:val="00A76110"/>
    <w:rsid w:val="00A76158"/>
    <w:rsid w:val="00A762D6"/>
    <w:rsid w:val="00A76371"/>
    <w:rsid w:val="00A76426"/>
    <w:rsid w:val="00A766F9"/>
    <w:rsid w:val="00A76702"/>
    <w:rsid w:val="00A76710"/>
    <w:rsid w:val="00A76868"/>
    <w:rsid w:val="00A76BEC"/>
    <w:rsid w:val="00A76D2B"/>
    <w:rsid w:val="00A76D9E"/>
    <w:rsid w:val="00A76EB7"/>
    <w:rsid w:val="00A76EC9"/>
    <w:rsid w:val="00A77178"/>
    <w:rsid w:val="00A77505"/>
    <w:rsid w:val="00A77760"/>
    <w:rsid w:val="00A7779C"/>
    <w:rsid w:val="00A77C09"/>
    <w:rsid w:val="00A77CF2"/>
    <w:rsid w:val="00A77FAB"/>
    <w:rsid w:val="00A80118"/>
    <w:rsid w:val="00A80382"/>
    <w:rsid w:val="00A80494"/>
    <w:rsid w:val="00A804D2"/>
    <w:rsid w:val="00A80683"/>
    <w:rsid w:val="00A80992"/>
    <w:rsid w:val="00A80BEA"/>
    <w:rsid w:val="00A80DE2"/>
    <w:rsid w:val="00A80E07"/>
    <w:rsid w:val="00A80E59"/>
    <w:rsid w:val="00A811AE"/>
    <w:rsid w:val="00A812E8"/>
    <w:rsid w:val="00A8163F"/>
    <w:rsid w:val="00A821F5"/>
    <w:rsid w:val="00A8223B"/>
    <w:rsid w:val="00A8225D"/>
    <w:rsid w:val="00A825E0"/>
    <w:rsid w:val="00A82AFD"/>
    <w:rsid w:val="00A82EEF"/>
    <w:rsid w:val="00A82F53"/>
    <w:rsid w:val="00A830F9"/>
    <w:rsid w:val="00A833AB"/>
    <w:rsid w:val="00A83746"/>
    <w:rsid w:val="00A838BF"/>
    <w:rsid w:val="00A83BB9"/>
    <w:rsid w:val="00A83C45"/>
    <w:rsid w:val="00A83CA1"/>
    <w:rsid w:val="00A83D58"/>
    <w:rsid w:val="00A83E1B"/>
    <w:rsid w:val="00A83E57"/>
    <w:rsid w:val="00A83EF7"/>
    <w:rsid w:val="00A84087"/>
    <w:rsid w:val="00A840B1"/>
    <w:rsid w:val="00A84100"/>
    <w:rsid w:val="00A84256"/>
    <w:rsid w:val="00A8451A"/>
    <w:rsid w:val="00A8460C"/>
    <w:rsid w:val="00A8466F"/>
    <w:rsid w:val="00A847DE"/>
    <w:rsid w:val="00A84D76"/>
    <w:rsid w:val="00A84EB9"/>
    <w:rsid w:val="00A8541F"/>
    <w:rsid w:val="00A8572E"/>
    <w:rsid w:val="00A859CD"/>
    <w:rsid w:val="00A85C1F"/>
    <w:rsid w:val="00A85EBE"/>
    <w:rsid w:val="00A85EF6"/>
    <w:rsid w:val="00A8624A"/>
    <w:rsid w:val="00A86342"/>
    <w:rsid w:val="00A863F3"/>
    <w:rsid w:val="00A86569"/>
    <w:rsid w:val="00A865B2"/>
    <w:rsid w:val="00A865FC"/>
    <w:rsid w:val="00A86763"/>
    <w:rsid w:val="00A86A21"/>
    <w:rsid w:val="00A86C5F"/>
    <w:rsid w:val="00A86CCB"/>
    <w:rsid w:val="00A86D59"/>
    <w:rsid w:val="00A86E8A"/>
    <w:rsid w:val="00A86F4E"/>
    <w:rsid w:val="00A87050"/>
    <w:rsid w:val="00A8709F"/>
    <w:rsid w:val="00A8738C"/>
    <w:rsid w:val="00A87414"/>
    <w:rsid w:val="00A8757F"/>
    <w:rsid w:val="00A8761A"/>
    <w:rsid w:val="00A87948"/>
    <w:rsid w:val="00A87B0C"/>
    <w:rsid w:val="00A87B29"/>
    <w:rsid w:val="00A87C4E"/>
    <w:rsid w:val="00A87D01"/>
    <w:rsid w:val="00A87D48"/>
    <w:rsid w:val="00A87D75"/>
    <w:rsid w:val="00A87DCC"/>
    <w:rsid w:val="00A9001A"/>
    <w:rsid w:val="00A90541"/>
    <w:rsid w:val="00A90588"/>
    <w:rsid w:val="00A90619"/>
    <w:rsid w:val="00A9061C"/>
    <w:rsid w:val="00A90662"/>
    <w:rsid w:val="00A90932"/>
    <w:rsid w:val="00A90AB2"/>
    <w:rsid w:val="00A90C45"/>
    <w:rsid w:val="00A90D4E"/>
    <w:rsid w:val="00A910AD"/>
    <w:rsid w:val="00A91559"/>
    <w:rsid w:val="00A91602"/>
    <w:rsid w:val="00A91739"/>
    <w:rsid w:val="00A91799"/>
    <w:rsid w:val="00A918BD"/>
    <w:rsid w:val="00A91E31"/>
    <w:rsid w:val="00A920B5"/>
    <w:rsid w:val="00A920CF"/>
    <w:rsid w:val="00A9218B"/>
    <w:rsid w:val="00A9230B"/>
    <w:rsid w:val="00A9240E"/>
    <w:rsid w:val="00A92419"/>
    <w:rsid w:val="00A92436"/>
    <w:rsid w:val="00A9255A"/>
    <w:rsid w:val="00A92563"/>
    <w:rsid w:val="00A92AD2"/>
    <w:rsid w:val="00A92AFD"/>
    <w:rsid w:val="00A92C25"/>
    <w:rsid w:val="00A92C28"/>
    <w:rsid w:val="00A92DE1"/>
    <w:rsid w:val="00A931E6"/>
    <w:rsid w:val="00A934EE"/>
    <w:rsid w:val="00A9355E"/>
    <w:rsid w:val="00A936F3"/>
    <w:rsid w:val="00A93767"/>
    <w:rsid w:val="00A939E6"/>
    <w:rsid w:val="00A93C17"/>
    <w:rsid w:val="00A93C67"/>
    <w:rsid w:val="00A93EAA"/>
    <w:rsid w:val="00A942FF"/>
    <w:rsid w:val="00A946BE"/>
    <w:rsid w:val="00A947A3"/>
    <w:rsid w:val="00A94AEB"/>
    <w:rsid w:val="00A94D0E"/>
    <w:rsid w:val="00A94D98"/>
    <w:rsid w:val="00A94E27"/>
    <w:rsid w:val="00A95118"/>
    <w:rsid w:val="00A951FF"/>
    <w:rsid w:val="00A95297"/>
    <w:rsid w:val="00A954F6"/>
    <w:rsid w:val="00A9573D"/>
    <w:rsid w:val="00A95AED"/>
    <w:rsid w:val="00A95C08"/>
    <w:rsid w:val="00A96205"/>
    <w:rsid w:val="00A96258"/>
    <w:rsid w:val="00A96497"/>
    <w:rsid w:val="00A96627"/>
    <w:rsid w:val="00A96684"/>
    <w:rsid w:val="00A968AE"/>
    <w:rsid w:val="00A96918"/>
    <w:rsid w:val="00A9698A"/>
    <w:rsid w:val="00A96C40"/>
    <w:rsid w:val="00A96C66"/>
    <w:rsid w:val="00A96C6C"/>
    <w:rsid w:val="00A96D04"/>
    <w:rsid w:val="00A9700A"/>
    <w:rsid w:val="00A97038"/>
    <w:rsid w:val="00A97581"/>
    <w:rsid w:val="00A97A6D"/>
    <w:rsid w:val="00A97C32"/>
    <w:rsid w:val="00A97C9F"/>
    <w:rsid w:val="00A97F14"/>
    <w:rsid w:val="00AA00BB"/>
    <w:rsid w:val="00AA0186"/>
    <w:rsid w:val="00AA05E4"/>
    <w:rsid w:val="00AA06CE"/>
    <w:rsid w:val="00AA0A5C"/>
    <w:rsid w:val="00AA0B7D"/>
    <w:rsid w:val="00AA0C76"/>
    <w:rsid w:val="00AA0CE8"/>
    <w:rsid w:val="00AA0D05"/>
    <w:rsid w:val="00AA107F"/>
    <w:rsid w:val="00AA10F8"/>
    <w:rsid w:val="00AA10FD"/>
    <w:rsid w:val="00AA1648"/>
    <w:rsid w:val="00AA197D"/>
    <w:rsid w:val="00AA1AFE"/>
    <w:rsid w:val="00AA1B95"/>
    <w:rsid w:val="00AA1C78"/>
    <w:rsid w:val="00AA1E4C"/>
    <w:rsid w:val="00AA1EA5"/>
    <w:rsid w:val="00AA1F44"/>
    <w:rsid w:val="00AA1FE0"/>
    <w:rsid w:val="00AA1FFF"/>
    <w:rsid w:val="00AA21DA"/>
    <w:rsid w:val="00AA21DE"/>
    <w:rsid w:val="00AA21F4"/>
    <w:rsid w:val="00AA228B"/>
    <w:rsid w:val="00AA2553"/>
    <w:rsid w:val="00AA26AD"/>
    <w:rsid w:val="00AA26EA"/>
    <w:rsid w:val="00AA277B"/>
    <w:rsid w:val="00AA27E4"/>
    <w:rsid w:val="00AA2A8B"/>
    <w:rsid w:val="00AA2BC9"/>
    <w:rsid w:val="00AA2D6E"/>
    <w:rsid w:val="00AA2E18"/>
    <w:rsid w:val="00AA316A"/>
    <w:rsid w:val="00AA3281"/>
    <w:rsid w:val="00AA33B6"/>
    <w:rsid w:val="00AA346E"/>
    <w:rsid w:val="00AA34F5"/>
    <w:rsid w:val="00AA3690"/>
    <w:rsid w:val="00AA36FF"/>
    <w:rsid w:val="00AA3734"/>
    <w:rsid w:val="00AA3754"/>
    <w:rsid w:val="00AA3B6D"/>
    <w:rsid w:val="00AA3B74"/>
    <w:rsid w:val="00AA3B94"/>
    <w:rsid w:val="00AA3D41"/>
    <w:rsid w:val="00AA3DED"/>
    <w:rsid w:val="00AA3F9D"/>
    <w:rsid w:val="00AA40B6"/>
    <w:rsid w:val="00AA41F4"/>
    <w:rsid w:val="00AA4522"/>
    <w:rsid w:val="00AA4573"/>
    <w:rsid w:val="00AA4C73"/>
    <w:rsid w:val="00AA4CC1"/>
    <w:rsid w:val="00AA4D1C"/>
    <w:rsid w:val="00AA4DE4"/>
    <w:rsid w:val="00AA562B"/>
    <w:rsid w:val="00AA5CB0"/>
    <w:rsid w:val="00AA60E9"/>
    <w:rsid w:val="00AA6273"/>
    <w:rsid w:val="00AA6866"/>
    <w:rsid w:val="00AA6AC1"/>
    <w:rsid w:val="00AA6B17"/>
    <w:rsid w:val="00AA6B3E"/>
    <w:rsid w:val="00AA6D6E"/>
    <w:rsid w:val="00AA701D"/>
    <w:rsid w:val="00AA7558"/>
    <w:rsid w:val="00AA755E"/>
    <w:rsid w:val="00AA7768"/>
    <w:rsid w:val="00AA7C8D"/>
    <w:rsid w:val="00AA7F14"/>
    <w:rsid w:val="00AB02FE"/>
    <w:rsid w:val="00AB036C"/>
    <w:rsid w:val="00AB04A0"/>
    <w:rsid w:val="00AB0526"/>
    <w:rsid w:val="00AB0577"/>
    <w:rsid w:val="00AB0CD9"/>
    <w:rsid w:val="00AB0FFF"/>
    <w:rsid w:val="00AB1174"/>
    <w:rsid w:val="00AB15EB"/>
    <w:rsid w:val="00AB1933"/>
    <w:rsid w:val="00AB19A9"/>
    <w:rsid w:val="00AB20D9"/>
    <w:rsid w:val="00AB21D1"/>
    <w:rsid w:val="00AB23AC"/>
    <w:rsid w:val="00AB253D"/>
    <w:rsid w:val="00AB2BF0"/>
    <w:rsid w:val="00AB2CDA"/>
    <w:rsid w:val="00AB313C"/>
    <w:rsid w:val="00AB31E2"/>
    <w:rsid w:val="00AB329F"/>
    <w:rsid w:val="00AB34DD"/>
    <w:rsid w:val="00AB35FE"/>
    <w:rsid w:val="00AB3699"/>
    <w:rsid w:val="00AB3AD8"/>
    <w:rsid w:val="00AB3B86"/>
    <w:rsid w:val="00AB3BCF"/>
    <w:rsid w:val="00AB3E28"/>
    <w:rsid w:val="00AB3ECB"/>
    <w:rsid w:val="00AB3EDD"/>
    <w:rsid w:val="00AB3FE2"/>
    <w:rsid w:val="00AB4209"/>
    <w:rsid w:val="00AB42E6"/>
    <w:rsid w:val="00AB434F"/>
    <w:rsid w:val="00AB4515"/>
    <w:rsid w:val="00AB48CE"/>
    <w:rsid w:val="00AB4ACC"/>
    <w:rsid w:val="00AB5117"/>
    <w:rsid w:val="00AB52FB"/>
    <w:rsid w:val="00AB5340"/>
    <w:rsid w:val="00AB53F7"/>
    <w:rsid w:val="00AB541B"/>
    <w:rsid w:val="00AB5622"/>
    <w:rsid w:val="00AB5680"/>
    <w:rsid w:val="00AB56DD"/>
    <w:rsid w:val="00AB5741"/>
    <w:rsid w:val="00AB5FA2"/>
    <w:rsid w:val="00AB5FC5"/>
    <w:rsid w:val="00AB65A7"/>
    <w:rsid w:val="00AB660A"/>
    <w:rsid w:val="00AB674A"/>
    <w:rsid w:val="00AB68E9"/>
    <w:rsid w:val="00AB6A0B"/>
    <w:rsid w:val="00AB6A10"/>
    <w:rsid w:val="00AB6C24"/>
    <w:rsid w:val="00AB6D19"/>
    <w:rsid w:val="00AB6E85"/>
    <w:rsid w:val="00AB71C9"/>
    <w:rsid w:val="00AB75B1"/>
    <w:rsid w:val="00AB7B66"/>
    <w:rsid w:val="00AB7CFD"/>
    <w:rsid w:val="00AB7D01"/>
    <w:rsid w:val="00AB7F11"/>
    <w:rsid w:val="00AC0010"/>
    <w:rsid w:val="00AC0228"/>
    <w:rsid w:val="00AC02C7"/>
    <w:rsid w:val="00AC04F3"/>
    <w:rsid w:val="00AC06EA"/>
    <w:rsid w:val="00AC0777"/>
    <w:rsid w:val="00AC09D9"/>
    <w:rsid w:val="00AC0B4D"/>
    <w:rsid w:val="00AC0C83"/>
    <w:rsid w:val="00AC0CB9"/>
    <w:rsid w:val="00AC105D"/>
    <w:rsid w:val="00AC131B"/>
    <w:rsid w:val="00AC132A"/>
    <w:rsid w:val="00AC1571"/>
    <w:rsid w:val="00AC15F0"/>
    <w:rsid w:val="00AC1617"/>
    <w:rsid w:val="00AC182B"/>
    <w:rsid w:val="00AC1973"/>
    <w:rsid w:val="00AC1EE3"/>
    <w:rsid w:val="00AC2279"/>
    <w:rsid w:val="00AC2507"/>
    <w:rsid w:val="00AC28D0"/>
    <w:rsid w:val="00AC28EB"/>
    <w:rsid w:val="00AC2B86"/>
    <w:rsid w:val="00AC2BA2"/>
    <w:rsid w:val="00AC2BEE"/>
    <w:rsid w:val="00AC2C00"/>
    <w:rsid w:val="00AC2DCA"/>
    <w:rsid w:val="00AC2EA2"/>
    <w:rsid w:val="00AC3086"/>
    <w:rsid w:val="00AC31E5"/>
    <w:rsid w:val="00AC31EA"/>
    <w:rsid w:val="00AC37BF"/>
    <w:rsid w:val="00AC3860"/>
    <w:rsid w:val="00AC39D5"/>
    <w:rsid w:val="00AC39FB"/>
    <w:rsid w:val="00AC3B97"/>
    <w:rsid w:val="00AC3D92"/>
    <w:rsid w:val="00AC3DF1"/>
    <w:rsid w:val="00AC3E7A"/>
    <w:rsid w:val="00AC3EB5"/>
    <w:rsid w:val="00AC3EE3"/>
    <w:rsid w:val="00AC3FDF"/>
    <w:rsid w:val="00AC40AF"/>
    <w:rsid w:val="00AC4126"/>
    <w:rsid w:val="00AC4599"/>
    <w:rsid w:val="00AC4659"/>
    <w:rsid w:val="00AC47B4"/>
    <w:rsid w:val="00AC4B79"/>
    <w:rsid w:val="00AC4CA9"/>
    <w:rsid w:val="00AC4D07"/>
    <w:rsid w:val="00AC508D"/>
    <w:rsid w:val="00AC5232"/>
    <w:rsid w:val="00AC5356"/>
    <w:rsid w:val="00AC53A8"/>
    <w:rsid w:val="00AC56ED"/>
    <w:rsid w:val="00AC5946"/>
    <w:rsid w:val="00AC5B3B"/>
    <w:rsid w:val="00AC5D35"/>
    <w:rsid w:val="00AC5E41"/>
    <w:rsid w:val="00AC60E6"/>
    <w:rsid w:val="00AC655D"/>
    <w:rsid w:val="00AC65F3"/>
    <w:rsid w:val="00AC66D6"/>
    <w:rsid w:val="00AC67A3"/>
    <w:rsid w:val="00AC6C5E"/>
    <w:rsid w:val="00AC6CFE"/>
    <w:rsid w:val="00AC6D9D"/>
    <w:rsid w:val="00AC6F22"/>
    <w:rsid w:val="00AC6FBF"/>
    <w:rsid w:val="00AC701C"/>
    <w:rsid w:val="00AC70F2"/>
    <w:rsid w:val="00AC71F5"/>
    <w:rsid w:val="00AC7273"/>
    <w:rsid w:val="00AC786A"/>
    <w:rsid w:val="00AC7A65"/>
    <w:rsid w:val="00AC7B34"/>
    <w:rsid w:val="00AC7C2C"/>
    <w:rsid w:val="00AC7E8B"/>
    <w:rsid w:val="00AD0024"/>
    <w:rsid w:val="00AD009D"/>
    <w:rsid w:val="00AD0682"/>
    <w:rsid w:val="00AD0A8F"/>
    <w:rsid w:val="00AD0F74"/>
    <w:rsid w:val="00AD16A4"/>
    <w:rsid w:val="00AD18FD"/>
    <w:rsid w:val="00AD1934"/>
    <w:rsid w:val="00AD19CB"/>
    <w:rsid w:val="00AD1A33"/>
    <w:rsid w:val="00AD1D52"/>
    <w:rsid w:val="00AD1EFD"/>
    <w:rsid w:val="00AD204F"/>
    <w:rsid w:val="00AD2211"/>
    <w:rsid w:val="00AD2277"/>
    <w:rsid w:val="00AD25CC"/>
    <w:rsid w:val="00AD2662"/>
    <w:rsid w:val="00AD2A7C"/>
    <w:rsid w:val="00AD2C14"/>
    <w:rsid w:val="00AD2DD4"/>
    <w:rsid w:val="00AD2F5E"/>
    <w:rsid w:val="00AD30D1"/>
    <w:rsid w:val="00AD3512"/>
    <w:rsid w:val="00AD35C0"/>
    <w:rsid w:val="00AD35D5"/>
    <w:rsid w:val="00AD37D9"/>
    <w:rsid w:val="00AD3993"/>
    <w:rsid w:val="00AD39A9"/>
    <w:rsid w:val="00AD3EC3"/>
    <w:rsid w:val="00AD3FB2"/>
    <w:rsid w:val="00AD428A"/>
    <w:rsid w:val="00AD458F"/>
    <w:rsid w:val="00AD4841"/>
    <w:rsid w:val="00AD4941"/>
    <w:rsid w:val="00AD4CA0"/>
    <w:rsid w:val="00AD4FA2"/>
    <w:rsid w:val="00AD50F4"/>
    <w:rsid w:val="00AD5112"/>
    <w:rsid w:val="00AD5479"/>
    <w:rsid w:val="00AD564E"/>
    <w:rsid w:val="00AD5D7D"/>
    <w:rsid w:val="00AD5D87"/>
    <w:rsid w:val="00AD5F49"/>
    <w:rsid w:val="00AD5F99"/>
    <w:rsid w:val="00AD5FBF"/>
    <w:rsid w:val="00AD600A"/>
    <w:rsid w:val="00AD6021"/>
    <w:rsid w:val="00AD6081"/>
    <w:rsid w:val="00AD62D3"/>
    <w:rsid w:val="00AD63D0"/>
    <w:rsid w:val="00AD65E2"/>
    <w:rsid w:val="00AD6706"/>
    <w:rsid w:val="00AD68E1"/>
    <w:rsid w:val="00AD6B31"/>
    <w:rsid w:val="00AD714F"/>
    <w:rsid w:val="00AD71B0"/>
    <w:rsid w:val="00AD72EE"/>
    <w:rsid w:val="00AD7365"/>
    <w:rsid w:val="00AD7439"/>
    <w:rsid w:val="00AD7776"/>
    <w:rsid w:val="00AD7C10"/>
    <w:rsid w:val="00AD7C73"/>
    <w:rsid w:val="00AD7D62"/>
    <w:rsid w:val="00AD7DA5"/>
    <w:rsid w:val="00AD7DD1"/>
    <w:rsid w:val="00AE0082"/>
    <w:rsid w:val="00AE03C8"/>
    <w:rsid w:val="00AE06FD"/>
    <w:rsid w:val="00AE070B"/>
    <w:rsid w:val="00AE0968"/>
    <w:rsid w:val="00AE10AB"/>
    <w:rsid w:val="00AE1297"/>
    <w:rsid w:val="00AE142E"/>
    <w:rsid w:val="00AE15AF"/>
    <w:rsid w:val="00AE189E"/>
    <w:rsid w:val="00AE1914"/>
    <w:rsid w:val="00AE1B88"/>
    <w:rsid w:val="00AE1B8C"/>
    <w:rsid w:val="00AE1C4A"/>
    <w:rsid w:val="00AE1E29"/>
    <w:rsid w:val="00AE1FE4"/>
    <w:rsid w:val="00AE20CE"/>
    <w:rsid w:val="00AE21F2"/>
    <w:rsid w:val="00AE2207"/>
    <w:rsid w:val="00AE2215"/>
    <w:rsid w:val="00AE237E"/>
    <w:rsid w:val="00AE237F"/>
    <w:rsid w:val="00AE23DA"/>
    <w:rsid w:val="00AE269C"/>
    <w:rsid w:val="00AE282E"/>
    <w:rsid w:val="00AE2957"/>
    <w:rsid w:val="00AE2958"/>
    <w:rsid w:val="00AE2AE7"/>
    <w:rsid w:val="00AE2B84"/>
    <w:rsid w:val="00AE2D8E"/>
    <w:rsid w:val="00AE34AB"/>
    <w:rsid w:val="00AE356F"/>
    <w:rsid w:val="00AE38D7"/>
    <w:rsid w:val="00AE3952"/>
    <w:rsid w:val="00AE395A"/>
    <w:rsid w:val="00AE3ABA"/>
    <w:rsid w:val="00AE3B9E"/>
    <w:rsid w:val="00AE3BA8"/>
    <w:rsid w:val="00AE3C37"/>
    <w:rsid w:val="00AE3D46"/>
    <w:rsid w:val="00AE40CF"/>
    <w:rsid w:val="00AE414C"/>
    <w:rsid w:val="00AE41F6"/>
    <w:rsid w:val="00AE42E3"/>
    <w:rsid w:val="00AE43A7"/>
    <w:rsid w:val="00AE441A"/>
    <w:rsid w:val="00AE518C"/>
    <w:rsid w:val="00AE5337"/>
    <w:rsid w:val="00AE5364"/>
    <w:rsid w:val="00AE5537"/>
    <w:rsid w:val="00AE55E7"/>
    <w:rsid w:val="00AE56BB"/>
    <w:rsid w:val="00AE5B86"/>
    <w:rsid w:val="00AE5BD2"/>
    <w:rsid w:val="00AE5D81"/>
    <w:rsid w:val="00AE61B9"/>
    <w:rsid w:val="00AE61FA"/>
    <w:rsid w:val="00AE6515"/>
    <w:rsid w:val="00AE6529"/>
    <w:rsid w:val="00AE6A62"/>
    <w:rsid w:val="00AE6BD9"/>
    <w:rsid w:val="00AE6D38"/>
    <w:rsid w:val="00AE6D86"/>
    <w:rsid w:val="00AE6DB6"/>
    <w:rsid w:val="00AE6F09"/>
    <w:rsid w:val="00AE7188"/>
    <w:rsid w:val="00AE73F1"/>
    <w:rsid w:val="00AE74D7"/>
    <w:rsid w:val="00AE764C"/>
    <w:rsid w:val="00AE776C"/>
    <w:rsid w:val="00AE7798"/>
    <w:rsid w:val="00AE780B"/>
    <w:rsid w:val="00AE7FA7"/>
    <w:rsid w:val="00AF01A3"/>
    <w:rsid w:val="00AF0393"/>
    <w:rsid w:val="00AF0544"/>
    <w:rsid w:val="00AF0766"/>
    <w:rsid w:val="00AF077F"/>
    <w:rsid w:val="00AF0F05"/>
    <w:rsid w:val="00AF0FAF"/>
    <w:rsid w:val="00AF0FF8"/>
    <w:rsid w:val="00AF11D7"/>
    <w:rsid w:val="00AF1394"/>
    <w:rsid w:val="00AF14CB"/>
    <w:rsid w:val="00AF1519"/>
    <w:rsid w:val="00AF17DE"/>
    <w:rsid w:val="00AF1835"/>
    <w:rsid w:val="00AF1908"/>
    <w:rsid w:val="00AF1BFE"/>
    <w:rsid w:val="00AF1C2E"/>
    <w:rsid w:val="00AF2109"/>
    <w:rsid w:val="00AF258B"/>
    <w:rsid w:val="00AF2660"/>
    <w:rsid w:val="00AF28E3"/>
    <w:rsid w:val="00AF2D46"/>
    <w:rsid w:val="00AF2DC8"/>
    <w:rsid w:val="00AF36B9"/>
    <w:rsid w:val="00AF3801"/>
    <w:rsid w:val="00AF3C2F"/>
    <w:rsid w:val="00AF3D1A"/>
    <w:rsid w:val="00AF3D5D"/>
    <w:rsid w:val="00AF3EC8"/>
    <w:rsid w:val="00AF3FCB"/>
    <w:rsid w:val="00AF4100"/>
    <w:rsid w:val="00AF41F0"/>
    <w:rsid w:val="00AF4559"/>
    <w:rsid w:val="00AF45F8"/>
    <w:rsid w:val="00AF463E"/>
    <w:rsid w:val="00AF4655"/>
    <w:rsid w:val="00AF478C"/>
    <w:rsid w:val="00AF4936"/>
    <w:rsid w:val="00AF4CF8"/>
    <w:rsid w:val="00AF4DA3"/>
    <w:rsid w:val="00AF4E1E"/>
    <w:rsid w:val="00AF4EFD"/>
    <w:rsid w:val="00AF517B"/>
    <w:rsid w:val="00AF5311"/>
    <w:rsid w:val="00AF55EB"/>
    <w:rsid w:val="00AF59C8"/>
    <w:rsid w:val="00AF5C9E"/>
    <w:rsid w:val="00AF5F9B"/>
    <w:rsid w:val="00AF615F"/>
    <w:rsid w:val="00AF6660"/>
    <w:rsid w:val="00AF6B53"/>
    <w:rsid w:val="00AF6DB2"/>
    <w:rsid w:val="00AF6F05"/>
    <w:rsid w:val="00AF7137"/>
    <w:rsid w:val="00AF71C4"/>
    <w:rsid w:val="00AF74F6"/>
    <w:rsid w:val="00AF7585"/>
    <w:rsid w:val="00AF75D9"/>
    <w:rsid w:val="00AF77E2"/>
    <w:rsid w:val="00AF784C"/>
    <w:rsid w:val="00AF7CB3"/>
    <w:rsid w:val="00B00081"/>
    <w:rsid w:val="00B00188"/>
    <w:rsid w:val="00B001A3"/>
    <w:rsid w:val="00B0075F"/>
    <w:rsid w:val="00B007F4"/>
    <w:rsid w:val="00B008DE"/>
    <w:rsid w:val="00B00B68"/>
    <w:rsid w:val="00B00D84"/>
    <w:rsid w:val="00B00E27"/>
    <w:rsid w:val="00B0102A"/>
    <w:rsid w:val="00B0166A"/>
    <w:rsid w:val="00B018ED"/>
    <w:rsid w:val="00B01C9B"/>
    <w:rsid w:val="00B01CA7"/>
    <w:rsid w:val="00B01CAF"/>
    <w:rsid w:val="00B01E78"/>
    <w:rsid w:val="00B01FA8"/>
    <w:rsid w:val="00B020ED"/>
    <w:rsid w:val="00B02389"/>
    <w:rsid w:val="00B0244F"/>
    <w:rsid w:val="00B02870"/>
    <w:rsid w:val="00B02A4C"/>
    <w:rsid w:val="00B03097"/>
    <w:rsid w:val="00B0315F"/>
    <w:rsid w:val="00B03194"/>
    <w:rsid w:val="00B03496"/>
    <w:rsid w:val="00B034FE"/>
    <w:rsid w:val="00B0360B"/>
    <w:rsid w:val="00B03954"/>
    <w:rsid w:val="00B03963"/>
    <w:rsid w:val="00B03A7F"/>
    <w:rsid w:val="00B03C60"/>
    <w:rsid w:val="00B03CD9"/>
    <w:rsid w:val="00B03F1B"/>
    <w:rsid w:val="00B042B7"/>
    <w:rsid w:val="00B042C7"/>
    <w:rsid w:val="00B043BE"/>
    <w:rsid w:val="00B04749"/>
    <w:rsid w:val="00B04929"/>
    <w:rsid w:val="00B049A3"/>
    <w:rsid w:val="00B04D7D"/>
    <w:rsid w:val="00B04EAC"/>
    <w:rsid w:val="00B04F9F"/>
    <w:rsid w:val="00B05029"/>
    <w:rsid w:val="00B052E5"/>
    <w:rsid w:val="00B0549D"/>
    <w:rsid w:val="00B05A1D"/>
    <w:rsid w:val="00B05C62"/>
    <w:rsid w:val="00B05D06"/>
    <w:rsid w:val="00B05EE6"/>
    <w:rsid w:val="00B05FF0"/>
    <w:rsid w:val="00B06205"/>
    <w:rsid w:val="00B062A0"/>
    <w:rsid w:val="00B06536"/>
    <w:rsid w:val="00B06572"/>
    <w:rsid w:val="00B065C7"/>
    <w:rsid w:val="00B0669E"/>
    <w:rsid w:val="00B067B7"/>
    <w:rsid w:val="00B06A21"/>
    <w:rsid w:val="00B06A99"/>
    <w:rsid w:val="00B06B67"/>
    <w:rsid w:val="00B06BF6"/>
    <w:rsid w:val="00B06F69"/>
    <w:rsid w:val="00B0761D"/>
    <w:rsid w:val="00B07764"/>
    <w:rsid w:val="00B07A3B"/>
    <w:rsid w:val="00B07AE9"/>
    <w:rsid w:val="00B07D79"/>
    <w:rsid w:val="00B07D8A"/>
    <w:rsid w:val="00B104FF"/>
    <w:rsid w:val="00B10586"/>
    <w:rsid w:val="00B105C5"/>
    <w:rsid w:val="00B10994"/>
    <w:rsid w:val="00B10E7B"/>
    <w:rsid w:val="00B10EDD"/>
    <w:rsid w:val="00B10FC0"/>
    <w:rsid w:val="00B1146F"/>
    <w:rsid w:val="00B114A3"/>
    <w:rsid w:val="00B115C0"/>
    <w:rsid w:val="00B11A04"/>
    <w:rsid w:val="00B11AE9"/>
    <w:rsid w:val="00B11BC7"/>
    <w:rsid w:val="00B11D7D"/>
    <w:rsid w:val="00B1238A"/>
    <w:rsid w:val="00B12405"/>
    <w:rsid w:val="00B12684"/>
    <w:rsid w:val="00B12926"/>
    <w:rsid w:val="00B129D5"/>
    <w:rsid w:val="00B1313F"/>
    <w:rsid w:val="00B13511"/>
    <w:rsid w:val="00B139AA"/>
    <w:rsid w:val="00B13A08"/>
    <w:rsid w:val="00B13A4A"/>
    <w:rsid w:val="00B13C2C"/>
    <w:rsid w:val="00B13CCD"/>
    <w:rsid w:val="00B13DC0"/>
    <w:rsid w:val="00B13F88"/>
    <w:rsid w:val="00B14562"/>
    <w:rsid w:val="00B1467E"/>
    <w:rsid w:val="00B14B2D"/>
    <w:rsid w:val="00B14E91"/>
    <w:rsid w:val="00B150FE"/>
    <w:rsid w:val="00B15273"/>
    <w:rsid w:val="00B15317"/>
    <w:rsid w:val="00B15458"/>
    <w:rsid w:val="00B1575A"/>
    <w:rsid w:val="00B15817"/>
    <w:rsid w:val="00B15885"/>
    <w:rsid w:val="00B15989"/>
    <w:rsid w:val="00B159B2"/>
    <w:rsid w:val="00B15AE2"/>
    <w:rsid w:val="00B160C3"/>
    <w:rsid w:val="00B164AA"/>
    <w:rsid w:val="00B1697E"/>
    <w:rsid w:val="00B16A28"/>
    <w:rsid w:val="00B16E85"/>
    <w:rsid w:val="00B16EE6"/>
    <w:rsid w:val="00B170C2"/>
    <w:rsid w:val="00B173ED"/>
    <w:rsid w:val="00B1793C"/>
    <w:rsid w:val="00B179B1"/>
    <w:rsid w:val="00B17AF5"/>
    <w:rsid w:val="00B17B28"/>
    <w:rsid w:val="00B17B40"/>
    <w:rsid w:val="00B17D7A"/>
    <w:rsid w:val="00B20188"/>
    <w:rsid w:val="00B203F4"/>
    <w:rsid w:val="00B20469"/>
    <w:rsid w:val="00B2076B"/>
    <w:rsid w:val="00B2085E"/>
    <w:rsid w:val="00B20A82"/>
    <w:rsid w:val="00B20B84"/>
    <w:rsid w:val="00B210AB"/>
    <w:rsid w:val="00B210CD"/>
    <w:rsid w:val="00B2113A"/>
    <w:rsid w:val="00B21190"/>
    <w:rsid w:val="00B211E9"/>
    <w:rsid w:val="00B21289"/>
    <w:rsid w:val="00B21337"/>
    <w:rsid w:val="00B215E7"/>
    <w:rsid w:val="00B21A51"/>
    <w:rsid w:val="00B21AB2"/>
    <w:rsid w:val="00B21C40"/>
    <w:rsid w:val="00B21CCE"/>
    <w:rsid w:val="00B223B0"/>
    <w:rsid w:val="00B223C5"/>
    <w:rsid w:val="00B22A6B"/>
    <w:rsid w:val="00B232A8"/>
    <w:rsid w:val="00B232AE"/>
    <w:rsid w:val="00B233F6"/>
    <w:rsid w:val="00B2341E"/>
    <w:rsid w:val="00B2343D"/>
    <w:rsid w:val="00B23466"/>
    <w:rsid w:val="00B236A0"/>
    <w:rsid w:val="00B239CF"/>
    <w:rsid w:val="00B23B0D"/>
    <w:rsid w:val="00B23C06"/>
    <w:rsid w:val="00B23FFB"/>
    <w:rsid w:val="00B241CB"/>
    <w:rsid w:val="00B2433B"/>
    <w:rsid w:val="00B24602"/>
    <w:rsid w:val="00B24641"/>
    <w:rsid w:val="00B24789"/>
    <w:rsid w:val="00B249C8"/>
    <w:rsid w:val="00B24EAA"/>
    <w:rsid w:val="00B24EF5"/>
    <w:rsid w:val="00B252D8"/>
    <w:rsid w:val="00B2544F"/>
    <w:rsid w:val="00B2584C"/>
    <w:rsid w:val="00B2589F"/>
    <w:rsid w:val="00B25D48"/>
    <w:rsid w:val="00B25F0C"/>
    <w:rsid w:val="00B25F3F"/>
    <w:rsid w:val="00B26091"/>
    <w:rsid w:val="00B2617F"/>
    <w:rsid w:val="00B262FA"/>
    <w:rsid w:val="00B26499"/>
    <w:rsid w:val="00B264E7"/>
    <w:rsid w:val="00B26537"/>
    <w:rsid w:val="00B266EB"/>
    <w:rsid w:val="00B2687B"/>
    <w:rsid w:val="00B26A3A"/>
    <w:rsid w:val="00B26D0A"/>
    <w:rsid w:val="00B26DBF"/>
    <w:rsid w:val="00B26EF8"/>
    <w:rsid w:val="00B26F41"/>
    <w:rsid w:val="00B270D7"/>
    <w:rsid w:val="00B27185"/>
    <w:rsid w:val="00B2736C"/>
    <w:rsid w:val="00B276BC"/>
    <w:rsid w:val="00B27A22"/>
    <w:rsid w:val="00B30048"/>
    <w:rsid w:val="00B30074"/>
    <w:rsid w:val="00B304EE"/>
    <w:rsid w:val="00B30533"/>
    <w:rsid w:val="00B3067A"/>
    <w:rsid w:val="00B3089F"/>
    <w:rsid w:val="00B3093C"/>
    <w:rsid w:val="00B30E45"/>
    <w:rsid w:val="00B30E4A"/>
    <w:rsid w:val="00B30E7B"/>
    <w:rsid w:val="00B30F6E"/>
    <w:rsid w:val="00B30FFE"/>
    <w:rsid w:val="00B3118E"/>
    <w:rsid w:val="00B31FDD"/>
    <w:rsid w:val="00B32098"/>
    <w:rsid w:val="00B3210B"/>
    <w:rsid w:val="00B321D7"/>
    <w:rsid w:val="00B32243"/>
    <w:rsid w:val="00B32363"/>
    <w:rsid w:val="00B323FD"/>
    <w:rsid w:val="00B32729"/>
    <w:rsid w:val="00B3283A"/>
    <w:rsid w:val="00B32DC4"/>
    <w:rsid w:val="00B33347"/>
    <w:rsid w:val="00B336C2"/>
    <w:rsid w:val="00B33751"/>
    <w:rsid w:val="00B33817"/>
    <w:rsid w:val="00B33CDB"/>
    <w:rsid w:val="00B33D23"/>
    <w:rsid w:val="00B33F64"/>
    <w:rsid w:val="00B34324"/>
    <w:rsid w:val="00B34377"/>
    <w:rsid w:val="00B344E0"/>
    <w:rsid w:val="00B349E6"/>
    <w:rsid w:val="00B349EC"/>
    <w:rsid w:val="00B34E10"/>
    <w:rsid w:val="00B34EF7"/>
    <w:rsid w:val="00B34F91"/>
    <w:rsid w:val="00B3509D"/>
    <w:rsid w:val="00B35285"/>
    <w:rsid w:val="00B35418"/>
    <w:rsid w:val="00B355B0"/>
    <w:rsid w:val="00B355F6"/>
    <w:rsid w:val="00B35612"/>
    <w:rsid w:val="00B35B82"/>
    <w:rsid w:val="00B35D68"/>
    <w:rsid w:val="00B35FDB"/>
    <w:rsid w:val="00B3602E"/>
    <w:rsid w:val="00B3620F"/>
    <w:rsid w:val="00B36361"/>
    <w:rsid w:val="00B36469"/>
    <w:rsid w:val="00B3648A"/>
    <w:rsid w:val="00B365E2"/>
    <w:rsid w:val="00B366CE"/>
    <w:rsid w:val="00B36D4B"/>
    <w:rsid w:val="00B36FC4"/>
    <w:rsid w:val="00B371B4"/>
    <w:rsid w:val="00B372DD"/>
    <w:rsid w:val="00B374DB"/>
    <w:rsid w:val="00B3760D"/>
    <w:rsid w:val="00B37824"/>
    <w:rsid w:val="00B37FE7"/>
    <w:rsid w:val="00B400BD"/>
    <w:rsid w:val="00B400F3"/>
    <w:rsid w:val="00B401A9"/>
    <w:rsid w:val="00B404B2"/>
    <w:rsid w:val="00B40AFF"/>
    <w:rsid w:val="00B40BA7"/>
    <w:rsid w:val="00B40CFB"/>
    <w:rsid w:val="00B40D5E"/>
    <w:rsid w:val="00B40ED6"/>
    <w:rsid w:val="00B41044"/>
    <w:rsid w:val="00B411D4"/>
    <w:rsid w:val="00B4176B"/>
    <w:rsid w:val="00B41BBD"/>
    <w:rsid w:val="00B42218"/>
    <w:rsid w:val="00B42254"/>
    <w:rsid w:val="00B423F9"/>
    <w:rsid w:val="00B426B0"/>
    <w:rsid w:val="00B429C1"/>
    <w:rsid w:val="00B429F3"/>
    <w:rsid w:val="00B42D20"/>
    <w:rsid w:val="00B42F22"/>
    <w:rsid w:val="00B4361D"/>
    <w:rsid w:val="00B438EE"/>
    <w:rsid w:val="00B43950"/>
    <w:rsid w:val="00B439DA"/>
    <w:rsid w:val="00B43B4A"/>
    <w:rsid w:val="00B43CA3"/>
    <w:rsid w:val="00B43D0F"/>
    <w:rsid w:val="00B44271"/>
    <w:rsid w:val="00B443DB"/>
    <w:rsid w:val="00B44930"/>
    <w:rsid w:val="00B4496F"/>
    <w:rsid w:val="00B44AA8"/>
    <w:rsid w:val="00B44C8C"/>
    <w:rsid w:val="00B44DC8"/>
    <w:rsid w:val="00B45168"/>
    <w:rsid w:val="00B45171"/>
    <w:rsid w:val="00B452F8"/>
    <w:rsid w:val="00B45773"/>
    <w:rsid w:val="00B45A1E"/>
    <w:rsid w:val="00B45B6D"/>
    <w:rsid w:val="00B45C2A"/>
    <w:rsid w:val="00B45CC1"/>
    <w:rsid w:val="00B45E70"/>
    <w:rsid w:val="00B46066"/>
    <w:rsid w:val="00B46373"/>
    <w:rsid w:val="00B465D4"/>
    <w:rsid w:val="00B46911"/>
    <w:rsid w:val="00B4692C"/>
    <w:rsid w:val="00B469AF"/>
    <w:rsid w:val="00B469DB"/>
    <w:rsid w:val="00B46B05"/>
    <w:rsid w:val="00B46C88"/>
    <w:rsid w:val="00B46DA2"/>
    <w:rsid w:val="00B46EFA"/>
    <w:rsid w:val="00B46F50"/>
    <w:rsid w:val="00B470EE"/>
    <w:rsid w:val="00B475A6"/>
    <w:rsid w:val="00B477A9"/>
    <w:rsid w:val="00B47A0A"/>
    <w:rsid w:val="00B47A3D"/>
    <w:rsid w:val="00B47C43"/>
    <w:rsid w:val="00B47CF1"/>
    <w:rsid w:val="00B50366"/>
    <w:rsid w:val="00B50539"/>
    <w:rsid w:val="00B505A6"/>
    <w:rsid w:val="00B506AD"/>
    <w:rsid w:val="00B50C02"/>
    <w:rsid w:val="00B50C2F"/>
    <w:rsid w:val="00B50D0C"/>
    <w:rsid w:val="00B50EB6"/>
    <w:rsid w:val="00B513D8"/>
    <w:rsid w:val="00B5142A"/>
    <w:rsid w:val="00B5156B"/>
    <w:rsid w:val="00B516B7"/>
    <w:rsid w:val="00B51721"/>
    <w:rsid w:val="00B518E6"/>
    <w:rsid w:val="00B51A1B"/>
    <w:rsid w:val="00B51CCC"/>
    <w:rsid w:val="00B51DD3"/>
    <w:rsid w:val="00B51ED8"/>
    <w:rsid w:val="00B51F5E"/>
    <w:rsid w:val="00B52534"/>
    <w:rsid w:val="00B528DA"/>
    <w:rsid w:val="00B528FC"/>
    <w:rsid w:val="00B529AF"/>
    <w:rsid w:val="00B52D0A"/>
    <w:rsid w:val="00B52E11"/>
    <w:rsid w:val="00B5306E"/>
    <w:rsid w:val="00B53256"/>
    <w:rsid w:val="00B53296"/>
    <w:rsid w:val="00B533F6"/>
    <w:rsid w:val="00B5360C"/>
    <w:rsid w:val="00B539B1"/>
    <w:rsid w:val="00B53CA8"/>
    <w:rsid w:val="00B53D53"/>
    <w:rsid w:val="00B53DE9"/>
    <w:rsid w:val="00B53E1B"/>
    <w:rsid w:val="00B54112"/>
    <w:rsid w:val="00B5413F"/>
    <w:rsid w:val="00B54267"/>
    <w:rsid w:val="00B5438E"/>
    <w:rsid w:val="00B543E8"/>
    <w:rsid w:val="00B543ED"/>
    <w:rsid w:val="00B543F8"/>
    <w:rsid w:val="00B54440"/>
    <w:rsid w:val="00B54486"/>
    <w:rsid w:val="00B54979"/>
    <w:rsid w:val="00B5497C"/>
    <w:rsid w:val="00B54AB4"/>
    <w:rsid w:val="00B54B7E"/>
    <w:rsid w:val="00B54F6F"/>
    <w:rsid w:val="00B55387"/>
    <w:rsid w:val="00B55403"/>
    <w:rsid w:val="00B554D1"/>
    <w:rsid w:val="00B558C5"/>
    <w:rsid w:val="00B55DCE"/>
    <w:rsid w:val="00B563FC"/>
    <w:rsid w:val="00B56723"/>
    <w:rsid w:val="00B56DB0"/>
    <w:rsid w:val="00B5734E"/>
    <w:rsid w:val="00B573B5"/>
    <w:rsid w:val="00B5761C"/>
    <w:rsid w:val="00B57DC4"/>
    <w:rsid w:val="00B57DF8"/>
    <w:rsid w:val="00B601AE"/>
    <w:rsid w:val="00B603AF"/>
    <w:rsid w:val="00B603BB"/>
    <w:rsid w:val="00B6055F"/>
    <w:rsid w:val="00B606BE"/>
    <w:rsid w:val="00B607CE"/>
    <w:rsid w:val="00B608E7"/>
    <w:rsid w:val="00B60AA8"/>
    <w:rsid w:val="00B613A1"/>
    <w:rsid w:val="00B613A4"/>
    <w:rsid w:val="00B61E56"/>
    <w:rsid w:val="00B621B8"/>
    <w:rsid w:val="00B622F1"/>
    <w:rsid w:val="00B62700"/>
    <w:rsid w:val="00B628ED"/>
    <w:rsid w:val="00B62A9B"/>
    <w:rsid w:val="00B62AA9"/>
    <w:rsid w:val="00B62D7A"/>
    <w:rsid w:val="00B63269"/>
    <w:rsid w:val="00B6354A"/>
    <w:rsid w:val="00B63609"/>
    <w:rsid w:val="00B63C37"/>
    <w:rsid w:val="00B63C8D"/>
    <w:rsid w:val="00B641D4"/>
    <w:rsid w:val="00B64293"/>
    <w:rsid w:val="00B6464A"/>
    <w:rsid w:val="00B64734"/>
    <w:rsid w:val="00B64D95"/>
    <w:rsid w:val="00B64DB1"/>
    <w:rsid w:val="00B65432"/>
    <w:rsid w:val="00B65884"/>
    <w:rsid w:val="00B65A8F"/>
    <w:rsid w:val="00B65AD0"/>
    <w:rsid w:val="00B65BDC"/>
    <w:rsid w:val="00B65C7B"/>
    <w:rsid w:val="00B65E93"/>
    <w:rsid w:val="00B66192"/>
    <w:rsid w:val="00B661DB"/>
    <w:rsid w:val="00B661DF"/>
    <w:rsid w:val="00B6647E"/>
    <w:rsid w:val="00B66553"/>
    <w:rsid w:val="00B66805"/>
    <w:rsid w:val="00B66A61"/>
    <w:rsid w:val="00B66A84"/>
    <w:rsid w:val="00B66D6E"/>
    <w:rsid w:val="00B66E76"/>
    <w:rsid w:val="00B66F00"/>
    <w:rsid w:val="00B673F2"/>
    <w:rsid w:val="00B67617"/>
    <w:rsid w:val="00B67680"/>
    <w:rsid w:val="00B67893"/>
    <w:rsid w:val="00B67928"/>
    <w:rsid w:val="00B67AC8"/>
    <w:rsid w:val="00B70277"/>
    <w:rsid w:val="00B7034B"/>
    <w:rsid w:val="00B704F8"/>
    <w:rsid w:val="00B709D3"/>
    <w:rsid w:val="00B70B3E"/>
    <w:rsid w:val="00B70C6F"/>
    <w:rsid w:val="00B70E21"/>
    <w:rsid w:val="00B70E8D"/>
    <w:rsid w:val="00B70ED3"/>
    <w:rsid w:val="00B71233"/>
    <w:rsid w:val="00B71268"/>
    <w:rsid w:val="00B71351"/>
    <w:rsid w:val="00B7160A"/>
    <w:rsid w:val="00B71995"/>
    <w:rsid w:val="00B71B2A"/>
    <w:rsid w:val="00B71CA7"/>
    <w:rsid w:val="00B71D18"/>
    <w:rsid w:val="00B72112"/>
    <w:rsid w:val="00B7211C"/>
    <w:rsid w:val="00B7215E"/>
    <w:rsid w:val="00B7218B"/>
    <w:rsid w:val="00B723CB"/>
    <w:rsid w:val="00B726B0"/>
    <w:rsid w:val="00B72B94"/>
    <w:rsid w:val="00B72BAE"/>
    <w:rsid w:val="00B72CC2"/>
    <w:rsid w:val="00B72D47"/>
    <w:rsid w:val="00B730B4"/>
    <w:rsid w:val="00B7324A"/>
    <w:rsid w:val="00B73273"/>
    <w:rsid w:val="00B7337B"/>
    <w:rsid w:val="00B73580"/>
    <w:rsid w:val="00B7384F"/>
    <w:rsid w:val="00B73932"/>
    <w:rsid w:val="00B73BAC"/>
    <w:rsid w:val="00B73E10"/>
    <w:rsid w:val="00B73F9D"/>
    <w:rsid w:val="00B7402C"/>
    <w:rsid w:val="00B740DB"/>
    <w:rsid w:val="00B74277"/>
    <w:rsid w:val="00B74545"/>
    <w:rsid w:val="00B74677"/>
    <w:rsid w:val="00B748CF"/>
    <w:rsid w:val="00B749FE"/>
    <w:rsid w:val="00B74E0D"/>
    <w:rsid w:val="00B750EC"/>
    <w:rsid w:val="00B75334"/>
    <w:rsid w:val="00B755B3"/>
    <w:rsid w:val="00B756B1"/>
    <w:rsid w:val="00B75714"/>
    <w:rsid w:val="00B75838"/>
    <w:rsid w:val="00B75B4E"/>
    <w:rsid w:val="00B75B9A"/>
    <w:rsid w:val="00B75D87"/>
    <w:rsid w:val="00B75F32"/>
    <w:rsid w:val="00B76449"/>
    <w:rsid w:val="00B764E0"/>
    <w:rsid w:val="00B766E8"/>
    <w:rsid w:val="00B76BD3"/>
    <w:rsid w:val="00B76CDC"/>
    <w:rsid w:val="00B76CDE"/>
    <w:rsid w:val="00B76ED5"/>
    <w:rsid w:val="00B772B7"/>
    <w:rsid w:val="00B7766F"/>
    <w:rsid w:val="00B77989"/>
    <w:rsid w:val="00B77BCF"/>
    <w:rsid w:val="00B77C4C"/>
    <w:rsid w:val="00B77D04"/>
    <w:rsid w:val="00B80129"/>
    <w:rsid w:val="00B80270"/>
    <w:rsid w:val="00B8053C"/>
    <w:rsid w:val="00B807CF"/>
    <w:rsid w:val="00B80902"/>
    <w:rsid w:val="00B8095C"/>
    <w:rsid w:val="00B80CCA"/>
    <w:rsid w:val="00B80F65"/>
    <w:rsid w:val="00B810E1"/>
    <w:rsid w:val="00B8135F"/>
    <w:rsid w:val="00B813B9"/>
    <w:rsid w:val="00B81EB4"/>
    <w:rsid w:val="00B82070"/>
    <w:rsid w:val="00B8209B"/>
    <w:rsid w:val="00B8211F"/>
    <w:rsid w:val="00B82565"/>
    <w:rsid w:val="00B82893"/>
    <w:rsid w:val="00B82915"/>
    <w:rsid w:val="00B82930"/>
    <w:rsid w:val="00B82A66"/>
    <w:rsid w:val="00B82D42"/>
    <w:rsid w:val="00B82E69"/>
    <w:rsid w:val="00B82E6B"/>
    <w:rsid w:val="00B832B2"/>
    <w:rsid w:val="00B833DD"/>
    <w:rsid w:val="00B835D8"/>
    <w:rsid w:val="00B8370D"/>
    <w:rsid w:val="00B83756"/>
    <w:rsid w:val="00B8385B"/>
    <w:rsid w:val="00B8392A"/>
    <w:rsid w:val="00B83B50"/>
    <w:rsid w:val="00B83C83"/>
    <w:rsid w:val="00B83DEC"/>
    <w:rsid w:val="00B8404C"/>
    <w:rsid w:val="00B840B8"/>
    <w:rsid w:val="00B8490D"/>
    <w:rsid w:val="00B84AB5"/>
    <w:rsid w:val="00B84B46"/>
    <w:rsid w:val="00B84DA6"/>
    <w:rsid w:val="00B85183"/>
    <w:rsid w:val="00B851CE"/>
    <w:rsid w:val="00B85275"/>
    <w:rsid w:val="00B8585D"/>
    <w:rsid w:val="00B85978"/>
    <w:rsid w:val="00B85B41"/>
    <w:rsid w:val="00B85C8A"/>
    <w:rsid w:val="00B85CB7"/>
    <w:rsid w:val="00B862E8"/>
    <w:rsid w:val="00B863B7"/>
    <w:rsid w:val="00B863B9"/>
    <w:rsid w:val="00B86512"/>
    <w:rsid w:val="00B86CB1"/>
    <w:rsid w:val="00B86DCA"/>
    <w:rsid w:val="00B86EC5"/>
    <w:rsid w:val="00B87476"/>
    <w:rsid w:val="00B87503"/>
    <w:rsid w:val="00B87523"/>
    <w:rsid w:val="00B879B2"/>
    <w:rsid w:val="00B87A04"/>
    <w:rsid w:val="00B87C35"/>
    <w:rsid w:val="00B90652"/>
    <w:rsid w:val="00B9065B"/>
    <w:rsid w:val="00B90745"/>
    <w:rsid w:val="00B90B45"/>
    <w:rsid w:val="00B90C1A"/>
    <w:rsid w:val="00B90CE1"/>
    <w:rsid w:val="00B9134A"/>
    <w:rsid w:val="00B914CD"/>
    <w:rsid w:val="00B919F5"/>
    <w:rsid w:val="00B91B1B"/>
    <w:rsid w:val="00B91C8A"/>
    <w:rsid w:val="00B91D71"/>
    <w:rsid w:val="00B91E1E"/>
    <w:rsid w:val="00B92037"/>
    <w:rsid w:val="00B920A2"/>
    <w:rsid w:val="00B921F2"/>
    <w:rsid w:val="00B92276"/>
    <w:rsid w:val="00B92295"/>
    <w:rsid w:val="00B92683"/>
    <w:rsid w:val="00B92C8D"/>
    <w:rsid w:val="00B92C99"/>
    <w:rsid w:val="00B92ED3"/>
    <w:rsid w:val="00B92F87"/>
    <w:rsid w:val="00B92F8E"/>
    <w:rsid w:val="00B932D3"/>
    <w:rsid w:val="00B932FA"/>
    <w:rsid w:val="00B93441"/>
    <w:rsid w:val="00B93479"/>
    <w:rsid w:val="00B9365F"/>
    <w:rsid w:val="00B93A85"/>
    <w:rsid w:val="00B93ABD"/>
    <w:rsid w:val="00B9411E"/>
    <w:rsid w:val="00B94212"/>
    <w:rsid w:val="00B945AE"/>
    <w:rsid w:val="00B945F0"/>
    <w:rsid w:val="00B945FB"/>
    <w:rsid w:val="00B947C9"/>
    <w:rsid w:val="00B94A26"/>
    <w:rsid w:val="00B94D0A"/>
    <w:rsid w:val="00B94E73"/>
    <w:rsid w:val="00B94F42"/>
    <w:rsid w:val="00B95161"/>
    <w:rsid w:val="00B952F9"/>
    <w:rsid w:val="00B9574B"/>
    <w:rsid w:val="00B95C1F"/>
    <w:rsid w:val="00B95FF2"/>
    <w:rsid w:val="00B9616B"/>
    <w:rsid w:val="00B962C2"/>
    <w:rsid w:val="00B96305"/>
    <w:rsid w:val="00B96742"/>
    <w:rsid w:val="00B9689C"/>
    <w:rsid w:val="00B96962"/>
    <w:rsid w:val="00B96E55"/>
    <w:rsid w:val="00B97361"/>
    <w:rsid w:val="00B974AA"/>
    <w:rsid w:val="00B977CE"/>
    <w:rsid w:val="00B97A8D"/>
    <w:rsid w:val="00B97D2F"/>
    <w:rsid w:val="00BA005C"/>
    <w:rsid w:val="00BA0134"/>
    <w:rsid w:val="00BA02E9"/>
    <w:rsid w:val="00BA0576"/>
    <w:rsid w:val="00BA065A"/>
    <w:rsid w:val="00BA0A1C"/>
    <w:rsid w:val="00BA0A58"/>
    <w:rsid w:val="00BA0AFC"/>
    <w:rsid w:val="00BA0CD1"/>
    <w:rsid w:val="00BA0D64"/>
    <w:rsid w:val="00BA0D8E"/>
    <w:rsid w:val="00BA0EB9"/>
    <w:rsid w:val="00BA0ED8"/>
    <w:rsid w:val="00BA0F01"/>
    <w:rsid w:val="00BA0F69"/>
    <w:rsid w:val="00BA10C0"/>
    <w:rsid w:val="00BA11DD"/>
    <w:rsid w:val="00BA1619"/>
    <w:rsid w:val="00BA1686"/>
    <w:rsid w:val="00BA18BB"/>
    <w:rsid w:val="00BA1901"/>
    <w:rsid w:val="00BA195B"/>
    <w:rsid w:val="00BA1AA0"/>
    <w:rsid w:val="00BA1C8B"/>
    <w:rsid w:val="00BA20AD"/>
    <w:rsid w:val="00BA20BE"/>
    <w:rsid w:val="00BA2B0B"/>
    <w:rsid w:val="00BA2EEC"/>
    <w:rsid w:val="00BA33C5"/>
    <w:rsid w:val="00BA357D"/>
    <w:rsid w:val="00BA3619"/>
    <w:rsid w:val="00BA370E"/>
    <w:rsid w:val="00BA3803"/>
    <w:rsid w:val="00BA386A"/>
    <w:rsid w:val="00BA3A58"/>
    <w:rsid w:val="00BA3AB6"/>
    <w:rsid w:val="00BA400D"/>
    <w:rsid w:val="00BA41FB"/>
    <w:rsid w:val="00BA4315"/>
    <w:rsid w:val="00BA4359"/>
    <w:rsid w:val="00BA44B2"/>
    <w:rsid w:val="00BA44F5"/>
    <w:rsid w:val="00BA4659"/>
    <w:rsid w:val="00BA4677"/>
    <w:rsid w:val="00BA46D0"/>
    <w:rsid w:val="00BA4700"/>
    <w:rsid w:val="00BA4A6F"/>
    <w:rsid w:val="00BA4F04"/>
    <w:rsid w:val="00BA4FB2"/>
    <w:rsid w:val="00BA5073"/>
    <w:rsid w:val="00BA52BB"/>
    <w:rsid w:val="00BA52F5"/>
    <w:rsid w:val="00BA5401"/>
    <w:rsid w:val="00BA5409"/>
    <w:rsid w:val="00BA5789"/>
    <w:rsid w:val="00BA58B9"/>
    <w:rsid w:val="00BA5B23"/>
    <w:rsid w:val="00BA5FEC"/>
    <w:rsid w:val="00BA6086"/>
    <w:rsid w:val="00BA6256"/>
    <w:rsid w:val="00BA6280"/>
    <w:rsid w:val="00BA6465"/>
    <w:rsid w:val="00BA65B4"/>
    <w:rsid w:val="00BA6766"/>
    <w:rsid w:val="00BA68F6"/>
    <w:rsid w:val="00BA6926"/>
    <w:rsid w:val="00BA6BDE"/>
    <w:rsid w:val="00BA6DE3"/>
    <w:rsid w:val="00BA6F61"/>
    <w:rsid w:val="00BA73F4"/>
    <w:rsid w:val="00BA73F5"/>
    <w:rsid w:val="00BA73FF"/>
    <w:rsid w:val="00BA751D"/>
    <w:rsid w:val="00BA7E35"/>
    <w:rsid w:val="00BA7E8A"/>
    <w:rsid w:val="00BB01CE"/>
    <w:rsid w:val="00BB042E"/>
    <w:rsid w:val="00BB0672"/>
    <w:rsid w:val="00BB0702"/>
    <w:rsid w:val="00BB07A5"/>
    <w:rsid w:val="00BB08A5"/>
    <w:rsid w:val="00BB0A53"/>
    <w:rsid w:val="00BB0C65"/>
    <w:rsid w:val="00BB0DA1"/>
    <w:rsid w:val="00BB0FE0"/>
    <w:rsid w:val="00BB110C"/>
    <w:rsid w:val="00BB11EB"/>
    <w:rsid w:val="00BB11EF"/>
    <w:rsid w:val="00BB1289"/>
    <w:rsid w:val="00BB1612"/>
    <w:rsid w:val="00BB16BF"/>
    <w:rsid w:val="00BB1909"/>
    <w:rsid w:val="00BB1AC2"/>
    <w:rsid w:val="00BB1B2F"/>
    <w:rsid w:val="00BB1C06"/>
    <w:rsid w:val="00BB1E16"/>
    <w:rsid w:val="00BB1ED0"/>
    <w:rsid w:val="00BB2238"/>
    <w:rsid w:val="00BB248F"/>
    <w:rsid w:val="00BB258D"/>
    <w:rsid w:val="00BB25C7"/>
    <w:rsid w:val="00BB2771"/>
    <w:rsid w:val="00BB2A7F"/>
    <w:rsid w:val="00BB2C41"/>
    <w:rsid w:val="00BB2E05"/>
    <w:rsid w:val="00BB2EC8"/>
    <w:rsid w:val="00BB2F72"/>
    <w:rsid w:val="00BB319E"/>
    <w:rsid w:val="00BB33DD"/>
    <w:rsid w:val="00BB3A46"/>
    <w:rsid w:val="00BB3A7B"/>
    <w:rsid w:val="00BB3B5A"/>
    <w:rsid w:val="00BB3D34"/>
    <w:rsid w:val="00BB3DEE"/>
    <w:rsid w:val="00BB3E4A"/>
    <w:rsid w:val="00BB40F7"/>
    <w:rsid w:val="00BB4339"/>
    <w:rsid w:val="00BB43EE"/>
    <w:rsid w:val="00BB43FC"/>
    <w:rsid w:val="00BB446B"/>
    <w:rsid w:val="00BB44C6"/>
    <w:rsid w:val="00BB4626"/>
    <w:rsid w:val="00BB4694"/>
    <w:rsid w:val="00BB46BF"/>
    <w:rsid w:val="00BB53F8"/>
    <w:rsid w:val="00BB5544"/>
    <w:rsid w:val="00BB5A17"/>
    <w:rsid w:val="00BB6013"/>
    <w:rsid w:val="00BB613F"/>
    <w:rsid w:val="00BB6457"/>
    <w:rsid w:val="00BB64AA"/>
    <w:rsid w:val="00BB6501"/>
    <w:rsid w:val="00BB6717"/>
    <w:rsid w:val="00BB6DDA"/>
    <w:rsid w:val="00BB6F29"/>
    <w:rsid w:val="00BB7182"/>
    <w:rsid w:val="00BB763A"/>
    <w:rsid w:val="00BB7846"/>
    <w:rsid w:val="00BB7A75"/>
    <w:rsid w:val="00BC021D"/>
    <w:rsid w:val="00BC025E"/>
    <w:rsid w:val="00BC0360"/>
    <w:rsid w:val="00BC0453"/>
    <w:rsid w:val="00BC056A"/>
    <w:rsid w:val="00BC0739"/>
    <w:rsid w:val="00BC07C8"/>
    <w:rsid w:val="00BC0B25"/>
    <w:rsid w:val="00BC0D3F"/>
    <w:rsid w:val="00BC1077"/>
    <w:rsid w:val="00BC108A"/>
    <w:rsid w:val="00BC10B9"/>
    <w:rsid w:val="00BC1484"/>
    <w:rsid w:val="00BC14C6"/>
    <w:rsid w:val="00BC16A5"/>
    <w:rsid w:val="00BC1A96"/>
    <w:rsid w:val="00BC1C03"/>
    <w:rsid w:val="00BC1EEF"/>
    <w:rsid w:val="00BC1F29"/>
    <w:rsid w:val="00BC2436"/>
    <w:rsid w:val="00BC271D"/>
    <w:rsid w:val="00BC2A3A"/>
    <w:rsid w:val="00BC2D57"/>
    <w:rsid w:val="00BC2E54"/>
    <w:rsid w:val="00BC2FDB"/>
    <w:rsid w:val="00BC340C"/>
    <w:rsid w:val="00BC34C2"/>
    <w:rsid w:val="00BC373A"/>
    <w:rsid w:val="00BC37B6"/>
    <w:rsid w:val="00BC3849"/>
    <w:rsid w:val="00BC38C1"/>
    <w:rsid w:val="00BC3B6F"/>
    <w:rsid w:val="00BC3D35"/>
    <w:rsid w:val="00BC411E"/>
    <w:rsid w:val="00BC415C"/>
    <w:rsid w:val="00BC41B3"/>
    <w:rsid w:val="00BC4552"/>
    <w:rsid w:val="00BC4C05"/>
    <w:rsid w:val="00BC4F53"/>
    <w:rsid w:val="00BC4F7F"/>
    <w:rsid w:val="00BC4FC2"/>
    <w:rsid w:val="00BC508E"/>
    <w:rsid w:val="00BC50F1"/>
    <w:rsid w:val="00BC540E"/>
    <w:rsid w:val="00BC576D"/>
    <w:rsid w:val="00BC58CE"/>
    <w:rsid w:val="00BC599D"/>
    <w:rsid w:val="00BC5A7A"/>
    <w:rsid w:val="00BC5D20"/>
    <w:rsid w:val="00BC627F"/>
    <w:rsid w:val="00BC65FB"/>
    <w:rsid w:val="00BC66C9"/>
    <w:rsid w:val="00BC6ACF"/>
    <w:rsid w:val="00BC6BB9"/>
    <w:rsid w:val="00BC6E19"/>
    <w:rsid w:val="00BC7271"/>
    <w:rsid w:val="00BC761D"/>
    <w:rsid w:val="00BC7CCD"/>
    <w:rsid w:val="00BD0011"/>
    <w:rsid w:val="00BD00C2"/>
    <w:rsid w:val="00BD03EA"/>
    <w:rsid w:val="00BD089E"/>
    <w:rsid w:val="00BD0B7F"/>
    <w:rsid w:val="00BD0D08"/>
    <w:rsid w:val="00BD0D7A"/>
    <w:rsid w:val="00BD1233"/>
    <w:rsid w:val="00BD127E"/>
    <w:rsid w:val="00BD1293"/>
    <w:rsid w:val="00BD14FA"/>
    <w:rsid w:val="00BD159C"/>
    <w:rsid w:val="00BD161E"/>
    <w:rsid w:val="00BD1A42"/>
    <w:rsid w:val="00BD1B3D"/>
    <w:rsid w:val="00BD1C3A"/>
    <w:rsid w:val="00BD1C86"/>
    <w:rsid w:val="00BD20CD"/>
    <w:rsid w:val="00BD213C"/>
    <w:rsid w:val="00BD21FC"/>
    <w:rsid w:val="00BD2225"/>
    <w:rsid w:val="00BD246E"/>
    <w:rsid w:val="00BD269F"/>
    <w:rsid w:val="00BD26E1"/>
    <w:rsid w:val="00BD27B2"/>
    <w:rsid w:val="00BD296E"/>
    <w:rsid w:val="00BD29CB"/>
    <w:rsid w:val="00BD2B58"/>
    <w:rsid w:val="00BD2F41"/>
    <w:rsid w:val="00BD325E"/>
    <w:rsid w:val="00BD362A"/>
    <w:rsid w:val="00BD37B4"/>
    <w:rsid w:val="00BD37C2"/>
    <w:rsid w:val="00BD3823"/>
    <w:rsid w:val="00BD3993"/>
    <w:rsid w:val="00BD3D58"/>
    <w:rsid w:val="00BD44BB"/>
    <w:rsid w:val="00BD454D"/>
    <w:rsid w:val="00BD45D7"/>
    <w:rsid w:val="00BD475E"/>
    <w:rsid w:val="00BD497F"/>
    <w:rsid w:val="00BD4A4C"/>
    <w:rsid w:val="00BD4D0E"/>
    <w:rsid w:val="00BD4F2D"/>
    <w:rsid w:val="00BD4FA2"/>
    <w:rsid w:val="00BD5105"/>
    <w:rsid w:val="00BD52CF"/>
    <w:rsid w:val="00BD53AA"/>
    <w:rsid w:val="00BD55E5"/>
    <w:rsid w:val="00BD5972"/>
    <w:rsid w:val="00BD5B86"/>
    <w:rsid w:val="00BD5CE6"/>
    <w:rsid w:val="00BD5FAF"/>
    <w:rsid w:val="00BD5FF2"/>
    <w:rsid w:val="00BD61D7"/>
    <w:rsid w:val="00BD6292"/>
    <w:rsid w:val="00BD6647"/>
    <w:rsid w:val="00BD6BDF"/>
    <w:rsid w:val="00BD6BEC"/>
    <w:rsid w:val="00BD6CE5"/>
    <w:rsid w:val="00BD6D59"/>
    <w:rsid w:val="00BD6DAE"/>
    <w:rsid w:val="00BD6E59"/>
    <w:rsid w:val="00BD6F8C"/>
    <w:rsid w:val="00BD707B"/>
    <w:rsid w:val="00BD711D"/>
    <w:rsid w:val="00BD71F1"/>
    <w:rsid w:val="00BD72F0"/>
    <w:rsid w:val="00BD755C"/>
    <w:rsid w:val="00BD79F6"/>
    <w:rsid w:val="00BD7B25"/>
    <w:rsid w:val="00BD7D51"/>
    <w:rsid w:val="00BD7EFB"/>
    <w:rsid w:val="00BE0103"/>
    <w:rsid w:val="00BE0373"/>
    <w:rsid w:val="00BE044D"/>
    <w:rsid w:val="00BE044E"/>
    <w:rsid w:val="00BE0587"/>
    <w:rsid w:val="00BE06B0"/>
    <w:rsid w:val="00BE08E4"/>
    <w:rsid w:val="00BE09DD"/>
    <w:rsid w:val="00BE0B58"/>
    <w:rsid w:val="00BE0FB9"/>
    <w:rsid w:val="00BE107E"/>
    <w:rsid w:val="00BE1195"/>
    <w:rsid w:val="00BE12F2"/>
    <w:rsid w:val="00BE14AD"/>
    <w:rsid w:val="00BE18CB"/>
    <w:rsid w:val="00BE1C18"/>
    <w:rsid w:val="00BE1DF2"/>
    <w:rsid w:val="00BE1E6F"/>
    <w:rsid w:val="00BE1FE5"/>
    <w:rsid w:val="00BE2121"/>
    <w:rsid w:val="00BE25E5"/>
    <w:rsid w:val="00BE262E"/>
    <w:rsid w:val="00BE295B"/>
    <w:rsid w:val="00BE2D25"/>
    <w:rsid w:val="00BE2DD2"/>
    <w:rsid w:val="00BE2FE1"/>
    <w:rsid w:val="00BE3182"/>
    <w:rsid w:val="00BE3303"/>
    <w:rsid w:val="00BE3491"/>
    <w:rsid w:val="00BE3797"/>
    <w:rsid w:val="00BE398F"/>
    <w:rsid w:val="00BE3B52"/>
    <w:rsid w:val="00BE3D99"/>
    <w:rsid w:val="00BE3EBB"/>
    <w:rsid w:val="00BE4050"/>
    <w:rsid w:val="00BE4054"/>
    <w:rsid w:val="00BE40C2"/>
    <w:rsid w:val="00BE42B6"/>
    <w:rsid w:val="00BE4376"/>
    <w:rsid w:val="00BE44F4"/>
    <w:rsid w:val="00BE4708"/>
    <w:rsid w:val="00BE479C"/>
    <w:rsid w:val="00BE48F5"/>
    <w:rsid w:val="00BE4E1E"/>
    <w:rsid w:val="00BE4FB2"/>
    <w:rsid w:val="00BE4FFF"/>
    <w:rsid w:val="00BE50B2"/>
    <w:rsid w:val="00BE50FC"/>
    <w:rsid w:val="00BE5298"/>
    <w:rsid w:val="00BE53CA"/>
    <w:rsid w:val="00BE58A0"/>
    <w:rsid w:val="00BE5A18"/>
    <w:rsid w:val="00BE5A59"/>
    <w:rsid w:val="00BE5C85"/>
    <w:rsid w:val="00BE5C89"/>
    <w:rsid w:val="00BE612E"/>
    <w:rsid w:val="00BE6195"/>
    <w:rsid w:val="00BE646F"/>
    <w:rsid w:val="00BE65EF"/>
    <w:rsid w:val="00BE65F9"/>
    <w:rsid w:val="00BE6B12"/>
    <w:rsid w:val="00BE6C60"/>
    <w:rsid w:val="00BE6F87"/>
    <w:rsid w:val="00BE6FDC"/>
    <w:rsid w:val="00BE701A"/>
    <w:rsid w:val="00BE7095"/>
    <w:rsid w:val="00BE7876"/>
    <w:rsid w:val="00BE7915"/>
    <w:rsid w:val="00BE7946"/>
    <w:rsid w:val="00BE794A"/>
    <w:rsid w:val="00BE799B"/>
    <w:rsid w:val="00BE7CF5"/>
    <w:rsid w:val="00BE7DF5"/>
    <w:rsid w:val="00BF03F6"/>
    <w:rsid w:val="00BF053A"/>
    <w:rsid w:val="00BF05EF"/>
    <w:rsid w:val="00BF07D8"/>
    <w:rsid w:val="00BF0847"/>
    <w:rsid w:val="00BF09E2"/>
    <w:rsid w:val="00BF0B40"/>
    <w:rsid w:val="00BF0C46"/>
    <w:rsid w:val="00BF10C4"/>
    <w:rsid w:val="00BF1297"/>
    <w:rsid w:val="00BF1395"/>
    <w:rsid w:val="00BF14E7"/>
    <w:rsid w:val="00BF1822"/>
    <w:rsid w:val="00BF1AB5"/>
    <w:rsid w:val="00BF1B28"/>
    <w:rsid w:val="00BF1BCD"/>
    <w:rsid w:val="00BF1D37"/>
    <w:rsid w:val="00BF1DCD"/>
    <w:rsid w:val="00BF1E90"/>
    <w:rsid w:val="00BF2540"/>
    <w:rsid w:val="00BF2699"/>
    <w:rsid w:val="00BF2933"/>
    <w:rsid w:val="00BF2D01"/>
    <w:rsid w:val="00BF2DE0"/>
    <w:rsid w:val="00BF3003"/>
    <w:rsid w:val="00BF3701"/>
    <w:rsid w:val="00BF37D2"/>
    <w:rsid w:val="00BF3812"/>
    <w:rsid w:val="00BF3C3B"/>
    <w:rsid w:val="00BF3C9F"/>
    <w:rsid w:val="00BF3DBF"/>
    <w:rsid w:val="00BF3E48"/>
    <w:rsid w:val="00BF417D"/>
    <w:rsid w:val="00BF44EE"/>
    <w:rsid w:val="00BF45FC"/>
    <w:rsid w:val="00BF4629"/>
    <w:rsid w:val="00BF4710"/>
    <w:rsid w:val="00BF4810"/>
    <w:rsid w:val="00BF4869"/>
    <w:rsid w:val="00BF4879"/>
    <w:rsid w:val="00BF48CD"/>
    <w:rsid w:val="00BF495A"/>
    <w:rsid w:val="00BF4F2E"/>
    <w:rsid w:val="00BF51F7"/>
    <w:rsid w:val="00BF55AD"/>
    <w:rsid w:val="00BF5629"/>
    <w:rsid w:val="00BF594C"/>
    <w:rsid w:val="00BF5986"/>
    <w:rsid w:val="00BF5A47"/>
    <w:rsid w:val="00BF5CE6"/>
    <w:rsid w:val="00BF5D55"/>
    <w:rsid w:val="00BF5F52"/>
    <w:rsid w:val="00BF5F58"/>
    <w:rsid w:val="00BF5FA1"/>
    <w:rsid w:val="00BF6074"/>
    <w:rsid w:val="00BF6091"/>
    <w:rsid w:val="00BF6104"/>
    <w:rsid w:val="00BF61F9"/>
    <w:rsid w:val="00BF6242"/>
    <w:rsid w:val="00BF6655"/>
    <w:rsid w:val="00BF6A33"/>
    <w:rsid w:val="00BF6A69"/>
    <w:rsid w:val="00BF6AD1"/>
    <w:rsid w:val="00BF6C19"/>
    <w:rsid w:val="00BF6EE4"/>
    <w:rsid w:val="00BF72CB"/>
    <w:rsid w:val="00BF7466"/>
    <w:rsid w:val="00BF7693"/>
    <w:rsid w:val="00BF7814"/>
    <w:rsid w:val="00BF7942"/>
    <w:rsid w:val="00BF7A46"/>
    <w:rsid w:val="00BF7AFE"/>
    <w:rsid w:val="00BF7B4B"/>
    <w:rsid w:val="00BF7E4F"/>
    <w:rsid w:val="00C00020"/>
    <w:rsid w:val="00C00048"/>
    <w:rsid w:val="00C00136"/>
    <w:rsid w:val="00C00463"/>
    <w:rsid w:val="00C004C1"/>
    <w:rsid w:val="00C00762"/>
    <w:rsid w:val="00C008C1"/>
    <w:rsid w:val="00C00966"/>
    <w:rsid w:val="00C00B61"/>
    <w:rsid w:val="00C00C5C"/>
    <w:rsid w:val="00C00D4B"/>
    <w:rsid w:val="00C013CD"/>
    <w:rsid w:val="00C016AA"/>
    <w:rsid w:val="00C01713"/>
    <w:rsid w:val="00C01875"/>
    <w:rsid w:val="00C0188C"/>
    <w:rsid w:val="00C019DA"/>
    <w:rsid w:val="00C020A1"/>
    <w:rsid w:val="00C021BA"/>
    <w:rsid w:val="00C02274"/>
    <w:rsid w:val="00C022AA"/>
    <w:rsid w:val="00C023CE"/>
    <w:rsid w:val="00C023D6"/>
    <w:rsid w:val="00C026D8"/>
    <w:rsid w:val="00C027A5"/>
    <w:rsid w:val="00C02920"/>
    <w:rsid w:val="00C02C51"/>
    <w:rsid w:val="00C02D3D"/>
    <w:rsid w:val="00C02D3E"/>
    <w:rsid w:val="00C02F82"/>
    <w:rsid w:val="00C03003"/>
    <w:rsid w:val="00C03293"/>
    <w:rsid w:val="00C0342D"/>
    <w:rsid w:val="00C03630"/>
    <w:rsid w:val="00C03959"/>
    <w:rsid w:val="00C03B00"/>
    <w:rsid w:val="00C03B01"/>
    <w:rsid w:val="00C03B6B"/>
    <w:rsid w:val="00C03F2D"/>
    <w:rsid w:val="00C041BD"/>
    <w:rsid w:val="00C0424B"/>
    <w:rsid w:val="00C043FD"/>
    <w:rsid w:val="00C047FE"/>
    <w:rsid w:val="00C048D7"/>
    <w:rsid w:val="00C0490D"/>
    <w:rsid w:val="00C04A6A"/>
    <w:rsid w:val="00C0522A"/>
    <w:rsid w:val="00C05311"/>
    <w:rsid w:val="00C055A4"/>
    <w:rsid w:val="00C055BF"/>
    <w:rsid w:val="00C05886"/>
    <w:rsid w:val="00C05A68"/>
    <w:rsid w:val="00C05C34"/>
    <w:rsid w:val="00C05ED1"/>
    <w:rsid w:val="00C060D4"/>
    <w:rsid w:val="00C063AF"/>
    <w:rsid w:val="00C066DF"/>
    <w:rsid w:val="00C06769"/>
    <w:rsid w:val="00C069E3"/>
    <w:rsid w:val="00C06A2C"/>
    <w:rsid w:val="00C06AFB"/>
    <w:rsid w:val="00C06F2F"/>
    <w:rsid w:val="00C06F79"/>
    <w:rsid w:val="00C06FF8"/>
    <w:rsid w:val="00C0700A"/>
    <w:rsid w:val="00C078D6"/>
    <w:rsid w:val="00C078F3"/>
    <w:rsid w:val="00C07B2D"/>
    <w:rsid w:val="00C07BBE"/>
    <w:rsid w:val="00C07F91"/>
    <w:rsid w:val="00C101E0"/>
    <w:rsid w:val="00C10227"/>
    <w:rsid w:val="00C102BE"/>
    <w:rsid w:val="00C10517"/>
    <w:rsid w:val="00C1059B"/>
    <w:rsid w:val="00C1069E"/>
    <w:rsid w:val="00C108A2"/>
    <w:rsid w:val="00C10B85"/>
    <w:rsid w:val="00C10D67"/>
    <w:rsid w:val="00C10E23"/>
    <w:rsid w:val="00C10E83"/>
    <w:rsid w:val="00C1137D"/>
    <w:rsid w:val="00C1156F"/>
    <w:rsid w:val="00C1158B"/>
    <w:rsid w:val="00C115DC"/>
    <w:rsid w:val="00C11BD8"/>
    <w:rsid w:val="00C11C77"/>
    <w:rsid w:val="00C11FAC"/>
    <w:rsid w:val="00C1219E"/>
    <w:rsid w:val="00C1226E"/>
    <w:rsid w:val="00C1242C"/>
    <w:rsid w:val="00C1243E"/>
    <w:rsid w:val="00C12663"/>
    <w:rsid w:val="00C12B11"/>
    <w:rsid w:val="00C12E14"/>
    <w:rsid w:val="00C13440"/>
    <w:rsid w:val="00C1346C"/>
    <w:rsid w:val="00C134CB"/>
    <w:rsid w:val="00C1365F"/>
    <w:rsid w:val="00C13676"/>
    <w:rsid w:val="00C1379F"/>
    <w:rsid w:val="00C139D4"/>
    <w:rsid w:val="00C13D5E"/>
    <w:rsid w:val="00C13DA5"/>
    <w:rsid w:val="00C1432B"/>
    <w:rsid w:val="00C143EF"/>
    <w:rsid w:val="00C145D0"/>
    <w:rsid w:val="00C146CE"/>
    <w:rsid w:val="00C146E9"/>
    <w:rsid w:val="00C14780"/>
    <w:rsid w:val="00C14E06"/>
    <w:rsid w:val="00C14F47"/>
    <w:rsid w:val="00C15128"/>
    <w:rsid w:val="00C153D7"/>
    <w:rsid w:val="00C15426"/>
    <w:rsid w:val="00C158BD"/>
    <w:rsid w:val="00C15C1D"/>
    <w:rsid w:val="00C15D35"/>
    <w:rsid w:val="00C15E8C"/>
    <w:rsid w:val="00C15F44"/>
    <w:rsid w:val="00C16212"/>
    <w:rsid w:val="00C16233"/>
    <w:rsid w:val="00C1665C"/>
    <w:rsid w:val="00C16770"/>
    <w:rsid w:val="00C16793"/>
    <w:rsid w:val="00C167E1"/>
    <w:rsid w:val="00C1681C"/>
    <w:rsid w:val="00C16867"/>
    <w:rsid w:val="00C168D6"/>
    <w:rsid w:val="00C1726A"/>
    <w:rsid w:val="00C177F7"/>
    <w:rsid w:val="00C1785B"/>
    <w:rsid w:val="00C17C2C"/>
    <w:rsid w:val="00C17E9C"/>
    <w:rsid w:val="00C20047"/>
    <w:rsid w:val="00C201D7"/>
    <w:rsid w:val="00C20273"/>
    <w:rsid w:val="00C202FF"/>
    <w:rsid w:val="00C2030A"/>
    <w:rsid w:val="00C20350"/>
    <w:rsid w:val="00C2035F"/>
    <w:rsid w:val="00C2077D"/>
    <w:rsid w:val="00C20895"/>
    <w:rsid w:val="00C208C1"/>
    <w:rsid w:val="00C2093A"/>
    <w:rsid w:val="00C20B5C"/>
    <w:rsid w:val="00C20C5A"/>
    <w:rsid w:val="00C20CCC"/>
    <w:rsid w:val="00C20DE8"/>
    <w:rsid w:val="00C20EB5"/>
    <w:rsid w:val="00C20EB6"/>
    <w:rsid w:val="00C20F1E"/>
    <w:rsid w:val="00C20F36"/>
    <w:rsid w:val="00C20FF3"/>
    <w:rsid w:val="00C2129C"/>
    <w:rsid w:val="00C213FC"/>
    <w:rsid w:val="00C21427"/>
    <w:rsid w:val="00C214FE"/>
    <w:rsid w:val="00C21978"/>
    <w:rsid w:val="00C21A92"/>
    <w:rsid w:val="00C21CD0"/>
    <w:rsid w:val="00C220BE"/>
    <w:rsid w:val="00C22118"/>
    <w:rsid w:val="00C22348"/>
    <w:rsid w:val="00C2253B"/>
    <w:rsid w:val="00C22697"/>
    <w:rsid w:val="00C226D5"/>
    <w:rsid w:val="00C2293B"/>
    <w:rsid w:val="00C22953"/>
    <w:rsid w:val="00C22E23"/>
    <w:rsid w:val="00C22F4C"/>
    <w:rsid w:val="00C22F9A"/>
    <w:rsid w:val="00C22FBA"/>
    <w:rsid w:val="00C23058"/>
    <w:rsid w:val="00C230D7"/>
    <w:rsid w:val="00C2310C"/>
    <w:rsid w:val="00C23155"/>
    <w:rsid w:val="00C2335E"/>
    <w:rsid w:val="00C23490"/>
    <w:rsid w:val="00C2353E"/>
    <w:rsid w:val="00C2377C"/>
    <w:rsid w:val="00C23866"/>
    <w:rsid w:val="00C23D7E"/>
    <w:rsid w:val="00C24078"/>
    <w:rsid w:val="00C24369"/>
    <w:rsid w:val="00C24505"/>
    <w:rsid w:val="00C248B4"/>
    <w:rsid w:val="00C24AAC"/>
    <w:rsid w:val="00C24AE4"/>
    <w:rsid w:val="00C24B4C"/>
    <w:rsid w:val="00C24BA5"/>
    <w:rsid w:val="00C24CF0"/>
    <w:rsid w:val="00C24CF1"/>
    <w:rsid w:val="00C24E1F"/>
    <w:rsid w:val="00C24ED6"/>
    <w:rsid w:val="00C24F75"/>
    <w:rsid w:val="00C250C7"/>
    <w:rsid w:val="00C25121"/>
    <w:rsid w:val="00C2522B"/>
    <w:rsid w:val="00C2524C"/>
    <w:rsid w:val="00C252C7"/>
    <w:rsid w:val="00C253FE"/>
    <w:rsid w:val="00C25519"/>
    <w:rsid w:val="00C25829"/>
    <w:rsid w:val="00C25A89"/>
    <w:rsid w:val="00C260AC"/>
    <w:rsid w:val="00C26165"/>
    <w:rsid w:val="00C262EF"/>
    <w:rsid w:val="00C2631C"/>
    <w:rsid w:val="00C263EE"/>
    <w:rsid w:val="00C26605"/>
    <w:rsid w:val="00C26774"/>
    <w:rsid w:val="00C268E2"/>
    <w:rsid w:val="00C2696F"/>
    <w:rsid w:val="00C26996"/>
    <w:rsid w:val="00C26C12"/>
    <w:rsid w:val="00C26C83"/>
    <w:rsid w:val="00C26CDA"/>
    <w:rsid w:val="00C27345"/>
    <w:rsid w:val="00C2734E"/>
    <w:rsid w:val="00C273F2"/>
    <w:rsid w:val="00C2754E"/>
    <w:rsid w:val="00C27AB9"/>
    <w:rsid w:val="00C27C35"/>
    <w:rsid w:val="00C27C3B"/>
    <w:rsid w:val="00C27F49"/>
    <w:rsid w:val="00C30004"/>
    <w:rsid w:val="00C30078"/>
    <w:rsid w:val="00C30342"/>
    <w:rsid w:val="00C30455"/>
    <w:rsid w:val="00C30461"/>
    <w:rsid w:val="00C306A9"/>
    <w:rsid w:val="00C30778"/>
    <w:rsid w:val="00C30828"/>
    <w:rsid w:val="00C309FB"/>
    <w:rsid w:val="00C30CA8"/>
    <w:rsid w:val="00C30DE2"/>
    <w:rsid w:val="00C30E96"/>
    <w:rsid w:val="00C30F12"/>
    <w:rsid w:val="00C31438"/>
    <w:rsid w:val="00C316F9"/>
    <w:rsid w:val="00C319B7"/>
    <w:rsid w:val="00C31F27"/>
    <w:rsid w:val="00C3223B"/>
    <w:rsid w:val="00C32811"/>
    <w:rsid w:val="00C3289A"/>
    <w:rsid w:val="00C32C27"/>
    <w:rsid w:val="00C32E95"/>
    <w:rsid w:val="00C330FD"/>
    <w:rsid w:val="00C3313E"/>
    <w:rsid w:val="00C33667"/>
    <w:rsid w:val="00C33871"/>
    <w:rsid w:val="00C33BAA"/>
    <w:rsid w:val="00C33CE4"/>
    <w:rsid w:val="00C34260"/>
    <w:rsid w:val="00C3460F"/>
    <w:rsid w:val="00C3485A"/>
    <w:rsid w:val="00C34977"/>
    <w:rsid w:val="00C34C02"/>
    <w:rsid w:val="00C34D1E"/>
    <w:rsid w:val="00C34EC9"/>
    <w:rsid w:val="00C3511B"/>
    <w:rsid w:val="00C35191"/>
    <w:rsid w:val="00C3521D"/>
    <w:rsid w:val="00C35334"/>
    <w:rsid w:val="00C35963"/>
    <w:rsid w:val="00C35A13"/>
    <w:rsid w:val="00C35A48"/>
    <w:rsid w:val="00C35AC5"/>
    <w:rsid w:val="00C35AD9"/>
    <w:rsid w:val="00C35ADC"/>
    <w:rsid w:val="00C35C9E"/>
    <w:rsid w:val="00C3620E"/>
    <w:rsid w:val="00C365C4"/>
    <w:rsid w:val="00C3671A"/>
    <w:rsid w:val="00C36FCD"/>
    <w:rsid w:val="00C370C2"/>
    <w:rsid w:val="00C3712A"/>
    <w:rsid w:val="00C37763"/>
    <w:rsid w:val="00C3789E"/>
    <w:rsid w:val="00C37A99"/>
    <w:rsid w:val="00C37BEC"/>
    <w:rsid w:val="00C37F39"/>
    <w:rsid w:val="00C402A2"/>
    <w:rsid w:val="00C402EE"/>
    <w:rsid w:val="00C4053B"/>
    <w:rsid w:val="00C4054C"/>
    <w:rsid w:val="00C4059A"/>
    <w:rsid w:val="00C405D3"/>
    <w:rsid w:val="00C411C6"/>
    <w:rsid w:val="00C41554"/>
    <w:rsid w:val="00C416C0"/>
    <w:rsid w:val="00C41E96"/>
    <w:rsid w:val="00C42033"/>
    <w:rsid w:val="00C42783"/>
    <w:rsid w:val="00C430B7"/>
    <w:rsid w:val="00C43107"/>
    <w:rsid w:val="00C43173"/>
    <w:rsid w:val="00C4318C"/>
    <w:rsid w:val="00C431F9"/>
    <w:rsid w:val="00C4340B"/>
    <w:rsid w:val="00C435C8"/>
    <w:rsid w:val="00C43850"/>
    <w:rsid w:val="00C43A59"/>
    <w:rsid w:val="00C43C34"/>
    <w:rsid w:val="00C43D5A"/>
    <w:rsid w:val="00C43FEE"/>
    <w:rsid w:val="00C44162"/>
    <w:rsid w:val="00C4488E"/>
    <w:rsid w:val="00C44A29"/>
    <w:rsid w:val="00C44B72"/>
    <w:rsid w:val="00C44D6D"/>
    <w:rsid w:val="00C44E37"/>
    <w:rsid w:val="00C44EE2"/>
    <w:rsid w:val="00C452F6"/>
    <w:rsid w:val="00C45586"/>
    <w:rsid w:val="00C45798"/>
    <w:rsid w:val="00C457E2"/>
    <w:rsid w:val="00C45A44"/>
    <w:rsid w:val="00C45AE0"/>
    <w:rsid w:val="00C45AFD"/>
    <w:rsid w:val="00C45BEB"/>
    <w:rsid w:val="00C45D36"/>
    <w:rsid w:val="00C45E4A"/>
    <w:rsid w:val="00C45E65"/>
    <w:rsid w:val="00C45E83"/>
    <w:rsid w:val="00C461BD"/>
    <w:rsid w:val="00C46251"/>
    <w:rsid w:val="00C463BA"/>
    <w:rsid w:val="00C46449"/>
    <w:rsid w:val="00C464BD"/>
    <w:rsid w:val="00C46581"/>
    <w:rsid w:val="00C46584"/>
    <w:rsid w:val="00C46701"/>
    <w:rsid w:val="00C46767"/>
    <w:rsid w:val="00C46836"/>
    <w:rsid w:val="00C46C6D"/>
    <w:rsid w:val="00C46D06"/>
    <w:rsid w:val="00C46E7E"/>
    <w:rsid w:val="00C4701F"/>
    <w:rsid w:val="00C47194"/>
    <w:rsid w:val="00C4752F"/>
    <w:rsid w:val="00C4789D"/>
    <w:rsid w:val="00C47A49"/>
    <w:rsid w:val="00C47C8A"/>
    <w:rsid w:val="00C47E7B"/>
    <w:rsid w:val="00C47FEE"/>
    <w:rsid w:val="00C50395"/>
    <w:rsid w:val="00C5068E"/>
    <w:rsid w:val="00C50866"/>
    <w:rsid w:val="00C50B08"/>
    <w:rsid w:val="00C50BC8"/>
    <w:rsid w:val="00C50C19"/>
    <w:rsid w:val="00C50DAF"/>
    <w:rsid w:val="00C510EA"/>
    <w:rsid w:val="00C512F5"/>
    <w:rsid w:val="00C516F6"/>
    <w:rsid w:val="00C51844"/>
    <w:rsid w:val="00C51A34"/>
    <w:rsid w:val="00C51A9D"/>
    <w:rsid w:val="00C51AEB"/>
    <w:rsid w:val="00C51AEC"/>
    <w:rsid w:val="00C51F75"/>
    <w:rsid w:val="00C51FA8"/>
    <w:rsid w:val="00C52008"/>
    <w:rsid w:val="00C520D8"/>
    <w:rsid w:val="00C52299"/>
    <w:rsid w:val="00C5231A"/>
    <w:rsid w:val="00C5233C"/>
    <w:rsid w:val="00C5238F"/>
    <w:rsid w:val="00C52396"/>
    <w:rsid w:val="00C524A2"/>
    <w:rsid w:val="00C52688"/>
    <w:rsid w:val="00C527BA"/>
    <w:rsid w:val="00C52827"/>
    <w:rsid w:val="00C52938"/>
    <w:rsid w:val="00C52BFE"/>
    <w:rsid w:val="00C52C4B"/>
    <w:rsid w:val="00C53102"/>
    <w:rsid w:val="00C532C4"/>
    <w:rsid w:val="00C5339B"/>
    <w:rsid w:val="00C535CB"/>
    <w:rsid w:val="00C5374F"/>
    <w:rsid w:val="00C53805"/>
    <w:rsid w:val="00C53820"/>
    <w:rsid w:val="00C53939"/>
    <w:rsid w:val="00C53A4B"/>
    <w:rsid w:val="00C53CC3"/>
    <w:rsid w:val="00C53F8D"/>
    <w:rsid w:val="00C54224"/>
    <w:rsid w:val="00C54309"/>
    <w:rsid w:val="00C54A8B"/>
    <w:rsid w:val="00C54CAB"/>
    <w:rsid w:val="00C54CE0"/>
    <w:rsid w:val="00C54E80"/>
    <w:rsid w:val="00C55056"/>
    <w:rsid w:val="00C553C0"/>
    <w:rsid w:val="00C558B3"/>
    <w:rsid w:val="00C5593B"/>
    <w:rsid w:val="00C5593D"/>
    <w:rsid w:val="00C55986"/>
    <w:rsid w:val="00C55C8E"/>
    <w:rsid w:val="00C55DBE"/>
    <w:rsid w:val="00C55F3E"/>
    <w:rsid w:val="00C55FD3"/>
    <w:rsid w:val="00C5602B"/>
    <w:rsid w:val="00C562B1"/>
    <w:rsid w:val="00C565DE"/>
    <w:rsid w:val="00C568CE"/>
    <w:rsid w:val="00C5697F"/>
    <w:rsid w:val="00C569B5"/>
    <w:rsid w:val="00C56AB3"/>
    <w:rsid w:val="00C56C2B"/>
    <w:rsid w:val="00C56CB3"/>
    <w:rsid w:val="00C57096"/>
    <w:rsid w:val="00C570F4"/>
    <w:rsid w:val="00C57380"/>
    <w:rsid w:val="00C5745C"/>
    <w:rsid w:val="00C57621"/>
    <w:rsid w:val="00C57755"/>
    <w:rsid w:val="00C57938"/>
    <w:rsid w:val="00C57A09"/>
    <w:rsid w:val="00C57EA8"/>
    <w:rsid w:val="00C57FB6"/>
    <w:rsid w:val="00C60072"/>
    <w:rsid w:val="00C600FD"/>
    <w:rsid w:val="00C60168"/>
    <w:rsid w:val="00C60529"/>
    <w:rsid w:val="00C605C9"/>
    <w:rsid w:val="00C605FF"/>
    <w:rsid w:val="00C60918"/>
    <w:rsid w:val="00C60C76"/>
    <w:rsid w:val="00C60CF5"/>
    <w:rsid w:val="00C612A6"/>
    <w:rsid w:val="00C6140E"/>
    <w:rsid w:val="00C6152F"/>
    <w:rsid w:val="00C617FA"/>
    <w:rsid w:val="00C619F8"/>
    <w:rsid w:val="00C61A5A"/>
    <w:rsid w:val="00C61CC9"/>
    <w:rsid w:val="00C61CDE"/>
    <w:rsid w:val="00C6201C"/>
    <w:rsid w:val="00C62067"/>
    <w:rsid w:val="00C622A8"/>
    <w:rsid w:val="00C62345"/>
    <w:rsid w:val="00C62535"/>
    <w:rsid w:val="00C62635"/>
    <w:rsid w:val="00C6263C"/>
    <w:rsid w:val="00C6270B"/>
    <w:rsid w:val="00C62779"/>
    <w:rsid w:val="00C62F70"/>
    <w:rsid w:val="00C632D5"/>
    <w:rsid w:val="00C63394"/>
    <w:rsid w:val="00C633DD"/>
    <w:rsid w:val="00C63659"/>
    <w:rsid w:val="00C63B7A"/>
    <w:rsid w:val="00C63BD3"/>
    <w:rsid w:val="00C63BE3"/>
    <w:rsid w:val="00C63D71"/>
    <w:rsid w:val="00C63EBA"/>
    <w:rsid w:val="00C641D4"/>
    <w:rsid w:val="00C641EE"/>
    <w:rsid w:val="00C64224"/>
    <w:rsid w:val="00C642F9"/>
    <w:rsid w:val="00C648DD"/>
    <w:rsid w:val="00C64CA0"/>
    <w:rsid w:val="00C64F2C"/>
    <w:rsid w:val="00C655DD"/>
    <w:rsid w:val="00C6581B"/>
    <w:rsid w:val="00C65900"/>
    <w:rsid w:val="00C6592A"/>
    <w:rsid w:val="00C65CC7"/>
    <w:rsid w:val="00C65DA6"/>
    <w:rsid w:val="00C65F6A"/>
    <w:rsid w:val="00C660A6"/>
    <w:rsid w:val="00C66102"/>
    <w:rsid w:val="00C66165"/>
    <w:rsid w:val="00C662A3"/>
    <w:rsid w:val="00C66869"/>
    <w:rsid w:val="00C668DA"/>
    <w:rsid w:val="00C66AF6"/>
    <w:rsid w:val="00C66C32"/>
    <w:rsid w:val="00C6746E"/>
    <w:rsid w:val="00C674B8"/>
    <w:rsid w:val="00C67622"/>
    <w:rsid w:val="00C67895"/>
    <w:rsid w:val="00C67C1D"/>
    <w:rsid w:val="00C67CC3"/>
    <w:rsid w:val="00C67F14"/>
    <w:rsid w:val="00C7017E"/>
    <w:rsid w:val="00C702E2"/>
    <w:rsid w:val="00C70305"/>
    <w:rsid w:val="00C70308"/>
    <w:rsid w:val="00C705CB"/>
    <w:rsid w:val="00C7084A"/>
    <w:rsid w:val="00C70874"/>
    <w:rsid w:val="00C70938"/>
    <w:rsid w:val="00C70A2E"/>
    <w:rsid w:val="00C70C80"/>
    <w:rsid w:val="00C70CDB"/>
    <w:rsid w:val="00C70FEF"/>
    <w:rsid w:val="00C71158"/>
    <w:rsid w:val="00C71259"/>
    <w:rsid w:val="00C71296"/>
    <w:rsid w:val="00C713F8"/>
    <w:rsid w:val="00C719A8"/>
    <w:rsid w:val="00C71AC5"/>
    <w:rsid w:val="00C71B06"/>
    <w:rsid w:val="00C71D45"/>
    <w:rsid w:val="00C7200F"/>
    <w:rsid w:val="00C721FC"/>
    <w:rsid w:val="00C72286"/>
    <w:rsid w:val="00C722CA"/>
    <w:rsid w:val="00C724E7"/>
    <w:rsid w:val="00C725F9"/>
    <w:rsid w:val="00C72659"/>
    <w:rsid w:val="00C727DA"/>
    <w:rsid w:val="00C72969"/>
    <w:rsid w:val="00C72AF5"/>
    <w:rsid w:val="00C72F74"/>
    <w:rsid w:val="00C732AA"/>
    <w:rsid w:val="00C73387"/>
    <w:rsid w:val="00C73511"/>
    <w:rsid w:val="00C735AE"/>
    <w:rsid w:val="00C73738"/>
    <w:rsid w:val="00C73780"/>
    <w:rsid w:val="00C73E9E"/>
    <w:rsid w:val="00C73EDB"/>
    <w:rsid w:val="00C74064"/>
    <w:rsid w:val="00C74159"/>
    <w:rsid w:val="00C741A0"/>
    <w:rsid w:val="00C7430D"/>
    <w:rsid w:val="00C74594"/>
    <w:rsid w:val="00C74A39"/>
    <w:rsid w:val="00C74CCA"/>
    <w:rsid w:val="00C74D06"/>
    <w:rsid w:val="00C74D35"/>
    <w:rsid w:val="00C74D9E"/>
    <w:rsid w:val="00C74FF6"/>
    <w:rsid w:val="00C7532E"/>
    <w:rsid w:val="00C7539C"/>
    <w:rsid w:val="00C755DE"/>
    <w:rsid w:val="00C75A56"/>
    <w:rsid w:val="00C75B01"/>
    <w:rsid w:val="00C75B6A"/>
    <w:rsid w:val="00C75BB4"/>
    <w:rsid w:val="00C75E40"/>
    <w:rsid w:val="00C75F5A"/>
    <w:rsid w:val="00C76170"/>
    <w:rsid w:val="00C763A3"/>
    <w:rsid w:val="00C764CC"/>
    <w:rsid w:val="00C76696"/>
    <w:rsid w:val="00C76724"/>
    <w:rsid w:val="00C76986"/>
    <w:rsid w:val="00C76A7F"/>
    <w:rsid w:val="00C76DB7"/>
    <w:rsid w:val="00C770A4"/>
    <w:rsid w:val="00C7742B"/>
    <w:rsid w:val="00C776F4"/>
    <w:rsid w:val="00C77D88"/>
    <w:rsid w:val="00C77F36"/>
    <w:rsid w:val="00C80270"/>
    <w:rsid w:val="00C8032C"/>
    <w:rsid w:val="00C8048F"/>
    <w:rsid w:val="00C8052A"/>
    <w:rsid w:val="00C80763"/>
    <w:rsid w:val="00C80D1B"/>
    <w:rsid w:val="00C80F36"/>
    <w:rsid w:val="00C80F6C"/>
    <w:rsid w:val="00C80FDB"/>
    <w:rsid w:val="00C81915"/>
    <w:rsid w:val="00C81AED"/>
    <w:rsid w:val="00C81C0D"/>
    <w:rsid w:val="00C81CDA"/>
    <w:rsid w:val="00C81E58"/>
    <w:rsid w:val="00C82224"/>
    <w:rsid w:val="00C82638"/>
    <w:rsid w:val="00C82E0F"/>
    <w:rsid w:val="00C82F30"/>
    <w:rsid w:val="00C82FD9"/>
    <w:rsid w:val="00C82FEB"/>
    <w:rsid w:val="00C832A7"/>
    <w:rsid w:val="00C8332B"/>
    <w:rsid w:val="00C8366B"/>
    <w:rsid w:val="00C83AD0"/>
    <w:rsid w:val="00C8403C"/>
    <w:rsid w:val="00C844FF"/>
    <w:rsid w:val="00C84604"/>
    <w:rsid w:val="00C847B8"/>
    <w:rsid w:val="00C847DB"/>
    <w:rsid w:val="00C8492E"/>
    <w:rsid w:val="00C84A25"/>
    <w:rsid w:val="00C84B29"/>
    <w:rsid w:val="00C84DDD"/>
    <w:rsid w:val="00C84E9F"/>
    <w:rsid w:val="00C84FA0"/>
    <w:rsid w:val="00C8503E"/>
    <w:rsid w:val="00C85120"/>
    <w:rsid w:val="00C851A4"/>
    <w:rsid w:val="00C85311"/>
    <w:rsid w:val="00C855BD"/>
    <w:rsid w:val="00C85659"/>
    <w:rsid w:val="00C85697"/>
    <w:rsid w:val="00C85852"/>
    <w:rsid w:val="00C859C4"/>
    <w:rsid w:val="00C85BC6"/>
    <w:rsid w:val="00C85D63"/>
    <w:rsid w:val="00C85E21"/>
    <w:rsid w:val="00C85E45"/>
    <w:rsid w:val="00C86729"/>
    <w:rsid w:val="00C86765"/>
    <w:rsid w:val="00C86961"/>
    <w:rsid w:val="00C86BE2"/>
    <w:rsid w:val="00C86C8D"/>
    <w:rsid w:val="00C86CE4"/>
    <w:rsid w:val="00C86CF6"/>
    <w:rsid w:val="00C86E90"/>
    <w:rsid w:val="00C870CA"/>
    <w:rsid w:val="00C87723"/>
    <w:rsid w:val="00C87ABA"/>
    <w:rsid w:val="00C87F8A"/>
    <w:rsid w:val="00C8CD2B"/>
    <w:rsid w:val="00C900A0"/>
    <w:rsid w:val="00C9018F"/>
    <w:rsid w:val="00C9024E"/>
    <w:rsid w:val="00C90291"/>
    <w:rsid w:val="00C904C8"/>
    <w:rsid w:val="00C90997"/>
    <w:rsid w:val="00C90BEC"/>
    <w:rsid w:val="00C90C39"/>
    <w:rsid w:val="00C911D7"/>
    <w:rsid w:val="00C91416"/>
    <w:rsid w:val="00C914CF"/>
    <w:rsid w:val="00C91652"/>
    <w:rsid w:val="00C916E8"/>
    <w:rsid w:val="00C91706"/>
    <w:rsid w:val="00C91773"/>
    <w:rsid w:val="00C918FB"/>
    <w:rsid w:val="00C91B8C"/>
    <w:rsid w:val="00C91E83"/>
    <w:rsid w:val="00C92076"/>
    <w:rsid w:val="00C92155"/>
    <w:rsid w:val="00C921AF"/>
    <w:rsid w:val="00C921F7"/>
    <w:rsid w:val="00C924B7"/>
    <w:rsid w:val="00C926AF"/>
    <w:rsid w:val="00C92EDD"/>
    <w:rsid w:val="00C93934"/>
    <w:rsid w:val="00C93BBF"/>
    <w:rsid w:val="00C93CC4"/>
    <w:rsid w:val="00C93DA8"/>
    <w:rsid w:val="00C94047"/>
    <w:rsid w:val="00C9490B"/>
    <w:rsid w:val="00C94AF7"/>
    <w:rsid w:val="00C94B4B"/>
    <w:rsid w:val="00C94BFB"/>
    <w:rsid w:val="00C94E01"/>
    <w:rsid w:val="00C94EFD"/>
    <w:rsid w:val="00C94FD4"/>
    <w:rsid w:val="00C9511C"/>
    <w:rsid w:val="00C95484"/>
    <w:rsid w:val="00C9571C"/>
    <w:rsid w:val="00C95AB8"/>
    <w:rsid w:val="00C95BA5"/>
    <w:rsid w:val="00C95BC3"/>
    <w:rsid w:val="00C95E71"/>
    <w:rsid w:val="00C96228"/>
    <w:rsid w:val="00C96276"/>
    <w:rsid w:val="00C96724"/>
    <w:rsid w:val="00C9673A"/>
    <w:rsid w:val="00C967F9"/>
    <w:rsid w:val="00C969DB"/>
    <w:rsid w:val="00C96CEA"/>
    <w:rsid w:val="00C96D81"/>
    <w:rsid w:val="00C96E6B"/>
    <w:rsid w:val="00C96EDB"/>
    <w:rsid w:val="00C96F41"/>
    <w:rsid w:val="00C97186"/>
    <w:rsid w:val="00C971F0"/>
    <w:rsid w:val="00C973DD"/>
    <w:rsid w:val="00C97595"/>
    <w:rsid w:val="00C97748"/>
    <w:rsid w:val="00C97EC3"/>
    <w:rsid w:val="00C97F0F"/>
    <w:rsid w:val="00CA008A"/>
    <w:rsid w:val="00CA0133"/>
    <w:rsid w:val="00CA01CB"/>
    <w:rsid w:val="00CA01DE"/>
    <w:rsid w:val="00CA020E"/>
    <w:rsid w:val="00CA03C9"/>
    <w:rsid w:val="00CA0890"/>
    <w:rsid w:val="00CA0933"/>
    <w:rsid w:val="00CA0C12"/>
    <w:rsid w:val="00CA0D42"/>
    <w:rsid w:val="00CA0F19"/>
    <w:rsid w:val="00CA0F58"/>
    <w:rsid w:val="00CA0FC9"/>
    <w:rsid w:val="00CA0FF8"/>
    <w:rsid w:val="00CA105B"/>
    <w:rsid w:val="00CA105C"/>
    <w:rsid w:val="00CA113F"/>
    <w:rsid w:val="00CA1184"/>
    <w:rsid w:val="00CA1246"/>
    <w:rsid w:val="00CA1571"/>
    <w:rsid w:val="00CA1768"/>
    <w:rsid w:val="00CA17D5"/>
    <w:rsid w:val="00CA1B5F"/>
    <w:rsid w:val="00CA1BA6"/>
    <w:rsid w:val="00CA1F3D"/>
    <w:rsid w:val="00CA1F6C"/>
    <w:rsid w:val="00CA21F7"/>
    <w:rsid w:val="00CA2396"/>
    <w:rsid w:val="00CA2401"/>
    <w:rsid w:val="00CA2563"/>
    <w:rsid w:val="00CA2687"/>
    <w:rsid w:val="00CA2AF7"/>
    <w:rsid w:val="00CA2B38"/>
    <w:rsid w:val="00CA2B79"/>
    <w:rsid w:val="00CA2C4C"/>
    <w:rsid w:val="00CA31AB"/>
    <w:rsid w:val="00CA351A"/>
    <w:rsid w:val="00CA3743"/>
    <w:rsid w:val="00CA3763"/>
    <w:rsid w:val="00CA37AF"/>
    <w:rsid w:val="00CA37F8"/>
    <w:rsid w:val="00CA3953"/>
    <w:rsid w:val="00CA3A5D"/>
    <w:rsid w:val="00CA3EAB"/>
    <w:rsid w:val="00CA3F5D"/>
    <w:rsid w:val="00CA41DA"/>
    <w:rsid w:val="00CA4454"/>
    <w:rsid w:val="00CA4662"/>
    <w:rsid w:val="00CA4870"/>
    <w:rsid w:val="00CA4AFE"/>
    <w:rsid w:val="00CA4BBD"/>
    <w:rsid w:val="00CA4D0A"/>
    <w:rsid w:val="00CA5297"/>
    <w:rsid w:val="00CA5916"/>
    <w:rsid w:val="00CA5ABF"/>
    <w:rsid w:val="00CA5ACC"/>
    <w:rsid w:val="00CA5BFA"/>
    <w:rsid w:val="00CA5CAA"/>
    <w:rsid w:val="00CA5EC3"/>
    <w:rsid w:val="00CA6159"/>
    <w:rsid w:val="00CA61AE"/>
    <w:rsid w:val="00CA62BD"/>
    <w:rsid w:val="00CA6421"/>
    <w:rsid w:val="00CA6502"/>
    <w:rsid w:val="00CA656E"/>
    <w:rsid w:val="00CA66A0"/>
    <w:rsid w:val="00CA6740"/>
    <w:rsid w:val="00CA67FA"/>
    <w:rsid w:val="00CA6AB5"/>
    <w:rsid w:val="00CA6BA1"/>
    <w:rsid w:val="00CA6C5D"/>
    <w:rsid w:val="00CA7193"/>
    <w:rsid w:val="00CA722F"/>
    <w:rsid w:val="00CA72DC"/>
    <w:rsid w:val="00CA7337"/>
    <w:rsid w:val="00CA7447"/>
    <w:rsid w:val="00CA766A"/>
    <w:rsid w:val="00CA7687"/>
    <w:rsid w:val="00CA77AC"/>
    <w:rsid w:val="00CA7960"/>
    <w:rsid w:val="00CA7B29"/>
    <w:rsid w:val="00CA7D73"/>
    <w:rsid w:val="00CB024C"/>
    <w:rsid w:val="00CB0323"/>
    <w:rsid w:val="00CB0361"/>
    <w:rsid w:val="00CB05B8"/>
    <w:rsid w:val="00CB085A"/>
    <w:rsid w:val="00CB09DC"/>
    <w:rsid w:val="00CB0D45"/>
    <w:rsid w:val="00CB1193"/>
    <w:rsid w:val="00CB11C5"/>
    <w:rsid w:val="00CB1295"/>
    <w:rsid w:val="00CB12DD"/>
    <w:rsid w:val="00CB1579"/>
    <w:rsid w:val="00CB1656"/>
    <w:rsid w:val="00CB1A72"/>
    <w:rsid w:val="00CB1C83"/>
    <w:rsid w:val="00CB1CF2"/>
    <w:rsid w:val="00CB23F9"/>
    <w:rsid w:val="00CB2445"/>
    <w:rsid w:val="00CB251B"/>
    <w:rsid w:val="00CB2763"/>
    <w:rsid w:val="00CB28D3"/>
    <w:rsid w:val="00CB2A1E"/>
    <w:rsid w:val="00CB2B9D"/>
    <w:rsid w:val="00CB2CC7"/>
    <w:rsid w:val="00CB2F5B"/>
    <w:rsid w:val="00CB3284"/>
    <w:rsid w:val="00CB3347"/>
    <w:rsid w:val="00CB348A"/>
    <w:rsid w:val="00CB35AE"/>
    <w:rsid w:val="00CB36E8"/>
    <w:rsid w:val="00CB3D10"/>
    <w:rsid w:val="00CB3FDA"/>
    <w:rsid w:val="00CB42A5"/>
    <w:rsid w:val="00CB432E"/>
    <w:rsid w:val="00CB4358"/>
    <w:rsid w:val="00CB44CF"/>
    <w:rsid w:val="00CB4528"/>
    <w:rsid w:val="00CB452A"/>
    <w:rsid w:val="00CB45DE"/>
    <w:rsid w:val="00CB46E0"/>
    <w:rsid w:val="00CB473C"/>
    <w:rsid w:val="00CB4981"/>
    <w:rsid w:val="00CB4CAB"/>
    <w:rsid w:val="00CB4D30"/>
    <w:rsid w:val="00CB4DAA"/>
    <w:rsid w:val="00CB4EB5"/>
    <w:rsid w:val="00CB4F1E"/>
    <w:rsid w:val="00CB526B"/>
    <w:rsid w:val="00CB5649"/>
    <w:rsid w:val="00CB57CF"/>
    <w:rsid w:val="00CB5BEA"/>
    <w:rsid w:val="00CB5EBF"/>
    <w:rsid w:val="00CB5F6B"/>
    <w:rsid w:val="00CB6479"/>
    <w:rsid w:val="00CB64BB"/>
    <w:rsid w:val="00CB686D"/>
    <w:rsid w:val="00CB6A20"/>
    <w:rsid w:val="00CB6A37"/>
    <w:rsid w:val="00CB6B3B"/>
    <w:rsid w:val="00CB6D6B"/>
    <w:rsid w:val="00CB7121"/>
    <w:rsid w:val="00CB7677"/>
    <w:rsid w:val="00CB786A"/>
    <w:rsid w:val="00CB7DC3"/>
    <w:rsid w:val="00CB7E14"/>
    <w:rsid w:val="00CB7F41"/>
    <w:rsid w:val="00CB7FD8"/>
    <w:rsid w:val="00CB7FEF"/>
    <w:rsid w:val="00CC00A9"/>
    <w:rsid w:val="00CC0162"/>
    <w:rsid w:val="00CC02CB"/>
    <w:rsid w:val="00CC07E6"/>
    <w:rsid w:val="00CC09EC"/>
    <w:rsid w:val="00CC0C0E"/>
    <w:rsid w:val="00CC0CAB"/>
    <w:rsid w:val="00CC0D24"/>
    <w:rsid w:val="00CC12D0"/>
    <w:rsid w:val="00CC1443"/>
    <w:rsid w:val="00CC171E"/>
    <w:rsid w:val="00CC1AEE"/>
    <w:rsid w:val="00CC1B6E"/>
    <w:rsid w:val="00CC1C25"/>
    <w:rsid w:val="00CC229A"/>
    <w:rsid w:val="00CC22F2"/>
    <w:rsid w:val="00CC23E2"/>
    <w:rsid w:val="00CC2607"/>
    <w:rsid w:val="00CC2A3E"/>
    <w:rsid w:val="00CC2ADC"/>
    <w:rsid w:val="00CC2B2E"/>
    <w:rsid w:val="00CC2E07"/>
    <w:rsid w:val="00CC2E94"/>
    <w:rsid w:val="00CC2F56"/>
    <w:rsid w:val="00CC343E"/>
    <w:rsid w:val="00CC356F"/>
    <w:rsid w:val="00CC36DF"/>
    <w:rsid w:val="00CC38E8"/>
    <w:rsid w:val="00CC39FA"/>
    <w:rsid w:val="00CC3AAE"/>
    <w:rsid w:val="00CC3F9F"/>
    <w:rsid w:val="00CC406A"/>
    <w:rsid w:val="00CC40EF"/>
    <w:rsid w:val="00CC429E"/>
    <w:rsid w:val="00CC44ED"/>
    <w:rsid w:val="00CC4516"/>
    <w:rsid w:val="00CC4660"/>
    <w:rsid w:val="00CC4703"/>
    <w:rsid w:val="00CC47F5"/>
    <w:rsid w:val="00CC483E"/>
    <w:rsid w:val="00CC49E5"/>
    <w:rsid w:val="00CC4ACD"/>
    <w:rsid w:val="00CC4B28"/>
    <w:rsid w:val="00CC4F88"/>
    <w:rsid w:val="00CC4FE9"/>
    <w:rsid w:val="00CC5219"/>
    <w:rsid w:val="00CC5CA5"/>
    <w:rsid w:val="00CC5E3A"/>
    <w:rsid w:val="00CC5FE9"/>
    <w:rsid w:val="00CC6127"/>
    <w:rsid w:val="00CC6175"/>
    <w:rsid w:val="00CC61CB"/>
    <w:rsid w:val="00CC6361"/>
    <w:rsid w:val="00CC6A18"/>
    <w:rsid w:val="00CC6D73"/>
    <w:rsid w:val="00CC6DAA"/>
    <w:rsid w:val="00CC6F01"/>
    <w:rsid w:val="00CC70F2"/>
    <w:rsid w:val="00CC7528"/>
    <w:rsid w:val="00CC7860"/>
    <w:rsid w:val="00CC7902"/>
    <w:rsid w:val="00CC7A6C"/>
    <w:rsid w:val="00CC7AF4"/>
    <w:rsid w:val="00CC7AFC"/>
    <w:rsid w:val="00CD036E"/>
    <w:rsid w:val="00CD06B1"/>
    <w:rsid w:val="00CD0744"/>
    <w:rsid w:val="00CD0811"/>
    <w:rsid w:val="00CD084D"/>
    <w:rsid w:val="00CD0B8E"/>
    <w:rsid w:val="00CD1220"/>
    <w:rsid w:val="00CD152D"/>
    <w:rsid w:val="00CD1A53"/>
    <w:rsid w:val="00CD1E50"/>
    <w:rsid w:val="00CD1E9B"/>
    <w:rsid w:val="00CD2229"/>
    <w:rsid w:val="00CD253E"/>
    <w:rsid w:val="00CD2571"/>
    <w:rsid w:val="00CD269A"/>
    <w:rsid w:val="00CD26C9"/>
    <w:rsid w:val="00CD26F0"/>
    <w:rsid w:val="00CD2E25"/>
    <w:rsid w:val="00CD303B"/>
    <w:rsid w:val="00CD30C3"/>
    <w:rsid w:val="00CD337A"/>
    <w:rsid w:val="00CD386F"/>
    <w:rsid w:val="00CD3941"/>
    <w:rsid w:val="00CD4978"/>
    <w:rsid w:val="00CD49AA"/>
    <w:rsid w:val="00CD4AB6"/>
    <w:rsid w:val="00CD4DB2"/>
    <w:rsid w:val="00CD4E8D"/>
    <w:rsid w:val="00CD5575"/>
    <w:rsid w:val="00CD5606"/>
    <w:rsid w:val="00CD56AC"/>
    <w:rsid w:val="00CD5935"/>
    <w:rsid w:val="00CD5A18"/>
    <w:rsid w:val="00CD5DE5"/>
    <w:rsid w:val="00CD5E12"/>
    <w:rsid w:val="00CD6124"/>
    <w:rsid w:val="00CD6138"/>
    <w:rsid w:val="00CD624E"/>
    <w:rsid w:val="00CD6499"/>
    <w:rsid w:val="00CD6877"/>
    <w:rsid w:val="00CD6A50"/>
    <w:rsid w:val="00CD6DAC"/>
    <w:rsid w:val="00CD719D"/>
    <w:rsid w:val="00CD77C7"/>
    <w:rsid w:val="00CD783F"/>
    <w:rsid w:val="00CD786F"/>
    <w:rsid w:val="00CD7B3F"/>
    <w:rsid w:val="00CD7B99"/>
    <w:rsid w:val="00CD7CE4"/>
    <w:rsid w:val="00CD7EC6"/>
    <w:rsid w:val="00CD7EEC"/>
    <w:rsid w:val="00CD7F84"/>
    <w:rsid w:val="00CD7F93"/>
    <w:rsid w:val="00CE00A4"/>
    <w:rsid w:val="00CE03C8"/>
    <w:rsid w:val="00CE04D5"/>
    <w:rsid w:val="00CE052E"/>
    <w:rsid w:val="00CE0740"/>
    <w:rsid w:val="00CE0784"/>
    <w:rsid w:val="00CE089E"/>
    <w:rsid w:val="00CE09A9"/>
    <w:rsid w:val="00CE09AF"/>
    <w:rsid w:val="00CE0A40"/>
    <w:rsid w:val="00CE0A4E"/>
    <w:rsid w:val="00CE0B59"/>
    <w:rsid w:val="00CE0CF2"/>
    <w:rsid w:val="00CE0F51"/>
    <w:rsid w:val="00CE10C3"/>
    <w:rsid w:val="00CE10D3"/>
    <w:rsid w:val="00CE117B"/>
    <w:rsid w:val="00CE121B"/>
    <w:rsid w:val="00CE13F5"/>
    <w:rsid w:val="00CE19E3"/>
    <w:rsid w:val="00CE1FB2"/>
    <w:rsid w:val="00CE1FD2"/>
    <w:rsid w:val="00CE23E0"/>
    <w:rsid w:val="00CE262E"/>
    <w:rsid w:val="00CE2767"/>
    <w:rsid w:val="00CE2B15"/>
    <w:rsid w:val="00CE2BCB"/>
    <w:rsid w:val="00CE2D9D"/>
    <w:rsid w:val="00CE2EC5"/>
    <w:rsid w:val="00CE3085"/>
    <w:rsid w:val="00CE3195"/>
    <w:rsid w:val="00CE3B01"/>
    <w:rsid w:val="00CE41B5"/>
    <w:rsid w:val="00CE46F4"/>
    <w:rsid w:val="00CE4731"/>
    <w:rsid w:val="00CE48D6"/>
    <w:rsid w:val="00CE4AB7"/>
    <w:rsid w:val="00CE4BD8"/>
    <w:rsid w:val="00CE4F2F"/>
    <w:rsid w:val="00CE5850"/>
    <w:rsid w:val="00CE5DC6"/>
    <w:rsid w:val="00CE5F0E"/>
    <w:rsid w:val="00CE5F66"/>
    <w:rsid w:val="00CE616E"/>
    <w:rsid w:val="00CE61BB"/>
    <w:rsid w:val="00CE62BD"/>
    <w:rsid w:val="00CE6338"/>
    <w:rsid w:val="00CE64FE"/>
    <w:rsid w:val="00CE65AC"/>
    <w:rsid w:val="00CE6A40"/>
    <w:rsid w:val="00CE6AD4"/>
    <w:rsid w:val="00CE6C19"/>
    <w:rsid w:val="00CE6D18"/>
    <w:rsid w:val="00CE6E27"/>
    <w:rsid w:val="00CE7425"/>
    <w:rsid w:val="00CE7648"/>
    <w:rsid w:val="00CE76A1"/>
    <w:rsid w:val="00CE7723"/>
    <w:rsid w:val="00CE79A6"/>
    <w:rsid w:val="00CE7B31"/>
    <w:rsid w:val="00CE7C7F"/>
    <w:rsid w:val="00CE7D01"/>
    <w:rsid w:val="00CE7D21"/>
    <w:rsid w:val="00CF0134"/>
    <w:rsid w:val="00CF0175"/>
    <w:rsid w:val="00CF0311"/>
    <w:rsid w:val="00CF0358"/>
    <w:rsid w:val="00CF04FE"/>
    <w:rsid w:val="00CF063B"/>
    <w:rsid w:val="00CF07C7"/>
    <w:rsid w:val="00CF081D"/>
    <w:rsid w:val="00CF0825"/>
    <w:rsid w:val="00CF0A17"/>
    <w:rsid w:val="00CF0A27"/>
    <w:rsid w:val="00CF0B3E"/>
    <w:rsid w:val="00CF0E12"/>
    <w:rsid w:val="00CF0E5A"/>
    <w:rsid w:val="00CF0ED3"/>
    <w:rsid w:val="00CF11AB"/>
    <w:rsid w:val="00CF1264"/>
    <w:rsid w:val="00CF1432"/>
    <w:rsid w:val="00CF1585"/>
    <w:rsid w:val="00CF1627"/>
    <w:rsid w:val="00CF1699"/>
    <w:rsid w:val="00CF1746"/>
    <w:rsid w:val="00CF1819"/>
    <w:rsid w:val="00CF1881"/>
    <w:rsid w:val="00CF1B39"/>
    <w:rsid w:val="00CF1BD9"/>
    <w:rsid w:val="00CF1BDF"/>
    <w:rsid w:val="00CF1D54"/>
    <w:rsid w:val="00CF1E05"/>
    <w:rsid w:val="00CF1EF3"/>
    <w:rsid w:val="00CF2008"/>
    <w:rsid w:val="00CF203A"/>
    <w:rsid w:val="00CF2270"/>
    <w:rsid w:val="00CF23C6"/>
    <w:rsid w:val="00CF26AD"/>
    <w:rsid w:val="00CF274B"/>
    <w:rsid w:val="00CF2A0A"/>
    <w:rsid w:val="00CF2B79"/>
    <w:rsid w:val="00CF2C8D"/>
    <w:rsid w:val="00CF2CBD"/>
    <w:rsid w:val="00CF2D98"/>
    <w:rsid w:val="00CF2DC2"/>
    <w:rsid w:val="00CF3158"/>
    <w:rsid w:val="00CF3212"/>
    <w:rsid w:val="00CF3374"/>
    <w:rsid w:val="00CF350C"/>
    <w:rsid w:val="00CF3545"/>
    <w:rsid w:val="00CF35BF"/>
    <w:rsid w:val="00CF375E"/>
    <w:rsid w:val="00CF3DC3"/>
    <w:rsid w:val="00CF4157"/>
    <w:rsid w:val="00CF4BD2"/>
    <w:rsid w:val="00CF4BE6"/>
    <w:rsid w:val="00CF4F66"/>
    <w:rsid w:val="00CF5006"/>
    <w:rsid w:val="00CF5154"/>
    <w:rsid w:val="00CF52EF"/>
    <w:rsid w:val="00CF55A8"/>
    <w:rsid w:val="00CF56DB"/>
    <w:rsid w:val="00CF5746"/>
    <w:rsid w:val="00CF580D"/>
    <w:rsid w:val="00CF5C64"/>
    <w:rsid w:val="00CF5F15"/>
    <w:rsid w:val="00CF65AC"/>
    <w:rsid w:val="00CF690A"/>
    <w:rsid w:val="00CF694A"/>
    <w:rsid w:val="00CF698A"/>
    <w:rsid w:val="00CF6C98"/>
    <w:rsid w:val="00CF6D4E"/>
    <w:rsid w:val="00CF6F30"/>
    <w:rsid w:val="00CF7076"/>
    <w:rsid w:val="00CF7078"/>
    <w:rsid w:val="00CF71A0"/>
    <w:rsid w:val="00CF7219"/>
    <w:rsid w:val="00CF7311"/>
    <w:rsid w:val="00CF74C6"/>
    <w:rsid w:val="00CF76BC"/>
    <w:rsid w:val="00CF789C"/>
    <w:rsid w:val="00CF798A"/>
    <w:rsid w:val="00CF7A91"/>
    <w:rsid w:val="00CF7ADD"/>
    <w:rsid w:val="00CF7C82"/>
    <w:rsid w:val="00CF7D97"/>
    <w:rsid w:val="00CF7FA5"/>
    <w:rsid w:val="00D00040"/>
    <w:rsid w:val="00D0008D"/>
    <w:rsid w:val="00D00096"/>
    <w:rsid w:val="00D000FC"/>
    <w:rsid w:val="00D0032C"/>
    <w:rsid w:val="00D00518"/>
    <w:rsid w:val="00D0058B"/>
    <w:rsid w:val="00D005C1"/>
    <w:rsid w:val="00D007B4"/>
    <w:rsid w:val="00D00F29"/>
    <w:rsid w:val="00D010F3"/>
    <w:rsid w:val="00D01110"/>
    <w:rsid w:val="00D01219"/>
    <w:rsid w:val="00D01725"/>
    <w:rsid w:val="00D01A63"/>
    <w:rsid w:val="00D01ABB"/>
    <w:rsid w:val="00D01BCF"/>
    <w:rsid w:val="00D01DF6"/>
    <w:rsid w:val="00D01EAC"/>
    <w:rsid w:val="00D0205D"/>
    <w:rsid w:val="00D021BA"/>
    <w:rsid w:val="00D0228C"/>
    <w:rsid w:val="00D023FB"/>
    <w:rsid w:val="00D0264F"/>
    <w:rsid w:val="00D0278C"/>
    <w:rsid w:val="00D0288F"/>
    <w:rsid w:val="00D02A5A"/>
    <w:rsid w:val="00D02EC5"/>
    <w:rsid w:val="00D02FC8"/>
    <w:rsid w:val="00D03458"/>
    <w:rsid w:val="00D03498"/>
    <w:rsid w:val="00D0359F"/>
    <w:rsid w:val="00D036BF"/>
    <w:rsid w:val="00D03865"/>
    <w:rsid w:val="00D03C0E"/>
    <w:rsid w:val="00D03C8E"/>
    <w:rsid w:val="00D03F4F"/>
    <w:rsid w:val="00D03F7E"/>
    <w:rsid w:val="00D04550"/>
    <w:rsid w:val="00D0495F"/>
    <w:rsid w:val="00D04BB6"/>
    <w:rsid w:val="00D051DC"/>
    <w:rsid w:val="00D051FB"/>
    <w:rsid w:val="00D0535A"/>
    <w:rsid w:val="00D05377"/>
    <w:rsid w:val="00D053DB"/>
    <w:rsid w:val="00D05997"/>
    <w:rsid w:val="00D05BB1"/>
    <w:rsid w:val="00D05C48"/>
    <w:rsid w:val="00D05DD3"/>
    <w:rsid w:val="00D05F53"/>
    <w:rsid w:val="00D06020"/>
    <w:rsid w:val="00D061CC"/>
    <w:rsid w:val="00D06216"/>
    <w:rsid w:val="00D064A7"/>
    <w:rsid w:val="00D064B1"/>
    <w:rsid w:val="00D06552"/>
    <w:rsid w:val="00D0663C"/>
    <w:rsid w:val="00D06657"/>
    <w:rsid w:val="00D069CE"/>
    <w:rsid w:val="00D069D8"/>
    <w:rsid w:val="00D069EB"/>
    <w:rsid w:val="00D06CDD"/>
    <w:rsid w:val="00D06E2F"/>
    <w:rsid w:val="00D07846"/>
    <w:rsid w:val="00D0798C"/>
    <w:rsid w:val="00D079FC"/>
    <w:rsid w:val="00D07AE0"/>
    <w:rsid w:val="00D07B5C"/>
    <w:rsid w:val="00D07F62"/>
    <w:rsid w:val="00D10229"/>
    <w:rsid w:val="00D102D6"/>
    <w:rsid w:val="00D103E2"/>
    <w:rsid w:val="00D10790"/>
    <w:rsid w:val="00D10859"/>
    <w:rsid w:val="00D10AFA"/>
    <w:rsid w:val="00D10B53"/>
    <w:rsid w:val="00D10BF0"/>
    <w:rsid w:val="00D10DF4"/>
    <w:rsid w:val="00D10EA5"/>
    <w:rsid w:val="00D10EE2"/>
    <w:rsid w:val="00D111A7"/>
    <w:rsid w:val="00D11599"/>
    <w:rsid w:val="00D1195D"/>
    <w:rsid w:val="00D11AF0"/>
    <w:rsid w:val="00D11B0B"/>
    <w:rsid w:val="00D12188"/>
    <w:rsid w:val="00D1249A"/>
    <w:rsid w:val="00D124A8"/>
    <w:rsid w:val="00D12538"/>
    <w:rsid w:val="00D12A05"/>
    <w:rsid w:val="00D12BE3"/>
    <w:rsid w:val="00D12D0F"/>
    <w:rsid w:val="00D12FE3"/>
    <w:rsid w:val="00D13147"/>
    <w:rsid w:val="00D1350A"/>
    <w:rsid w:val="00D1362D"/>
    <w:rsid w:val="00D137D2"/>
    <w:rsid w:val="00D13850"/>
    <w:rsid w:val="00D1390D"/>
    <w:rsid w:val="00D139B5"/>
    <w:rsid w:val="00D13A23"/>
    <w:rsid w:val="00D13A67"/>
    <w:rsid w:val="00D13CC9"/>
    <w:rsid w:val="00D13CD0"/>
    <w:rsid w:val="00D13E00"/>
    <w:rsid w:val="00D13E3B"/>
    <w:rsid w:val="00D1401C"/>
    <w:rsid w:val="00D140BF"/>
    <w:rsid w:val="00D14457"/>
    <w:rsid w:val="00D14918"/>
    <w:rsid w:val="00D1495F"/>
    <w:rsid w:val="00D149F1"/>
    <w:rsid w:val="00D14B3E"/>
    <w:rsid w:val="00D14B9C"/>
    <w:rsid w:val="00D14C3E"/>
    <w:rsid w:val="00D14D9A"/>
    <w:rsid w:val="00D14DC8"/>
    <w:rsid w:val="00D14DFB"/>
    <w:rsid w:val="00D14EA0"/>
    <w:rsid w:val="00D152A5"/>
    <w:rsid w:val="00D15594"/>
    <w:rsid w:val="00D15C76"/>
    <w:rsid w:val="00D15D5D"/>
    <w:rsid w:val="00D15F8F"/>
    <w:rsid w:val="00D160FE"/>
    <w:rsid w:val="00D1617A"/>
    <w:rsid w:val="00D164CD"/>
    <w:rsid w:val="00D16566"/>
    <w:rsid w:val="00D16778"/>
    <w:rsid w:val="00D16997"/>
    <w:rsid w:val="00D16A88"/>
    <w:rsid w:val="00D16CA1"/>
    <w:rsid w:val="00D16EC6"/>
    <w:rsid w:val="00D171A2"/>
    <w:rsid w:val="00D17425"/>
    <w:rsid w:val="00D1742F"/>
    <w:rsid w:val="00D174A2"/>
    <w:rsid w:val="00D176CA"/>
    <w:rsid w:val="00D1771D"/>
    <w:rsid w:val="00D1776A"/>
    <w:rsid w:val="00D17BBD"/>
    <w:rsid w:val="00D17CC9"/>
    <w:rsid w:val="00D17E6C"/>
    <w:rsid w:val="00D203F4"/>
    <w:rsid w:val="00D2044B"/>
    <w:rsid w:val="00D206DE"/>
    <w:rsid w:val="00D20701"/>
    <w:rsid w:val="00D20826"/>
    <w:rsid w:val="00D20AC3"/>
    <w:rsid w:val="00D20BB5"/>
    <w:rsid w:val="00D20BC3"/>
    <w:rsid w:val="00D20C6E"/>
    <w:rsid w:val="00D2142D"/>
    <w:rsid w:val="00D21477"/>
    <w:rsid w:val="00D21508"/>
    <w:rsid w:val="00D21581"/>
    <w:rsid w:val="00D21823"/>
    <w:rsid w:val="00D21C54"/>
    <w:rsid w:val="00D21E8D"/>
    <w:rsid w:val="00D223E1"/>
    <w:rsid w:val="00D2240F"/>
    <w:rsid w:val="00D2276F"/>
    <w:rsid w:val="00D22AC6"/>
    <w:rsid w:val="00D22B06"/>
    <w:rsid w:val="00D22C83"/>
    <w:rsid w:val="00D22E71"/>
    <w:rsid w:val="00D22EE7"/>
    <w:rsid w:val="00D22F06"/>
    <w:rsid w:val="00D232FC"/>
    <w:rsid w:val="00D23320"/>
    <w:rsid w:val="00D234CA"/>
    <w:rsid w:val="00D2359A"/>
    <w:rsid w:val="00D23C3E"/>
    <w:rsid w:val="00D23DE5"/>
    <w:rsid w:val="00D23E42"/>
    <w:rsid w:val="00D24066"/>
    <w:rsid w:val="00D24088"/>
    <w:rsid w:val="00D243C5"/>
    <w:rsid w:val="00D245D9"/>
    <w:rsid w:val="00D2468A"/>
    <w:rsid w:val="00D24D39"/>
    <w:rsid w:val="00D24FDD"/>
    <w:rsid w:val="00D250B9"/>
    <w:rsid w:val="00D25212"/>
    <w:rsid w:val="00D25269"/>
    <w:rsid w:val="00D252AB"/>
    <w:rsid w:val="00D25416"/>
    <w:rsid w:val="00D25530"/>
    <w:rsid w:val="00D2567B"/>
    <w:rsid w:val="00D256C3"/>
    <w:rsid w:val="00D256C7"/>
    <w:rsid w:val="00D2593A"/>
    <w:rsid w:val="00D25BCE"/>
    <w:rsid w:val="00D25C01"/>
    <w:rsid w:val="00D25DF7"/>
    <w:rsid w:val="00D25FAE"/>
    <w:rsid w:val="00D26037"/>
    <w:rsid w:val="00D267F9"/>
    <w:rsid w:val="00D26A12"/>
    <w:rsid w:val="00D26A2F"/>
    <w:rsid w:val="00D26A8B"/>
    <w:rsid w:val="00D26AFE"/>
    <w:rsid w:val="00D26BF7"/>
    <w:rsid w:val="00D26E57"/>
    <w:rsid w:val="00D272A2"/>
    <w:rsid w:val="00D272E2"/>
    <w:rsid w:val="00D27309"/>
    <w:rsid w:val="00D27630"/>
    <w:rsid w:val="00D277A1"/>
    <w:rsid w:val="00D27A06"/>
    <w:rsid w:val="00D27C0B"/>
    <w:rsid w:val="00D27CE4"/>
    <w:rsid w:val="00D27D83"/>
    <w:rsid w:val="00D27E05"/>
    <w:rsid w:val="00D27F21"/>
    <w:rsid w:val="00D30036"/>
    <w:rsid w:val="00D301BB"/>
    <w:rsid w:val="00D301D3"/>
    <w:rsid w:val="00D301F2"/>
    <w:rsid w:val="00D30629"/>
    <w:rsid w:val="00D30D2C"/>
    <w:rsid w:val="00D30DA3"/>
    <w:rsid w:val="00D30EA0"/>
    <w:rsid w:val="00D30F77"/>
    <w:rsid w:val="00D31065"/>
    <w:rsid w:val="00D31239"/>
    <w:rsid w:val="00D3153C"/>
    <w:rsid w:val="00D31625"/>
    <w:rsid w:val="00D318E9"/>
    <w:rsid w:val="00D31BEA"/>
    <w:rsid w:val="00D31DA0"/>
    <w:rsid w:val="00D31E06"/>
    <w:rsid w:val="00D32649"/>
    <w:rsid w:val="00D329B2"/>
    <w:rsid w:val="00D329BC"/>
    <w:rsid w:val="00D329DD"/>
    <w:rsid w:val="00D32B1E"/>
    <w:rsid w:val="00D32D3F"/>
    <w:rsid w:val="00D3302A"/>
    <w:rsid w:val="00D330D4"/>
    <w:rsid w:val="00D33162"/>
    <w:rsid w:val="00D331AA"/>
    <w:rsid w:val="00D33278"/>
    <w:rsid w:val="00D3345F"/>
    <w:rsid w:val="00D33544"/>
    <w:rsid w:val="00D337F4"/>
    <w:rsid w:val="00D3380A"/>
    <w:rsid w:val="00D33976"/>
    <w:rsid w:val="00D33AA8"/>
    <w:rsid w:val="00D33C58"/>
    <w:rsid w:val="00D34089"/>
    <w:rsid w:val="00D341C5"/>
    <w:rsid w:val="00D344CE"/>
    <w:rsid w:val="00D34542"/>
    <w:rsid w:val="00D3467A"/>
    <w:rsid w:val="00D346B2"/>
    <w:rsid w:val="00D34A5D"/>
    <w:rsid w:val="00D34BB3"/>
    <w:rsid w:val="00D34C78"/>
    <w:rsid w:val="00D34CB8"/>
    <w:rsid w:val="00D34E69"/>
    <w:rsid w:val="00D34FD8"/>
    <w:rsid w:val="00D35005"/>
    <w:rsid w:val="00D35050"/>
    <w:rsid w:val="00D35064"/>
    <w:rsid w:val="00D35291"/>
    <w:rsid w:val="00D35336"/>
    <w:rsid w:val="00D3577D"/>
    <w:rsid w:val="00D35A2B"/>
    <w:rsid w:val="00D35A6E"/>
    <w:rsid w:val="00D35F80"/>
    <w:rsid w:val="00D36376"/>
    <w:rsid w:val="00D367FE"/>
    <w:rsid w:val="00D369E1"/>
    <w:rsid w:val="00D36A25"/>
    <w:rsid w:val="00D36D37"/>
    <w:rsid w:val="00D37021"/>
    <w:rsid w:val="00D370A2"/>
    <w:rsid w:val="00D37140"/>
    <w:rsid w:val="00D371B5"/>
    <w:rsid w:val="00D371CB"/>
    <w:rsid w:val="00D372E9"/>
    <w:rsid w:val="00D37332"/>
    <w:rsid w:val="00D37816"/>
    <w:rsid w:val="00D37CD9"/>
    <w:rsid w:val="00D37E47"/>
    <w:rsid w:val="00D37EE1"/>
    <w:rsid w:val="00D402B9"/>
    <w:rsid w:val="00D40494"/>
    <w:rsid w:val="00D40611"/>
    <w:rsid w:val="00D40A16"/>
    <w:rsid w:val="00D40B83"/>
    <w:rsid w:val="00D40D5B"/>
    <w:rsid w:val="00D40F3F"/>
    <w:rsid w:val="00D410EC"/>
    <w:rsid w:val="00D413F3"/>
    <w:rsid w:val="00D41419"/>
    <w:rsid w:val="00D41730"/>
    <w:rsid w:val="00D41B60"/>
    <w:rsid w:val="00D41EBF"/>
    <w:rsid w:val="00D41EE2"/>
    <w:rsid w:val="00D41FF4"/>
    <w:rsid w:val="00D42608"/>
    <w:rsid w:val="00D42903"/>
    <w:rsid w:val="00D42A0F"/>
    <w:rsid w:val="00D42AF2"/>
    <w:rsid w:val="00D433AF"/>
    <w:rsid w:val="00D4352A"/>
    <w:rsid w:val="00D438A4"/>
    <w:rsid w:val="00D44550"/>
    <w:rsid w:val="00D44613"/>
    <w:rsid w:val="00D44B53"/>
    <w:rsid w:val="00D44C2E"/>
    <w:rsid w:val="00D45197"/>
    <w:rsid w:val="00D45521"/>
    <w:rsid w:val="00D4579F"/>
    <w:rsid w:val="00D45AFF"/>
    <w:rsid w:val="00D45CA8"/>
    <w:rsid w:val="00D45E96"/>
    <w:rsid w:val="00D46092"/>
    <w:rsid w:val="00D462A2"/>
    <w:rsid w:val="00D46525"/>
    <w:rsid w:val="00D46646"/>
    <w:rsid w:val="00D46B22"/>
    <w:rsid w:val="00D470CA"/>
    <w:rsid w:val="00D471F7"/>
    <w:rsid w:val="00D472F6"/>
    <w:rsid w:val="00D4752F"/>
    <w:rsid w:val="00D47947"/>
    <w:rsid w:val="00D47D44"/>
    <w:rsid w:val="00D500F9"/>
    <w:rsid w:val="00D5051C"/>
    <w:rsid w:val="00D50C4C"/>
    <w:rsid w:val="00D50FC9"/>
    <w:rsid w:val="00D51281"/>
    <w:rsid w:val="00D51BF2"/>
    <w:rsid w:val="00D51CF0"/>
    <w:rsid w:val="00D51E74"/>
    <w:rsid w:val="00D520CE"/>
    <w:rsid w:val="00D52280"/>
    <w:rsid w:val="00D5252D"/>
    <w:rsid w:val="00D52A0C"/>
    <w:rsid w:val="00D52A40"/>
    <w:rsid w:val="00D52B60"/>
    <w:rsid w:val="00D52BB7"/>
    <w:rsid w:val="00D52ECD"/>
    <w:rsid w:val="00D530EA"/>
    <w:rsid w:val="00D53472"/>
    <w:rsid w:val="00D539B4"/>
    <w:rsid w:val="00D53ADB"/>
    <w:rsid w:val="00D53CCE"/>
    <w:rsid w:val="00D53D74"/>
    <w:rsid w:val="00D53E14"/>
    <w:rsid w:val="00D54012"/>
    <w:rsid w:val="00D54280"/>
    <w:rsid w:val="00D542CA"/>
    <w:rsid w:val="00D54327"/>
    <w:rsid w:val="00D543D2"/>
    <w:rsid w:val="00D544F0"/>
    <w:rsid w:val="00D5451D"/>
    <w:rsid w:val="00D547BA"/>
    <w:rsid w:val="00D54B54"/>
    <w:rsid w:val="00D54B72"/>
    <w:rsid w:val="00D54E47"/>
    <w:rsid w:val="00D54F84"/>
    <w:rsid w:val="00D55021"/>
    <w:rsid w:val="00D55177"/>
    <w:rsid w:val="00D551D5"/>
    <w:rsid w:val="00D55430"/>
    <w:rsid w:val="00D55641"/>
    <w:rsid w:val="00D5597E"/>
    <w:rsid w:val="00D55B6E"/>
    <w:rsid w:val="00D55D4C"/>
    <w:rsid w:val="00D55D91"/>
    <w:rsid w:val="00D55E81"/>
    <w:rsid w:val="00D55F7A"/>
    <w:rsid w:val="00D5607E"/>
    <w:rsid w:val="00D56097"/>
    <w:rsid w:val="00D560C6"/>
    <w:rsid w:val="00D56107"/>
    <w:rsid w:val="00D561B8"/>
    <w:rsid w:val="00D56513"/>
    <w:rsid w:val="00D5691E"/>
    <w:rsid w:val="00D56BD6"/>
    <w:rsid w:val="00D56BF5"/>
    <w:rsid w:val="00D56D9B"/>
    <w:rsid w:val="00D56EC2"/>
    <w:rsid w:val="00D5713E"/>
    <w:rsid w:val="00D57262"/>
    <w:rsid w:val="00D5726C"/>
    <w:rsid w:val="00D573E0"/>
    <w:rsid w:val="00D5771E"/>
    <w:rsid w:val="00D57962"/>
    <w:rsid w:val="00D57B6C"/>
    <w:rsid w:val="00D60084"/>
    <w:rsid w:val="00D60128"/>
    <w:rsid w:val="00D601AC"/>
    <w:rsid w:val="00D601E7"/>
    <w:rsid w:val="00D6031A"/>
    <w:rsid w:val="00D6042B"/>
    <w:rsid w:val="00D606A1"/>
    <w:rsid w:val="00D608FE"/>
    <w:rsid w:val="00D60B0A"/>
    <w:rsid w:val="00D60B64"/>
    <w:rsid w:val="00D60BF1"/>
    <w:rsid w:val="00D60C4C"/>
    <w:rsid w:val="00D60EFA"/>
    <w:rsid w:val="00D60FAE"/>
    <w:rsid w:val="00D61028"/>
    <w:rsid w:val="00D6102B"/>
    <w:rsid w:val="00D61156"/>
    <w:rsid w:val="00D612BF"/>
    <w:rsid w:val="00D61393"/>
    <w:rsid w:val="00D613BA"/>
    <w:rsid w:val="00D615EF"/>
    <w:rsid w:val="00D618C0"/>
    <w:rsid w:val="00D621C4"/>
    <w:rsid w:val="00D62395"/>
    <w:rsid w:val="00D623C6"/>
    <w:rsid w:val="00D625D0"/>
    <w:rsid w:val="00D628AB"/>
    <w:rsid w:val="00D62AAF"/>
    <w:rsid w:val="00D62ACE"/>
    <w:rsid w:val="00D62AF9"/>
    <w:rsid w:val="00D62BC8"/>
    <w:rsid w:val="00D62EF9"/>
    <w:rsid w:val="00D630CA"/>
    <w:rsid w:val="00D6315F"/>
    <w:rsid w:val="00D63395"/>
    <w:rsid w:val="00D63590"/>
    <w:rsid w:val="00D638E9"/>
    <w:rsid w:val="00D64060"/>
    <w:rsid w:val="00D640DB"/>
    <w:rsid w:val="00D645DB"/>
    <w:rsid w:val="00D6475A"/>
    <w:rsid w:val="00D64786"/>
    <w:rsid w:val="00D64F0E"/>
    <w:rsid w:val="00D6505E"/>
    <w:rsid w:val="00D65382"/>
    <w:rsid w:val="00D653DB"/>
    <w:rsid w:val="00D6566C"/>
    <w:rsid w:val="00D656D0"/>
    <w:rsid w:val="00D6571C"/>
    <w:rsid w:val="00D65866"/>
    <w:rsid w:val="00D65A0B"/>
    <w:rsid w:val="00D65AB9"/>
    <w:rsid w:val="00D65B36"/>
    <w:rsid w:val="00D65B5D"/>
    <w:rsid w:val="00D65D05"/>
    <w:rsid w:val="00D65F19"/>
    <w:rsid w:val="00D662CE"/>
    <w:rsid w:val="00D663B2"/>
    <w:rsid w:val="00D663FD"/>
    <w:rsid w:val="00D66400"/>
    <w:rsid w:val="00D66523"/>
    <w:rsid w:val="00D66996"/>
    <w:rsid w:val="00D66E07"/>
    <w:rsid w:val="00D66EA8"/>
    <w:rsid w:val="00D66EE4"/>
    <w:rsid w:val="00D671C2"/>
    <w:rsid w:val="00D67360"/>
    <w:rsid w:val="00D6763C"/>
    <w:rsid w:val="00D6776F"/>
    <w:rsid w:val="00D67F9E"/>
    <w:rsid w:val="00D7003F"/>
    <w:rsid w:val="00D70108"/>
    <w:rsid w:val="00D70168"/>
    <w:rsid w:val="00D701F3"/>
    <w:rsid w:val="00D70625"/>
    <w:rsid w:val="00D70826"/>
    <w:rsid w:val="00D7082D"/>
    <w:rsid w:val="00D709E6"/>
    <w:rsid w:val="00D70BC8"/>
    <w:rsid w:val="00D70CBC"/>
    <w:rsid w:val="00D70E94"/>
    <w:rsid w:val="00D7110A"/>
    <w:rsid w:val="00D71721"/>
    <w:rsid w:val="00D71B50"/>
    <w:rsid w:val="00D71C1D"/>
    <w:rsid w:val="00D71F75"/>
    <w:rsid w:val="00D723C0"/>
    <w:rsid w:val="00D724D4"/>
    <w:rsid w:val="00D7253D"/>
    <w:rsid w:val="00D725C1"/>
    <w:rsid w:val="00D725F8"/>
    <w:rsid w:val="00D726C3"/>
    <w:rsid w:val="00D72A3A"/>
    <w:rsid w:val="00D72AA5"/>
    <w:rsid w:val="00D72E0C"/>
    <w:rsid w:val="00D72FFE"/>
    <w:rsid w:val="00D73108"/>
    <w:rsid w:val="00D73185"/>
    <w:rsid w:val="00D731E6"/>
    <w:rsid w:val="00D733CB"/>
    <w:rsid w:val="00D737FA"/>
    <w:rsid w:val="00D7412D"/>
    <w:rsid w:val="00D74471"/>
    <w:rsid w:val="00D744F2"/>
    <w:rsid w:val="00D745F3"/>
    <w:rsid w:val="00D748D2"/>
    <w:rsid w:val="00D74C28"/>
    <w:rsid w:val="00D74CFB"/>
    <w:rsid w:val="00D7535F"/>
    <w:rsid w:val="00D7544C"/>
    <w:rsid w:val="00D75A41"/>
    <w:rsid w:val="00D75B71"/>
    <w:rsid w:val="00D75EE4"/>
    <w:rsid w:val="00D75EEC"/>
    <w:rsid w:val="00D760BF"/>
    <w:rsid w:val="00D763B5"/>
    <w:rsid w:val="00D76632"/>
    <w:rsid w:val="00D76698"/>
    <w:rsid w:val="00D76748"/>
    <w:rsid w:val="00D7680B"/>
    <w:rsid w:val="00D76860"/>
    <w:rsid w:val="00D76946"/>
    <w:rsid w:val="00D76BB7"/>
    <w:rsid w:val="00D76D56"/>
    <w:rsid w:val="00D76FBE"/>
    <w:rsid w:val="00D77884"/>
    <w:rsid w:val="00D7796D"/>
    <w:rsid w:val="00D77C82"/>
    <w:rsid w:val="00D80146"/>
    <w:rsid w:val="00D8018E"/>
    <w:rsid w:val="00D80397"/>
    <w:rsid w:val="00D803F9"/>
    <w:rsid w:val="00D80588"/>
    <w:rsid w:val="00D80608"/>
    <w:rsid w:val="00D807F3"/>
    <w:rsid w:val="00D808B1"/>
    <w:rsid w:val="00D80934"/>
    <w:rsid w:val="00D8098D"/>
    <w:rsid w:val="00D80A22"/>
    <w:rsid w:val="00D80AAE"/>
    <w:rsid w:val="00D80C18"/>
    <w:rsid w:val="00D80C2B"/>
    <w:rsid w:val="00D80F58"/>
    <w:rsid w:val="00D810AF"/>
    <w:rsid w:val="00D81174"/>
    <w:rsid w:val="00D8136E"/>
    <w:rsid w:val="00D8139E"/>
    <w:rsid w:val="00D81574"/>
    <w:rsid w:val="00D815EF"/>
    <w:rsid w:val="00D819AD"/>
    <w:rsid w:val="00D81B25"/>
    <w:rsid w:val="00D81BEA"/>
    <w:rsid w:val="00D81C2A"/>
    <w:rsid w:val="00D81D2C"/>
    <w:rsid w:val="00D82402"/>
    <w:rsid w:val="00D82418"/>
    <w:rsid w:val="00D82809"/>
    <w:rsid w:val="00D82C21"/>
    <w:rsid w:val="00D82EF0"/>
    <w:rsid w:val="00D83092"/>
    <w:rsid w:val="00D8319C"/>
    <w:rsid w:val="00D832C3"/>
    <w:rsid w:val="00D83384"/>
    <w:rsid w:val="00D8343C"/>
    <w:rsid w:val="00D834E9"/>
    <w:rsid w:val="00D83862"/>
    <w:rsid w:val="00D83A05"/>
    <w:rsid w:val="00D83A69"/>
    <w:rsid w:val="00D8423B"/>
    <w:rsid w:val="00D84887"/>
    <w:rsid w:val="00D84A3C"/>
    <w:rsid w:val="00D84C33"/>
    <w:rsid w:val="00D84D8D"/>
    <w:rsid w:val="00D84DB8"/>
    <w:rsid w:val="00D84E54"/>
    <w:rsid w:val="00D850AF"/>
    <w:rsid w:val="00D852A2"/>
    <w:rsid w:val="00D852EF"/>
    <w:rsid w:val="00D853F7"/>
    <w:rsid w:val="00D855C8"/>
    <w:rsid w:val="00D85846"/>
    <w:rsid w:val="00D859ED"/>
    <w:rsid w:val="00D85A55"/>
    <w:rsid w:val="00D85AAF"/>
    <w:rsid w:val="00D85AD8"/>
    <w:rsid w:val="00D85BA9"/>
    <w:rsid w:val="00D85CD1"/>
    <w:rsid w:val="00D85DE1"/>
    <w:rsid w:val="00D85E57"/>
    <w:rsid w:val="00D863E4"/>
    <w:rsid w:val="00D86578"/>
    <w:rsid w:val="00D865BC"/>
    <w:rsid w:val="00D866AC"/>
    <w:rsid w:val="00D868F5"/>
    <w:rsid w:val="00D86972"/>
    <w:rsid w:val="00D86AF0"/>
    <w:rsid w:val="00D86BAE"/>
    <w:rsid w:val="00D86CE6"/>
    <w:rsid w:val="00D86D94"/>
    <w:rsid w:val="00D86DD5"/>
    <w:rsid w:val="00D86F9E"/>
    <w:rsid w:val="00D872F4"/>
    <w:rsid w:val="00D873FC"/>
    <w:rsid w:val="00D8750B"/>
    <w:rsid w:val="00D8764A"/>
    <w:rsid w:val="00D878DA"/>
    <w:rsid w:val="00D879EF"/>
    <w:rsid w:val="00D87AC5"/>
    <w:rsid w:val="00D87CC3"/>
    <w:rsid w:val="00D87CE3"/>
    <w:rsid w:val="00D87DDC"/>
    <w:rsid w:val="00D87E07"/>
    <w:rsid w:val="00D909B1"/>
    <w:rsid w:val="00D90F18"/>
    <w:rsid w:val="00D911C5"/>
    <w:rsid w:val="00D916D8"/>
    <w:rsid w:val="00D91CE2"/>
    <w:rsid w:val="00D91D1B"/>
    <w:rsid w:val="00D91D72"/>
    <w:rsid w:val="00D91EA6"/>
    <w:rsid w:val="00D91F48"/>
    <w:rsid w:val="00D920BE"/>
    <w:rsid w:val="00D92525"/>
    <w:rsid w:val="00D92536"/>
    <w:rsid w:val="00D927EB"/>
    <w:rsid w:val="00D928E8"/>
    <w:rsid w:val="00D92A13"/>
    <w:rsid w:val="00D92B66"/>
    <w:rsid w:val="00D92C13"/>
    <w:rsid w:val="00D92E38"/>
    <w:rsid w:val="00D92E82"/>
    <w:rsid w:val="00D9315F"/>
    <w:rsid w:val="00D93364"/>
    <w:rsid w:val="00D93598"/>
    <w:rsid w:val="00D93ADC"/>
    <w:rsid w:val="00D93D05"/>
    <w:rsid w:val="00D93FFB"/>
    <w:rsid w:val="00D9414E"/>
    <w:rsid w:val="00D94360"/>
    <w:rsid w:val="00D943AF"/>
    <w:rsid w:val="00D944B8"/>
    <w:rsid w:val="00D944BC"/>
    <w:rsid w:val="00D945C9"/>
    <w:rsid w:val="00D94639"/>
    <w:rsid w:val="00D94789"/>
    <w:rsid w:val="00D948E4"/>
    <w:rsid w:val="00D94CDA"/>
    <w:rsid w:val="00D94D6D"/>
    <w:rsid w:val="00D9517E"/>
    <w:rsid w:val="00D953AA"/>
    <w:rsid w:val="00D95676"/>
    <w:rsid w:val="00D956E5"/>
    <w:rsid w:val="00D9574D"/>
    <w:rsid w:val="00D95A16"/>
    <w:rsid w:val="00D95AE6"/>
    <w:rsid w:val="00D95C46"/>
    <w:rsid w:val="00D95F44"/>
    <w:rsid w:val="00D95F7D"/>
    <w:rsid w:val="00D95FB8"/>
    <w:rsid w:val="00D96018"/>
    <w:rsid w:val="00D961D1"/>
    <w:rsid w:val="00D96341"/>
    <w:rsid w:val="00D963CD"/>
    <w:rsid w:val="00D96537"/>
    <w:rsid w:val="00D96616"/>
    <w:rsid w:val="00D96A93"/>
    <w:rsid w:val="00D96D41"/>
    <w:rsid w:val="00D96FD1"/>
    <w:rsid w:val="00D974FF"/>
    <w:rsid w:val="00D97E38"/>
    <w:rsid w:val="00DA021C"/>
    <w:rsid w:val="00DA0323"/>
    <w:rsid w:val="00DA060F"/>
    <w:rsid w:val="00DA068E"/>
    <w:rsid w:val="00DA0843"/>
    <w:rsid w:val="00DA0BD9"/>
    <w:rsid w:val="00DA0D8F"/>
    <w:rsid w:val="00DA19AD"/>
    <w:rsid w:val="00DA19ED"/>
    <w:rsid w:val="00DA1B88"/>
    <w:rsid w:val="00DA1D7A"/>
    <w:rsid w:val="00DA2301"/>
    <w:rsid w:val="00DA2702"/>
    <w:rsid w:val="00DA2942"/>
    <w:rsid w:val="00DA29A2"/>
    <w:rsid w:val="00DA2EBC"/>
    <w:rsid w:val="00DA3267"/>
    <w:rsid w:val="00DA39EA"/>
    <w:rsid w:val="00DA3B47"/>
    <w:rsid w:val="00DA3FAA"/>
    <w:rsid w:val="00DA411D"/>
    <w:rsid w:val="00DA41D3"/>
    <w:rsid w:val="00DA437A"/>
    <w:rsid w:val="00DA4418"/>
    <w:rsid w:val="00DA44DE"/>
    <w:rsid w:val="00DA4566"/>
    <w:rsid w:val="00DA463E"/>
    <w:rsid w:val="00DA4B14"/>
    <w:rsid w:val="00DA4CA5"/>
    <w:rsid w:val="00DA4F69"/>
    <w:rsid w:val="00DA4F82"/>
    <w:rsid w:val="00DA50ED"/>
    <w:rsid w:val="00DA51D9"/>
    <w:rsid w:val="00DA5492"/>
    <w:rsid w:val="00DA5929"/>
    <w:rsid w:val="00DA5AF2"/>
    <w:rsid w:val="00DA5BBD"/>
    <w:rsid w:val="00DA5BF4"/>
    <w:rsid w:val="00DA5CE3"/>
    <w:rsid w:val="00DA5D78"/>
    <w:rsid w:val="00DA5DBA"/>
    <w:rsid w:val="00DA60F3"/>
    <w:rsid w:val="00DA6217"/>
    <w:rsid w:val="00DA64E7"/>
    <w:rsid w:val="00DA6729"/>
    <w:rsid w:val="00DA67B0"/>
    <w:rsid w:val="00DA69D2"/>
    <w:rsid w:val="00DA69FF"/>
    <w:rsid w:val="00DA6A99"/>
    <w:rsid w:val="00DA6C41"/>
    <w:rsid w:val="00DA6C4C"/>
    <w:rsid w:val="00DA6DC5"/>
    <w:rsid w:val="00DA6E16"/>
    <w:rsid w:val="00DA6E33"/>
    <w:rsid w:val="00DA6E85"/>
    <w:rsid w:val="00DA7198"/>
    <w:rsid w:val="00DA7353"/>
    <w:rsid w:val="00DA74D7"/>
    <w:rsid w:val="00DA762E"/>
    <w:rsid w:val="00DA7713"/>
    <w:rsid w:val="00DA79B2"/>
    <w:rsid w:val="00DA7D7C"/>
    <w:rsid w:val="00DA7E32"/>
    <w:rsid w:val="00DA7FFE"/>
    <w:rsid w:val="00DB07BF"/>
    <w:rsid w:val="00DB09CF"/>
    <w:rsid w:val="00DB0AF5"/>
    <w:rsid w:val="00DB0D0C"/>
    <w:rsid w:val="00DB0E1F"/>
    <w:rsid w:val="00DB0F48"/>
    <w:rsid w:val="00DB10E3"/>
    <w:rsid w:val="00DB111C"/>
    <w:rsid w:val="00DB11C7"/>
    <w:rsid w:val="00DB1350"/>
    <w:rsid w:val="00DB139D"/>
    <w:rsid w:val="00DB19FF"/>
    <w:rsid w:val="00DB1A83"/>
    <w:rsid w:val="00DB1BE5"/>
    <w:rsid w:val="00DB1EF0"/>
    <w:rsid w:val="00DB28F8"/>
    <w:rsid w:val="00DB29E0"/>
    <w:rsid w:val="00DB3014"/>
    <w:rsid w:val="00DB3386"/>
    <w:rsid w:val="00DB342A"/>
    <w:rsid w:val="00DB3759"/>
    <w:rsid w:val="00DB38AF"/>
    <w:rsid w:val="00DB397E"/>
    <w:rsid w:val="00DB3AAC"/>
    <w:rsid w:val="00DB3B1C"/>
    <w:rsid w:val="00DB3BAA"/>
    <w:rsid w:val="00DB3C2B"/>
    <w:rsid w:val="00DB3D83"/>
    <w:rsid w:val="00DB4090"/>
    <w:rsid w:val="00DB43D1"/>
    <w:rsid w:val="00DB46B6"/>
    <w:rsid w:val="00DB470F"/>
    <w:rsid w:val="00DB4A40"/>
    <w:rsid w:val="00DB4B58"/>
    <w:rsid w:val="00DB4D65"/>
    <w:rsid w:val="00DB4E49"/>
    <w:rsid w:val="00DB4EBC"/>
    <w:rsid w:val="00DB52E0"/>
    <w:rsid w:val="00DB587B"/>
    <w:rsid w:val="00DB58DB"/>
    <w:rsid w:val="00DB58F4"/>
    <w:rsid w:val="00DB5935"/>
    <w:rsid w:val="00DB59D5"/>
    <w:rsid w:val="00DB5D87"/>
    <w:rsid w:val="00DB5E8D"/>
    <w:rsid w:val="00DB6058"/>
    <w:rsid w:val="00DB6088"/>
    <w:rsid w:val="00DB61EA"/>
    <w:rsid w:val="00DB63B5"/>
    <w:rsid w:val="00DB63E9"/>
    <w:rsid w:val="00DB64E0"/>
    <w:rsid w:val="00DB66C0"/>
    <w:rsid w:val="00DB6807"/>
    <w:rsid w:val="00DB6819"/>
    <w:rsid w:val="00DB6976"/>
    <w:rsid w:val="00DB6A6F"/>
    <w:rsid w:val="00DB6C31"/>
    <w:rsid w:val="00DB6F62"/>
    <w:rsid w:val="00DB71C4"/>
    <w:rsid w:val="00DB7208"/>
    <w:rsid w:val="00DB72E9"/>
    <w:rsid w:val="00DB72F4"/>
    <w:rsid w:val="00DB759E"/>
    <w:rsid w:val="00DB7629"/>
    <w:rsid w:val="00DB78BC"/>
    <w:rsid w:val="00DB7A13"/>
    <w:rsid w:val="00DB7B81"/>
    <w:rsid w:val="00DB7C90"/>
    <w:rsid w:val="00DB7FEE"/>
    <w:rsid w:val="00DC0422"/>
    <w:rsid w:val="00DC07AE"/>
    <w:rsid w:val="00DC0818"/>
    <w:rsid w:val="00DC09A5"/>
    <w:rsid w:val="00DC0A5D"/>
    <w:rsid w:val="00DC0B39"/>
    <w:rsid w:val="00DC0C71"/>
    <w:rsid w:val="00DC0CA5"/>
    <w:rsid w:val="00DC0CEF"/>
    <w:rsid w:val="00DC0F32"/>
    <w:rsid w:val="00DC10BA"/>
    <w:rsid w:val="00DC1103"/>
    <w:rsid w:val="00DC1109"/>
    <w:rsid w:val="00DC1399"/>
    <w:rsid w:val="00DC14DE"/>
    <w:rsid w:val="00DC15C2"/>
    <w:rsid w:val="00DC160E"/>
    <w:rsid w:val="00DC169A"/>
    <w:rsid w:val="00DC1A0B"/>
    <w:rsid w:val="00DC1A33"/>
    <w:rsid w:val="00DC1C70"/>
    <w:rsid w:val="00DC1CCC"/>
    <w:rsid w:val="00DC1F97"/>
    <w:rsid w:val="00DC2095"/>
    <w:rsid w:val="00DC20D6"/>
    <w:rsid w:val="00DC275C"/>
    <w:rsid w:val="00DC2D50"/>
    <w:rsid w:val="00DC320B"/>
    <w:rsid w:val="00DC3397"/>
    <w:rsid w:val="00DC341A"/>
    <w:rsid w:val="00DC39DE"/>
    <w:rsid w:val="00DC3B3C"/>
    <w:rsid w:val="00DC3B52"/>
    <w:rsid w:val="00DC3EFA"/>
    <w:rsid w:val="00DC44AA"/>
    <w:rsid w:val="00DC44B8"/>
    <w:rsid w:val="00DC4518"/>
    <w:rsid w:val="00DC454F"/>
    <w:rsid w:val="00DC4A72"/>
    <w:rsid w:val="00DC4B7A"/>
    <w:rsid w:val="00DC4B84"/>
    <w:rsid w:val="00DC4CA9"/>
    <w:rsid w:val="00DC5272"/>
    <w:rsid w:val="00DC534B"/>
    <w:rsid w:val="00DC542D"/>
    <w:rsid w:val="00DC5B2C"/>
    <w:rsid w:val="00DC5C3F"/>
    <w:rsid w:val="00DC5C57"/>
    <w:rsid w:val="00DC5FF7"/>
    <w:rsid w:val="00DC5FFD"/>
    <w:rsid w:val="00DC60A6"/>
    <w:rsid w:val="00DC6A30"/>
    <w:rsid w:val="00DC6C6D"/>
    <w:rsid w:val="00DC6D28"/>
    <w:rsid w:val="00DC6FA3"/>
    <w:rsid w:val="00DC706F"/>
    <w:rsid w:val="00DC712A"/>
    <w:rsid w:val="00DC7380"/>
    <w:rsid w:val="00DC75EC"/>
    <w:rsid w:val="00DC763C"/>
    <w:rsid w:val="00DC7993"/>
    <w:rsid w:val="00DC79B8"/>
    <w:rsid w:val="00DC7A77"/>
    <w:rsid w:val="00DC7EF7"/>
    <w:rsid w:val="00DD03D6"/>
    <w:rsid w:val="00DD0738"/>
    <w:rsid w:val="00DD089D"/>
    <w:rsid w:val="00DD0C25"/>
    <w:rsid w:val="00DD0C3F"/>
    <w:rsid w:val="00DD1283"/>
    <w:rsid w:val="00DD1980"/>
    <w:rsid w:val="00DD1BB1"/>
    <w:rsid w:val="00DD1C77"/>
    <w:rsid w:val="00DD1D1E"/>
    <w:rsid w:val="00DD1D6A"/>
    <w:rsid w:val="00DD1DF2"/>
    <w:rsid w:val="00DD1EE7"/>
    <w:rsid w:val="00DD1F6B"/>
    <w:rsid w:val="00DD2207"/>
    <w:rsid w:val="00DD23E6"/>
    <w:rsid w:val="00DD2459"/>
    <w:rsid w:val="00DD24A1"/>
    <w:rsid w:val="00DD2740"/>
    <w:rsid w:val="00DD27DE"/>
    <w:rsid w:val="00DD2EE9"/>
    <w:rsid w:val="00DD30E7"/>
    <w:rsid w:val="00DD32FD"/>
    <w:rsid w:val="00DD33B0"/>
    <w:rsid w:val="00DD340D"/>
    <w:rsid w:val="00DD35D6"/>
    <w:rsid w:val="00DD39D2"/>
    <w:rsid w:val="00DD3B5E"/>
    <w:rsid w:val="00DD3FE9"/>
    <w:rsid w:val="00DD41B0"/>
    <w:rsid w:val="00DD424B"/>
    <w:rsid w:val="00DD43C3"/>
    <w:rsid w:val="00DD444B"/>
    <w:rsid w:val="00DD4467"/>
    <w:rsid w:val="00DD470D"/>
    <w:rsid w:val="00DD4798"/>
    <w:rsid w:val="00DD48C7"/>
    <w:rsid w:val="00DD4DA5"/>
    <w:rsid w:val="00DD4E9C"/>
    <w:rsid w:val="00DD4F41"/>
    <w:rsid w:val="00DD4F97"/>
    <w:rsid w:val="00DD50EE"/>
    <w:rsid w:val="00DD51FB"/>
    <w:rsid w:val="00DD59EB"/>
    <w:rsid w:val="00DD5ABA"/>
    <w:rsid w:val="00DD5CB6"/>
    <w:rsid w:val="00DD5F44"/>
    <w:rsid w:val="00DD661C"/>
    <w:rsid w:val="00DD68CC"/>
    <w:rsid w:val="00DD6D61"/>
    <w:rsid w:val="00DD6D94"/>
    <w:rsid w:val="00DD6E30"/>
    <w:rsid w:val="00DD6EBB"/>
    <w:rsid w:val="00DD70FB"/>
    <w:rsid w:val="00DD7236"/>
    <w:rsid w:val="00DD72F3"/>
    <w:rsid w:val="00DD7740"/>
    <w:rsid w:val="00DD7CE4"/>
    <w:rsid w:val="00DD7DB5"/>
    <w:rsid w:val="00DE01CB"/>
    <w:rsid w:val="00DE031B"/>
    <w:rsid w:val="00DE043C"/>
    <w:rsid w:val="00DE07C6"/>
    <w:rsid w:val="00DE07EC"/>
    <w:rsid w:val="00DE0C3B"/>
    <w:rsid w:val="00DE111C"/>
    <w:rsid w:val="00DE11C2"/>
    <w:rsid w:val="00DE12BD"/>
    <w:rsid w:val="00DE159D"/>
    <w:rsid w:val="00DE18EE"/>
    <w:rsid w:val="00DE194E"/>
    <w:rsid w:val="00DE1E42"/>
    <w:rsid w:val="00DE2203"/>
    <w:rsid w:val="00DE231E"/>
    <w:rsid w:val="00DE2504"/>
    <w:rsid w:val="00DE25CF"/>
    <w:rsid w:val="00DE295C"/>
    <w:rsid w:val="00DE2E8C"/>
    <w:rsid w:val="00DE2F11"/>
    <w:rsid w:val="00DE30A5"/>
    <w:rsid w:val="00DE340C"/>
    <w:rsid w:val="00DE374E"/>
    <w:rsid w:val="00DE379E"/>
    <w:rsid w:val="00DE3855"/>
    <w:rsid w:val="00DE3AE8"/>
    <w:rsid w:val="00DE3B61"/>
    <w:rsid w:val="00DE3B7D"/>
    <w:rsid w:val="00DE3F1E"/>
    <w:rsid w:val="00DE416A"/>
    <w:rsid w:val="00DE434C"/>
    <w:rsid w:val="00DE470A"/>
    <w:rsid w:val="00DE4799"/>
    <w:rsid w:val="00DE47BE"/>
    <w:rsid w:val="00DE49D9"/>
    <w:rsid w:val="00DE4E3C"/>
    <w:rsid w:val="00DE5040"/>
    <w:rsid w:val="00DE518D"/>
    <w:rsid w:val="00DE528A"/>
    <w:rsid w:val="00DE5359"/>
    <w:rsid w:val="00DE5442"/>
    <w:rsid w:val="00DE5833"/>
    <w:rsid w:val="00DE5AC7"/>
    <w:rsid w:val="00DE5DE2"/>
    <w:rsid w:val="00DE5F4B"/>
    <w:rsid w:val="00DE6171"/>
    <w:rsid w:val="00DE622A"/>
    <w:rsid w:val="00DE643D"/>
    <w:rsid w:val="00DE6590"/>
    <w:rsid w:val="00DE6B9B"/>
    <w:rsid w:val="00DE6D8B"/>
    <w:rsid w:val="00DE7080"/>
    <w:rsid w:val="00DE7263"/>
    <w:rsid w:val="00DE72F7"/>
    <w:rsid w:val="00DE74F9"/>
    <w:rsid w:val="00DE7781"/>
    <w:rsid w:val="00DE7A0B"/>
    <w:rsid w:val="00DE7D34"/>
    <w:rsid w:val="00DE7DFF"/>
    <w:rsid w:val="00DE7E62"/>
    <w:rsid w:val="00DE7F0F"/>
    <w:rsid w:val="00DF0254"/>
    <w:rsid w:val="00DF0505"/>
    <w:rsid w:val="00DF0620"/>
    <w:rsid w:val="00DF0682"/>
    <w:rsid w:val="00DF0AF5"/>
    <w:rsid w:val="00DF0BFB"/>
    <w:rsid w:val="00DF0E4E"/>
    <w:rsid w:val="00DF0F52"/>
    <w:rsid w:val="00DF0F66"/>
    <w:rsid w:val="00DF141E"/>
    <w:rsid w:val="00DF174A"/>
    <w:rsid w:val="00DF1A3B"/>
    <w:rsid w:val="00DF1E0A"/>
    <w:rsid w:val="00DF205F"/>
    <w:rsid w:val="00DF2380"/>
    <w:rsid w:val="00DF243C"/>
    <w:rsid w:val="00DF2CF1"/>
    <w:rsid w:val="00DF2D99"/>
    <w:rsid w:val="00DF3040"/>
    <w:rsid w:val="00DF32A7"/>
    <w:rsid w:val="00DF36F2"/>
    <w:rsid w:val="00DF390D"/>
    <w:rsid w:val="00DF3C36"/>
    <w:rsid w:val="00DF3C91"/>
    <w:rsid w:val="00DF3E44"/>
    <w:rsid w:val="00DF4108"/>
    <w:rsid w:val="00DF4127"/>
    <w:rsid w:val="00DF417E"/>
    <w:rsid w:val="00DF42F4"/>
    <w:rsid w:val="00DF439D"/>
    <w:rsid w:val="00DF47D3"/>
    <w:rsid w:val="00DF4BC8"/>
    <w:rsid w:val="00DF5017"/>
    <w:rsid w:val="00DF50C9"/>
    <w:rsid w:val="00DF511B"/>
    <w:rsid w:val="00DF5135"/>
    <w:rsid w:val="00DF5605"/>
    <w:rsid w:val="00DF5622"/>
    <w:rsid w:val="00DF56DB"/>
    <w:rsid w:val="00DF574D"/>
    <w:rsid w:val="00DF5A56"/>
    <w:rsid w:val="00DF5BA5"/>
    <w:rsid w:val="00DF5BFB"/>
    <w:rsid w:val="00DF5C8A"/>
    <w:rsid w:val="00DF6093"/>
    <w:rsid w:val="00DF60F6"/>
    <w:rsid w:val="00DF6187"/>
    <w:rsid w:val="00DF620E"/>
    <w:rsid w:val="00DF628F"/>
    <w:rsid w:val="00DF670E"/>
    <w:rsid w:val="00DF67A4"/>
    <w:rsid w:val="00DF70E1"/>
    <w:rsid w:val="00DF713F"/>
    <w:rsid w:val="00DF740A"/>
    <w:rsid w:val="00DF761B"/>
    <w:rsid w:val="00DF78DD"/>
    <w:rsid w:val="00DF791F"/>
    <w:rsid w:val="00DF7934"/>
    <w:rsid w:val="00DF7A92"/>
    <w:rsid w:val="00DF7ED1"/>
    <w:rsid w:val="00E002BF"/>
    <w:rsid w:val="00E00373"/>
    <w:rsid w:val="00E00515"/>
    <w:rsid w:val="00E005F9"/>
    <w:rsid w:val="00E00812"/>
    <w:rsid w:val="00E009CA"/>
    <w:rsid w:val="00E00D34"/>
    <w:rsid w:val="00E00FFE"/>
    <w:rsid w:val="00E01251"/>
    <w:rsid w:val="00E012A3"/>
    <w:rsid w:val="00E0159B"/>
    <w:rsid w:val="00E015EE"/>
    <w:rsid w:val="00E019F0"/>
    <w:rsid w:val="00E01A7E"/>
    <w:rsid w:val="00E01BB9"/>
    <w:rsid w:val="00E0220F"/>
    <w:rsid w:val="00E023F4"/>
    <w:rsid w:val="00E02522"/>
    <w:rsid w:val="00E02845"/>
    <w:rsid w:val="00E02AB0"/>
    <w:rsid w:val="00E0314C"/>
    <w:rsid w:val="00E0327D"/>
    <w:rsid w:val="00E034D4"/>
    <w:rsid w:val="00E0355A"/>
    <w:rsid w:val="00E035F5"/>
    <w:rsid w:val="00E03A97"/>
    <w:rsid w:val="00E03B0B"/>
    <w:rsid w:val="00E03C2C"/>
    <w:rsid w:val="00E03E16"/>
    <w:rsid w:val="00E0402B"/>
    <w:rsid w:val="00E04144"/>
    <w:rsid w:val="00E04523"/>
    <w:rsid w:val="00E04839"/>
    <w:rsid w:val="00E04999"/>
    <w:rsid w:val="00E04DB6"/>
    <w:rsid w:val="00E04ED5"/>
    <w:rsid w:val="00E04F10"/>
    <w:rsid w:val="00E05013"/>
    <w:rsid w:val="00E050A2"/>
    <w:rsid w:val="00E053E0"/>
    <w:rsid w:val="00E053F5"/>
    <w:rsid w:val="00E05440"/>
    <w:rsid w:val="00E05530"/>
    <w:rsid w:val="00E05597"/>
    <w:rsid w:val="00E05619"/>
    <w:rsid w:val="00E056BE"/>
    <w:rsid w:val="00E05A08"/>
    <w:rsid w:val="00E05BE1"/>
    <w:rsid w:val="00E06034"/>
    <w:rsid w:val="00E0627C"/>
    <w:rsid w:val="00E062A1"/>
    <w:rsid w:val="00E063D6"/>
    <w:rsid w:val="00E06409"/>
    <w:rsid w:val="00E06591"/>
    <w:rsid w:val="00E066FE"/>
    <w:rsid w:val="00E06E2E"/>
    <w:rsid w:val="00E06F2B"/>
    <w:rsid w:val="00E06FA0"/>
    <w:rsid w:val="00E074F2"/>
    <w:rsid w:val="00E07555"/>
    <w:rsid w:val="00E075A1"/>
    <w:rsid w:val="00E075F3"/>
    <w:rsid w:val="00E07891"/>
    <w:rsid w:val="00E07A59"/>
    <w:rsid w:val="00E07B07"/>
    <w:rsid w:val="00E07B1A"/>
    <w:rsid w:val="00E10361"/>
    <w:rsid w:val="00E1037E"/>
    <w:rsid w:val="00E105EE"/>
    <w:rsid w:val="00E1079A"/>
    <w:rsid w:val="00E108F5"/>
    <w:rsid w:val="00E10955"/>
    <w:rsid w:val="00E10D6C"/>
    <w:rsid w:val="00E10F60"/>
    <w:rsid w:val="00E10FD9"/>
    <w:rsid w:val="00E111AF"/>
    <w:rsid w:val="00E1123C"/>
    <w:rsid w:val="00E1128E"/>
    <w:rsid w:val="00E11294"/>
    <w:rsid w:val="00E11594"/>
    <w:rsid w:val="00E1175F"/>
    <w:rsid w:val="00E1179A"/>
    <w:rsid w:val="00E117B1"/>
    <w:rsid w:val="00E11D50"/>
    <w:rsid w:val="00E11FA7"/>
    <w:rsid w:val="00E12138"/>
    <w:rsid w:val="00E12258"/>
    <w:rsid w:val="00E122E2"/>
    <w:rsid w:val="00E126ED"/>
    <w:rsid w:val="00E126F9"/>
    <w:rsid w:val="00E1286B"/>
    <w:rsid w:val="00E1294C"/>
    <w:rsid w:val="00E129D1"/>
    <w:rsid w:val="00E12D0A"/>
    <w:rsid w:val="00E12D14"/>
    <w:rsid w:val="00E12FD2"/>
    <w:rsid w:val="00E13265"/>
    <w:rsid w:val="00E134E7"/>
    <w:rsid w:val="00E13AE2"/>
    <w:rsid w:val="00E13CBE"/>
    <w:rsid w:val="00E13EF2"/>
    <w:rsid w:val="00E13F9D"/>
    <w:rsid w:val="00E13FCB"/>
    <w:rsid w:val="00E14899"/>
    <w:rsid w:val="00E14985"/>
    <w:rsid w:val="00E149D3"/>
    <w:rsid w:val="00E14B74"/>
    <w:rsid w:val="00E14D83"/>
    <w:rsid w:val="00E14DE7"/>
    <w:rsid w:val="00E14F16"/>
    <w:rsid w:val="00E14FC1"/>
    <w:rsid w:val="00E1514D"/>
    <w:rsid w:val="00E15297"/>
    <w:rsid w:val="00E1548D"/>
    <w:rsid w:val="00E15623"/>
    <w:rsid w:val="00E156AD"/>
    <w:rsid w:val="00E159B5"/>
    <w:rsid w:val="00E15A78"/>
    <w:rsid w:val="00E15A91"/>
    <w:rsid w:val="00E15A9B"/>
    <w:rsid w:val="00E15ABD"/>
    <w:rsid w:val="00E15EFC"/>
    <w:rsid w:val="00E1602C"/>
    <w:rsid w:val="00E1653B"/>
    <w:rsid w:val="00E16754"/>
    <w:rsid w:val="00E16A59"/>
    <w:rsid w:val="00E16BCF"/>
    <w:rsid w:val="00E16FF8"/>
    <w:rsid w:val="00E1713A"/>
    <w:rsid w:val="00E171AB"/>
    <w:rsid w:val="00E171D1"/>
    <w:rsid w:val="00E17228"/>
    <w:rsid w:val="00E17561"/>
    <w:rsid w:val="00E1763E"/>
    <w:rsid w:val="00E17A41"/>
    <w:rsid w:val="00E200AA"/>
    <w:rsid w:val="00E20214"/>
    <w:rsid w:val="00E202D8"/>
    <w:rsid w:val="00E2044B"/>
    <w:rsid w:val="00E205A7"/>
    <w:rsid w:val="00E20A01"/>
    <w:rsid w:val="00E20AC4"/>
    <w:rsid w:val="00E20B0B"/>
    <w:rsid w:val="00E20B64"/>
    <w:rsid w:val="00E20F0D"/>
    <w:rsid w:val="00E20FC6"/>
    <w:rsid w:val="00E21260"/>
    <w:rsid w:val="00E21373"/>
    <w:rsid w:val="00E21462"/>
    <w:rsid w:val="00E21634"/>
    <w:rsid w:val="00E218D8"/>
    <w:rsid w:val="00E21999"/>
    <w:rsid w:val="00E21A1F"/>
    <w:rsid w:val="00E21B01"/>
    <w:rsid w:val="00E21C4B"/>
    <w:rsid w:val="00E21D92"/>
    <w:rsid w:val="00E2258A"/>
    <w:rsid w:val="00E227CB"/>
    <w:rsid w:val="00E22F86"/>
    <w:rsid w:val="00E23575"/>
    <w:rsid w:val="00E23598"/>
    <w:rsid w:val="00E235D4"/>
    <w:rsid w:val="00E239B1"/>
    <w:rsid w:val="00E23A9C"/>
    <w:rsid w:val="00E23BA8"/>
    <w:rsid w:val="00E23D18"/>
    <w:rsid w:val="00E23F30"/>
    <w:rsid w:val="00E24101"/>
    <w:rsid w:val="00E241B8"/>
    <w:rsid w:val="00E24348"/>
    <w:rsid w:val="00E24564"/>
    <w:rsid w:val="00E248A3"/>
    <w:rsid w:val="00E24D8F"/>
    <w:rsid w:val="00E24E3E"/>
    <w:rsid w:val="00E24EF3"/>
    <w:rsid w:val="00E2507C"/>
    <w:rsid w:val="00E252EC"/>
    <w:rsid w:val="00E25A7A"/>
    <w:rsid w:val="00E25DFD"/>
    <w:rsid w:val="00E25F18"/>
    <w:rsid w:val="00E26017"/>
    <w:rsid w:val="00E26155"/>
    <w:rsid w:val="00E261A3"/>
    <w:rsid w:val="00E264CA"/>
    <w:rsid w:val="00E265DB"/>
    <w:rsid w:val="00E266A8"/>
    <w:rsid w:val="00E26731"/>
    <w:rsid w:val="00E26948"/>
    <w:rsid w:val="00E26D49"/>
    <w:rsid w:val="00E26DD6"/>
    <w:rsid w:val="00E26E4F"/>
    <w:rsid w:val="00E26ED6"/>
    <w:rsid w:val="00E27079"/>
    <w:rsid w:val="00E27151"/>
    <w:rsid w:val="00E273FF"/>
    <w:rsid w:val="00E274C0"/>
    <w:rsid w:val="00E276C0"/>
    <w:rsid w:val="00E276DE"/>
    <w:rsid w:val="00E2786E"/>
    <w:rsid w:val="00E2794B"/>
    <w:rsid w:val="00E27BCC"/>
    <w:rsid w:val="00E27D64"/>
    <w:rsid w:val="00E27ECB"/>
    <w:rsid w:val="00E27F9F"/>
    <w:rsid w:val="00E300E7"/>
    <w:rsid w:val="00E30206"/>
    <w:rsid w:val="00E30402"/>
    <w:rsid w:val="00E304D8"/>
    <w:rsid w:val="00E30535"/>
    <w:rsid w:val="00E30D2D"/>
    <w:rsid w:val="00E30D94"/>
    <w:rsid w:val="00E30DB9"/>
    <w:rsid w:val="00E30E9C"/>
    <w:rsid w:val="00E30F69"/>
    <w:rsid w:val="00E30FCA"/>
    <w:rsid w:val="00E3105F"/>
    <w:rsid w:val="00E31083"/>
    <w:rsid w:val="00E311CF"/>
    <w:rsid w:val="00E31235"/>
    <w:rsid w:val="00E31448"/>
    <w:rsid w:val="00E31893"/>
    <w:rsid w:val="00E318FB"/>
    <w:rsid w:val="00E31974"/>
    <w:rsid w:val="00E31BF2"/>
    <w:rsid w:val="00E31DF6"/>
    <w:rsid w:val="00E31E45"/>
    <w:rsid w:val="00E320C2"/>
    <w:rsid w:val="00E32494"/>
    <w:rsid w:val="00E3254D"/>
    <w:rsid w:val="00E325DA"/>
    <w:rsid w:val="00E32659"/>
    <w:rsid w:val="00E3289F"/>
    <w:rsid w:val="00E328AC"/>
    <w:rsid w:val="00E32D76"/>
    <w:rsid w:val="00E33522"/>
    <w:rsid w:val="00E335C6"/>
    <w:rsid w:val="00E33653"/>
    <w:rsid w:val="00E3374D"/>
    <w:rsid w:val="00E337FF"/>
    <w:rsid w:val="00E33824"/>
    <w:rsid w:val="00E3383F"/>
    <w:rsid w:val="00E33A7E"/>
    <w:rsid w:val="00E33E75"/>
    <w:rsid w:val="00E33F39"/>
    <w:rsid w:val="00E33FC0"/>
    <w:rsid w:val="00E3422B"/>
    <w:rsid w:val="00E3449D"/>
    <w:rsid w:val="00E34A36"/>
    <w:rsid w:val="00E34AED"/>
    <w:rsid w:val="00E34B50"/>
    <w:rsid w:val="00E34D3F"/>
    <w:rsid w:val="00E350A6"/>
    <w:rsid w:val="00E35472"/>
    <w:rsid w:val="00E35504"/>
    <w:rsid w:val="00E3565A"/>
    <w:rsid w:val="00E3578F"/>
    <w:rsid w:val="00E35C58"/>
    <w:rsid w:val="00E35C7C"/>
    <w:rsid w:val="00E35E17"/>
    <w:rsid w:val="00E35E9B"/>
    <w:rsid w:val="00E35EC2"/>
    <w:rsid w:val="00E35FDD"/>
    <w:rsid w:val="00E363B4"/>
    <w:rsid w:val="00E363BE"/>
    <w:rsid w:val="00E364E3"/>
    <w:rsid w:val="00E36736"/>
    <w:rsid w:val="00E36AAC"/>
    <w:rsid w:val="00E36AD3"/>
    <w:rsid w:val="00E36E72"/>
    <w:rsid w:val="00E3708E"/>
    <w:rsid w:val="00E372FF"/>
    <w:rsid w:val="00E37668"/>
    <w:rsid w:val="00E376DE"/>
    <w:rsid w:val="00E37B69"/>
    <w:rsid w:val="00E37BD3"/>
    <w:rsid w:val="00E37C34"/>
    <w:rsid w:val="00E37C43"/>
    <w:rsid w:val="00E37E50"/>
    <w:rsid w:val="00E40103"/>
    <w:rsid w:val="00E40296"/>
    <w:rsid w:val="00E403D1"/>
    <w:rsid w:val="00E40407"/>
    <w:rsid w:val="00E40490"/>
    <w:rsid w:val="00E404C0"/>
    <w:rsid w:val="00E40539"/>
    <w:rsid w:val="00E405F7"/>
    <w:rsid w:val="00E40A12"/>
    <w:rsid w:val="00E40C21"/>
    <w:rsid w:val="00E410F8"/>
    <w:rsid w:val="00E41104"/>
    <w:rsid w:val="00E41117"/>
    <w:rsid w:val="00E4135F"/>
    <w:rsid w:val="00E4156D"/>
    <w:rsid w:val="00E4159C"/>
    <w:rsid w:val="00E4171F"/>
    <w:rsid w:val="00E417CD"/>
    <w:rsid w:val="00E41908"/>
    <w:rsid w:val="00E42209"/>
    <w:rsid w:val="00E423EE"/>
    <w:rsid w:val="00E4260C"/>
    <w:rsid w:val="00E429DD"/>
    <w:rsid w:val="00E42A3B"/>
    <w:rsid w:val="00E42CBC"/>
    <w:rsid w:val="00E42E12"/>
    <w:rsid w:val="00E42F28"/>
    <w:rsid w:val="00E43051"/>
    <w:rsid w:val="00E437B3"/>
    <w:rsid w:val="00E43855"/>
    <w:rsid w:val="00E43B38"/>
    <w:rsid w:val="00E43B5F"/>
    <w:rsid w:val="00E43C38"/>
    <w:rsid w:val="00E43DC4"/>
    <w:rsid w:val="00E43E4D"/>
    <w:rsid w:val="00E44039"/>
    <w:rsid w:val="00E4430A"/>
    <w:rsid w:val="00E444AE"/>
    <w:rsid w:val="00E44747"/>
    <w:rsid w:val="00E447EB"/>
    <w:rsid w:val="00E448F8"/>
    <w:rsid w:val="00E44C02"/>
    <w:rsid w:val="00E44DA9"/>
    <w:rsid w:val="00E44EB8"/>
    <w:rsid w:val="00E451B9"/>
    <w:rsid w:val="00E45731"/>
    <w:rsid w:val="00E45797"/>
    <w:rsid w:val="00E457AB"/>
    <w:rsid w:val="00E45881"/>
    <w:rsid w:val="00E45D6B"/>
    <w:rsid w:val="00E45F7F"/>
    <w:rsid w:val="00E46666"/>
    <w:rsid w:val="00E467FE"/>
    <w:rsid w:val="00E4696C"/>
    <w:rsid w:val="00E46A56"/>
    <w:rsid w:val="00E46C21"/>
    <w:rsid w:val="00E46D03"/>
    <w:rsid w:val="00E46E3A"/>
    <w:rsid w:val="00E472EB"/>
    <w:rsid w:val="00E47A57"/>
    <w:rsid w:val="00E47B6D"/>
    <w:rsid w:val="00E47EF6"/>
    <w:rsid w:val="00E47FA3"/>
    <w:rsid w:val="00E50922"/>
    <w:rsid w:val="00E5098A"/>
    <w:rsid w:val="00E50B63"/>
    <w:rsid w:val="00E51053"/>
    <w:rsid w:val="00E51253"/>
    <w:rsid w:val="00E51BB1"/>
    <w:rsid w:val="00E51C79"/>
    <w:rsid w:val="00E51F06"/>
    <w:rsid w:val="00E520FF"/>
    <w:rsid w:val="00E52207"/>
    <w:rsid w:val="00E522AB"/>
    <w:rsid w:val="00E523B1"/>
    <w:rsid w:val="00E526A3"/>
    <w:rsid w:val="00E52908"/>
    <w:rsid w:val="00E52A40"/>
    <w:rsid w:val="00E52AC7"/>
    <w:rsid w:val="00E52BB9"/>
    <w:rsid w:val="00E52E25"/>
    <w:rsid w:val="00E5318C"/>
    <w:rsid w:val="00E533A1"/>
    <w:rsid w:val="00E53448"/>
    <w:rsid w:val="00E5374A"/>
    <w:rsid w:val="00E53931"/>
    <w:rsid w:val="00E5396B"/>
    <w:rsid w:val="00E53A24"/>
    <w:rsid w:val="00E53B63"/>
    <w:rsid w:val="00E53BE1"/>
    <w:rsid w:val="00E53CAB"/>
    <w:rsid w:val="00E53F97"/>
    <w:rsid w:val="00E54019"/>
    <w:rsid w:val="00E5424D"/>
    <w:rsid w:val="00E5474C"/>
    <w:rsid w:val="00E5497F"/>
    <w:rsid w:val="00E54A38"/>
    <w:rsid w:val="00E54CB7"/>
    <w:rsid w:val="00E54E3F"/>
    <w:rsid w:val="00E54FAD"/>
    <w:rsid w:val="00E55022"/>
    <w:rsid w:val="00E551C3"/>
    <w:rsid w:val="00E5528D"/>
    <w:rsid w:val="00E555D8"/>
    <w:rsid w:val="00E55889"/>
    <w:rsid w:val="00E55C98"/>
    <w:rsid w:val="00E55CA5"/>
    <w:rsid w:val="00E55EAC"/>
    <w:rsid w:val="00E56040"/>
    <w:rsid w:val="00E56158"/>
    <w:rsid w:val="00E56244"/>
    <w:rsid w:val="00E564CE"/>
    <w:rsid w:val="00E56528"/>
    <w:rsid w:val="00E567AE"/>
    <w:rsid w:val="00E567BD"/>
    <w:rsid w:val="00E568DF"/>
    <w:rsid w:val="00E56EAC"/>
    <w:rsid w:val="00E57227"/>
    <w:rsid w:val="00E57268"/>
    <w:rsid w:val="00E57357"/>
    <w:rsid w:val="00E573E8"/>
    <w:rsid w:val="00E576AB"/>
    <w:rsid w:val="00E5784A"/>
    <w:rsid w:val="00E57ADC"/>
    <w:rsid w:val="00E57B81"/>
    <w:rsid w:val="00E57D13"/>
    <w:rsid w:val="00E57D8F"/>
    <w:rsid w:val="00E57F70"/>
    <w:rsid w:val="00E60252"/>
    <w:rsid w:val="00E602B0"/>
    <w:rsid w:val="00E6030E"/>
    <w:rsid w:val="00E6058E"/>
    <w:rsid w:val="00E607A3"/>
    <w:rsid w:val="00E607CC"/>
    <w:rsid w:val="00E60D47"/>
    <w:rsid w:val="00E60EA5"/>
    <w:rsid w:val="00E60F57"/>
    <w:rsid w:val="00E60FA7"/>
    <w:rsid w:val="00E610BA"/>
    <w:rsid w:val="00E61299"/>
    <w:rsid w:val="00E61610"/>
    <w:rsid w:val="00E61678"/>
    <w:rsid w:val="00E61C32"/>
    <w:rsid w:val="00E61DFD"/>
    <w:rsid w:val="00E6209B"/>
    <w:rsid w:val="00E62417"/>
    <w:rsid w:val="00E62566"/>
    <w:rsid w:val="00E6262A"/>
    <w:rsid w:val="00E626E2"/>
    <w:rsid w:val="00E62751"/>
    <w:rsid w:val="00E62AD2"/>
    <w:rsid w:val="00E62B3A"/>
    <w:rsid w:val="00E6300A"/>
    <w:rsid w:val="00E63317"/>
    <w:rsid w:val="00E635E4"/>
    <w:rsid w:val="00E63715"/>
    <w:rsid w:val="00E63752"/>
    <w:rsid w:val="00E63DD3"/>
    <w:rsid w:val="00E63E85"/>
    <w:rsid w:val="00E63F11"/>
    <w:rsid w:val="00E6404B"/>
    <w:rsid w:val="00E644F4"/>
    <w:rsid w:val="00E64534"/>
    <w:rsid w:val="00E6463A"/>
    <w:rsid w:val="00E64B77"/>
    <w:rsid w:val="00E64E17"/>
    <w:rsid w:val="00E6512A"/>
    <w:rsid w:val="00E658A5"/>
    <w:rsid w:val="00E658D4"/>
    <w:rsid w:val="00E65907"/>
    <w:rsid w:val="00E659A2"/>
    <w:rsid w:val="00E65A34"/>
    <w:rsid w:val="00E65C7A"/>
    <w:rsid w:val="00E65EAA"/>
    <w:rsid w:val="00E663DF"/>
    <w:rsid w:val="00E6678C"/>
    <w:rsid w:val="00E66EC1"/>
    <w:rsid w:val="00E67078"/>
    <w:rsid w:val="00E67095"/>
    <w:rsid w:val="00E67161"/>
    <w:rsid w:val="00E6728C"/>
    <w:rsid w:val="00E675C7"/>
    <w:rsid w:val="00E67623"/>
    <w:rsid w:val="00E67630"/>
    <w:rsid w:val="00E67AA1"/>
    <w:rsid w:val="00E67DF2"/>
    <w:rsid w:val="00E67E89"/>
    <w:rsid w:val="00E67EEA"/>
    <w:rsid w:val="00E705BF"/>
    <w:rsid w:val="00E7074F"/>
    <w:rsid w:val="00E70829"/>
    <w:rsid w:val="00E709E2"/>
    <w:rsid w:val="00E70E85"/>
    <w:rsid w:val="00E7108A"/>
    <w:rsid w:val="00E7123B"/>
    <w:rsid w:val="00E7128C"/>
    <w:rsid w:val="00E713B6"/>
    <w:rsid w:val="00E715C2"/>
    <w:rsid w:val="00E717CA"/>
    <w:rsid w:val="00E7199F"/>
    <w:rsid w:val="00E71C14"/>
    <w:rsid w:val="00E71C36"/>
    <w:rsid w:val="00E71E36"/>
    <w:rsid w:val="00E71F65"/>
    <w:rsid w:val="00E720FE"/>
    <w:rsid w:val="00E7240A"/>
    <w:rsid w:val="00E7259E"/>
    <w:rsid w:val="00E727BB"/>
    <w:rsid w:val="00E72BD1"/>
    <w:rsid w:val="00E732F2"/>
    <w:rsid w:val="00E7334F"/>
    <w:rsid w:val="00E73647"/>
    <w:rsid w:val="00E7375A"/>
    <w:rsid w:val="00E7379B"/>
    <w:rsid w:val="00E73846"/>
    <w:rsid w:val="00E73A3A"/>
    <w:rsid w:val="00E73B1D"/>
    <w:rsid w:val="00E73BCA"/>
    <w:rsid w:val="00E73ED2"/>
    <w:rsid w:val="00E73FB8"/>
    <w:rsid w:val="00E74073"/>
    <w:rsid w:val="00E74109"/>
    <w:rsid w:val="00E74307"/>
    <w:rsid w:val="00E743CD"/>
    <w:rsid w:val="00E745C5"/>
    <w:rsid w:val="00E7468E"/>
    <w:rsid w:val="00E750C5"/>
    <w:rsid w:val="00E751AA"/>
    <w:rsid w:val="00E752E2"/>
    <w:rsid w:val="00E7541E"/>
    <w:rsid w:val="00E75485"/>
    <w:rsid w:val="00E754B4"/>
    <w:rsid w:val="00E75531"/>
    <w:rsid w:val="00E756D1"/>
    <w:rsid w:val="00E75745"/>
    <w:rsid w:val="00E758A0"/>
    <w:rsid w:val="00E7598A"/>
    <w:rsid w:val="00E759D6"/>
    <w:rsid w:val="00E75BC8"/>
    <w:rsid w:val="00E75C65"/>
    <w:rsid w:val="00E75E21"/>
    <w:rsid w:val="00E76002"/>
    <w:rsid w:val="00E76042"/>
    <w:rsid w:val="00E7605D"/>
    <w:rsid w:val="00E76201"/>
    <w:rsid w:val="00E765BB"/>
    <w:rsid w:val="00E76B91"/>
    <w:rsid w:val="00E76BCA"/>
    <w:rsid w:val="00E76C4B"/>
    <w:rsid w:val="00E76F9A"/>
    <w:rsid w:val="00E77447"/>
    <w:rsid w:val="00E775A7"/>
    <w:rsid w:val="00E77801"/>
    <w:rsid w:val="00E77963"/>
    <w:rsid w:val="00E77970"/>
    <w:rsid w:val="00E77A1F"/>
    <w:rsid w:val="00E8003A"/>
    <w:rsid w:val="00E8035E"/>
    <w:rsid w:val="00E803EF"/>
    <w:rsid w:val="00E807A8"/>
    <w:rsid w:val="00E80996"/>
    <w:rsid w:val="00E80BF9"/>
    <w:rsid w:val="00E80CC3"/>
    <w:rsid w:val="00E80EF3"/>
    <w:rsid w:val="00E80FE2"/>
    <w:rsid w:val="00E810D5"/>
    <w:rsid w:val="00E811A1"/>
    <w:rsid w:val="00E811AD"/>
    <w:rsid w:val="00E812EC"/>
    <w:rsid w:val="00E81395"/>
    <w:rsid w:val="00E8144A"/>
    <w:rsid w:val="00E8188F"/>
    <w:rsid w:val="00E819AA"/>
    <w:rsid w:val="00E81D13"/>
    <w:rsid w:val="00E81DEC"/>
    <w:rsid w:val="00E8252C"/>
    <w:rsid w:val="00E825C8"/>
    <w:rsid w:val="00E827C6"/>
    <w:rsid w:val="00E82AA3"/>
    <w:rsid w:val="00E82BE5"/>
    <w:rsid w:val="00E82C03"/>
    <w:rsid w:val="00E82CB0"/>
    <w:rsid w:val="00E82EB2"/>
    <w:rsid w:val="00E8303D"/>
    <w:rsid w:val="00E83182"/>
    <w:rsid w:val="00E832A7"/>
    <w:rsid w:val="00E83362"/>
    <w:rsid w:val="00E8336C"/>
    <w:rsid w:val="00E836CC"/>
    <w:rsid w:val="00E83A5C"/>
    <w:rsid w:val="00E83C89"/>
    <w:rsid w:val="00E83F6A"/>
    <w:rsid w:val="00E84351"/>
    <w:rsid w:val="00E843DC"/>
    <w:rsid w:val="00E84647"/>
    <w:rsid w:val="00E846E1"/>
    <w:rsid w:val="00E847FA"/>
    <w:rsid w:val="00E8489A"/>
    <w:rsid w:val="00E84C07"/>
    <w:rsid w:val="00E84DDD"/>
    <w:rsid w:val="00E84E03"/>
    <w:rsid w:val="00E84F28"/>
    <w:rsid w:val="00E85013"/>
    <w:rsid w:val="00E8502D"/>
    <w:rsid w:val="00E850F5"/>
    <w:rsid w:val="00E8520F"/>
    <w:rsid w:val="00E852E4"/>
    <w:rsid w:val="00E8543A"/>
    <w:rsid w:val="00E8591B"/>
    <w:rsid w:val="00E859A2"/>
    <w:rsid w:val="00E859F1"/>
    <w:rsid w:val="00E85A98"/>
    <w:rsid w:val="00E85BA5"/>
    <w:rsid w:val="00E85D50"/>
    <w:rsid w:val="00E863B7"/>
    <w:rsid w:val="00E868AC"/>
    <w:rsid w:val="00E86986"/>
    <w:rsid w:val="00E86DAB"/>
    <w:rsid w:val="00E86EA2"/>
    <w:rsid w:val="00E87157"/>
    <w:rsid w:val="00E87500"/>
    <w:rsid w:val="00E87675"/>
    <w:rsid w:val="00E87C8F"/>
    <w:rsid w:val="00E87DE8"/>
    <w:rsid w:val="00E9014C"/>
    <w:rsid w:val="00E90210"/>
    <w:rsid w:val="00E90AF1"/>
    <w:rsid w:val="00E90BE1"/>
    <w:rsid w:val="00E916BC"/>
    <w:rsid w:val="00E919B6"/>
    <w:rsid w:val="00E91A75"/>
    <w:rsid w:val="00E91B24"/>
    <w:rsid w:val="00E91C39"/>
    <w:rsid w:val="00E91C53"/>
    <w:rsid w:val="00E91EA3"/>
    <w:rsid w:val="00E91ECF"/>
    <w:rsid w:val="00E91F2C"/>
    <w:rsid w:val="00E92410"/>
    <w:rsid w:val="00E92470"/>
    <w:rsid w:val="00E92593"/>
    <w:rsid w:val="00E9281D"/>
    <w:rsid w:val="00E92838"/>
    <w:rsid w:val="00E92AC6"/>
    <w:rsid w:val="00E92B07"/>
    <w:rsid w:val="00E92C2D"/>
    <w:rsid w:val="00E92CCA"/>
    <w:rsid w:val="00E92D06"/>
    <w:rsid w:val="00E92DD6"/>
    <w:rsid w:val="00E92F56"/>
    <w:rsid w:val="00E931EF"/>
    <w:rsid w:val="00E932DA"/>
    <w:rsid w:val="00E933A0"/>
    <w:rsid w:val="00E9355B"/>
    <w:rsid w:val="00E93603"/>
    <w:rsid w:val="00E938DF"/>
    <w:rsid w:val="00E93B09"/>
    <w:rsid w:val="00E93D26"/>
    <w:rsid w:val="00E93D48"/>
    <w:rsid w:val="00E94442"/>
    <w:rsid w:val="00E9447D"/>
    <w:rsid w:val="00E944E1"/>
    <w:rsid w:val="00E95191"/>
    <w:rsid w:val="00E95635"/>
    <w:rsid w:val="00E95741"/>
    <w:rsid w:val="00E959DC"/>
    <w:rsid w:val="00E95D67"/>
    <w:rsid w:val="00E95E0C"/>
    <w:rsid w:val="00E9622A"/>
    <w:rsid w:val="00E96304"/>
    <w:rsid w:val="00E9635E"/>
    <w:rsid w:val="00E9657C"/>
    <w:rsid w:val="00E9660C"/>
    <w:rsid w:val="00E966B2"/>
    <w:rsid w:val="00E96776"/>
    <w:rsid w:val="00E96881"/>
    <w:rsid w:val="00E96AF8"/>
    <w:rsid w:val="00E96C4D"/>
    <w:rsid w:val="00E96CB8"/>
    <w:rsid w:val="00E96CEC"/>
    <w:rsid w:val="00E97056"/>
    <w:rsid w:val="00E9743F"/>
    <w:rsid w:val="00E97446"/>
    <w:rsid w:val="00E97742"/>
    <w:rsid w:val="00E97914"/>
    <w:rsid w:val="00E97BB1"/>
    <w:rsid w:val="00E97BFE"/>
    <w:rsid w:val="00E97D07"/>
    <w:rsid w:val="00E97D1D"/>
    <w:rsid w:val="00EA00AD"/>
    <w:rsid w:val="00EA00CD"/>
    <w:rsid w:val="00EA02E3"/>
    <w:rsid w:val="00EA02F6"/>
    <w:rsid w:val="00EA035D"/>
    <w:rsid w:val="00EA036B"/>
    <w:rsid w:val="00EA047F"/>
    <w:rsid w:val="00EA049F"/>
    <w:rsid w:val="00EA0669"/>
    <w:rsid w:val="00EA0674"/>
    <w:rsid w:val="00EA0981"/>
    <w:rsid w:val="00EA0B14"/>
    <w:rsid w:val="00EA0D59"/>
    <w:rsid w:val="00EA100A"/>
    <w:rsid w:val="00EA10EE"/>
    <w:rsid w:val="00EA14E5"/>
    <w:rsid w:val="00EA1753"/>
    <w:rsid w:val="00EA180C"/>
    <w:rsid w:val="00EA1A60"/>
    <w:rsid w:val="00EA1A64"/>
    <w:rsid w:val="00EA1BA0"/>
    <w:rsid w:val="00EA1C4B"/>
    <w:rsid w:val="00EA1CFD"/>
    <w:rsid w:val="00EA202E"/>
    <w:rsid w:val="00EA22DE"/>
    <w:rsid w:val="00EA2326"/>
    <w:rsid w:val="00EA242A"/>
    <w:rsid w:val="00EA2450"/>
    <w:rsid w:val="00EA24B8"/>
    <w:rsid w:val="00EA266B"/>
    <w:rsid w:val="00EA2806"/>
    <w:rsid w:val="00EA282A"/>
    <w:rsid w:val="00EA2847"/>
    <w:rsid w:val="00EA296A"/>
    <w:rsid w:val="00EA2A14"/>
    <w:rsid w:val="00EA2FED"/>
    <w:rsid w:val="00EA31C3"/>
    <w:rsid w:val="00EA327C"/>
    <w:rsid w:val="00EA363F"/>
    <w:rsid w:val="00EA3949"/>
    <w:rsid w:val="00EA3A4E"/>
    <w:rsid w:val="00EA3EB1"/>
    <w:rsid w:val="00EA3FC4"/>
    <w:rsid w:val="00EA421E"/>
    <w:rsid w:val="00EA4307"/>
    <w:rsid w:val="00EA455A"/>
    <w:rsid w:val="00EA4683"/>
    <w:rsid w:val="00EA46FC"/>
    <w:rsid w:val="00EA4840"/>
    <w:rsid w:val="00EA4E87"/>
    <w:rsid w:val="00EA508C"/>
    <w:rsid w:val="00EA53D2"/>
    <w:rsid w:val="00EA5511"/>
    <w:rsid w:val="00EA5672"/>
    <w:rsid w:val="00EA5914"/>
    <w:rsid w:val="00EA5A43"/>
    <w:rsid w:val="00EA5B5F"/>
    <w:rsid w:val="00EA5CAF"/>
    <w:rsid w:val="00EA6449"/>
    <w:rsid w:val="00EA64F6"/>
    <w:rsid w:val="00EA6CDF"/>
    <w:rsid w:val="00EA6D59"/>
    <w:rsid w:val="00EA6E75"/>
    <w:rsid w:val="00EA75FA"/>
    <w:rsid w:val="00EA76F8"/>
    <w:rsid w:val="00EA7805"/>
    <w:rsid w:val="00EA7921"/>
    <w:rsid w:val="00EA7998"/>
    <w:rsid w:val="00EA79B9"/>
    <w:rsid w:val="00EA7B82"/>
    <w:rsid w:val="00EA7CF0"/>
    <w:rsid w:val="00EA7DBD"/>
    <w:rsid w:val="00EB02A5"/>
    <w:rsid w:val="00EB0656"/>
    <w:rsid w:val="00EB06CD"/>
    <w:rsid w:val="00EB09A6"/>
    <w:rsid w:val="00EB0BFF"/>
    <w:rsid w:val="00EB11EB"/>
    <w:rsid w:val="00EB13A6"/>
    <w:rsid w:val="00EB15B5"/>
    <w:rsid w:val="00EB15E5"/>
    <w:rsid w:val="00EB1754"/>
    <w:rsid w:val="00EB190C"/>
    <w:rsid w:val="00EB1A7B"/>
    <w:rsid w:val="00EB1D68"/>
    <w:rsid w:val="00EB1D89"/>
    <w:rsid w:val="00EB1FD6"/>
    <w:rsid w:val="00EB2268"/>
    <w:rsid w:val="00EB2A4F"/>
    <w:rsid w:val="00EB2CA7"/>
    <w:rsid w:val="00EB2F1F"/>
    <w:rsid w:val="00EB33B1"/>
    <w:rsid w:val="00EB3477"/>
    <w:rsid w:val="00EB35AF"/>
    <w:rsid w:val="00EB377B"/>
    <w:rsid w:val="00EB38B7"/>
    <w:rsid w:val="00EB396C"/>
    <w:rsid w:val="00EB3AC0"/>
    <w:rsid w:val="00EB3C87"/>
    <w:rsid w:val="00EB3CB3"/>
    <w:rsid w:val="00EB3CEF"/>
    <w:rsid w:val="00EB3EF4"/>
    <w:rsid w:val="00EB3F34"/>
    <w:rsid w:val="00EB3F59"/>
    <w:rsid w:val="00EB445C"/>
    <w:rsid w:val="00EB4A9F"/>
    <w:rsid w:val="00EB4FA7"/>
    <w:rsid w:val="00EB5257"/>
    <w:rsid w:val="00EB55E0"/>
    <w:rsid w:val="00EB5799"/>
    <w:rsid w:val="00EB5BF1"/>
    <w:rsid w:val="00EB5C22"/>
    <w:rsid w:val="00EB619C"/>
    <w:rsid w:val="00EB6320"/>
    <w:rsid w:val="00EB63CA"/>
    <w:rsid w:val="00EB673C"/>
    <w:rsid w:val="00EB6834"/>
    <w:rsid w:val="00EB68B2"/>
    <w:rsid w:val="00EB6A55"/>
    <w:rsid w:val="00EB6DB8"/>
    <w:rsid w:val="00EB6DE7"/>
    <w:rsid w:val="00EB7053"/>
    <w:rsid w:val="00EB71A4"/>
    <w:rsid w:val="00EB71FD"/>
    <w:rsid w:val="00EB720F"/>
    <w:rsid w:val="00EB7237"/>
    <w:rsid w:val="00EB76C6"/>
    <w:rsid w:val="00EB7A2F"/>
    <w:rsid w:val="00EB7A4D"/>
    <w:rsid w:val="00EB7F5B"/>
    <w:rsid w:val="00EC0173"/>
    <w:rsid w:val="00EC03E8"/>
    <w:rsid w:val="00EC05F6"/>
    <w:rsid w:val="00EC06BF"/>
    <w:rsid w:val="00EC090D"/>
    <w:rsid w:val="00EC0A3B"/>
    <w:rsid w:val="00EC0B6B"/>
    <w:rsid w:val="00EC0B80"/>
    <w:rsid w:val="00EC0CC9"/>
    <w:rsid w:val="00EC11F6"/>
    <w:rsid w:val="00EC1257"/>
    <w:rsid w:val="00EC154C"/>
    <w:rsid w:val="00EC16C5"/>
    <w:rsid w:val="00EC18D2"/>
    <w:rsid w:val="00EC1BEB"/>
    <w:rsid w:val="00EC1EA7"/>
    <w:rsid w:val="00EC2189"/>
    <w:rsid w:val="00EC23AD"/>
    <w:rsid w:val="00EC252D"/>
    <w:rsid w:val="00EC26A6"/>
    <w:rsid w:val="00EC26C7"/>
    <w:rsid w:val="00EC287F"/>
    <w:rsid w:val="00EC2942"/>
    <w:rsid w:val="00EC31EB"/>
    <w:rsid w:val="00EC336C"/>
    <w:rsid w:val="00EC33F2"/>
    <w:rsid w:val="00EC34C5"/>
    <w:rsid w:val="00EC3573"/>
    <w:rsid w:val="00EC357C"/>
    <w:rsid w:val="00EC365B"/>
    <w:rsid w:val="00EC3813"/>
    <w:rsid w:val="00EC38D4"/>
    <w:rsid w:val="00EC3A64"/>
    <w:rsid w:val="00EC3E9C"/>
    <w:rsid w:val="00EC3F87"/>
    <w:rsid w:val="00EC4148"/>
    <w:rsid w:val="00EC4196"/>
    <w:rsid w:val="00EC4228"/>
    <w:rsid w:val="00EC45AE"/>
    <w:rsid w:val="00EC4B81"/>
    <w:rsid w:val="00EC4D33"/>
    <w:rsid w:val="00EC4EF3"/>
    <w:rsid w:val="00EC5567"/>
    <w:rsid w:val="00EC56B6"/>
    <w:rsid w:val="00EC56DD"/>
    <w:rsid w:val="00EC580F"/>
    <w:rsid w:val="00EC581D"/>
    <w:rsid w:val="00EC5F6C"/>
    <w:rsid w:val="00EC603F"/>
    <w:rsid w:val="00EC6086"/>
    <w:rsid w:val="00EC615E"/>
    <w:rsid w:val="00EC63D7"/>
    <w:rsid w:val="00EC666C"/>
    <w:rsid w:val="00EC69E4"/>
    <w:rsid w:val="00EC6BC4"/>
    <w:rsid w:val="00EC6C95"/>
    <w:rsid w:val="00EC6CAC"/>
    <w:rsid w:val="00EC6DA8"/>
    <w:rsid w:val="00EC70A3"/>
    <w:rsid w:val="00EC734D"/>
    <w:rsid w:val="00EC7452"/>
    <w:rsid w:val="00EC75B0"/>
    <w:rsid w:val="00EC760D"/>
    <w:rsid w:val="00EC76ED"/>
    <w:rsid w:val="00EC78D8"/>
    <w:rsid w:val="00EC79F9"/>
    <w:rsid w:val="00EC7A1D"/>
    <w:rsid w:val="00EC7CE6"/>
    <w:rsid w:val="00ED0324"/>
    <w:rsid w:val="00ED0570"/>
    <w:rsid w:val="00ED059E"/>
    <w:rsid w:val="00ED0AAB"/>
    <w:rsid w:val="00ED0F1E"/>
    <w:rsid w:val="00ED1394"/>
    <w:rsid w:val="00ED150C"/>
    <w:rsid w:val="00ED167A"/>
    <w:rsid w:val="00ED16FB"/>
    <w:rsid w:val="00ED1875"/>
    <w:rsid w:val="00ED1A44"/>
    <w:rsid w:val="00ED1B14"/>
    <w:rsid w:val="00ED1BD6"/>
    <w:rsid w:val="00ED1BF1"/>
    <w:rsid w:val="00ED2056"/>
    <w:rsid w:val="00ED2059"/>
    <w:rsid w:val="00ED2148"/>
    <w:rsid w:val="00ED221E"/>
    <w:rsid w:val="00ED22CA"/>
    <w:rsid w:val="00ED2414"/>
    <w:rsid w:val="00ED29A9"/>
    <w:rsid w:val="00ED2ABF"/>
    <w:rsid w:val="00ED2DA1"/>
    <w:rsid w:val="00ED2F96"/>
    <w:rsid w:val="00ED2FD9"/>
    <w:rsid w:val="00ED3123"/>
    <w:rsid w:val="00ED3223"/>
    <w:rsid w:val="00ED327F"/>
    <w:rsid w:val="00ED3558"/>
    <w:rsid w:val="00ED356F"/>
    <w:rsid w:val="00ED35C9"/>
    <w:rsid w:val="00ED36C8"/>
    <w:rsid w:val="00ED3769"/>
    <w:rsid w:val="00ED3C59"/>
    <w:rsid w:val="00ED3E43"/>
    <w:rsid w:val="00ED402F"/>
    <w:rsid w:val="00ED40CD"/>
    <w:rsid w:val="00ED40D7"/>
    <w:rsid w:val="00ED42A1"/>
    <w:rsid w:val="00ED4303"/>
    <w:rsid w:val="00ED43B1"/>
    <w:rsid w:val="00ED4418"/>
    <w:rsid w:val="00ED495B"/>
    <w:rsid w:val="00ED5055"/>
    <w:rsid w:val="00ED50E0"/>
    <w:rsid w:val="00ED50E7"/>
    <w:rsid w:val="00ED534D"/>
    <w:rsid w:val="00ED53F6"/>
    <w:rsid w:val="00ED5691"/>
    <w:rsid w:val="00ED572C"/>
    <w:rsid w:val="00ED585E"/>
    <w:rsid w:val="00ED598C"/>
    <w:rsid w:val="00ED5D35"/>
    <w:rsid w:val="00ED5FE3"/>
    <w:rsid w:val="00ED66F9"/>
    <w:rsid w:val="00ED6779"/>
    <w:rsid w:val="00ED6904"/>
    <w:rsid w:val="00ED6A4F"/>
    <w:rsid w:val="00ED6F66"/>
    <w:rsid w:val="00ED7524"/>
    <w:rsid w:val="00ED783F"/>
    <w:rsid w:val="00ED7C3B"/>
    <w:rsid w:val="00ED7D0A"/>
    <w:rsid w:val="00ED7DD2"/>
    <w:rsid w:val="00ED7F09"/>
    <w:rsid w:val="00EE0335"/>
    <w:rsid w:val="00EE04DA"/>
    <w:rsid w:val="00EE0922"/>
    <w:rsid w:val="00EE0BB8"/>
    <w:rsid w:val="00EE0BD3"/>
    <w:rsid w:val="00EE1178"/>
    <w:rsid w:val="00EE1368"/>
    <w:rsid w:val="00EE13B6"/>
    <w:rsid w:val="00EE1662"/>
    <w:rsid w:val="00EE1C09"/>
    <w:rsid w:val="00EE1EFF"/>
    <w:rsid w:val="00EE216F"/>
    <w:rsid w:val="00EE21E5"/>
    <w:rsid w:val="00EE27A0"/>
    <w:rsid w:val="00EE27A1"/>
    <w:rsid w:val="00EE2949"/>
    <w:rsid w:val="00EE2B19"/>
    <w:rsid w:val="00EE2E50"/>
    <w:rsid w:val="00EE2F6D"/>
    <w:rsid w:val="00EE3100"/>
    <w:rsid w:val="00EE32E5"/>
    <w:rsid w:val="00EE3760"/>
    <w:rsid w:val="00EE379D"/>
    <w:rsid w:val="00EE39A8"/>
    <w:rsid w:val="00EE39CB"/>
    <w:rsid w:val="00EE3B26"/>
    <w:rsid w:val="00EE3D6A"/>
    <w:rsid w:val="00EE40CA"/>
    <w:rsid w:val="00EE4329"/>
    <w:rsid w:val="00EE43F3"/>
    <w:rsid w:val="00EE43F8"/>
    <w:rsid w:val="00EE441D"/>
    <w:rsid w:val="00EE4934"/>
    <w:rsid w:val="00EE49C3"/>
    <w:rsid w:val="00EE4B83"/>
    <w:rsid w:val="00EE4FA2"/>
    <w:rsid w:val="00EE5060"/>
    <w:rsid w:val="00EE5309"/>
    <w:rsid w:val="00EE577E"/>
    <w:rsid w:val="00EE585D"/>
    <w:rsid w:val="00EE5A0A"/>
    <w:rsid w:val="00EE5D1A"/>
    <w:rsid w:val="00EE5D6A"/>
    <w:rsid w:val="00EE5EC1"/>
    <w:rsid w:val="00EE5F25"/>
    <w:rsid w:val="00EE61E0"/>
    <w:rsid w:val="00EE6340"/>
    <w:rsid w:val="00EE6881"/>
    <w:rsid w:val="00EE6973"/>
    <w:rsid w:val="00EE6A41"/>
    <w:rsid w:val="00EE6BCB"/>
    <w:rsid w:val="00EE6C0A"/>
    <w:rsid w:val="00EE7202"/>
    <w:rsid w:val="00EE72E9"/>
    <w:rsid w:val="00EE72FF"/>
    <w:rsid w:val="00EE744C"/>
    <w:rsid w:val="00EE78AC"/>
    <w:rsid w:val="00EE78F8"/>
    <w:rsid w:val="00EE7B76"/>
    <w:rsid w:val="00EE7CBD"/>
    <w:rsid w:val="00EE7DE6"/>
    <w:rsid w:val="00EE7F54"/>
    <w:rsid w:val="00EF037D"/>
    <w:rsid w:val="00EF03D7"/>
    <w:rsid w:val="00EF0952"/>
    <w:rsid w:val="00EF0A35"/>
    <w:rsid w:val="00EF0CD3"/>
    <w:rsid w:val="00EF0D8B"/>
    <w:rsid w:val="00EF13A5"/>
    <w:rsid w:val="00EF1444"/>
    <w:rsid w:val="00EF15FE"/>
    <w:rsid w:val="00EF1662"/>
    <w:rsid w:val="00EF16BC"/>
    <w:rsid w:val="00EF1962"/>
    <w:rsid w:val="00EF19E2"/>
    <w:rsid w:val="00EF1A9E"/>
    <w:rsid w:val="00EF1B68"/>
    <w:rsid w:val="00EF1C40"/>
    <w:rsid w:val="00EF1D66"/>
    <w:rsid w:val="00EF1E86"/>
    <w:rsid w:val="00EF231F"/>
    <w:rsid w:val="00EF2494"/>
    <w:rsid w:val="00EF24A0"/>
    <w:rsid w:val="00EF2899"/>
    <w:rsid w:val="00EF3443"/>
    <w:rsid w:val="00EF348E"/>
    <w:rsid w:val="00EF366C"/>
    <w:rsid w:val="00EF36CC"/>
    <w:rsid w:val="00EF37B0"/>
    <w:rsid w:val="00EF3851"/>
    <w:rsid w:val="00EF3B8D"/>
    <w:rsid w:val="00EF3CA8"/>
    <w:rsid w:val="00EF3DF8"/>
    <w:rsid w:val="00EF3E02"/>
    <w:rsid w:val="00EF454E"/>
    <w:rsid w:val="00EF4776"/>
    <w:rsid w:val="00EF47E7"/>
    <w:rsid w:val="00EF4891"/>
    <w:rsid w:val="00EF4B9E"/>
    <w:rsid w:val="00EF4CE6"/>
    <w:rsid w:val="00EF4D6A"/>
    <w:rsid w:val="00EF4D79"/>
    <w:rsid w:val="00EF4DA5"/>
    <w:rsid w:val="00EF4F3A"/>
    <w:rsid w:val="00EF50A6"/>
    <w:rsid w:val="00EF50C3"/>
    <w:rsid w:val="00EF542D"/>
    <w:rsid w:val="00EF5537"/>
    <w:rsid w:val="00EF572D"/>
    <w:rsid w:val="00EF5B19"/>
    <w:rsid w:val="00EF5B31"/>
    <w:rsid w:val="00EF5B8E"/>
    <w:rsid w:val="00EF5BBD"/>
    <w:rsid w:val="00EF5C17"/>
    <w:rsid w:val="00EF5DFA"/>
    <w:rsid w:val="00EF5E0C"/>
    <w:rsid w:val="00EF5E2B"/>
    <w:rsid w:val="00EF6117"/>
    <w:rsid w:val="00EF623E"/>
    <w:rsid w:val="00EF64C0"/>
    <w:rsid w:val="00EF66F8"/>
    <w:rsid w:val="00EF69EB"/>
    <w:rsid w:val="00EF6F21"/>
    <w:rsid w:val="00EF7024"/>
    <w:rsid w:val="00EF707B"/>
    <w:rsid w:val="00EF7403"/>
    <w:rsid w:val="00EF7466"/>
    <w:rsid w:val="00EF7803"/>
    <w:rsid w:val="00EF7A1A"/>
    <w:rsid w:val="00EF7A47"/>
    <w:rsid w:val="00EF7B9E"/>
    <w:rsid w:val="00EF7CDB"/>
    <w:rsid w:val="00EF7EC3"/>
    <w:rsid w:val="00F00209"/>
    <w:rsid w:val="00F0055F"/>
    <w:rsid w:val="00F00574"/>
    <w:rsid w:val="00F007D9"/>
    <w:rsid w:val="00F008DB"/>
    <w:rsid w:val="00F00B3E"/>
    <w:rsid w:val="00F00C29"/>
    <w:rsid w:val="00F00FAB"/>
    <w:rsid w:val="00F00FD2"/>
    <w:rsid w:val="00F01117"/>
    <w:rsid w:val="00F011CA"/>
    <w:rsid w:val="00F01475"/>
    <w:rsid w:val="00F0150E"/>
    <w:rsid w:val="00F0174F"/>
    <w:rsid w:val="00F01F46"/>
    <w:rsid w:val="00F021FD"/>
    <w:rsid w:val="00F022BB"/>
    <w:rsid w:val="00F02624"/>
    <w:rsid w:val="00F0292A"/>
    <w:rsid w:val="00F02B10"/>
    <w:rsid w:val="00F02B81"/>
    <w:rsid w:val="00F03029"/>
    <w:rsid w:val="00F030C8"/>
    <w:rsid w:val="00F03379"/>
    <w:rsid w:val="00F03727"/>
    <w:rsid w:val="00F0399F"/>
    <w:rsid w:val="00F03C66"/>
    <w:rsid w:val="00F03F44"/>
    <w:rsid w:val="00F04101"/>
    <w:rsid w:val="00F04280"/>
    <w:rsid w:val="00F042B7"/>
    <w:rsid w:val="00F0433E"/>
    <w:rsid w:val="00F04404"/>
    <w:rsid w:val="00F04693"/>
    <w:rsid w:val="00F046F6"/>
    <w:rsid w:val="00F04B63"/>
    <w:rsid w:val="00F04C6A"/>
    <w:rsid w:val="00F04E3D"/>
    <w:rsid w:val="00F04FA2"/>
    <w:rsid w:val="00F0503D"/>
    <w:rsid w:val="00F05174"/>
    <w:rsid w:val="00F059F5"/>
    <w:rsid w:val="00F05A3B"/>
    <w:rsid w:val="00F05A8F"/>
    <w:rsid w:val="00F05F79"/>
    <w:rsid w:val="00F05FB7"/>
    <w:rsid w:val="00F05FD4"/>
    <w:rsid w:val="00F060FA"/>
    <w:rsid w:val="00F06150"/>
    <w:rsid w:val="00F06160"/>
    <w:rsid w:val="00F06329"/>
    <w:rsid w:val="00F064E4"/>
    <w:rsid w:val="00F067AB"/>
    <w:rsid w:val="00F06897"/>
    <w:rsid w:val="00F06B5F"/>
    <w:rsid w:val="00F06F37"/>
    <w:rsid w:val="00F07055"/>
    <w:rsid w:val="00F070AA"/>
    <w:rsid w:val="00F073FA"/>
    <w:rsid w:val="00F07629"/>
    <w:rsid w:val="00F076B5"/>
    <w:rsid w:val="00F076FD"/>
    <w:rsid w:val="00F07735"/>
    <w:rsid w:val="00F07E65"/>
    <w:rsid w:val="00F07EA1"/>
    <w:rsid w:val="00F07F88"/>
    <w:rsid w:val="00F10014"/>
    <w:rsid w:val="00F1049A"/>
    <w:rsid w:val="00F105A9"/>
    <w:rsid w:val="00F10637"/>
    <w:rsid w:val="00F10B2A"/>
    <w:rsid w:val="00F10D5C"/>
    <w:rsid w:val="00F10D8F"/>
    <w:rsid w:val="00F10F79"/>
    <w:rsid w:val="00F11091"/>
    <w:rsid w:val="00F110F4"/>
    <w:rsid w:val="00F11267"/>
    <w:rsid w:val="00F114C2"/>
    <w:rsid w:val="00F119B6"/>
    <w:rsid w:val="00F11BD1"/>
    <w:rsid w:val="00F11FD7"/>
    <w:rsid w:val="00F1216B"/>
    <w:rsid w:val="00F122B1"/>
    <w:rsid w:val="00F124A3"/>
    <w:rsid w:val="00F125AA"/>
    <w:rsid w:val="00F127A0"/>
    <w:rsid w:val="00F12883"/>
    <w:rsid w:val="00F12B74"/>
    <w:rsid w:val="00F12C0D"/>
    <w:rsid w:val="00F12D26"/>
    <w:rsid w:val="00F12DB4"/>
    <w:rsid w:val="00F12F50"/>
    <w:rsid w:val="00F13088"/>
    <w:rsid w:val="00F131E1"/>
    <w:rsid w:val="00F131FA"/>
    <w:rsid w:val="00F13289"/>
    <w:rsid w:val="00F1332E"/>
    <w:rsid w:val="00F1335F"/>
    <w:rsid w:val="00F1399F"/>
    <w:rsid w:val="00F139E0"/>
    <w:rsid w:val="00F13AC0"/>
    <w:rsid w:val="00F13DC7"/>
    <w:rsid w:val="00F13DF6"/>
    <w:rsid w:val="00F144D8"/>
    <w:rsid w:val="00F14B18"/>
    <w:rsid w:val="00F14E34"/>
    <w:rsid w:val="00F14E9F"/>
    <w:rsid w:val="00F14EBF"/>
    <w:rsid w:val="00F15183"/>
    <w:rsid w:val="00F153D4"/>
    <w:rsid w:val="00F155DB"/>
    <w:rsid w:val="00F15723"/>
    <w:rsid w:val="00F15947"/>
    <w:rsid w:val="00F15B67"/>
    <w:rsid w:val="00F15FCA"/>
    <w:rsid w:val="00F162BC"/>
    <w:rsid w:val="00F16433"/>
    <w:rsid w:val="00F16754"/>
    <w:rsid w:val="00F168E5"/>
    <w:rsid w:val="00F16ADF"/>
    <w:rsid w:val="00F16E27"/>
    <w:rsid w:val="00F16F32"/>
    <w:rsid w:val="00F16F6A"/>
    <w:rsid w:val="00F17155"/>
    <w:rsid w:val="00F173FE"/>
    <w:rsid w:val="00F175A9"/>
    <w:rsid w:val="00F17A6D"/>
    <w:rsid w:val="00F17BAA"/>
    <w:rsid w:val="00F17D9A"/>
    <w:rsid w:val="00F17F17"/>
    <w:rsid w:val="00F203A3"/>
    <w:rsid w:val="00F204E1"/>
    <w:rsid w:val="00F20565"/>
    <w:rsid w:val="00F2057D"/>
    <w:rsid w:val="00F20727"/>
    <w:rsid w:val="00F20824"/>
    <w:rsid w:val="00F2087B"/>
    <w:rsid w:val="00F209C8"/>
    <w:rsid w:val="00F20AC7"/>
    <w:rsid w:val="00F20B9E"/>
    <w:rsid w:val="00F20CDE"/>
    <w:rsid w:val="00F20D27"/>
    <w:rsid w:val="00F21032"/>
    <w:rsid w:val="00F212F3"/>
    <w:rsid w:val="00F215DE"/>
    <w:rsid w:val="00F216AD"/>
    <w:rsid w:val="00F218FF"/>
    <w:rsid w:val="00F21A93"/>
    <w:rsid w:val="00F21AA8"/>
    <w:rsid w:val="00F21B55"/>
    <w:rsid w:val="00F21D29"/>
    <w:rsid w:val="00F21FE9"/>
    <w:rsid w:val="00F22083"/>
    <w:rsid w:val="00F22149"/>
    <w:rsid w:val="00F22573"/>
    <w:rsid w:val="00F226CB"/>
    <w:rsid w:val="00F228D6"/>
    <w:rsid w:val="00F22A4B"/>
    <w:rsid w:val="00F22A75"/>
    <w:rsid w:val="00F22C58"/>
    <w:rsid w:val="00F22E3D"/>
    <w:rsid w:val="00F22FED"/>
    <w:rsid w:val="00F2313F"/>
    <w:rsid w:val="00F23255"/>
    <w:rsid w:val="00F2328B"/>
    <w:rsid w:val="00F234D4"/>
    <w:rsid w:val="00F234F8"/>
    <w:rsid w:val="00F23728"/>
    <w:rsid w:val="00F239C6"/>
    <w:rsid w:val="00F23F4D"/>
    <w:rsid w:val="00F2408A"/>
    <w:rsid w:val="00F2427F"/>
    <w:rsid w:val="00F24567"/>
    <w:rsid w:val="00F2471A"/>
    <w:rsid w:val="00F2476E"/>
    <w:rsid w:val="00F24CC7"/>
    <w:rsid w:val="00F24CCC"/>
    <w:rsid w:val="00F24EF1"/>
    <w:rsid w:val="00F25120"/>
    <w:rsid w:val="00F25191"/>
    <w:rsid w:val="00F2551B"/>
    <w:rsid w:val="00F25630"/>
    <w:rsid w:val="00F25793"/>
    <w:rsid w:val="00F25B54"/>
    <w:rsid w:val="00F25C16"/>
    <w:rsid w:val="00F25C75"/>
    <w:rsid w:val="00F25E72"/>
    <w:rsid w:val="00F25F3E"/>
    <w:rsid w:val="00F261A6"/>
    <w:rsid w:val="00F26641"/>
    <w:rsid w:val="00F26649"/>
    <w:rsid w:val="00F26824"/>
    <w:rsid w:val="00F26A9F"/>
    <w:rsid w:val="00F26AEB"/>
    <w:rsid w:val="00F26D84"/>
    <w:rsid w:val="00F26DA0"/>
    <w:rsid w:val="00F26EED"/>
    <w:rsid w:val="00F26FA3"/>
    <w:rsid w:val="00F26FE8"/>
    <w:rsid w:val="00F27501"/>
    <w:rsid w:val="00F2754F"/>
    <w:rsid w:val="00F27796"/>
    <w:rsid w:val="00F27A86"/>
    <w:rsid w:val="00F27CAB"/>
    <w:rsid w:val="00F27D6B"/>
    <w:rsid w:val="00F27F02"/>
    <w:rsid w:val="00F27F11"/>
    <w:rsid w:val="00F30058"/>
    <w:rsid w:val="00F300BE"/>
    <w:rsid w:val="00F301CB"/>
    <w:rsid w:val="00F301FD"/>
    <w:rsid w:val="00F30558"/>
    <w:rsid w:val="00F3095B"/>
    <w:rsid w:val="00F309AE"/>
    <w:rsid w:val="00F30AE5"/>
    <w:rsid w:val="00F30B99"/>
    <w:rsid w:val="00F30C3C"/>
    <w:rsid w:val="00F30F16"/>
    <w:rsid w:val="00F31039"/>
    <w:rsid w:val="00F310A7"/>
    <w:rsid w:val="00F31167"/>
    <w:rsid w:val="00F31251"/>
    <w:rsid w:val="00F31309"/>
    <w:rsid w:val="00F3145B"/>
    <w:rsid w:val="00F315EC"/>
    <w:rsid w:val="00F316E5"/>
    <w:rsid w:val="00F317EA"/>
    <w:rsid w:val="00F318D7"/>
    <w:rsid w:val="00F31ABF"/>
    <w:rsid w:val="00F31AE3"/>
    <w:rsid w:val="00F31AF0"/>
    <w:rsid w:val="00F31C32"/>
    <w:rsid w:val="00F31D2E"/>
    <w:rsid w:val="00F31D3A"/>
    <w:rsid w:val="00F32232"/>
    <w:rsid w:val="00F3250F"/>
    <w:rsid w:val="00F325FD"/>
    <w:rsid w:val="00F32791"/>
    <w:rsid w:val="00F327A4"/>
    <w:rsid w:val="00F327AE"/>
    <w:rsid w:val="00F32986"/>
    <w:rsid w:val="00F329CA"/>
    <w:rsid w:val="00F32AA1"/>
    <w:rsid w:val="00F32C16"/>
    <w:rsid w:val="00F32DD4"/>
    <w:rsid w:val="00F32F3E"/>
    <w:rsid w:val="00F32FBE"/>
    <w:rsid w:val="00F333A6"/>
    <w:rsid w:val="00F3342A"/>
    <w:rsid w:val="00F335BA"/>
    <w:rsid w:val="00F33646"/>
    <w:rsid w:val="00F33E36"/>
    <w:rsid w:val="00F33F46"/>
    <w:rsid w:val="00F34256"/>
    <w:rsid w:val="00F34707"/>
    <w:rsid w:val="00F348FA"/>
    <w:rsid w:val="00F34B03"/>
    <w:rsid w:val="00F34BE4"/>
    <w:rsid w:val="00F34DAA"/>
    <w:rsid w:val="00F35287"/>
    <w:rsid w:val="00F353E5"/>
    <w:rsid w:val="00F35602"/>
    <w:rsid w:val="00F356FC"/>
    <w:rsid w:val="00F35ACC"/>
    <w:rsid w:val="00F35B24"/>
    <w:rsid w:val="00F35B47"/>
    <w:rsid w:val="00F35C7F"/>
    <w:rsid w:val="00F35E5B"/>
    <w:rsid w:val="00F35FB8"/>
    <w:rsid w:val="00F35FF6"/>
    <w:rsid w:val="00F36405"/>
    <w:rsid w:val="00F36475"/>
    <w:rsid w:val="00F36D06"/>
    <w:rsid w:val="00F36DFD"/>
    <w:rsid w:val="00F37125"/>
    <w:rsid w:val="00F373AC"/>
    <w:rsid w:val="00F37403"/>
    <w:rsid w:val="00F37789"/>
    <w:rsid w:val="00F37932"/>
    <w:rsid w:val="00F37BC1"/>
    <w:rsid w:val="00F37F6F"/>
    <w:rsid w:val="00F40027"/>
    <w:rsid w:val="00F40137"/>
    <w:rsid w:val="00F401A3"/>
    <w:rsid w:val="00F401E8"/>
    <w:rsid w:val="00F406E7"/>
    <w:rsid w:val="00F40822"/>
    <w:rsid w:val="00F40BD3"/>
    <w:rsid w:val="00F40C0C"/>
    <w:rsid w:val="00F40DB9"/>
    <w:rsid w:val="00F40E16"/>
    <w:rsid w:val="00F41014"/>
    <w:rsid w:val="00F411DC"/>
    <w:rsid w:val="00F41304"/>
    <w:rsid w:val="00F41376"/>
    <w:rsid w:val="00F4143F"/>
    <w:rsid w:val="00F41514"/>
    <w:rsid w:val="00F41516"/>
    <w:rsid w:val="00F41928"/>
    <w:rsid w:val="00F4197F"/>
    <w:rsid w:val="00F419A5"/>
    <w:rsid w:val="00F419A6"/>
    <w:rsid w:val="00F41A39"/>
    <w:rsid w:val="00F41F4B"/>
    <w:rsid w:val="00F4200A"/>
    <w:rsid w:val="00F42054"/>
    <w:rsid w:val="00F42415"/>
    <w:rsid w:val="00F42504"/>
    <w:rsid w:val="00F42818"/>
    <w:rsid w:val="00F42A3F"/>
    <w:rsid w:val="00F42B1E"/>
    <w:rsid w:val="00F42CB1"/>
    <w:rsid w:val="00F4301D"/>
    <w:rsid w:val="00F43157"/>
    <w:rsid w:val="00F432AC"/>
    <w:rsid w:val="00F43420"/>
    <w:rsid w:val="00F43C4B"/>
    <w:rsid w:val="00F43F70"/>
    <w:rsid w:val="00F444E4"/>
    <w:rsid w:val="00F4452D"/>
    <w:rsid w:val="00F44822"/>
    <w:rsid w:val="00F44942"/>
    <w:rsid w:val="00F44988"/>
    <w:rsid w:val="00F4498C"/>
    <w:rsid w:val="00F44A8A"/>
    <w:rsid w:val="00F44B2F"/>
    <w:rsid w:val="00F44B31"/>
    <w:rsid w:val="00F44E3F"/>
    <w:rsid w:val="00F44F00"/>
    <w:rsid w:val="00F44F1C"/>
    <w:rsid w:val="00F451F2"/>
    <w:rsid w:val="00F45310"/>
    <w:rsid w:val="00F455BF"/>
    <w:rsid w:val="00F45997"/>
    <w:rsid w:val="00F45E14"/>
    <w:rsid w:val="00F462C7"/>
    <w:rsid w:val="00F462FD"/>
    <w:rsid w:val="00F464B7"/>
    <w:rsid w:val="00F46679"/>
    <w:rsid w:val="00F4689F"/>
    <w:rsid w:val="00F468A6"/>
    <w:rsid w:val="00F46A10"/>
    <w:rsid w:val="00F46C8C"/>
    <w:rsid w:val="00F46D50"/>
    <w:rsid w:val="00F46D6A"/>
    <w:rsid w:val="00F46DEB"/>
    <w:rsid w:val="00F46F8B"/>
    <w:rsid w:val="00F4774F"/>
    <w:rsid w:val="00F47BD5"/>
    <w:rsid w:val="00F5008B"/>
    <w:rsid w:val="00F501BD"/>
    <w:rsid w:val="00F502E1"/>
    <w:rsid w:val="00F50385"/>
    <w:rsid w:val="00F5064F"/>
    <w:rsid w:val="00F50ABD"/>
    <w:rsid w:val="00F50C22"/>
    <w:rsid w:val="00F50CB9"/>
    <w:rsid w:val="00F50F7E"/>
    <w:rsid w:val="00F51332"/>
    <w:rsid w:val="00F51427"/>
    <w:rsid w:val="00F514B7"/>
    <w:rsid w:val="00F517AE"/>
    <w:rsid w:val="00F51AB3"/>
    <w:rsid w:val="00F51B3A"/>
    <w:rsid w:val="00F51C56"/>
    <w:rsid w:val="00F51E49"/>
    <w:rsid w:val="00F51F40"/>
    <w:rsid w:val="00F52258"/>
    <w:rsid w:val="00F523EF"/>
    <w:rsid w:val="00F5274C"/>
    <w:rsid w:val="00F528F6"/>
    <w:rsid w:val="00F52922"/>
    <w:rsid w:val="00F52B87"/>
    <w:rsid w:val="00F5303F"/>
    <w:rsid w:val="00F5304F"/>
    <w:rsid w:val="00F53123"/>
    <w:rsid w:val="00F5319A"/>
    <w:rsid w:val="00F533D8"/>
    <w:rsid w:val="00F5348C"/>
    <w:rsid w:val="00F534AA"/>
    <w:rsid w:val="00F535CC"/>
    <w:rsid w:val="00F536AB"/>
    <w:rsid w:val="00F538F9"/>
    <w:rsid w:val="00F53A9F"/>
    <w:rsid w:val="00F53CD0"/>
    <w:rsid w:val="00F53F2D"/>
    <w:rsid w:val="00F5404E"/>
    <w:rsid w:val="00F544A1"/>
    <w:rsid w:val="00F547A1"/>
    <w:rsid w:val="00F5483D"/>
    <w:rsid w:val="00F55172"/>
    <w:rsid w:val="00F552D0"/>
    <w:rsid w:val="00F555D2"/>
    <w:rsid w:val="00F556A5"/>
    <w:rsid w:val="00F5576D"/>
    <w:rsid w:val="00F55823"/>
    <w:rsid w:val="00F55AE1"/>
    <w:rsid w:val="00F55AFE"/>
    <w:rsid w:val="00F55B68"/>
    <w:rsid w:val="00F55CC5"/>
    <w:rsid w:val="00F55EB3"/>
    <w:rsid w:val="00F5601A"/>
    <w:rsid w:val="00F5639C"/>
    <w:rsid w:val="00F56402"/>
    <w:rsid w:val="00F56508"/>
    <w:rsid w:val="00F567AC"/>
    <w:rsid w:val="00F56A0F"/>
    <w:rsid w:val="00F56BB2"/>
    <w:rsid w:val="00F56EE3"/>
    <w:rsid w:val="00F57087"/>
    <w:rsid w:val="00F57150"/>
    <w:rsid w:val="00F57330"/>
    <w:rsid w:val="00F57394"/>
    <w:rsid w:val="00F574B5"/>
    <w:rsid w:val="00F576B2"/>
    <w:rsid w:val="00F57781"/>
    <w:rsid w:val="00F57971"/>
    <w:rsid w:val="00F57A0A"/>
    <w:rsid w:val="00F57E51"/>
    <w:rsid w:val="00F57F6C"/>
    <w:rsid w:val="00F60035"/>
    <w:rsid w:val="00F6005E"/>
    <w:rsid w:val="00F600DA"/>
    <w:rsid w:val="00F60159"/>
    <w:rsid w:val="00F6022B"/>
    <w:rsid w:val="00F6039B"/>
    <w:rsid w:val="00F605C2"/>
    <w:rsid w:val="00F60847"/>
    <w:rsid w:val="00F60B67"/>
    <w:rsid w:val="00F60BA3"/>
    <w:rsid w:val="00F60D5B"/>
    <w:rsid w:val="00F60F74"/>
    <w:rsid w:val="00F6101E"/>
    <w:rsid w:val="00F6169A"/>
    <w:rsid w:val="00F61A69"/>
    <w:rsid w:val="00F61B29"/>
    <w:rsid w:val="00F61CBF"/>
    <w:rsid w:val="00F61CF3"/>
    <w:rsid w:val="00F61DC7"/>
    <w:rsid w:val="00F61DFA"/>
    <w:rsid w:val="00F61E94"/>
    <w:rsid w:val="00F6216B"/>
    <w:rsid w:val="00F622B9"/>
    <w:rsid w:val="00F6263A"/>
    <w:rsid w:val="00F6265C"/>
    <w:rsid w:val="00F6283C"/>
    <w:rsid w:val="00F62944"/>
    <w:rsid w:val="00F62AAA"/>
    <w:rsid w:val="00F62C3F"/>
    <w:rsid w:val="00F62DA4"/>
    <w:rsid w:val="00F62E09"/>
    <w:rsid w:val="00F6303D"/>
    <w:rsid w:val="00F630A1"/>
    <w:rsid w:val="00F63425"/>
    <w:rsid w:val="00F6343F"/>
    <w:rsid w:val="00F63C36"/>
    <w:rsid w:val="00F63D09"/>
    <w:rsid w:val="00F63DA5"/>
    <w:rsid w:val="00F63FF7"/>
    <w:rsid w:val="00F64253"/>
    <w:rsid w:val="00F64522"/>
    <w:rsid w:val="00F645B6"/>
    <w:rsid w:val="00F6462F"/>
    <w:rsid w:val="00F64A51"/>
    <w:rsid w:val="00F64AEC"/>
    <w:rsid w:val="00F64C67"/>
    <w:rsid w:val="00F64EB7"/>
    <w:rsid w:val="00F64F4E"/>
    <w:rsid w:val="00F6501F"/>
    <w:rsid w:val="00F651C8"/>
    <w:rsid w:val="00F653CD"/>
    <w:rsid w:val="00F654D2"/>
    <w:rsid w:val="00F65711"/>
    <w:rsid w:val="00F657AF"/>
    <w:rsid w:val="00F65BE9"/>
    <w:rsid w:val="00F66018"/>
    <w:rsid w:val="00F6645F"/>
    <w:rsid w:val="00F66620"/>
    <w:rsid w:val="00F66F31"/>
    <w:rsid w:val="00F6700E"/>
    <w:rsid w:val="00F6716D"/>
    <w:rsid w:val="00F673E1"/>
    <w:rsid w:val="00F6789A"/>
    <w:rsid w:val="00F67B7E"/>
    <w:rsid w:val="00F67BA6"/>
    <w:rsid w:val="00F67E58"/>
    <w:rsid w:val="00F67FDB"/>
    <w:rsid w:val="00F701F6"/>
    <w:rsid w:val="00F70254"/>
    <w:rsid w:val="00F7048D"/>
    <w:rsid w:val="00F704FE"/>
    <w:rsid w:val="00F70547"/>
    <w:rsid w:val="00F70711"/>
    <w:rsid w:val="00F70C92"/>
    <w:rsid w:val="00F70D1B"/>
    <w:rsid w:val="00F70DA9"/>
    <w:rsid w:val="00F71048"/>
    <w:rsid w:val="00F711B1"/>
    <w:rsid w:val="00F71350"/>
    <w:rsid w:val="00F7168A"/>
    <w:rsid w:val="00F71691"/>
    <w:rsid w:val="00F71758"/>
    <w:rsid w:val="00F7177C"/>
    <w:rsid w:val="00F71995"/>
    <w:rsid w:val="00F72046"/>
    <w:rsid w:val="00F72085"/>
    <w:rsid w:val="00F722EF"/>
    <w:rsid w:val="00F72C57"/>
    <w:rsid w:val="00F72E01"/>
    <w:rsid w:val="00F72E46"/>
    <w:rsid w:val="00F73261"/>
    <w:rsid w:val="00F734AC"/>
    <w:rsid w:val="00F736AC"/>
    <w:rsid w:val="00F73721"/>
    <w:rsid w:val="00F7377A"/>
    <w:rsid w:val="00F73B1C"/>
    <w:rsid w:val="00F73FB0"/>
    <w:rsid w:val="00F74197"/>
    <w:rsid w:val="00F74487"/>
    <w:rsid w:val="00F74496"/>
    <w:rsid w:val="00F745A3"/>
    <w:rsid w:val="00F746C8"/>
    <w:rsid w:val="00F7470F"/>
    <w:rsid w:val="00F74DAA"/>
    <w:rsid w:val="00F74E48"/>
    <w:rsid w:val="00F74E5F"/>
    <w:rsid w:val="00F74EE3"/>
    <w:rsid w:val="00F75004"/>
    <w:rsid w:val="00F75148"/>
    <w:rsid w:val="00F751E1"/>
    <w:rsid w:val="00F75229"/>
    <w:rsid w:val="00F7535F"/>
    <w:rsid w:val="00F755C4"/>
    <w:rsid w:val="00F75B26"/>
    <w:rsid w:val="00F75BF8"/>
    <w:rsid w:val="00F75C0C"/>
    <w:rsid w:val="00F75C13"/>
    <w:rsid w:val="00F75C4E"/>
    <w:rsid w:val="00F75CBE"/>
    <w:rsid w:val="00F75F5C"/>
    <w:rsid w:val="00F76011"/>
    <w:rsid w:val="00F762A0"/>
    <w:rsid w:val="00F769B5"/>
    <w:rsid w:val="00F76E36"/>
    <w:rsid w:val="00F76FBB"/>
    <w:rsid w:val="00F771DA"/>
    <w:rsid w:val="00F77774"/>
    <w:rsid w:val="00F777FE"/>
    <w:rsid w:val="00F778A5"/>
    <w:rsid w:val="00F77B8A"/>
    <w:rsid w:val="00F77C17"/>
    <w:rsid w:val="00F77CA9"/>
    <w:rsid w:val="00F803CA"/>
    <w:rsid w:val="00F80483"/>
    <w:rsid w:val="00F80760"/>
    <w:rsid w:val="00F807BD"/>
    <w:rsid w:val="00F808E2"/>
    <w:rsid w:val="00F80943"/>
    <w:rsid w:val="00F80D79"/>
    <w:rsid w:val="00F8102D"/>
    <w:rsid w:val="00F811CB"/>
    <w:rsid w:val="00F81476"/>
    <w:rsid w:val="00F815B1"/>
    <w:rsid w:val="00F8182A"/>
    <w:rsid w:val="00F819F3"/>
    <w:rsid w:val="00F81A93"/>
    <w:rsid w:val="00F81CE5"/>
    <w:rsid w:val="00F81E61"/>
    <w:rsid w:val="00F81E98"/>
    <w:rsid w:val="00F81F5E"/>
    <w:rsid w:val="00F82051"/>
    <w:rsid w:val="00F8210E"/>
    <w:rsid w:val="00F822F4"/>
    <w:rsid w:val="00F82399"/>
    <w:rsid w:val="00F827AC"/>
    <w:rsid w:val="00F82BEE"/>
    <w:rsid w:val="00F82C77"/>
    <w:rsid w:val="00F82CF3"/>
    <w:rsid w:val="00F82E13"/>
    <w:rsid w:val="00F831FA"/>
    <w:rsid w:val="00F833E6"/>
    <w:rsid w:val="00F83507"/>
    <w:rsid w:val="00F8366C"/>
    <w:rsid w:val="00F839FC"/>
    <w:rsid w:val="00F83A25"/>
    <w:rsid w:val="00F83DF6"/>
    <w:rsid w:val="00F83EE3"/>
    <w:rsid w:val="00F83FE3"/>
    <w:rsid w:val="00F840E9"/>
    <w:rsid w:val="00F844BC"/>
    <w:rsid w:val="00F8450E"/>
    <w:rsid w:val="00F84802"/>
    <w:rsid w:val="00F8498B"/>
    <w:rsid w:val="00F84CAF"/>
    <w:rsid w:val="00F850B7"/>
    <w:rsid w:val="00F85313"/>
    <w:rsid w:val="00F8537B"/>
    <w:rsid w:val="00F85588"/>
    <w:rsid w:val="00F85740"/>
    <w:rsid w:val="00F8576E"/>
    <w:rsid w:val="00F858EF"/>
    <w:rsid w:val="00F859F0"/>
    <w:rsid w:val="00F85AA7"/>
    <w:rsid w:val="00F85C59"/>
    <w:rsid w:val="00F85DCB"/>
    <w:rsid w:val="00F85F12"/>
    <w:rsid w:val="00F86080"/>
    <w:rsid w:val="00F86410"/>
    <w:rsid w:val="00F864EE"/>
    <w:rsid w:val="00F86609"/>
    <w:rsid w:val="00F8662A"/>
    <w:rsid w:val="00F86910"/>
    <w:rsid w:val="00F86A34"/>
    <w:rsid w:val="00F86B07"/>
    <w:rsid w:val="00F86B28"/>
    <w:rsid w:val="00F86D2B"/>
    <w:rsid w:val="00F86D98"/>
    <w:rsid w:val="00F86EBB"/>
    <w:rsid w:val="00F86F70"/>
    <w:rsid w:val="00F86FB6"/>
    <w:rsid w:val="00F871B1"/>
    <w:rsid w:val="00F8727B"/>
    <w:rsid w:val="00F878DE"/>
    <w:rsid w:val="00F87D23"/>
    <w:rsid w:val="00F87D2E"/>
    <w:rsid w:val="00F87E16"/>
    <w:rsid w:val="00F87E3D"/>
    <w:rsid w:val="00F87F8B"/>
    <w:rsid w:val="00F87FD7"/>
    <w:rsid w:val="00F9000A"/>
    <w:rsid w:val="00F9004A"/>
    <w:rsid w:val="00F9021B"/>
    <w:rsid w:val="00F9038F"/>
    <w:rsid w:val="00F90A63"/>
    <w:rsid w:val="00F90C7C"/>
    <w:rsid w:val="00F90D04"/>
    <w:rsid w:val="00F90DD5"/>
    <w:rsid w:val="00F90EEB"/>
    <w:rsid w:val="00F90FD7"/>
    <w:rsid w:val="00F9106F"/>
    <w:rsid w:val="00F9116F"/>
    <w:rsid w:val="00F91189"/>
    <w:rsid w:val="00F915A6"/>
    <w:rsid w:val="00F915D0"/>
    <w:rsid w:val="00F9183D"/>
    <w:rsid w:val="00F91883"/>
    <w:rsid w:val="00F918ED"/>
    <w:rsid w:val="00F91A54"/>
    <w:rsid w:val="00F91A8F"/>
    <w:rsid w:val="00F91DA7"/>
    <w:rsid w:val="00F91DD3"/>
    <w:rsid w:val="00F923A5"/>
    <w:rsid w:val="00F928D8"/>
    <w:rsid w:val="00F92B54"/>
    <w:rsid w:val="00F92C2D"/>
    <w:rsid w:val="00F92FA1"/>
    <w:rsid w:val="00F935C2"/>
    <w:rsid w:val="00F937DB"/>
    <w:rsid w:val="00F939D6"/>
    <w:rsid w:val="00F93C5A"/>
    <w:rsid w:val="00F93D5F"/>
    <w:rsid w:val="00F93E95"/>
    <w:rsid w:val="00F93F53"/>
    <w:rsid w:val="00F941AE"/>
    <w:rsid w:val="00F941C1"/>
    <w:rsid w:val="00F941D7"/>
    <w:rsid w:val="00F9429F"/>
    <w:rsid w:val="00F943F0"/>
    <w:rsid w:val="00F94555"/>
    <w:rsid w:val="00F9462D"/>
    <w:rsid w:val="00F946D8"/>
    <w:rsid w:val="00F94722"/>
    <w:rsid w:val="00F94B2D"/>
    <w:rsid w:val="00F94BCA"/>
    <w:rsid w:val="00F94EC5"/>
    <w:rsid w:val="00F94FBA"/>
    <w:rsid w:val="00F9506D"/>
    <w:rsid w:val="00F9506F"/>
    <w:rsid w:val="00F9507D"/>
    <w:rsid w:val="00F9520E"/>
    <w:rsid w:val="00F952D8"/>
    <w:rsid w:val="00F95334"/>
    <w:rsid w:val="00F95336"/>
    <w:rsid w:val="00F9544C"/>
    <w:rsid w:val="00F954F1"/>
    <w:rsid w:val="00F95790"/>
    <w:rsid w:val="00F95CB6"/>
    <w:rsid w:val="00F95F67"/>
    <w:rsid w:val="00F96130"/>
    <w:rsid w:val="00F963AA"/>
    <w:rsid w:val="00F96463"/>
    <w:rsid w:val="00F96730"/>
    <w:rsid w:val="00F96AB5"/>
    <w:rsid w:val="00F96B27"/>
    <w:rsid w:val="00F96C76"/>
    <w:rsid w:val="00F96DF7"/>
    <w:rsid w:val="00F96EA7"/>
    <w:rsid w:val="00F97269"/>
    <w:rsid w:val="00F97270"/>
    <w:rsid w:val="00F9745B"/>
    <w:rsid w:val="00F974BE"/>
    <w:rsid w:val="00F97717"/>
    <w:rsid w:val="00F97BD3"/>
    <w:rsid w:val="00F97DF9"/>
    <w:rsid w:val="00F97EA8"/>
    <w:rsid w:val="00F97ED0"/>
    <w:rsid w:val="00F97F6C"/>
    <w:rsid w:val="00FA01B0"/>
    <w:rsid w:val="00FA025B"/>
    <w:rsid w:val="00FA04F0"/>
    <w:rsid w:val="00FA05CC"/>
    <w:rsid w:val="00FA06D4"/>
    <w:rsid w:val="00FA089A"/>
    <w:rsid w:val="00FA0A00"/>
    <w:rsid w:val="00FA0BC5"/>
    <w:rsid w:val="00FA0C53"/>
    <w:rsid w:val="00FA0E7B"/>
    <w:rsid w:val="00FA0F06"/>
    <w:rsid w:val="00FA116C"/>
    <w:rsid w:val="00FA1458"/>
    <w:rsid w:val="00FA15EB"/>
    <w:rsid w:val="00FA16D1"/>
    <w:rsid w:val="00FA1916"/>
    <w:rsid w:val="00FA1B34"/>
    <w:rsid w:val="00FA1D7E"/>
    <w:rsid w:val="00FA1DFA"/>
    <w:rsid w:val="00FA237F"/>
    <w:rsid w:val="00FA251E"/>
    <w:rsid w:val="00FA2697"/>
    <w:rsid w:val="00FA2E1A"/>
    <w:rsid w:val="00FA2E40"/>
    <w:rsid w:val="00FA2EB5"/>
    <w:rsid w:val="00FA3214"/>
    <w:rsid w:val="00FA3342"/>
    <w:rsid w:val="00FA3A7A"/>
    <w:rsid w:val="00FA4043"/>
    <w:rsid w:val="00FA413A"/>
    <w:rsid w:val="00FA4323"/>
    <w:rsid w:val="00FA4359"/>
    <w:rsid w:val="00FA499A"/>
    <w:rsid w:val="00FA4A36"/>
    <w:rsid w:val="00FA4D13"/>
    <w:rsid w:val="00FA4D90"/>
    <w:rsid w:val="00FA4DD3"/>
    <w:rsid w:val="00FA4EA5"/>
    <w:rsid w:val="00FA565D"/>
    <w:rsid w:val="00FA5792"/>
    <w:rsid w:val="00FA59F7"/>
    <w:rsid w:val="00FA5B58"/>
    <w:rsid w:val="00FA5BD1"/>
    <w:rsid w:val="00FA5CED"/>
    <w:rsid w:val="00FA5CFB"/>
    <w:rsid w:val="00FA60BB"/>
    <w:rsid w:val="00FA6297"/>
    <w:rsid w:val="00FA63D4"/>
    <w:rsid w:val="00FA6506"/>
    <w:rsid w:val="00FA65C9"/>
    <w:rsid w:val="00FA6723"/>
    <w:rsid w:val="00FA6A87"/>
    <w:rsid w:val="00FA6B25"/>
    <w:rsid w:val="00FA6B82"/>
    <w:rsid w:val="00FA6E62"/>
    <w:rsid w:val="00FA72EC"/>
    <w:rsid w:val="00FA734A"/>
    <w:rsid w:val="00FA75D4"/>
    <w:rsid w:val="00FA7889"/>
    <w:rsid w:val="00FA78F4"/>
    <w:rsid w:val="00FA7C2E"/>
    <w:rsid w:val="00FA7C6B"/>
    <w:rsid w:val="00FA7D73"/>
    <w:rsid w:val="00FB0063"/>
    <w:rsid w:val="00FB00D8"/>
    <w:rsid w:val="00FB02F6"/>
    <w:rsid w:val="00FB03CE"/>
    <w:rsid w:val="00FB06BB"/>
    <w:rsid w:val="00FB09FB"/>
    <w:rsid w:val="00FB0C14"/>
    <w:rsid w:val="00FB0C15"/>
    <w:rsid w:val="00FB0D35"/>
    <w:rsid w:val="00FB0EB5"/>
    <w:rsid w:val="00FB129A"/>
    <w:rsid w:val="00FB1390"/>
    <w:rsid w:val="00FB13FB"/>
    <w:rsid w:val="00FB16DA"/>
    <w:rsid w:val="00FB1BAD"/>
    <w:rsid w:val="00FB1C04"/>
    <w:rsid w:val="00FB229C"/>
    <w:rsid w:val="00FB2330"/>
    <w:rsid w:val="00FB2666"/>
    <w:rsid w:val="00FB27D9"/>
    <w:rsid w:val="00FB2A6B"/>
    <w:rsid w:val="00FB301A"/>
    <w:rsid w:val="00FB3596"/>
    <w:rsid w:val="00FB35E9"/>
    <w:rsid w:val="00FB373D"/>
    <w:rsid w:val="00FB3A0E"/>
    <w:rsid w:val="00FB3BDF"/>
    <w:rsid w:val="00FB3E23"/>
    <w:rsid w:val="00FB3EC9"/>
    <w:rsid w:val="00FB4385"/>
    <w:rsid w:val="00FB4562"/>
    <w:rsid w:val="00FB460A"/>
    <w:rsid w:val="00FB4796"/>
    <w:rsid w:val="00FB48D7"/>
    <w:rsid w:val="00FB4908"/>
    <w:rsid w:val="00FB4AED"/>
    <w:rsid w:val="00FB4F73"/>
    <w:rsid w:val="00FB51E4"/>
    <w:rsid w:val="00FB52F5"/>
    <w:rsid w:val="00FB5350"/>
    <w:rsid w:val="00FB55F2"/>
    <w:rsid w:val="00FB562B"/>
    <w:rsid w:val="00FB59E1"/>
    <w:rsid w:val="00FB60E2"/>
    <w:rsid w:val="00FB6273"/>
    <w:rsid w:val="00FB6302"/>
    <w:rsid w:val="00FB6318"/>
    <w:rsid w:val="00FB6424"/>
    <w:rsid w:val="00FB672C"/>
    <w:rsid w:val="00FB6B97"/>
    <w:rsid w:val="00FB6E30"/>
    <w:rsid w:val="00FB700F"/>
    <w:rsid w:val="00FB71F7"/>
    <w:rsid w:val="00FB7242"/>
    <w:rsid w:val="00FB771A"/>
    <w:rsid w:val="00FB7731"/>
    <w:rsid w:val="00FB78F1"/>
    <w:rsid w:val="00FB7BD9"/>
    <w:rsid w:val="00FB7CB6"/>
    <w:rsid w:val="00FB7CE6"/>
    <w:rsid w:val="00FB7DDC"/>
    <w:rsid w:val="00FB7E9D"/>
    <w:rsid w:val="00FC00D9"/>
    <w:rsid w:val="00FC0163"/>
    <w:rsid w:val="00FC026D"/>
    <w:rsid w:val="00FC065B"/>
    <w:rsid w:val="00FC06D6"/>
    <w:rsid w:val="00FC08BA"/>
    <w:rsid w:val="00FC09A9"/>
    <w:rsid w:val="00FC0C01"/>
    <w:rsid w:val="00FC100E"/>
    <w:rsid w:val="00FC1591"/>
    <w:rsid w:val="00FC15BE"/>
    <w:rsid w:val="00FC15ED"/>
    <w:rsid w:val="00FC16EC"/>
    <w:rsid w:val="00FC1824"/>
    <w:rsid w:val="00FC19CE"/>
    <w:rsid w:val="00FC19DA"/>
    <w:rsid w:val="00FC1A62"/>
    <w:rsid w:val="00FC1B77"/>
    <w:rsid w:val="00FC1C2B"/>
    <w:rsid w:val="00FC1C57"/>
    <w:rsid w:val="00FC1E9B"/>
    <w:rsid w:val="00FC2044"/>
    <w:rsid w:val="00FC20E5"/>
    <w:rsid w:val="00FC211C"/>
    <w:rsid w:val="00FC22D7"/>
    <w:rsid w:val="00FC2459"/>
    <w:rsid w:val="00FC2689"/>
    <w:rsid w:val="00FC26FD"/>
    <w:rsid w:val="00FC2710"/>
    <w:rsid w:val="00FC2806"/>
    <w:rsid w:val="00FC2817"/>
    <w:rsid w:val="00FC28E8"/>
    <w:rsid w:val="00FC2BF2"/>
    <w:rsid w:val="00FC2D26"/>
    <w:rsid w:val="00FC2D56"/>
    <w:rsid w:val="00FC2DA3"/>
    <w:rsid w:val="00FC2E2A"/>
    <w:rsid w:val="00FC2E6D"/>
    <w:rsid w:val="00FC30A4"/>
    <w:rsid w:val="00FC33E0"/>
    <w:rsid w:val="00FC3618"/>
    <w:rsid w:val="00FC396A"/>
    <w:rsid w:val="00FC3D64"/>
    <w:rsid w:val="00FC4100"/>
    <w:rsid w:val="00FC428C"/>
    <w:rsid w:val="00FC42F5"/>
    <w:rsid w:val="00FC44B2"/>
    <w:rsid w:val="00FC457C"/>
    <w:rsid w:val="00FC4614"/>
    <w:rsid w:val="00FC4721"/>
    <w:rsid w:val="00FC4817"/>
    <w:rsid w:val="00FC4C2C"/>
    <w:rsid w:val="00FC4E01"/>
    <w:rsid w:val="00FC57AF"/>
    <w:rsid w:val="00FC57CF"/>
    <w:rsid w:val="00FC5CD0"/>
    <w:rsid w:val="00FC5E21"/>
    <w:rsid w:val="00FC5E89"/>
    <w:rsid w:val="00FC6172"/>
    <w:rsid w:val="00FC61DD"/>
    <w:rsid w:val="00FC62F5"/>
    <w:rsid w:val="00FC6802"/>
    <w:rsid w:val="00FC6811"/>
    <w:rsid w:val="00FC6975"/>
    <w:rsid w:val="00FC69D4"/>
    <w:rsid w:val="00FC6AD6"/>
    <w:rsid w:val="00FC6BF7"/>
    <w:rsid w:val="00FC6D2C"/>
    <w:rsid w:val="00FC6EF0"/>
    <w:rsid w:val="00FC7641"/>
    <w:rsid w:val="00FC768B"/>
    <w:rsid w:val="00FC776F"/>
    <w:rsid w:val="00FC7775"/>
    <w:rsid w:val="00FC77E0"/>
    <w:rsid w:val="00FC796B"/>
    <w:rsid w:val="00FC7AD4"/>
    <w:rsid w:val="00FC7BB0"/>
    <w:rsid w:val="00FC7C07"/>
    <w:rsid w:val="00FC7C09"/>
    <w:rsid w:val="00FC7D8F"/>
    <w:rsid w:val="00FD00DA"/>
    <w:rsid w:val="00FD02B4"/>
    <w:rsid w:val="00FD0384"/>
    <w:rsid w:val="00FD05A5"/>
    <w:rsid w:val="00FD05EC"/>
    <w:rsid w:val="00FD07C3"/>
    <w:rsid w:val="00FD0B82"/>
    <w:rsid w:val="00FD1103"/>
    <w:rsid w:val="00FD11F4"/>
    <w:rsid w:val="00FD1366"/>
    <w:rsid w:val="00FD1DD2"/>
    <w:rsid w:val="00FD210F"/>
    <w:rsid w:val="00FD22B5"/>
    <w:rsid w:val="00FD23D9"/>
    <w:rsid w:val="00FD2414"/>
    <w:rsid w:val="00FD256B"/>
    <w:rsid w:val="00FD2A55"/>
    <w:rsid w:val="00FD2D1D"/>
    <w:rsid w:val="00FD2DC0"/>
    <w:rsid w:val="00FD3048"/>
    <w:rsid w:val="00FD3304"/>
    <w:rsid w:val="00FD3435"/>
    <w:rsid w:val="00FD3824"/>
    <w:rsid w:val="00FD3CA4"/>
    <w:rsid w:val="00FD3E99"/>
    <w:rsid w:val="00FD3EC0"/>
    <w:rsid w:val="00FD3EE6"/>
    <w:rsid w:val="00FD41A0"/>
    <w:rsid w:val="00FD42E9"/>
    <w:rsid w:val="00FD4461"/>
    <w:rsid w:val="00FD4518"/>
    <w:rsid w:val="00FD4787"/>
    <w:rsid w:val="00FD4A14"/>
    <w:rsid w:val="00FD4B93"/>
    <w:rsid w:val="00FD4BE8"/>
    <w:rsid w:val="00FD4C56"/>
    <w:rsid w:val="00FD4DFB"/>
    <w:rsid w:val="00FD4E4C"/>
    <w:rsid w:val="00FD4F5D"/>
    <w:rsid w:val="00FD565E"/>
    <w:rsid w:val="00FD5767"/>
    <w:rsid w:val="00FD57BF"/>
    <w:rsid w:val="00FD581E"/>
    <w:rsid w:val="00FD59E7"/>
    <w:rsid w:val="00FD5B10"/>
    <w:rsid w:val="00FD5BCA"/>
    <w:rsid w:val="00FD5CDA"/>
    <w:rsid w:val="00FD5DBA"/>
    <w:rsid w:val="00FD5DFB"/>
    <w:rsid w:val="00FD610C"/>
    <w:rsid w:val="00FD613D"/>
    <w:rsid w:val="00FD64BC"/>
    <w:rsid w:val="00FD64ED"/>
    <w:rsid w:val="00FD6553"/>
    <w:rsid w:val="00FD6838"/>
    <w:rsid w:val="00FD683C"/>
    <w:rsid w:val="00FD7375"/>
    <w:rsid w:val="00FD7432"/>
    <w:rsid w:val="00FD75BF"/>
    <w:rsid w:val="00FD762F"/>
    <w:rsid w:val="00FD78D9"/>
    <w:rsid w:val="00FD7A77"/>
    <w:rsid w:val="00FD7B7F"/>
    <w:rsid w:val="00FD7FAD"/>
    <w:rsid w:val="00FE0426"/>
    <w:rsid w:val="00FE0630"/>
    <w:rsid w:val="00FE0A15"/>
    <w:rsid w:val="00FE0B81"/>
    <w:rsid w:val="00FE0CCA"/>
    <w:rsid w:val="00FE0D5A"/>
    <w:rsid w:val="00FE0DBE"/>
    <w:rsid w:val="00FE0E19"/>
    <w:rsid w:val="00FE10D4"/>
    <w:rsid w:val="00FE1610"/>
    <w:rsid w:val="00FE1746"/>
    <w:rsid w:val="00FE1945"/>
    <w:rsid w:val="00FE195E"/>
    <w:rsid w:val="00FE1B3F"/>
    <w:rsid w:val="00FE1C30"/>
    <w:rsid w:val="00FE1C72"/>
    <w:rsid w:val="00FE1C80"/>
    <w:rsid w:val="00FE210C"/>
    <w:rsid w:val="00FE2355"/>
    <w:rsid w:val="00FE272C"/>
    <w:rsid w:val="00FE2805"/>
    <w:rsid w:val="00FE2B59"/>
    <w:rsid w:val="00FE2F7F"/>
    <w:rsid w:val="00FE316D"/>
    <w:rsid w:val="00FE3373"/>
    <w:rsid w:val="00FE358B"/>
    <w:rsid w:val="00FE3742"/>
    <w:rsid w:val="00FE37D8"/>
    <w:rsid w:val="00FE3817"/>
    <w:rsid w:val="00FE3B51"/>
    <w:rsid w:val="00FE3C40"/>
    <w:rsid w:val="00FE3C6D"/>
    <w:rsid w:val="00FE3FDF"/>
    <w:rsid w:val="00FE4358"/>
    <w:rsid w:val="00FE4609"/>
    <w:rsid w:val="00FE470D"/>
    <w:rsid w:val="00FE495A"/>
    <w:rsid w:val="00FE49AB"/>
    <w:rsid w:val="00FE4CC2"/>
    <w:rsid w:val="00FE51DD"/>
    <w:rsid w:val="00FE5394"/>
    <w:rsid w:val="00FE541B"/>
    <w:rsid w:val="00FE544C"/>
    <w:rsid w:val="00FE5490"/>
    <w:rsid w:val="00FE5660"/>
    <w:rsid w:val="00FE5899"/>
    <w:rsid w:val="00FE5CA1"/>
    <w:rsid w:val="00FE5CDE"/>
    <w:rsid w:val="00FE5E2A"/>
    <w:rsid w:val="00FE5EBC"/>
    <w:rsid w:val="00FE5F00"/>
    <w:rsid w:val="00FE6066"/>
    <w:rsid w:val="00FE60D2"/>
    <w:rsid w:val="00FE623E"/>
    <w:rsid w:val="00FE638D"/>
    <w:rsid w:val="00FE646C"/>
    <w:rsid w:val="00FE6642"/>
    <w:rsid w:val="00FE66C2"/>
    <w:rsid w:val="00FE67CC"/>
    <w:rsid w:val="00FE6ABA"/>
    <w:rsid w:val="00FE6C67"/>
    <w:rsid w:val="00FE6D5E"/>
    <w:rsid w:val="00FE6D8E"/>
    <w:rsid w:val="00FE70BD"/>
    <w:rsid w:val="00FE71A2"/>
    <w:rsid w:val="00FE727C"/>
    <w:rsid w:val="00FE795A"/>
    <w:rsid w:val="00FE7D63"/>
    <w:rsid w:val="00FE7DC0"/>
    <w:rsid w:val="00FE7DFF"/>
    <w:rsid w:val="00FE7E35"/>
    <w:rsid w:val="00FF0238"/>
    <w:rsid w:val="00FF04CC"/>
    <w:rsid w:val="00FF05A2"/>
    <w:rsid w:val="00FF066B"/>
    <w:rsid w:val="00FF08DD"/>
    <w:rsid w:val="00FF0ACB"/>
    <w:rsid w:val="00FF0B04"/>
    <w:rsid w:val="00FF0C94"/>
    <w:rsid w:val="00FF0DB5"/>
    <w:rsid w:val="00FF0DC1"/>
    <w:rsid w:val="00FF109C"/>
    <w:rsid w:val="00FF1147"/>
    <w:rsid w:val="00FF11CE"/>
    <w:rsid w:val="00FF1298"/>
    <w:rsid w:val="00FF13D1"/>
    <w:rsid w:val="00FF1666"/>
    <w:rsid w:val="00FF16C4"/>
    <w:rsid w:val="00FF1C56"/>
    <w:rsid w:val="00FF1E82"/>
    <w:rsid w:val="00FF201E"/>
    <w:rsid w:val="00FF2492"/>
    <w:rsid w:val="00FF2512"/>
    <w:rsid w:val="00FF2866"/>
    <w:rsid w:val="00FF28E5"/>
    <w:rsid w:val="00FF2975"/>
    <w:rsid w:val="00FF29D5"/>
    <w:rsid w:val="00FF2A38"/>
    <w:rsid w:val="00FF2F77"/>
    <w:rsid w:val="00FF33B3"/>
    <w:rsid w:val="00FF3747"/>
    <w:rsid w:val="00FF39A3"/>
    <w:rsid w:val="00FF3FB4"/>
    <w:rsid w:val="00FF41B9"/>
    <w:rsid w:val="00FF41CD"/>
    <w:rsid w:val="00FF4209"/>
    <w:rsid w:val="00FF4426"/>
    <w:rsid w:val="00FF4520"/>
    <w:rsid w:val="00FF456A"/>
    <w:rsid w:val="00FF47BA"/>
    <w:rsid w:val="00FF47D4"/>
    <w:rsid w:val="00FF49F7"/>
    <w:rsid w:val="00FF4A79"/>
    <w:rsid w:val="00FF4C17"/>
    <w:rsid w:val="00FF4F42"/>
    <w:rsid w:val="00FF4F58"/>
    <w:rsid w:val="00FF519D"/>
    <w:rsid w:val="00FF54CE"/>
    <w:rsid w:val="00FF5A41"/>
    <w:rsid w:val="00FF5A66"/>
    <w:rsid w:val="00FF5FA4"/>
    <w:rsid w:val="00FF5FC7"/>
    <w:rsid w:val="00FF61C4"/>
    <w:rsid w:val="00FF623F"/>
    <w:rsid w:val="00FF6378"/>
    <w:rsid w:val="00FF66A8"/>
    <w:rsid w:val="00FF68F2"/>
    <w:rsid w:val="00FF6A7C"/>
    <w:rsid w:val="00FF6ACB"/>
    <w:rsid w:val="00FF6BC5"/>
    <w:rsid w:val="00FF6F42"/>
    <w:rsid w:val="00FF7040"/>
    <w:rsid w:val="00FF72A3"/>
    <w:rsid w:val="00FF749C"/>
    <w:rsid w:val="00FF7562"/>
    <w:rsid w:val="00FF76EB"/>
    <w:rsid w:val="00FF7B1E"/>
    <w:rsid w:val="00FF7B29"/>
    <w:rsid w:val="00FF7CBE"/>
    <w:rsid w:val="00FF7EFA"/>
    <w:rsid w:val="0142959F"/>
    <w:rsid w:val="020DE835"/>
    <w:rsid w:val="02E82B52"/>
    <w:rsid w:val="03107E21"/>
    <w:rsid w:val="03241260"/>
    <w:rsid w:val="03DD167B"/>
    <w:rsid w:val="03E892FB"/>
    <w:rsid w:val="04BCA604"/>
    <w:rsid w:val="04DAB6EF"/>
    <w:rsid w:val="0511BD30"/>
    <w:rsid w:val="0524A824"/>
    <w:rsid w:val="053273C3"/>
    <w:rsid w:val="05720449"/>
    <w:rsid w:val="05A29742"/>
    <w:rsid w:val="061005C1"/>
    <w:rsid w:val="065833DA"/>
    <w:rsid w:val="0696E6C6"/>
    <w:rsid w:val="06EBBC9C"/>
    <w:rsid w:val="0755C8A5"/>
    <w:rsid w:val="09284719"/>
    <w:rsid w:val="093C597F"/>
    <w:rsid w:val="09C1455A"/>
    <w:rsid w:val="09DDF4F3"/>
    <w:rsid w:val="09DED14F"/>
    <w:rsid w:val="09FD528E"/>
    <w:rsid w:val="0A738944"/>
    <w:rsid w:val="0ABFA384"/>
    <w:rsid w:val="0B649B44"/>
    <w:rsid w:val="0B75B735"/>
    <w:rsid w:val="0B87B1C5"/>
    <w:rsid w:val="0B920CEA"/>
    <w:rsid w:val="0BE6A1AC"/>
    <w:rsid w:val="0BEB2A7B"/>
    <w:rsid w:val="0BF71335"/>
    <w:rsid w:val="0C62A6FC"/>
    <w:rsid w:val="0C64BEB7"/>
    <w:rsid w:val="0CB0712C"/>
    <w:rsid w:val="0D1A1320"/>
    <w:rsid w:val="0D34E808"/>
    <w:rsid w:val="0E1A9B99"/>
    <w:rsid w:val="0E1DC72C"/>
    <w:rsid w:val="0F0A0FE7"/>
    <w:rsid w:val="0F63260A"/>
    <w:rsid w:val="0F6C7639"/>
    <w:rsid w:val="0F6EEA59"/>
    <w:rsid w:val="0F955C74"/>
    <w:rsid w:val="1015ECB9"/>
    <w:rsid w:val="10211529"/>
    <w:rsid w:val="1047C9A3"/>
    <w:rsid w:val="10EEC57C"/>
    <w:rsid w:val="116E3F6F"/>
    <w:rsid w:val="1197FD5D"/>
    <w:rsid w:val="1430DC6E"/>
    <w:rsid w:val="14D6642F"/>
    <w:rsid w:val="14FBCF65"/>
    <w:rsid w:val="1549CEA8"/>
    <w:rsid w:val="15590D33"/>
    <w:rsid w:val="15CBEC87"/>
    <w:rsid w:val="15E79A91"/>
    <w:rsid w:val="1641990A"/>
    <w:rsid w:val="165AA6F5"/>
    <w:rsid w:val="16D95547"/>
    <w:rsid w:val="16FD2AF5"/>
    <w:rsid w:val="174B79B1"/>
    <w:rsid w:val="179BA321"/>
    <w:rsid w:val="17CB2691"/>
    <w:rsid w:val="17FB709C"/>
    <w:rsid w:val="184B5144"/>
    <w:rsid w:val="18A6D6FE"/>
    <w:rsid w:val="18D22B67"/>
    <w:rsid w:val="1905B12F"/>
    <w:rsid w:val="19302FB3"/>
    <w:rsid w:val="193BB143"/>
    <w:rsid w:val="194E503F"/>
    <w:rsid w:val="1989B161"/>
    <w:rsid w:val="19AEFE80"/>
    <w:rsid w:val="1A46466C"/>
    <w:rsid w:val="1AAE2E20"/>
    <w:rsid w:val="1AC0E466"/>
    <w:rsid w:val="1B9C7A28"/>
    <w:rsid w:val="1C5C868D"/>
    <w:rsid w:val="1C5DAB0C"/>
    <w:rsid w:val="1C91C0C6"/>
    <w:rsid w:val="1D01AD55"/>
    <w:rsid w:val="1D06BB6E"/>
    <w:rsid w:val="1D0F6256"/>
    <w:rsid w:val="1DA80638"/>
    <w:rsid w:val="1DFB9A21"/>
    <w:rsid w:val="1E15437E"/>
    <w:rsid w:val="1E472D29"/>
    <w:rsid w:val="1E6BA484"/>
    <w:rsid w:val="1E925762"/>
    <w:rsid w:val="1EDBE770"/>
    <w:rsid w:val="1EE75BC3"/>
    <w:rsid w:val="1F248CC7"/>
    <w:rsid w:val="1F574F39"/>
    <w:rsid w:val="1F650914"/>
    <w:rsid w:val="1F913CC9"/>
    <w:rsid w:val="1FC01208"/>
    <w:rsid w:val="1FD53EFB"/>
    <w:rsid w:val="20501110"/>
    <w:rsid w:val="205A72E3"/>
    <w:rsid w:val="20DD5181"/>
    <w:rsid w:val="20EC4723"/>
    <w:rsid w:val="218BE756"/>
    <w:rsid w:val="23A79820"/>
    <w:rsid w:val="23BF2817"/>
    <w:rsid w:val="23EE96BC"/>
    <w:rsid w:val="23FE4A1D"/>
    <w:rsid w:val="2421F94C"/>
    <w:rsid w:val="2489C11B"/>
    <w:rsid w:val="254963D5"/>
    <w:rsid w:val="2581D778"/>
    <w:rsid w:val="2619621A"/>
    <w:rsid w:val="262DF063"/>
    <w:rsid w:val="2635A43D"/>
    <w:rsid w:val="26A877CE"/>
    <w:rsid w:val="26E4DCE5"/>
    <w:rsid w:val="26E951C0"/>
    <w:rsid w:val="27583F7D"/>
    <w:rsid w:val="28A261D9"/>
    <w:rsid w:val="28E2AE9D"/>
    <w:rsid w:val="2911987A"/>
    <w:rsid w:val="299512C5"/>
    <w:rsid w:val="29DE3F37"/>
    <w:rsid w:val="2A1E75CB"/>
    <w:rsid w:val="2A34F50D"/>
    <w:rsid w:val="2A3C2724"/>
    <w:rsid w:val="2A7E8917"/>
    <w:rsid w:val="2A8AD5D0"/>
    <w:rsid w:val="2A8F773C"/>
    <w:rsid w:val="2A9B8121"/>
    <w:rsid w:val="2A9C3518"/>
    <w:rsid w:val="2B82D738"/>
    <w:rsid w:val="2B9EFAFF"/>
    <w:rsid w:val="2C1FE058"/>
    <w:rsid w:val="2CACEB0F"/>
    <w:rsid w:val="2CD73A36"/>
    <w:rsid w:val="2D2F5CA3"/>
    <w:rsid w:val="2D796ABF"/>
    <w:rsid w:val="2D891107"/>
    <w:rsid w:val="2DEC4F69"/>
    <w:rsid w:val="2DED60D5"/>
    <w:rsid w:val="2EE2E9A1"/>
    <w:rsid w:val="2F1523BB"/>
    <w:rsid w:val="2F4079BB"/>
    <w:rsid w:val="2F48F318"/>
    <w:rsid w:val="2F4FD598"/>
    <w:rsid w:val="2F8AD6A8"/>
    <w:rsid w:val="2FFCF6D3"/>
    <w:rsid w:val="301BC2E9"/>
    <w:rsid w:val="30535573"/>
    <w:rsid w:val="309088CC"/>
    <w:rsid w:val="3098EBA7"/>
    <w:rsid w:val="30D435B9"/>
    <w:rsid w:val="31246BD8"/>
    <w:rsid w:val="31628291"/>
    <w:rsid w:val="3163E446"/>
    <w:rsid w:val="3187054C"/>
    <w:rsid w:val="319BA259"/>
    <w:rsid w:val="31C5C822"/>
    <w:rsid w:val="31DFA791"/>
    <w:rsid w:val="322EF6F5"/>
    <w:rsid w:val="32648C1B"/>
    <w:rsid w:val="326D1B46"/>
    <w:rsid w:val="33F67B18"/>
    <w:rsid w:val="343FF67B"/>
    <w:rsid w:val="344A24B2"/>
    <w:rsid w:val="35DFD9DE"/>
    <w:rsid w:val="35FE0B5A"/>
    <w:rsid w:val="3621B7BC"/>
    <w:rsid w:val="367ABCE0"/>
    <w:rsid w:val="36CB0244"/>
    <w:rsid w:val="36FCEA49"/>
    <w:rsid w:val="3700CE26"/>
    <w:rsid w:val="370A88FD"/>
    <w:rsid w:val="375704B8"/>
    <w:rsid w:val="37BB82A4"/>
    <w:rsid w:val="37F5E994"/>
    <w:rsid w:val="389FE0C3"/>
    <w:rsid w:val="38CB7A70"/>
    <w:rsid w:val="38D4A901"/>
    <w:rsid w:val="390CBE99"/>
    <w:rsid w:val="392885B2"/>
    <w:rsid w:val="39812582"/>
    <w:rsid w:val="39971CE9"/>
    <w:rsid w:val="39990D7B"/>
    <w:rsid w:val="39E27C3E"/>
    <w:rsid w:val="3A33655A"/>
    <w:rsid w:val="3A45333A"/>
    <w:rsid w:val="3A70578B"/>
    <w:rsid w:val="3A720CA2"/>
    <w:rsid w:val="3AA2F51C"/>
    <w:rsid w:val="3ABD5B02"/>
    <w:rsid w:val="3AEF6CB5"/>
    <w:rsid w:val="3BA2F91C"/>
    <w:rsid w:val="3BE718BA"/>
    <w:rsid w:val="3C0F0A23"/>
    <w:rsid w:val="3C81AE8D"/>
    <w:rsid w:val="3C8CEE85"/>
    <w:rsid w:val="3CD284A3"/>
    <w:rsid w:val="3D0329B6"/>
    <w:rsid w:val="3D69459A"/>
    <w:rsid w:val="3D6B3076"/>
    <w:rsid w:val="3DBE5409"/>
    <w:rsid w:val="3E105469"/>
    <w:rsid w:val="3FBEAB2D"/>
    <w:rsid w:val="400FB54B"/>
    <w:rsid w:val="40A34481"/>
    <w:rsid w:val="4131CF3D"/>
    <w:rsid w:val="42191B55"/>
    <w:rsid w:val="422982B3"/>
    <w:rsid w:val="42AD21F2"/>
    <w:rsid w:val="436AE5D4"/>
    <w:rsid w:val="4379E062"/>
    <w:rsid w:val="44E28EF6"/>
    <w:rsid w:val="45D386B8"/>
    <w:rsid w:val="4646DBEF"/>
    <w:rsid w:val="46960C56"/>
    <w:rsid w:val="47DF1FB7"/>
    <w:rsid w:val="48117B2F"/>
    <w:rsid w:val="481A0FEC"/>
    <w:rsid w:val="484695CD"/>
    <w:rsid w:val="484840E4"/>
    <w:rsid w:val="4873C8DA"/>
    <w:rsid w:val="4937457A"/>
    <w:rsid w:val="49860303"/>
    <w:rsid w:val="498F9C67"/>
    <w:rsid w:val="4A28E60B"/>
    <w:rsid w:val="4A34B9FE"/>
    <w:rsid w:val="4A392448"/>
    <w:rsid w:val="4A89EFCE"/>
    <w:rsid w:val="4B91591F"/>
    <w:rsid w:val="4C6D7748"/>
    <w:rsid w:val="4CAB4B5D"/>
    <w:rsid w:val="4D627ED8"/>
    <w:rsid w:val="4D83C1B2"/>
    <w:rsid w:val="4DD6BDF6"/>
    <w:rsid w:val="4DF1803E"/>
    <w:rsid w:val="4EA4B8F8"/>
    <w:rsid w:val="4EE72A0C"/>
    <w:rsid w:val="4EE8FD5C"/>
    <w:rsid w:val="4EEBF782"/>
    <w:rsid w:val="4F15003B"/>
    <w:rsid w:val="4F9D1FFF"/>
    <w:rsid w:val="4FEA9707"/>
    <w:rsid w:val="502A2870"/>
    <w:rsid w:val="5058F6AD"/>
    <w:rsid w:val="507E16A0"/>
    <w:rsid w:val="514F04C9"/>
    <w:rsid w:val="51F1C6E0"/>
    <w:rsid w:val="521DBE1B"/>
    <w:rsid w:val="5265D3A6"/>
    <w:rsid w:val="5291CFED"/>
    <w:rsid w:val="53DEE4A5"/>
    <w:rsid w:val="53E0427E"/>
    <w:rsid w:val="540B32EC"/>
    <w:rsid w:val="5447D249"/>
    <w:rsid w:val="54723140"/>
    <w:rsid w:val="548AE1ED"/>
    <w:rsid w:val="54D29342"/>
    <w:rsid w:val="5505DF71"/>
    <w:rsid w:val="556C5002"/>
    <w:rsid w:val="556C94AE"/>
    <w:rsid w:val="55C2A93C"/>
    <w:rsid w:val="5649D064"/>
    <w:rsid w:val="564DDA06"/>
    <w:rsid w:val="56B19FCA"/>
    <w:rsid w:val="578D7C6E"/>
    <w:rsid w:val="588E9411"/>
    <w:rsid w:val="59280E44"/>
    <w:rsid w:val="597E1C0F"/>
    <w:rsid w:val="59ABEAD1"/>
    <w:rsid w:val="59B1310C"/>
    <w:rsid w:val="59FB0660"/>
    <w:rsid w:val="5A225500"/>
    <w:rsid w:val="5A52ACE5"/>
    <w:rsid w:val="5A8DF871"/>
    <w:rsid w:val="5B6F2271"/>
    <w:rsid w:val="5BF85936"/>
    <w:rsid w:val="5C2BFBBD"/>
    <w:rsid w:val="5CA8AD43"/>
    <w:rsid w:val="5CC7B383"/>
    <w:rsid w:val="5D82B216"/>
    <w:rsid w:val="5DB8859B"/>
    <w:rsid w:val="5F066A87"/>
    <w:rsid w:val="5F467E77"/>
    <w:rsid w:val="5FFA4153"/>
    <w:rsid w:val="60418F99"/>
    <w:rsid w:val="60D72DF8"/>
    <w:rsid w:val="6113B952"/>
    <w:rsid w:val="6186D7AA"/>
    <w:rsid w:val="6224FD91"/>
    <w:rsid w:val="62286C3D"/>
    <w:rsid w:val="624C8D8B"/>
    <w:rsid w:val="62A68714"/>
    <w:rsid w:val="6307B011"/>
    <w:rsid w:val="6381F005"/>
    <w:rsid w:val="63D6FE7A"/>
    <w:rsid w:val="63E8ECF2"/>
    <w:rsid w:val="641DA3A9"/>
    <w:rsid w:val="64392380"/>
    <w:rsid w:val="644CE38D"/>
    <w:rsid w:val="64A56008"/>
    <w:rsid w:val="650577F3"/>
    <w:rsid w:val="657E1EFC"/>
    <w:rsid w:val="65B6CDC2"/>
    <w:rsid w:val="65F12A01"/>
    <w:rsid w:val="66619C7D"/>
    <w:rsid w:val="66978C55"/>
    <w:rsid w:val="66A49568"/>
    <w:rsid w:val="66EFE56D"/>
    <w:rsid w:val="66F93402"/>
    <w:rsid w:val="67003421"/>
    <w:rsid w:val="672A7A8E"/>
    <w:rsid w:val="67DDD009"/>
    <w:rsid w:val="67E16449"/>
    <w:rsid w:val="680AE68C"/>
    <w:rsid w:val="680B4439"/>
    <w:rsid w:val="68418FA8"/>
    <w:rsid w:val="68561F87"/>
    <w:rsid w:val="68C07A9B"/>
    <w:rsid w:val="69414745"/>
    <w:rsid w:val="69BA3758"/>
    <w:rsid w:val="6A945673"/>
    <w:rsid w:val="6B4A7F78"/>
    <w:rsid w:val="6B508502"/>
    <w:rsid w:val="6BA02C32"/>
    <w:rsid w:val="6C50D3B7"/>
    <w:rsid w:val="6C50DB4D"/>
    <w:rsid w:val="6CAC1A12"/>
    <w:rsid w:val="6DC67E30"/>
    <w:rsid w:val="6E7A32BB"/>
    <w:rsid w:val="6F2795F3"/>
    <w:rsid w:val="6F72D75B"/>
    <w:rsid w:val="6F82D1B2"/>
    <w:rsid w:val="6FA192DA"/>
    <w:rsid w:val="6FCDD1B5"/>
    <w:rsid w:val="70091BC7"/>
    <w:rsid w:val="70389FFD"/>
    <w:rsid w:val="70577156"/>
    <w:rsid w:val="7400CFBF"/>
    <w:rsid w:val="7417841F"/>
    <w:rsid w:val="744D4EED"/>
    <w:rsid w:val="7472C691"/>
    <w:rsid w:val="74DAB9E3"/>
    <w:rsid w:val="75307E47"/>
    <w:rsid w:val="75964E1A"/>
    <w:rsid w:val="75D7855A"/>
    <w:rsid w:val="75D7D2B7"/>
    <w:rsid w:val="75FBFED9"/>
    <w:rsid w:val="7641110B"/>
    <w:rsid w:val="765B06AE"/>
    <w:rsid w:val="771BAC23"/>
    <w:rsid w:val="77B37535"/>
    <w:rsid w:val="77E468AF"/>
    <w:rsid w:val="77F055BC"/>
    <w:rsid w:val="77FDC024"/>
    <w:rsid w:val="78595DE0"/>
    <w:rsid w:val="7898317E"/>
    <w:rsid w:val="78C71E4D"/>
    <w:rsid w:val="791C0D7D"/>
    <w:rsid w:val="793F4921"/>
    <w:rsid w:val="79738565"/>
    <w:rsid w:val="797C861B"/>
    <w:rsid w:val="79FCE7EA"/>
    <w:rsid w:val="7A9BA087"/>
    <w:rsid w:val="7ADC30FB"/>
    <w:rsid w:val="7AE4DA4A"/>
    <w:rsid w:val="7C922F45"/>
    <w:rsid w:val="7CACFBC0"/>
    <w:rsid w:val="7D042EEB"/>
    <w:rsid w:val="7EDDF637"/>
    <w:rsid w:val="7EDFF610"/>
    <w:rsid w:val="7F501E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E9BBD9"/>
  <w15:docId w15:val="{59744F85-CAE5-4638-8D71-73BFDE68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AU" w:eastAsia="en-US" w:bidi="ar-SA"/>
      </w:rPr>
    </w:rPrDefault>
    <w:pPrDefault>
      <w:pPr>
        <w:spacing w:before="160" w:after="8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29"/>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103"/>
    <w:pPr>
      <w:keepLines/>
    </w:pPr>
  </w:style>
  <w:style w:type="paragraph" w:styleId="Heading1">
    <w:name w:val="heading 1"/>
    <w:basedOn w:val="Normal"/>
    <w:next w:val="Normal"/>
    <w:link w:val="Heading1Char"/>
    <w:uiPriority w:val="9"/>
    <w:qFormat/>
    <w:rsid w:val="001720B3"/>
    <w:pPr>
      <w:keepNext/>
      <w:pBdr>
        <w:bottom w:val="single" w:sz="12" w:space="1" w:color="auto"/>
      </w:pBdr>
      <w:spacing w:after="32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6F78E0"/>
    <w:pPr>
      <w:pBdr>
        <w:bottom w:val="none" w:sz="0" w:space="0" w:color="auto"/>
      </w:pBdr>
      <w:spacing w:before="200" w:after="120"/>
      <w:outlineLvl w:val="1"/>
    </w:pPr>
    <w:rPr>
      <w:caps w:val="0"/>
      <w:sz w:val="26"/>
      <w:szCs w:val="26"/>
    </w:rPr>
  </w:style>
  <w:style w:type="paragraph" w:styleId="Heading3">
    <w:name w:val="heading 3"/>
    <w:basedOn w:val="Heading2"/>
    <w:next w:val="Normal"/>
    <w:link w:val="Heading3Char"/>
    <w:uiPriority w:val="9"/>
    <w:unhideWhenUsed/>
    <w:qFormat/>
    <w:rsid w:val="00B23B0D"/>
    <w:pPr>
      <w:spacing w:before="160"/>
      <w:outlineLvl w:val="2"/>
    </w:pPr>
    <w:rPr>
      <w:sz w:val="22"/>
      <w:szCs w:val="24"/>
    </w:rPr>
  </w:style>
  <w:style w:type="paragraph" w:styleId="Heading4">
    <w:name w:val="heading 4"/>
    <w:basedOn w:val="Heading3"/>
    <w:next w:val="Normal"/>
    <w:link w:val="Heading4Char"/>
    <w:uiPriority w:val="9"/>
    <w:unhideWhenUsed/>
    <w:qFormat/>
    <w:rsid w:val="00832C7E"/>
    <w:pPr>
      <w:outlineLvl w:val="3"/>
    </w:pPr>
    <w:rPr>
      <w:iCs/>
      <w:sz w:val="18"/>
    </w:rPr>
  </w:style>
  <w:style w:type="paragraph" w:styleId="Heading5">
    <w:name w:val="heading 5"/>
    <w:basedOn w:val="Normal"/>
    <w:next w:val="Normal"/>
    <w:link w:val="Heading5Char"/>
    <w:uiPriority w:val="9"/>
    <w:unhideWhenUsed/>
    <w:qFormat/>
    <w:rsid w:val="00602698"/>
    <w:pPr>
      <w:keepNext/>
      <w:spacing w:before="40" w:after="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qFormat/>
    <w:rsid w:val="00ED22CA"/>
    <w:pPr>
      <w:keepNext/>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ED22CA"/>
    <w:pPr>
      <w:keepNext/>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ED22CA"/>
    <w:pPr>
      <w:keepNext/>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ED22CA"/>
    <w:pPr>
      <w:keepNext/>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B3"/>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6F78E0"/>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B23B0D"/>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BF1B28"/>
    <w:rPr>
      <w:rFonts w:asciiTheme="majorHAnsi" w:eastAsiaTheme="majorEastAsia" w:hAnsiTheme="majorHAnsi" w:cstheme="majorBidi"/>
      <w:b/>
      <w:iCs/>
      <w:szCs w:val="24"/>
    </w:rPr>
  </w:style>
  <w:style w:type="character" w:customStyle="1" w:styleId="Heading5Char">
    <w:name w:val="Heading 5 Char"/>
    <w:basedOn w:val="DefaultParagraphFont"/>
    <w:link w:val="Heading5"/>
    <w:uiPriority w:val="9"/>
    <w:rsid w:val="00602698"/>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sid w:val="007C3A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C3A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C3A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A8E"/>
    <w:rPr>
      <w:rFonts w:asciiTheme="majorHAnsi" w:eastAsiaTheme="majorEastAsia" w:hAnsiTheme="majorHAnsi" w:cstheme="majorBidi"/>
      <w:i/>
      <w:iCs/>
      <w:color w:val="272727" w:themeColor="text1" w:themeTint="D8"/>
      <w:sz w:val="21"/>
      <w:szCs w:val="21"/>
    </w:rPr>
  </w:style>
  <w:style w:type="paragraph" w:styleId="ListBullet">
    <w:name w:val="List Bullet"/>
    <w:basedOn w:val="ListContinue"/>
    <w:link w:val="ListBulletChar"/>
    <w:uiPriority w:val="24"/>
    <w:rsid w:val="004519ED"/>
    <w:pPr>
      <w:numPr>
        <w:numId w:val="81"/>
      </w:numPr>
    </w:pPr>
  </w:style>
  <w:style w:type="numbering" w:customStyle="1" w:styleId="BulletListStyle">
    <w:name w:val="Bullet List Style"/>
    <w:uiPriority w:val="99"/>
    <w:rsid w:val="00FD7375"/>
    <w:pPr>
      <w:numPr>
        <w:numId w:val="1"/>
      </w:numPr>
    </w:pPr>
  </w:style>
  <w:style w:type="paragraph" w:styleId="ListBullet2">
    <w:name w:val="List Bullet 2"/>
    <w:basedOn w:val="ListContinue2"/>
    <w:link w:val="ListBullet2Char"/>
    <w:uiPriority w:val="24"/>
    <w:unhideWhenUsed/>
    <w:rsid w:val="00052D9B"/>
    <w:pPr>
      <w:numPr>
        <w:ilvl w:val="0"/>
        <w:numId w:val="83"/>
      </w:numPr>
      <w:spacing w:after="40"/>
      <w:contextualSpacing w:val="0"/>
    </w:pPr>
  </w:style>
  <w:style w:type="paragraph" w:styleId="ListContinue">
    <w:name w:val="List Continue"/>
    <w:basedOn w:val="Normal"/>
    <w:link w:val="ListContinueChar"/>
    <w:uiPriority w:val="26"/>
    <w:rsid w:val="00E42209"/>
    <w:pPr>
      <w:numPr>
        <w:numId w:val="7"/>
      </w:numPr>
      <w:spacing w:before="40"/>
    </w:pPr>
  </w:style>
  <w:style w:type="paragraph" w:styleId="ListContinue2">
    <w:name w:val="List Continue 2"/>
    <w:basedOn w:val="ListContinue"/>
    <w:link w:val="ListContinue2Char"/>
    <w:uiPriority w:val="26"/>
    <w:semiHidden/>
    <w:unhideWhenUsed/>
    <w:rsid w:val="003A172E"/>
    <w:pPr>
      <w:numPr>
        <w:ilvl w:val="1"/>
      </w:numPr>
      <w:spacing w:after="120"/>
      <w:contextualSpacing/>
    </w:pPr>
  </w:style>
  <w:style w:type="paragraph" w:styleId="ListContinue3">
    <w:name w:val="List Continue 3"/>
    <w:basedOn w:val="ListContinue2"/>
    <w:uiPriority w:val="26"/>
    <w:semiHidden/>
    <w:unhideWhenUsed/>
    <w:rsid w:val="003A172E"/>
    <w:pPr>
      <w:numPr>
        <w:ilvl w:val="2"/>
      </w:numPr>
    </w:pPr>
  </w:style>
  <w:style w:type="paragraph" w:styleId="ListBullet3">
    <w:name w:val="List Bullet 3"/>
    <w:basedOn w:val="ListContinue3"/>
    <w:uiPriority w:val="24"/>
    <w:unhideWhenUsed/>
    <w:rsid w:val="004519ED"/>
    <w:pPr>
      <w:numPr>
        <w:numId w:val="40"/>
      </w:numPr>
    </w:pPr>
  </w:style>
  <w:style w:type="paragraph" w:styleId="ListBullet4">
    <w:name w:val="List Bullet 4"/>
    <w:basedOn w:val="ListContinue4"/>
    <w:uiPriority w:val="24"/>
    <w:semiHidden/>
    <w:unhideWhenUsed/>
    <w:rsid w:val="004519ED"/>
    <w:pPr>
      <w:ind w:left="1588" w:hanging="397"/>
    </w:pPr>
  </w:style>
  <w:style w:type="paragraph" w:styleId="ListContinue4">
    <w:name w:val="List Continue 4"/>
    <w:basedOn w:val="ListContinue3"/>
    <w:uiPriority w:val="26"/>
    <w:semiHidden/>
    <w:unhideWhenUsed/>
    <w:rsid w:val="003A172E"/>
    <w:pPr>
      <w:ind w:left="1132"/>
    </w:pPr>
  </w:style>
  <w:style w:type="paragraph" w:styleId="ListBullet5">
    <w:name w:val="List Bullet 5"/>
    <w:basedOn w:val="ListContinue5"/>
    <w:uiPriority w:val="24"/>
    <w:semiHidden/>
    <w:unhideWhenUsed/>
    <w:rsid w:val="004519ED"/>
    <w:pPr>
      <w:ind w:left="1985" w:hanging="397"/>
    </w:pPr>
  </w:style>
  <w:style w:type="paragraph" w:styleId="ListContinue5">
    <w:name w:val="List Continue 5"/>
    <w:basedOn w:val="ListContinue4"/>
    <w:uiPriority w:val="26"/>
    <w:semiHidden/>
    <w:unhideWhenUsed/>
    <w:rsid w:val="003A172E"/>
    <w:pPr>
      <w:ind w:left="1415"/>
    </w:pPr>
  </w:style>
  <w:style w:type="paragraph" w:styleId="ListNumber2">
    <w:name w:val="List Number 2"/>
    <w:basedOn w:val="ListContinue2"/>
    <w:uiPriority w:val="25"/>
    <w:semiHidden/>
    <w:unhideWhenUsed/>
    <w:rsid w:val="003A172E"/>
    <w:pPr>
      <w:numPr>
        <w:numId w:val="35"/>
      </w:numPr>
    </w:pPr>
  </w:style>
  <w:style w:type="paragraph" w:styleId="ListNumber3">
    <w:name w:val="List Number 3"/>
    <w:basedOn w:val="ListContinue3"/>
    <w:uiPriority w:val="25"/>
    <w:semiHidden/>
    <w:unhideWhenUsed/>
    <w:rsid w:val="003A172E"/>
    <w:pPr>
      <w:numPr>
        <w:numId w:val="35"/>
      </w:numPr>
    </w:pPr>
  </w:style>
  <w:style w:type="paragraph" w:styleId="ListNumber4">
    <w:name w:val="List Number 4"/>
    <w:basedOn w:val="ListContinue4"/>
    <w:uiPriority w:val="25"/>
    <w:semiHidden/>
    <w:unhideWhenUsed/>
    <w:rsid w:val="003A172E"/>
    <w:pPr>
      <w:numPr>
        <w:ilvl w:val="3"/>
        <w:numId w:val="35"/>
      </w:numPr>
    </w:pPr>
  </w:style>
  <w:style w:type="paragraph" w:styleId="ListNumber5">
    <w:name w:val="List Number 5"/>
    <w:basedOn w:val="ListContinue5"/>
    <w:uiPriority w:val="25"/>
    <w:semiHidden/>
    <w:unhideWhenUsed/>
    <w:rsid w:val="003A172E"/>
    <w:pPr>
      <w:numPr>
        <w:ilvl w:val="4"/>
        <w:numId w:val="35"/>
      </w:numPr>
    </w:pPr>
  </w:style>
  <w:style w:type="paragraph" w:styleId="ListNumber">
    <w:name w:val="List Number"/>
    <w:basedOn w:val="ListContinue"/>
    <w:uiPriority w:val="25"/>
    <w:rsid w:val="006D0A09"/>
    <w:pPr>
      <w:numPr>
        <w:numId w:val="35"/>
      </w:numPr>
    </w:pPr>
  </w:style>
  <w:style w:type="paragraph" w:styleId="FootnoteText">
    <w:name w:val="footnote text"/>
    <w:basedOn w:val="Normal"/>
    <w:link w:val="FootnoteTextChar"/>
    <w:uiPriority w:val="99"/>
    <w:unhideWhenUsed/>
    <w:qFormat/>
    <w:rsid w:val="00F51427"/>
    <w:pPr>
      <w:tabs>
        <w:tab w:val="left" w:pos="170"/>
      </w:tabs>
      <w:spacing w:before="0" w:after="0" w:line="240" w:lineRule="auto"/>
      <w:ind w:left="170" w:hanging="170"/>
    </w:pPr>
    <w:rPr>
      <w:sz w:val="16"/>
      <w:szCs w:val="20"/>
    </w:rPr>
  </w:style>
  <w:style w:type="character" w:customStyle="1" w:styleId="FootnoteTextChar">
    <w:name w:val="Footnote Text Char"/>
    <w:basedOn w:val="DefaultParagraphFont"/>
    <w:link w:val="FootnoteText"/>
    <w:uiPriority w:val="99"/>
    <w:rsid w:val="00F51427"/>
    <w:rPr>
      <w:sz w:val="16"/>
      <w:szCs w:val="20"/>
    </w:rPr>
  </w:style>
  <w:style w:type="character" w:styleId="FootnoteReference">
    <w:name w:val="footnote reference"/>
    <w:basedOn w:val="DefaultParagraphFont"/>
    <w:uiPriority w:val="99"/>
    <w:unhideWhenUsed/>
    <w:rsid w:val="00F51427"/>
    <w:rPr>
      <w:vertAlign w:val="superscript"/>
    </w:rPr>
  </w:style>
  <w:style w:type="paragraph" w:styleId="Caption">
    <w:name w:val="caption"/>
    <w:basedOn w:val="Normal"/>
    <w:next w:val="Normal"/>
    <w:uiPriority w:val="34"/>
    <w:qFormat/>
    <w:rsid w:val="00FA4323"/>
    <w:pPr>
      <w:keepNext/>
      <w:tabs>
        <w:tab w:val="left" w:pos="964"/>
        <w:tab w:val="right" w:pos="9639"/>
        <w:tab w:val="right" w:pos="14742"/>
      </w:tabs>
      <w:spacing w:line="240" w:lineRule="auto"/>
    </w:pPr>
    <w:rPr>
      <w:b/>
      <w:iCs/>
      <w:color w:val="404040" w:themeColor="text1" w:themeTint="BF"/>
    </w:rPr>
  </w:style>
  <w:style w:type="paragraph" w:customStyle="1" w:styleId="Source">
    <w:name w:val="Source"/>
    <w:basedOn w:val="Normal"/>
    <w:next w:val="Normal"/>
    <w:uiPriority w:val="35"/>
    <w:qFormat/>
    <w:rsid w:val="006C62FF"/>
    <w:pPr>
      <w:spacing w:before="40" w:after="60" w:line="240" w:lineRule="auto"/>
    </w:pPr>
    <w:rPr>
      <w:i/>
      <w:sz w:val="14"/>
    </w:rPr>
  </w:style>
  <w:style w:type="character" w:styleId="Hyperlink">
    <w:name w:val="Hyperlink"/>
    <w:basedOn w:val="DefaultParagraphFont"/>
    <w:uiPriority w:val="99"/>
    <w:unhideWhenUsed/>
    <w:rsid w:val="008C0BCD"/>
    <w:rPr>
      <w:color w:val="0000C8"/>
      <w:u w:val="single"/>
    </w:rPr>
  </w:style>
  <w:style w:type="character" w:styleId="UnresolvedMention">
    <w:name w:val="Unresolved Mention"/>
    <w:basedOn w:val="DefaultParagraphFont"/>
    <w:uiPriority w:val="99"/>
    <w:unhideWhenUsed/>
    <w:rsid w:val="001C5DED"/>
    <w:rPr>
      <w:color w:val="605E5C"/>
      <w:shd w:val="clear" w:color="auto" w:fill="E1DFDD"/>
    </w:rPr>
  </w:style>
  <w:style w:type="table" w:styleId="GridTable4">
    <w:name w:val="Grid Table 4"/>
    <w:basedOn w:val="TableNormal"/>
    <w:uiPriority w:val="49"/>
    <w:rsid w:val="00B514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B51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
    <w:name w:val="DTF Text Table"/>
    <w:basedOn w:val="PlainTable4"/>
    <w:uiPriority w:val="99"/>
    <w:rsid w:val="00604332"/>
    <w:pPr>
      <w:spacing w:before="60" w:after="60"/>
    </w:pPr>
    <w:tblPr>
      <w:tblBorders>
        <w:bottom w:val="single" w:sz="12" w:space="0" w:color="auto"/>
      </w:tblBorders>
    </w:tblPr>
    <w:tblStylePr w:type="firstRow">
      <w:pPr>
        <w:jc w:val="left"/>
      </w:pPr>
      <w:rPr>
        <w:b w:val="0"/>
        <w:bCs/>
        <w:i/>
      </w:rPr>
      <w:tblPr/>
      <w:tcPr>
        <w:shd w:val="clear" w:color="auto" w:fill="000000" w:themeFill="text1"/>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GuidanceBox">
    <w:name w:val="Guidance Box"/>
    <w:basedOn w:val="Normal"/>
    <w:uiPriority w:val="31"/>
    <w:qFormat/>
    <w:rsid w:val="00C22F9A"/>
    <w:pPr>
      <w:pBdr>
        <w:top w:val="single" w:sz="6" w:space="1" w:color="4472C4" w:themeColor="accent1"/>
        <w:left w:val="single" w:sz="6" w:space="4" w:color="4472C4" w:themeColor="accent1"/>
        <w:bottom w:val="single" w:sz="6" w:space="1" w:color="4472C4" w:themeColor="accent1"/>
        <w:right w:val="single" w:sz="6" w:space="4" w:color="4472C4" w:themeColor="accent1"/>
      </w:pBdr>
    </w:pPr>
    <w:rPr>
      <w:color w:val="4472C4" w:themeColor="accent1"/>
    </w:rPr>
  </w:style>
  <w:style w:type="table" w:styleId="PlainTable4">
    <w:name w:val="Plain Table 4"/>
    <w:basedOn w:val="TableNormal"/>
    <w:uiPriority w:val="44"/>
    <w:rsid w:val="00B514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ference">
    <w:name w:val="Reference"/>
    <w:uiPriority w:val="29"/>
    <w:qFormat/>
    <w:rsid w:val="002445D5"/>
    <w:rPr>
      <w:b w:val="0"/>
      <w:i w:val="0"/>
      <w:color w:val="C00000"/>
      <w:sz w:val="16"/>
    </w:rPr>
  </w:style>
  <w:style w:type="paragraph" w:customStyle="1" w:styleId="GuidanceBlockHeading">
    <w:name w:val="Guidance Block Heading"/>
    <w:basedOn w:val="Heading4"/>
    <w:next w:val="Normal"/>
    <w:uiPriority w:val="30"/>
    <w:qFormat/>
    <w:rsid w:val="001F3237"/>
    <w:pPr>
      <w:pBdr>
        <w:top w:val="single" w:sz="6" w:space="3" w:color="4472C4" w:themeColor="accent1"/>
        <w:left w:val="single" w:sz="6" w:space="4" w:color="4472C4" w:themeColor="accent1"/>
        <w:bottom w:val="single" w:sz="6" w:space="3" w:color="4472C4" w:themeColor="accent1"/>
        <w:right w:val="single" w:sz="6" w:space="4" w:color="4472C4" w:themeColor="accent1"/>
      </w:pBdr>
      <w:shd w:val="clear" w:color="auto" w:fill="4472C4" w:themeFill="accent1"/>
    </w:pPr>
    <w:rPr>
      <w:bCs/>
      <w:color w:val="FFFFFF" w:themeColor="background1"/>
      <w:sz w:val="20"/>
    </w:rPr>
  </w:style>
  <w:style w:type="table" w:customStyle="1" w:styleId="DTFFinancialTable">
    <w:name w:val="DTF Financial Table"/>
    <w:basedOn w:val="DTFTextTable"/>
    <w:uiPriority w:val="99"/>
    <w:rsid w:val="00872347"/>
    <w:pPr>
      <w:spacing w:before="20" w:after="20"/>
      <w:jc w:val="right"/>
    </w:pPr>
    <w:rPr>
      <w:sz w:val="17"/>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000000"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ote">
    <w:name w:val="Note"/>
    <w:basedOn w:val="Source"/>
    <w:link w:val="NoteChar"/>
    <w:uiPriority w:val="52"/>
    <w:qFormat/>
    <w:rsid w:val="0009716C"/>
    <w:pPr>
      <w:tabs>
        <w:tab w:val="left" w:pos="397"/>
      </w:tabs>
      <w:spacing w:before="60" w:after="160"/>
      <w:ind w:left="397" w:hanging="397"/>
      <w:contextualSpacing/>
    </w:pPr>
  </w:style>
  <w:style w:type="paragraph" w:styleId="Header">
    <w:name w:val="header"/>
    <w:basedOn w:val="Normal"/>
    <w:link w:val="HeaderChar"/>
    <w:uiPriority w:val="99"/>
    <w:unhideWhenUsed/>
    <w:rsid w:val="00883A90"/>
    <w:pPr>
      <w:tabs>
        <w:tab w:val="center" w:pos="4513"/>
        <w:tab w:val="right" w:pos="9026"/>
      </w:tabs>
      <w:spacing w:before="0" w:after="0" w:line="240" w:lineRule="auto"/>
    </w:pPr>
    <w:rPr>
      <w:b/>
      <w:caps/>
      <w:color w:val="767171" w:themeColor="background2" w:themeShade="80"/>
    </w:rPr>
  </w:style>
  <w:style w:type="character" w:customStyle="1" w:styleId="HeaderChar">
    <w:name w:val="Header Char"/>
    <w:basedOn w:val="DefaultParagraphFont"/>
    <w:link w:val="Header"/>
    <w:uiPriority w:val="99"/>
    <w:rsid w:val="00883A90"/>
    <w:rPr>
      <w:b/>
      <w:caps/>
      <w:color w:val="767171" w:themeColor="background2" w:themeShade="80"/>
    </w:rPr>
  </w:style>
  <w:style w:type="paragraph" w:styleId="Footer">
    <w:name w:val="footer"/>
    <w:basedOn w:val="Normal"/>
    <w:link w:val="FooterChar"/>
    <w:uiPriority w:val="99"/>
    <w:unhideWhenUsed/>
    <w:rsid w:val="00F92C2D"/>
    <w:pPr>
      <w:pBdr>
        <w:top w:val="single" w:sz="4" w:space="1" w:color="auto"/>
      </w:pBdr>
      <w:tabs>
        <w:tab w:val="right" w:pos="9639"/>
      </w:tabs>
      <w:spacing w:before="0" w:after="0" w:line="240" w:lineRule="auto"/>
    </w:pPr>
  </w:style>
  <w:style w:type="character" w:customStyle="1" w:styleId="FooterChar">
    <w:name w:val="Footer Char"/>
    <w:basedOn w:val="DefaultParagraphFont"/>
    <w:link w:val="Footer"/>
    <w:uiPriority w:val="99"/>
    <w:rsid w:val="00F92C2D"/>
  </w:style>
  <w:style w:type="paragraph" w:styleId="Title">
    <w:name w:val="Title"/>
    <w:basedOn w:val="Normal"/>
    <w:next w:val="Normal"/>
    <w:link w:val="TitleChar"/>
    <w:uiPriority w:val="10"/>
    <w:qFormat/>
    <w:rsid w:val="007D536F"/>
    <w:pPr>
      <w:spacing w:before="2600" w:after="300" w:line="240" w:lineRule="auto"/>
      <w:ind w:right="2892"/>
      <w:contextualSpacing/>
      <w:jc w:val="right"/>
    </w:pPr>
    <w:rPr>
      <w:rFonts w:asciiTheme="majorHAnsi" w:eastAsiaTheme="majorEastAsia" w:hAnsiTheme="majorHAnsi" w:cstheme="majorBidi"/>
      <w:b/>
      <w:color w:val="3A3467"/>
      <w:spacing w:val="-10"/>
      <w:kern w:val="28"/>
      <w:sz w:val="56"/>
      <w:szCs w:val="56"/>
    </w:rPr>
  </w:style>
  <w:style w:type="character" w:customStyle="1" w:styleId="TitleChar">
    <w:name w:val="Title Char"/>
    <w:basedOn w:val="DefaultParagraphFont"/>
    <w:link w:val="Title"/>
    <w:uiPriority w:val="10"/>
    <w:rsid w:val="007D536F"/>
    <w:rPr>
      <w:rFonts w:asciiTheme="majorHAnsi" w:eastAsiaTheme="majorEastAsia" w:hAnsiTheme="majorHAnsi" w:cstheme="majorBidi"/>
      <w:b/>
      <w:color w:val="3A3467"/>
      <w:spacing w:val="-10"/>
      <w:kern w:val="28"/>
      <w:sz w:val="56"/>
      <w:szCs w:val="56"/>
    </w:rPr>
  </w:style>
  <w:style w:type="character" w:customStyle="1" w:styleId="Reference-Revised">
    <w:name w:val="Reference - Revised"/>
    <w:basedOn w:val="Reference"/>
    <w:uiPriority w:val="29"/>
    <w:qFormat/>
    <w:rsid w:val="002445D5"/>
    <w:rPr>
      <w:b w:val="0"/>
      <w:i w:val="0"/>
      <w:color w:val="7030A0"/>
      <w:sz w:val="16"/>
    </w:rPr>
  </w:style>
  <w:style w:type="character" w:customStyle="1" w:styleId="Guidance">
    <w:name w:val="Guidance"/>
    <w:uiPriority w:val="31"/>
    <w:qFormat/>
    <w:rsid w:val="00D23DE5"/>
    <w:rPr>
      <w:color w:val="4472C4" w:themeColor="accent1"/>
    </w:rPr>
  </w:style>
  <w:style w:type="paragraph" w:customStyle="1" w:styleId="GuidanceHeading">
    <w:name w:val="Guidance Heading"/>
    <w:basedOn w:val="Normal"/>
    <w:next w:val="Normal"/>
    <w:uiPriority w:val="30"/>
    <w:qFormat/>
    <w:rsid w:val="000966E8"/>
    <w:pPr>
      <w:keepNext/>
    </w:pPr>
    <w:rPr>
      <w:b/>
      <w:color w:val="4472C4" w:themeColor="accent1"/>
      <w:sz w:val="20"/>
    </w:rPr>
  </w:style>
  <w:style w:type="character" w:customStyle="1" w:styleId="Reference-New">
    <w:name w:val="Reference - New"/>
    <w:basedOn w:val="Reference"/>
    <w:uiPriority w:val="29"/>
    <w:qFormat/>
    <w:rsid w:val="002445D5"/>
    <w:rPr>
      <w:b w:val="0"/>
      <w:i w:val="0"/>
      <w:color w:val="70AD47" w:themeColor="accent6"/>
      <w:sz w:val="16"/>
    </w:rPr>
  </w:style>
  <w:style w:type="paragraph" w:customStyle="1" w:styleId="GuidanceEnd">
    <w:name w:val="Guidance End"/>
    <w:basedOn w:val="Normal"/>
    <w:next w:val="Normal"/>
    <w:uiPriority w:val="30"/>
    <w:qFormat/>
    <w:rsid w:val="0033519E"/>
    <w:pPr>
      <w:pBdr>
        <w:top w:val="single" w:sz="36" w:space="1" w:color="4472C4" w:themeColor="accent1"/>
      </w:pBdr>
      <w:spacing w:before="0" w:after="0" w:line="240" w:lineRule="auto"/>
    </w:pPr>
  </w:style>
  <w:style w:type="paragraph" w:styleId="Quote">
    <w:name w:val="Quote"/>
    <w:basedOn w:val="Normal"/>
    <w:next w:val="Normal"/>
    <w:link w:val="QuoteChar"/>
    <w:uiPriority w:val="39"/>
    <w:qFormat/>
    <w:rsid w:val="006B5E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39"/>
    <w:rsid w:val="006B5EA1"/>
    <w:rPr>
      <w:i/>
      <w:iCs/>
      <w:color w:val="404040" w:themeColor="text1" w:themeTint="BF"/>
    </w:rPr>
  </w:style>
  <w:style w:type="paragraph" w:styleId="BalloonText">
    <w:name w:val="Balloon Text"/>
    <w:basedOn w:val="Normal"/>
    <w:link w:val="BalloonTextChar"/>
    <w:uiPriority w:val="99"/>
    <w:semiHidden/>
    <w:unhideWhenUsed/>
    <w:rsid w:val="00DC60A6"/>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C60A6"/>
    <w:rPr>
      <w:rFonts w:ascii="Segoe UI" w:hAnsi="Segoe UI" w:cs="Segoe UI"/>
    </w:rPr>
  </w:style>
  <w:style w:type="character" w:styleId="CommentReference">
    <w:name w:val="annotation reference"/>
    <w:basedOn w:val="DefaultParagraphFont"/>
    <w:uiPriority w:val="99"/>
    <w:semiHidden/>
    <w:unhideWhenUsed/>
    <w:rsid w:val="00DF439D"/>
    <w:rPr>
      <w:sz w:val="16"/>
      <w:szCs w:val="16"/>
    </w:rPr>
  </w:style>
  <w:style w:type="paragraph" w:styleId="CommentText">
    <w:name w:val="annotation text"/>
    <w:basedOn w:val="Normal"/>
    <w:link w:val="CommentTextChar"/>
    <w:uiPriority w:val="99"/>
    <w:unhideWhenUsed/>
    <w:rsid w:val="00DF439D"/>
    <w:pPr>
      <w:spacing w:line="240" w:lineRule="auto"/>
    </w:pPr>
    <w:rPr>
      <w:sz w:val="20"/>
      <w:szCs w:val="20"/>
    </w:rPr>
  </w:style>
  <w:style w:type="character" w:customStyle="1" w:styleId="CommentTextChar">
    <w:name w:val="Comment Text Char"/>
    <w:basedOn w:val="DefaultParagraphFont"/>
    <w:link w:val="CommentText"/>
    <w:uiPriority w:val="99"/>
    <w:rsid w:val="00DF439D"/>
    <w:rPr>
      <w:sz w:val="20"/>
      <w:szCs w:val="20"/>
    </w:rPr>
  </w:style>
  <w:style w:type="paragraph" w:styleId="CommentSubject">
    <w:name w:val="annotation subject"/>
    <w:basedOn w:val="CommentText"/>
    <w:next w:val="CommentText"/>
    <w:link w:val="CommentSubjectChar"/>
    <w:uiPriority w:val="99"/>
    <w:semiHidden/>
    <w:unhideWhenUsed/>
    <w:rsid w:val="00DF439D"/>
    <w:rPr>
      <w:b/>
      <w:bCs/>
    </w:rPr>
  </w:style>
  <w:style w:type="character" w:customStyle="1" w:styleId="CommentSubjectChar">
    <w:name w:val="Comment Subject Char"/>
    <w:basedOn w:val="CommentTextChar"/>
    <w:link w:val="CommentSubject"/>
    <w:uiPriority w:val="99"/>
    <w:semiHidden/>
    <w:rsid w:val="00DF439D"/>
    <w:rPr>
      <w:b/>
      <w:bCs/>
      <w:sz w:val="20"/>
      <w:szCs w:val="20"/>
    </w:rPr>
  </w:style>
  <w:style w:type="numbering" w:customStyle="1" w:styleId="ListBulletStyle">
    <w:name w:val="List Bullet Style"/>
    <w:uiPriority w:val="99"/>
    <w:rsid w:val="002B0DF8"/>
    <w:pPr>
      <w:numPr>
        <w:numId w:val="2"/>
      </w:numPr>
    </w:pPr>
  </w:style>
  <w:style w:type="numbering" w:customStyle="1" w:styleId="ListBulletAlphaStyle">
    <w:name w:val="List Bullet/Alpha Style"/>
    <w:uiPriority w:val="99"/>
    <w:rsid w:val="002B0DF8"/>
    <w:pPr>
      <w:numPr>
        <w:numId w:val="3"/>
      </w:numPr>
    </w:pPr>
  </w:style>
  <w:style w:type="numbering" w:customStyle="1" w:styleId="ListContinueStyle">
    <w:name w:val="List Continue Style"/>
    <w:uiPriority w:val="99"/>
    <w:rsid w:val="002B0DF8"/>
    <w:pPr>
      <w:numPr>
        <w:numId w:val="7"/>
      </w:numPr>
    </w:pPr>
  </w:style>
  <w:style w:type="character" w:customStyle="1" w:styleId="NoteChar">
    <w:name w:val="Note Char"/>
    <w:basedOn w:val="DefaultParagraphFont"/>
    <w:link w:val="Note"/>
    <w:uiPriority w:val="52"/>
    <w:rsid w:val="00896AD0"/>
    <w:rPr>
      <w:i/>
      <w:sz w:val="14"/>
    </w:rPr>
  </w:style>
  <w:style w:type="table" w:customStyle="1" w:styleId="DTFTable">
    <w:name w:val="DTF Table"/>
    <w:basedOn w:val="DTFTextTable"/>
    <w:uiPriority w:val="99"/>
    <w:rsid w:val="00C55DBE"/>
    <w:pPr>
      <w:spacing w:before="20" w:after="20"/>
      <w:jc w:val="right"/>
    </w:pPr>
    <w:rPr>
      <w:sz w:val="16"/>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000000"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Units">
    <w:name w:val="Table Units"/>
    <w:basedOn w:val="Caption"/>
    <w:uiPriority w:val="34"/>
    <w:qFormat/>
    <w:rsid w:val="003719CD"/>
    <w:pPr>
      <w:tabs>
        <w:tab w:val="right" w:pos="14572"/>
      </w:tabs>
      <w:jc w:val="right"/>
    </w:pPr>
  </w:style>
  <w:style w:type="paragraph" w:customStyle="1" w:styleId="ListAlpha">
    <w:name w:val="List Alpha"/>
    <w:basedOn w:val="Normal"/>
    <w:uiPriority w:val="26"/>
    <w:rsid w:val="003719CD"/>
    <w:pPr>
      <w:numPr>
        <w:numId w:val="4"/>
      </w:numPr>
      <w:spacing w:before="40"/>
    </w:pPr>
  </w:style>
  <w:style w:type="paragraph" w:customStyle="1" w:styleId="ListAlpha2">
    <w:name w:val="List Alpha 2"/>
    <w:basedOn w:val="Normal"/>
    <w:uiPriority w:val="26"/>
    <w:rsid w:val="003719CD"/>
    <w:pPr>
      <w:numPr>
        <w:ilvl w:val="1"/>
        <w:numId w:val="4"/>
      </w:numPr>
      <w:spacing w:before="40" w:after="40"/>
    </w:pPr>
  </w:style>
  <w:style w:type="paragraph" w:styleId="NormalWeb">
    <w:name w:val="Normal (Web)"/>
    <w:basedOn w:val="Normal"/>
    <w:uiPriority w:val="99"/>
    <w:unhideWhenUsed/>
    <w:rsid w:val="003719CD"/>
    <w:pPr>
      <w:spacing w:before="120" w:after="0" w:line="240" w:lineRule="auto"/>
    </w:pPr>
    <w:rPr>
      <w:rFonts w:ascii="Times New Roman" w:hAnsi="Times New Roman" w:cs="Times New Roman"/>
      <w:spacing w:val="2"/>
      <w:sz w:val="24"/>
      <w:szCs w:val="24"/>
    </w:rPr>
  </w:style>
  <w:style w:type="paragraph" w:styleId="TOC9">
    <w:name w:val="toc 9"/>
    <w:basedOn w:val="Normal"/>
    <w:next w:val="Normal"/>
    <w:autoRedefine/>
    <w:uiPriority w:val="39"/>
    <w:unhideWhenUsed/>
    <w:rsid w:val="00C70938"/>
    <w:pPr>
      <w:keepLines w:val="0"/>
      <w:tabs>
        <w:tab w:val="left" w:pos="567"/>
        <w:tab w:val="right" w:leader="dot" w:pos="4536"/>
      </w:tabs>
      <w:spacing w:before="120" w:after="0" w:line="259" w:lineRule="auto"/>
      <w:ind w:left="567" w:right="340" w:hanging="567"/>
    </w:pPr>
    <w:rPr>
      <w:rFonts w:eastAsiaTheme="minorEastAsia"/>
      <w:szCs w:val="22"/>
      <w:lang w:eastAsia="en-AU"/>
    </w:rPr>
  </w:style>
  <w:style w:type="character" w:styleId="PlaceholderText">
    <w:name w:val="Placeholder Text"/>
    <w:basedOn w:val="DefaultParagraphFont"/>
    <w:uiPriority w:val="99"/>
    <w:semiHidden/>
    <w:rsid w:val="003719CD"/>
    <w:rPr>
      <w:color w:val="808080"/>
    </w:rPr>
  </w:style>
  <w:style w:type="table" w:customStyle="1" w:styleId="DTFTable1">
    <w:name w:val="DTF Table1"/>
    <w:basedOn w:val="TableNormal"/>
    <w:uiPriority w:val="99"/>
    <w:rsid w:val="003719CD"/>
    <w:pPr>
      <w:spacing w:before="20" w:after="20" w:line="240" w:lineRule="auto"/>
      <w:jc w:val="right"/>
    </w:pPr>
    <w:rPr>
      <w:rFonts w:asciiTheme="majorHAnsi" w:hAnsiTheme="majorHAnsi"/>
      <w:sz w:val="17"/>
      <w:szCs w:val="22"/>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TOC8">
    <w:name w:val="toc 8"/>
    <w:basedOn w:val="Normal"/>
    <w:next w:val="Normal"/>
    <w:autoRedefine/>
    <w:uiPriority w:val="39"/>
    <w:unhideWhenUsed/>
    <w:rsid w:val="008F49C2"/>
    <w:pPr>
      <w:tabs>
        <w:tab w:val="left" w:pos="567"/>
        <w:tab w:val="right" w:pos="8108"/>
      </w:tabs>
      <w:spacing w:before="60" w:after="40" w:line="240" w:lineRule="auto"/>
    </w:pPr>
  </w:style>
  <w:style w:type="paragraph" w:styleId="Revision">
    <w:name w:val="Revision"/>
    <w:hidden/>
    <w:uiPriority w:val="99"/>
    <w:semiHidden/>
    <w:rsid w:val="003719CD"/>
    <w:pPr>
      <w:spacing w:before="0" w:after="0" w:line="240" w:lineRule="auto"/>
    </w:pPr>
  </w:style>
  <w:style w:type="paragraph" w:customStyle="1" w:styleId="Spacer">
    <w:name w:val="Spacer"/>
    <w:basedOn w:val="Normal"/>
    <w:uiPriority w:val="13"/>
    <w:semiHidden/>
    <w:qFormat/>
    <w:rsid w:val="003719CD"/>
    <w:pPr>
      <w:spacing w:before="0" w:after="0" w:line="120" w:lineRule="atLeast"/>
    </w:pPr>
    <w:rPr>
      <w:rFonts w:eastAsia="Times New Roman" w:cs="Calibri"/>
      <w:color w:val="000000" w:themeColor="text1"/>
      <w:sz w:val="10"/>
      <w:szCs w:val="22"/>
      <w:lang w:eastAsia="en-AU"/>
    </w:rPr>
  </w:style>
  <w:style w:type="paragraph" w:styleId="Subtitle">
    <w:name w:val="Subtitle"/>
    <w:next w:val="Normal"/>
    <w:link w:val="SubtitleChar"/>
    <w:uiPriority w:val="45"/>
    <w:rsid w:val="007D536F"/>
    <w:pPr>
      <w:spacing w:before="1400" w:after="120" w:line="440" w:lineRule="exact"/>
      <w:ind w:right="2892"/>
      <w:jc w:val="right"/>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7D536F"/>
    <w:rPr>
      <w:rFonts w:asciiTheme="majorHAnsi" w:eastAsia="Times New Roman" w:hAnsiTheme="majorHAnsi" w:cstheme="majorHAnsi"/>
      <w:sz w:val="32"/>
      <w:szCs w:val="32"/>
      <w:lang w:eastAsia="en-AU"/>
    </w:rPr>
  </w:style>
  <w:style w:type="paragraph" w:customStyle="1" w:styleId="NormalTight">
    <w:name w:val="Normal Tight"/>
    <w:uiPriority w:val="99"/>
    <w:semiHidden/>
    <w:rsid w:val="003719CD"/>
    <w:pPr>
      <w:spacing w:before="0" w:after="0" w:line="240" w:lineRule="auto"/>
      <w:ind w:right="2366"/>
    </w:pPr>
    <w:rPr>
      <w:rFonts w:eastAsia="Times New Roman" w:cs="Calibri"/>
      <w:szCs w:val="19"/>
    </w:rPr>
  </w:style>
  <w:style w:type="paragraph" w:customStyle="1" w:styleId="Insidecoverspacer">
    <w:name w:val="Inside cover spacer"/>
    <w:basedOn w:val="NormalTight"/>
    <w:uiPriority w:val="99"/>
    <w:semiHidden/>
    <w:qFormat/>
    <w:rsid w:val="003719CD"/>
    <w:pPr>
      <w:spacing w:before="3800"/>
      <w:ind w:right="1382"/>
    </w:pPr>
  </w:style>
  <w:style w:type="paragraph" w:customStyle="1" w:styleId="ReportDate">
    <w:name w:val="ReportDate"/>
    <w:uiPriority w:val="79"/>
    <w:semiHidden/>
    <w:rsid w:val="003719CD"/>
    <w:pPr>
      <w:spacing w:after="60" w:line="240" w:lineRule="auto"/>
      <w:ind w:right="2909"/>
      <w:jc w:val="right"/>
    </w:pPr>
    <w:rPr>
      <w:rFonts w:eastAsiaTheme="minorEastAsia"/>
      <w:b/>
      <w:bCs/>
      <w:caps/>
      <w:sz w:val="20"/>
      <w:szCs w:val="20"/>
      <w:lang w:eastAsia="en-AU"/>
    </w:rPr>
  </w:style>
  <w:style w:type="paragraph" w:customStyle="1" w:styleId="CM">
    <w:name w:val="CM"/>
    <w:next w:val="Title"/>
    <w:uiPriority w:val="79"/>
    <w:semiHidden/>
    <w:rsid w:val="003719CD"/>
    <w:pPr>
      <w:spacing w:before="0"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3719CD"/>
    <w:pPr>
      <w:spacing w:before="4600" w:after="0"/>
    </w:pPr>
    <w:rPr>
      <w:rFonts w:eastAsiaTheme="minorEastAsia"/>
      <w:color w:val="000000" w:themeColor="text1"/>
      <w:sz w:val="20"/>
      <w:szCs w:val="20"/>
      <w:lang w:eastAsia="en-AU"/>
    </w:rPr>
  </w:style>
  <w:style w:type="paragraph" w:styleId="TOC2">
    <w:name w:val="toc 2"/>
    <w:basedOn w:val="Normal"/>
    <w:next w:val="Normal"/>
    <w:autoRedefine/>
    <w:uiPriority w:val="39"/>
    <w:unhideWhenUsed/>
    <w:rsid w:val="006D3822"/>
    <w:pPr>
      <w:tabs>
        <w:tab w:val="right" w:leader="dot" w:pos="9628"/>
      </w:tabs>
      <w:spacing w:after="100"/>
      <w:ind w:left="180"/>
    </w:pPr>
  </w:style>
  <w:style w:type="paragraph" w:styleId="TOC1">
    <w:name w:val="toc 1"/>
    <w:basedOn w:val="Normal"/>
    <w:next w:val="Normal"/>
    <w:autoRedefine/>
    <w:uiPriority w:val="39"/>
    <w:unhideWhenUsed/>
    <w:rsid w:val="00D45197"/>
    <w:pPr>
      <w:tabs>
        <w:tab w:val="right" w:leader="dot" w:pos="9639"/>
      </w:tabs>
      <w:spacing w:after="100"/>
    </w:pPr>
    <w:rPr>
      <w:b/>
    </w:rPr>
  </w:style>
  <w:style w:type="paragraph" w:styleId="TOC3">
    <w:name w:val="toc 3"/>
    <w:basedOn w:val="Normal"/>
    <w:next w:val="Normal"/>
    <w:autoRedefine/>
    <w:uiPriority w:val="39"/>
    <w:unhideWhenUsed/>
    <w:rsid w:val="007D536F"/>
    <w:pPr>
      <w:keepLines w:val="0"/>
      <w:spacing w:before="0" w:after="100" w:line="259" w:lineRule="auto"/>
      <w:ind w:left="440"/>
    </w:pPr>
    <w:rPr>
      <w:rFonts w:eastAsiaTheme="minorEastAsia"/>
      <w:sz w:val="22"/>
      <w:szCs w:val="22"/>
      <w:lang w:eastAsia="en-AU"/>
    </w:rPr>
  </w:style>
  <w:style w:type="paragraph" w:styleId="TOC4">
    <w:name w:val="toc 4"/>
    <w:basedOn w:val="Normal"/>
    <w:next w:val="Normal"/>
    <w:autoRedefine/>
    <w:uiPriority w:val="39"/>
    <w:unhideWhenUsed/>
    <w:rsid w:val="007D536F"/>
    <w:pPr>
      <w:keepLines w:val="0"/>
      <w:spacing w:before="0" w:after="100" w:line="259" w:lineRule="auto"/>
      <w:ind w:left="660"/>
    </w:pPr>
    <w:rPr>
      <w:rFonts w:eastAsiaTheme="minorEastAsia"/>
      <w:sz w:val="22"/>
      <w:szCs w:val="22"/>
      <w:lang w:eastAsia="en-AU"/>
    </w:rPr>
  </w:style>
  <w:style w:type="paragraph" w:styleId="TOC5">
    <w:name w:val="toc 5"/>
    <w:basedOn w:val="Normal"/>
    <w:next w:val="Normal"/>
    <w:autoRedefine/>
    <w:uiPriority w:val="39"/>
    <w:unhideWhenUsed/>
    <w:rsid w:val="007D536F"/>
    <w:pPr>
      <w:keepLines w:val="0"/>
      <w:spacing w:before="0"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7D536F"/>
    <w:pPr>
      <w:keepLines w:val="0"/>
      <w:spacing w:before="0" w:after="100" w:line="259" w:lineRule="auto"/>
      <w:ind w:left="1100"/>
    </w:pPr>
    <w:rPr>
      <w:rFonts w:eastAsiaTheme="minorEastAsia"/>
      <w:sz w:val="22"/>
      <w:szCs w:val="22"/>
      <w:lang w:eastAsia="en-AU"/>
    </w:rPr>
  </w:style>
  <w:style w:type="paragraph" w:styleId="TOC7">
    <w:name w:val="toc 7"/>
    <w:basedOn w:val="Normal"/>
    <w:next w:val="Normal"/>
    <w:autoRedefine/>
    <w:uiPriority w:val="39"/>
    <w:unhideWhenUsed/>
    <w:rsid w:val="007D536F"/>
    <w:pPr>
      <w:keepLines w:val="0"/>
      <w:spacing w:before="0" w:after="100" w:line="259" w:lineRule="auto"/>
      <w:ind w:left="1320"/>
    </w:pPr>
    <w:rPr>
      <w:rFonts w:eastAsiaTheme="minorEastAsia"/>
      <w:sz w:val="22"/>
      <w:szCs w:val="22"/>
      <w:lang w:eastAsia="en-AU"/>
    </w:rPr>
  </w:style>
  <w:style w:type="character" w:styleId="FollowedHyperlink">
    <w:name w:val="FollowedHyperlink"/>
    <w:basedOn w:val="DefaultParagraphFont"/>
    <w:uiPriority w:val="99"/>
    <w:semiHidden/>
    <w:unhideWhenUsed/>
    <w:rsid w:val="00F6022B"/>
    <w:rPr>
      <w:color w:val="954F72" w:themeColor="followedHyperlink"/>
      <w:u w:val="single"/>
    </w:rPr>
  </w:style>
  <w:style w:type="paragraph" w:customStyle="1" w:styleId="SectionTitle">
    <w:name w:val="Section Title"/>
    <w:basedOn w:val="Heading1"/>
    <w:uiPriority w:val="45"/>
    <w:qFormat/>
    <w:rsid w:val="00F6022B"/>
  </w:style>
  <w:style w:type="character" w:styleId="PageNumber">
    <w:name w:val="page number"/>
    <w:rsid w:val="00DC763C"/>
    <w:rPr>
      <w:rFonts w:asciiTheme="minorHAnsi" w:hAnsiTheme="minorHAnsi"/>
      <w:sz w:val="18"/>
    </w:rPr>
  </w:style>
  <w:style w:type="paragraph" w:customStyle="1" w:styleId="Footereven">
    <w:name w:val="Footer (even)"/>
    <w:basedOn w:val="Normal"/>
    <w:link w:val="FooterevenChar"/>
    <w:uiPriority w:val="84"/>
    <w:rsid w:val="00DC763C"/>
    <w:pPr>
      <w:pBdr>
        <w:top w:val="single" w:sz="6" w:space="1" w:color="auto"/>
      </w:pBdr>
      <w:tabs>
        <w:tab w:val="right" w:pos="9639"/>
        <w:tab w:val="right" w:pos="14742"/>
      </w:tabs>
      <w:spacing w:before="0" w:after="0" w:line="240" w:lineRule="auto"/>
    </w:pPr>
    <w:rPr>
      <w:rFonts w:asciiTheme="majorHAnsi" w:hAnsiTheme="majorHAnsi"/>
      <w:spacing w:val="2"/>
    </w:rPr>
  </w:style>
  <w:style w:type="character" w:customStyle="1" w:styleId="FooterevenChar">
    <w:name w:val="Footer (even) Char"/>
    <w:basedOn w:val="DefaultParagraphFont"/>
    <w:link w:val="Footereven"/>
    <w:uiPriority w:val="84"/>
    <w:rsid w:val="00DC763C"/>
    <w:rPr>
      <w:rFonts w:asciiTheme="majorHAnsi" w:hAnsiTheme="majorHAnsi"/>
      <w:spacing w:val="2"/>
    </w:rPr>
  </w:style>
  <w:style w:type="numbering" w:customStyle="1" w:styleId="NumberedHeadings">
    <w:name w:val="Numbered Headings"/>
    <w:uiPriority w:val="99"/>
    <w:rsid w:val="004B40B4"/>
    <w:pPr>
      <w:numPr>
        <w:numId w:val="13"/>
      </w:numPr>
    </w:pPr>
  </w:style>
  <w:style w:type="character" w:styleId="Mention">
    <w:name w:val="Mention"/>
    <w:basedOn w:val="DefaultParagraphFont"/>
    <w:uiPriority w:val="99"/>
    <w:unhideWhenUsed/>
    <w:rsid w:val="00BA73FF"/>
    <w:rPr>
      <w:color w:val="2B579A"/>
      <w:shd w:val="clear" w:color="auto" w:fill="E1DFDD"/>
    </w:rPr>
  </w:style>
  <w:style w:type="character" w:customStyle="1" w:styleId="ListContinueChar">
    <w:name w:val="List Continue Char"/>
    <w:basedOn w:val="DefaultParagraphFont"/>
    <w:link w:val="ListContinue"/>
    <w:uiPriority w:val="26"/>
    <w:rsid w:val="00BA0D8E"/>
  </w:style>
  <w:style w:type="character" w:customStyle="1" w:styleId="ListContinue2Char">
    <w:name w:val="List Continue 2 Char"/>
    <w:basedOn w:val="ListContinueChar"/>
    <w:link w:val="ListContinue2"/>
    <w:uiPriority w:val="26"/>
    <w:semiHidden/>
    <w:rsid w:val="00BA0D8E"/>
  </w:style>
  <w:style w:type="character" w:customStyle="1" w:styleId="ListBullet2Char">
    <w:name w:val="List Bullet 2 Char"/>
    <w:basedOn w:val="ListContinue2Char"/>
    <w:link w:val="ListBullet2"/>
    <w:uiPriority w:val="24"/>
    <w:rsid w:val="00052D9B"/>
  </w:style>
  <w:style w:type="character" w:customStyle="1" w:styleId="ListBulletChar">
    <w:name w:val="List Bullet Char"/>
    <w:basedOn w:val="ListContinueChar"/>
    <w:link w:val="ListBullet"/>
    <w:uiPriority w:val="24"/>
    <w:rsid w:val="00BA0D8E"/>
  </w:style>
  <w:style w:type="table" w:styleId="TableGridLight">
    <w:name w:val="Grid Table Light"/>
    <w:basedOn w:val="TableNormal"/>
    <w:uiPriority w:val="40"/>
    <w:rsid w:val="004330DD"/>
    <w:pPr>
      <w:spacing w:before="0" w:after="0" w:line="240" w:lineRule="auto"/>
    </w:pPr>
    <w:rPr>
      <w:rFonts w:eastAsiaTheme="minorEastAsia"/>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numbered">
    <w:name w:val="Heading 1 numbered"/>
    <w:basedOn w:val="Heading1"/>
    <w:next w:val="Normal"/>
    <w:uiPriority w:val="14"/>
    <w:rsid w:val="006F39D9"/>
    <w:pPr>
      <w:numPr>
        <w:numId w:val="39"/>
      </w:numPr>
    </w:pPr>
  </w:style>
  <w:style w:type="paragraph" w:customStyle="1" w:styleId="Heading2numbered">
    <w:name w:val="Heading 2 numbered"/>
    <w:basedOn w:val="Heading2"/>
    <w:next w:val="Normal"/>
    <w:uiPriority w:val="14"/>
    <w:rsid w:val="006F39D9"/>
    <w:pPr>
      <w:numPr>
        <w:ilvl w:val="1"/>
        <w:numId w:val="39"/>
      </w:numPr>
    </w:pPr>
  </w:style>
  <w:style w:type="paragraph" w:customStyle="1" w:styleId="Heading3numbered">
    <w:name w:val="Heading 3 numbered"/>
    <w:basedOn w:val="Heading3"/>
    <w:next w:val="Normal"/>
    <w:uiPriority w:val="14"/>
    <w:rsid w:val="006F39D9"/>
    <w:pPr>
      <w:numPr>
        <w:ilvl w:val="2"/>
        <w:numId w:val="39"/>
      </w:numPr>
    </w:pPr>
  </w:style>
  <w:style w:type="paragraph" w:customStyle="1" w:styleId="ListAlpha3">
    <w:name w:val="List Alpha 3"/>
    <w:basedOn w:val="Normal"/>
    <w:uiPriority w:val="26"/>
    <w:rsid w:val="002B0DF8"/>
    <w:pPr>
      <w:numPr>
        <w:ilvl w:val="2"/>
        <w:numId w:val="4"/>
      </w:numPr>
    </w:pPr>
  </w:style>
  <w:style w:type="paragraph" w:customStyle="1" w:styleId="Tabletext">
    <w:name w:val="Table text"/>
    <w:basedOn w:val="Normal"/>
    <w:qFormat/>
    <w:rsid w:val="00673B6D"/>
    <w:pPr>
      <w:keepLines w:val="0"/>
      <w:autoSpaceDE w:val="0"/>
      <w:autoSpaceDN w:val="0"/>
      <w:adjustRightInd w:val="0"/>
      <w:spacing w:before="60" w:after="60" w:line="240" w:lineRule="auto"/>
      <w:textAlignment w:val="center"/>
    </w:pPr>
    <w:rPr>
      <w:rFonts w:ascii="Arial" w:hAnsi="Arial" w:cs="Arial"/>
      <w:color w:val="000000"/>
    </w:rPr>
  </w:style>
  <w:style w:type="paragraph" w:customStyle="1" w:styleId="Tableheading">
    <w:name w:val="Table heading"/>
    <w:basedOn w:val="Normal"/>
    <w:qFormat/>
    <w:rsid w:val="00673B6D"/>
    <w:pPr>
      <w:keepLines w:val="0"/>
      <w:spacing w:before="0" w:after="120" w:line="240" w:lineRule="auto"/>
    </w:pPr>
    <w:rPr>
      <w:rFonts w:ascii="Arial" w:eastAsia="Times New Roman" w:hAnsi="Arial" w:cs="Arial"/>
      <w:b/>
      <w:bCs/>
      <w:color w:val="FFFFFF" w:themeColor="background1"/>
      <w:sz w:val="20"/>
      <w:szCs w:val="20"/>
      <w:lang w:eastAsia="en-AU"/>
    </w:rPr>
  </w:style>
  <w:style w:type="paragraph" w:customStyle="1" w:styleId="bullet1">
    <w:name w:val="bullet 1"/>
    <w:basedOn w:val="Normal"/>
    <w:uiPriority w:val="99"/>
    <w:rsid w:val="00373EBD"/>
    <w:pPr>
      <w:keepLines w:val="0"/>
      <w:numPr>
        <w:numId w:val="62"/>
      </w:numPr>
      <w:tabs>
        <w:tab w:val="clear" w:pos="284"/>
        <w:tab w:val="left" w:pos="283"/>
      </w:tabs>
      <w:suppressAutoHyphens/>
      <w:autoSpaceDE w:val="0"/>
      <w:autoSpaceDN w:val="0"/>
      <w:adjustRightInd w:val="0"/>
      <w:spacing w:before="0" w:after="160" w:line="240" w:lineRule="atLeast"/>
      <w:contextualSpacing/>
      <w:textAlignment w:val="center"/>
    </w:pPr>
    <w:rPr>
      <w:rFonts w:ascii="Arial" w:hAnsi="Arial" w:cs="Arial"/>
      <w:color w:val="000000"/>
    </w:rPr>
  </w:style>
  <w:style w:type="paragraph" w:customStyle="1" w:styleId="Tertiarytitle">
    <w:name w:val="Tertiary title"/>
    <w:basedOn w:val="Title"/>
    <w:qFormat/>
    <w:rsid w:val="00051CB3"/>
    <w:pPr>
      <w:spacing w:before="1600"/>
    </w:pPr>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8512">
      <w:bodyDiv w:val="1"/>
      <w:marLeft w:val="0"/>
      <w:marRight w:val="0"/>
      <w:marTop w:val="0"/>
      <w:marBottom w:val="0"/>
      <w:divBdr>
        <w:top w:val="none" w:sz="0" w:space="0" w:color="auto"/>
        <w:left w:val="none" w:sz="0" w:space="0" w:color="auto"/>
        <w:bottom w:val="none" w:sz="0" w:space="0" w:color="auto"/>
        <w:right w:val="none" w:sz="0" w:space="0" w:color="auto"/>
      </w:divBdr>
    </w:div>
    <w:div w:id="515341418">
      <w:bodyDiv w:val="1"/>
      <w:marLeft w:val="0"/>
      <w:marRight w:val="0"/>
      <w:marTop w:val="0"/>
      <w:marBottom w:val="0"/>
      <w:divBdr>
        <w:top w:val="none" w:sz="0" w:space="0" w:color="auto"/>
        <w:left w:val="none" w:sz="0" w:space="0" w:color="auto"/>
        <w:bottom w:val="none" w:sz="0" w:space="0" w:color="auto"/>
        <w:right w:val="none" w:sz="0" w:space="0" w:color="auto"/>
      </w:divBdr>
    </w:div>
    <w:div w:id="858936625">
      <w:bodyDiv w:val="1"/>
      <w:marLeft w:val="0"/>
      <w:marRight w:val="0"/>
      <w:marTop w:val="0"/>
      <w:marBottom w:val="0"/>
      <w:divBdr>
        <w:top w:val="none" w:sz="0" w:space="0" w:color="auto"/>
        <w:left w:val="none" w:sz="0" w:space="0" w:color="auto"/>
        <w:bottom w:val="none" w:sz="0" w:space="0" w:color="auto"/>
        <w:right w:val="none" w:sz="0" w:space="0" w:color="auto"/>
      </w:divBdr>
    </w:div>
    <w:div w:id="1013917626">
      <w:bodyDiv w:val="1"/>
      <w:marLeft w:val="0"/>
      <w:marRight w:val="0"/>
      <w:marTop w:val="0"/>
      <w:marBottom w:val="0"/>
      <w:divBdr>
        <w:top w:val="none" w:sz="0" w:space="0" w:color="auto"/>
        <w:left w:val="none" w:sz="0" w:space="0" w:color="auto"/>
        <w:bottom w:val="none" w:sz="0" w:space="0" w:color="auto"/>
        <w:right w:val="none" w:sz="0" w:space="0" w:color="auto"/>
      </w:divBdr>
    </w:div>
    <w:div w:id="1049694260">
      <w:bodyDiv w:val="1"/>
      <w:marLeft w:val="0"/>
      <w:marRight w:val="0"/>
      <w:marTop w:val="0"/>
      <w:marBottom w:val="0"/>
      <w:divBdr>
        <w:top w:val="none" w:sz="0" w:space="0" w:color="auto"/>
        <w:left w:val="none" w:sz="0" w:space="0" w:color="auto"/>
        <w:bottom w:val="none" w:sz="0" w:space="0" w:color="auto"/>
        <w:right w:val="none" w:sz="0" w:space="0" w:color="auto"/>
      </w:divBdr>
    </w:div>
    <w:div w:id="1103653082">
      <w:bodyDiv w:val="1"/>
      <w:marLeft w:val="0"/>
      <w:marRight w:val="0"/>
      <w:marTop w:val="0"/>
      <w:marBottom w:val="0"/>
      <w:divBdr>
        <w:top w:val="none" w:sz="0" w:space="0" w:color="auto"/>
        <w:left w:val="none" w:sz="0" w:space="0" w:color="auto"/>
        <w:bottom w:val="none" w:sz="0" w:space="0" w:color="auto"/>
        <w:right w:val="none" w:sz="0" w:space="0" w:color="auto"/>
      </w:divBdr>
    </w:div>
    <w:div w:id="1173181416">
      <w:bodyDiv w:val="1"/>
      <w:marLeft w:val="0"/>
      <w:marRight w:val="0"/>
      <w:marTop w:val="0"/>
      <w:marBottom w:val="0"/>
      <w:divBdr>
        <w:top w:val="none" w:sz="0" w:space="0" w:color="auto"/>
        <w:left w:val="none" w:sz="0" w:space="0" w:color="auto"/>
        <w:bottom w:val="none" w:sz="0" w:space="0" w:color="auto"/>
        <w:right w:val="none" w:sz="0" w:space="0" w:color="auto"/>
      </w:divBdr>
    </w:div>
    <w:div w:id="1548570011">
      <w:bodyDiv w:val="1"/>
      <w:marLeft w:val="0"/>
      <w:marRight w:val="0"/>
      <w:marTop w:val="0"/>
      <w:marBottom w:val="0"/>
      <w:divBdr>
        <w:top w:val="none" w:sz="0" w:space="0" w:color="auto"/>
        <w:left w:val="none" w:sz="0" w:space="0" w:color="auto"/>
        <w:bottom w:val="none" w:sz="0" w:space="0" w:color="auto"/>
        <w:right w:val="none" w:sz="0" w:space="0" w:color="auto"/>
      </w:divBdr>
    </w:div>
    <w:div w:id="1616013383">
      <w:bodyDiv w:val="1"/>
      <w:marLeft w:val="0"/>
      <w:marRight w:val="0"/>
      <w:marTop w:val="0"/>
      <w:marBottom w:val="0"/>
      <w:divBdr>
        <w:top w:val="none" w:sz="0" w:space="0" w:color="auto"/>
        <w:left w:val="none" w:sz="0" w:space="0" w:color="auto"/>
        <w:bottom w:val="none" w:sz="0" w:space="0" w:color="auto"/>
        <w:right w:val="none" w:sz="0" w:space="0" w:color="auto"/>
      </w:divBdr>
    </w:div>
    <w:div w:id="1644694537">
      <w:bodyDiv w:val="1"/>
      <w:marLeft w:val="0"/>
      <w:marRight w:val="0"/>
      <w:marTop w:val="0"/>
      <w:marBottom w:val="0"/>
      <w:divBdr>
        <w:top w:val="none" w:sz="0" w:space="0" w:color="auto"/>
        <w:left w:val="none" w:sz="0" w:space="0" w:color="auto"/>
        <w:bottom w:val="none" w:sz="0" w:space="0" w:color="auto"/>
        <w:right w:val="none" w:sz="0" w:space="0" w:color="auto"/>
      </w:divBdr>
    </w:div>
    <w:div w:id="177925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mailto:information@dtf.vic.gov.au" TargetMode="External"/><Relationship Id="rId42" Type="http://schemas.openxmlformats.org/officeDocument/2006/relationships/hyperlink" Target="http://www.dtf.vic.gov.au/planning-budgeting-and-financial-reporting-frameworks/resource-management-framework" TargetMode="External"/><Relationship Id="rId47" Type="http://schemas.openxmlformats.org/officeDocument/2006/relationships/chart" Target="charts/chart5.xml"/><Relationship Id="rId63" Type="http://schemas.openxmlformats.org/officeDocument/2006/relationships/footer" Target="footer13.xml"/><Relationship Id="rId68" Type="http://schemas.openxmlformats.org/officeDocument/2006/relationships/hyperlink" Target="https://www.dtf.vic.gov.au/sites/default/files/2024-10/Guidance-note-to-financial-reporting-direction-FRD-22.docx" TargetMode="External"/><Relationship Id="rId84" Type="http://schemas.openxmlformats.org/officeDocument/2006/relationships/hyperlink" Target="http://www.opv.vic.gov.au/files/sharedassets/public-opv/publications/opv-sustainable-investment-guidelines.docx" TargetMode="External"/><Relationship Id="rId89" Type="http://schemas.openxmlformats.org/officeDocument/2006/relationships/hyperlink" Target="https://directory.data.vic.gov.au/" TargetMode="External"/><Relationship Id="rId7" Type="http://schemas.openxmlformats.org/officeDocument/2006/relationships/numbering" Target="numbering.xml"/><Relationship Id="rId71" Type="http://schemas.openxmlformats.org/officeDocument/2006/relationships/hyperlink" Target="https://ovic.vic.gov.au/" TargetMode="External"/><Relationship Id="rId92" Type="http://schemas.openxmlformats.org/officeDocument/2006/relationships/hyperlink" Target="https://www.dtf.vic.gov.au/infrastructure-investment/asset-management-accountability-framework"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www.dtf.vic.gov.au/planning-budgeting-and-financial-reporting-frameworks/resource-management-framework" TargetMode="External"/><Relationship Id="rId37" Type="http://schemas.openxmlformats.org/officeDocument/2006/relationships/hyperlink" Target="https://www.dtf.vic.gov.au/economic-and-financial-updates" TargetMode="External"/><Relationship Id="rId40" Type="http://schemas.openxmlformats.org/officeDocument/2006/relationships/chart" Target="charts/chart1.xml"/><Relationship Id="rId45" Type="http://schemas.openxmlformats.org/officeDocument/2006/relationships/chart" Target="charts/chart3.xml"/><Relationship Id="rId53" Type="http://schemas.openxmlformats.org/officeDocument/2006/relationships/header" Target="header7.xml"/><Relationship Id="rId58" Type="http://schemas.openxmlformats.org/officeDocument/2006/relationships/hyperlink" Target="mailto:workforce.data@vpsc.vic.gov.au" TargetMode="External"/><Relationship Id="rId66" Type="http://schemas.openxmlformats.org/officeDocument/2006/relationships/header" Target="header13.xml"/><Relationship Id="rId74" Type="http://schemas.openxmlformats.org/officeDocument/2006/relationships/hyperlink" Target="mailto:ofd@dffh.vic.gov.au" TargetMode="External"/><Relationship Id="rId79" Type="http://schemas.openxmlformats.org/officeDocument/2006/relationships/hyperlink" Target="https://www.legislation.vic.gov.au/in-force/acts/climate-change-act-2017/" TargetMode="External"/><Relationship Id="rId87" Type="http://schemas.openxmlformats.org/officeDocument/2006/relationships/hyperlink" Target="https://www.data.vic.gov.au"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11.xml"/><Relationship Id="rId82" Type="http://schemas.openxmlformats.org/officeDocument/2006/relationships/hyperlink" Target="https://www.energy.vic.gov.au/renewable-energy/victorian-renewable-energy-and-storage-targets" TargetMode="External"/><Relationship Id="rId90" Type="http://schemas.openxmlformats.org/officeDocument/2006/relationships/hyperlink" Target="mailto:datavic@dpc.vic.gov.au" TargetMode="External"/><Relationship Id="rId95" Type="http://schemas.openxmlformats.org/officeDocument/2006/relationships/hyperlink" Target="https://www.dtf.vic.gov.au/financial-reporting-policy/financial-reporting-directions-and-guidance" TargetMode="External"/><Relationship Id="rId19" Type="http://schemas.openxmlformats.org/officeDocument/2006/relationships/hyperlink" Target="http://creativecommons.org/licenses/by/4.0/" TargetMode="External"/><Relationship Id="rId14" Type="http://schemas.openxmlformats.org/officeDocument/2006/relationships/footer" Target="footer1.xml"/><Relationship Id="rId22" Type="http://schemas.openxmlformats.org/officeDocument/2006/relationships/hyperlink" Target="http://www.dtf.vic.gov.au"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yperlink" Target="http://www.dtf.vic.gov.au/state-financial-reports/financial-report-inc-quarterly-financial-report-no-4" TargetMode="External"/><Relationship Id="rId43" Type="http://schemas.openxmlformats.org/officeDocument/2006/relationships/image" Target="media/image5.emf"/><Relationship Id="rId48" Type="http://schemas.openxmlformats.org/officeDocument/2006/relationships/chart" Target="charts/chart6.xml"/><Relationship Id="rId56" Type="http://schemas.openxmlformats.org/officeDocument/2006/relationships/header" Target="header9.xml"/><Relationship Id="rId64" Type="http://schemas.openxmlformats.org/officeDocument/2006/relationships/header" Target="header12.xml"/><Relationship Id="rId69" Type="http://schemas.openxmlformats.org/officeDocument/2006/relationships/hyperlink" Target="http://www.vic.gov.au/it-project-and-expenditure-reporting-standard-and-guidelines" TargetMode="External"/><Relationship Id="rId77" Type="http://schemas.openxmlformats.org/officeDocument/2006/relationships/hyperlink" Target="mailto:social.procurement@dgs.vic.gov.au" TargetMode="External"/><Relationship Id="rId100" Type="http://schemas.openxmlformats.org/officeDocument/2006/relationships/header" Target="header16.xml"/><Relationship Id="rId8" Type="http://schemas.openxmlformats.org/officeDocument/2006/relationships/styles" Target="styles.xml"/><Relationship Id="rId51" Type="http://schemas.openxmlformats.org/officeDocument/2006/relationships/header" Target="header5.xml"/><Relationship Id="rId72" Type="http://schemas.openxmlformats.org/officeDocument/2006/relationships/hyperlink" Target="http://www.betterregulation.vic.gov.au" TargetMode="External"/><Relationship Id="rId80" Type="http://schemas.openxmlformats.org/officeDocument/2006/relationships/hyperlink" Target="https://www.climatechange.vic.gov.au/victorias-climate-change-strategy" TargetMode="External"/><Relationship Id="rId85" Type="http://schemas.openxmlformats.org/officeDocument/2006/relationships/hyperlink" Target="https://www.dtf.vic.gov.au/financial-reporting-policy/financial-reporting-directions-and-guidance" TargetMode="External"/><Relationship Id="rId93" Type="http://schemas.openxmlformats.org/officeDocument/2006/relationships/chart" Target="charts/chart8.xml"/><Relationship Id="rId98"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reativecommons.org/licenses/by/3.0/au/" TargetMode="External"/><Relationship Id="rId25" Type="http://schemas.openxmlformats.org/officeDocument/2006/relationships/footer" Target="footer4.xml"/><Relationship Id="rId33" Type="http://schemas.openxmlformats.org/officeDocument/2006/relationships/image" Target="media/image4.emf"/><Relationship Id="rId38" Type="http://schemas.openxmlformats.org/officeDocument/2006/relationships/footer" Target="footer9.xml"/><Relationship Id="rId46" Type="http://schemas.openxmlformats.org/officeDocument/2006/relationships/chart" Target="charts/chart4.xml"/><Relationship Id="rId59" Type="http://schemas.openxmlformats.org/officeDocument/2006/relationships/hyperlink" Target="mailto:workforce.data@vpsc.vic.gov.au" TargetMode="External"/><Relationship Id="rId67" Type="http://schemas.openxmlformats.org/officeDocument/2006/relationships/footer" Target="footer15.xml"/><Relationship Id="rId103" Type="http://schemas.openxmlformats.org/officeDocument/2006/relationships/theme" Target="theme/theme1.xml"/><Relationship Id="rId20" Type="http://schemas.openxmlformats.org/officeDocument/2006/relationships/hyperlink" Target="mailto:IPpolicy@dtf.vic.gov.au" TargetMode="External"/><Relationship Id="rId41" Type="http://schemas.openxmlformats.org/officeDocument/2006/relationships/chart" Target="charts/chart2.xml"/><Relationship Id="rId54" Type="http://schemas.openxmlformats.org/officeDocument/2006/relationships/header" Target="header8.xml"/><Relationship Id="rId62" Type="http://schemas.openxmlformats.org/officeDocument/2006/relationships/footer" Target="footer12.xml"/><Relationship Id="rId70" Type="http://schemas.openxmlformats.org/officeDocument/2006/relationships/hyperlink" Target="http://www.tenders.vic.gov.au" TargetMode="External"/><Relationship Id="rId75" Type="http://schemas.openxmlformats.org/officeDocument/2006/relationships/hyperlink" Target="https://www.vic.gov.au/state-disability-plan" TargetMode="External"/><Relationship Id="rId83" Type="http://schemas.openxmlformats.org/officeDocument/2006/relationships/hyperlink" Target="https://www.vic.gov.au/victorias-plan-circular-economy" TargetMode="External"/><Relationship Id="rId88" Type="http://schemas.openxmlformats.org/officeDocument/2006/relationships/hyperlink" Target="https://prov.vic.gov.au/recordkeeping-government/learning-resources-tools/information-management-maturity-measurement-tool-im3" TargetMode="External"/><Relationship Id="rId91" Type="http://schemas.openxmlformats.org/officeDocument/2006/relationships/hyperlink" Target="http://www.data.vic.gov.au/datavic-access-policy" TargetMode="External"/><Relationship Id="rId96"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hyperlink" Target="https://www.dtf.vic.gov.au/state-budget" TargetMode="External"/><Relationship Id="rId49" Type="http://schemas.openxmlformats.org/officeDocument/2006/relationships/chart" Target="charts/chart7.xml"/><Relationship Id="rId57" Type="http://schemas.openxmlformats.org/officeDocument/2006/relationships/footer" Target="footer11.xml"/><Relationship Id="rId10" Type="http://schemas.openxmlformats.org/officeDocument/2006/relationships/webSettings" Target="webSettings.xml"/><Relationship Id="rId31" Type="http://schemas.openxmlformats.org/officeDocument/2006/relationships/footer" Target="footer8.xml"/><Relationship Id="rId44" Type="http://schemas.openxmlformats.org/officeDocument/2006/relationships/oleObject" Target="embeddings/Microsoft_Visio_2003-2010_Drawing1.vsd"/><Relationship Id="rId52" Type="http://schemas.openxmlformats.org/officeDocument/2006/relationships/header" Target="header6.xml"/><Relationship Id="rId60" Type="http://schemas.openxmlformats.org/officeDocument/2006/relationships/header" Target="header10.xml"/><Relationship Id="rId65" Type="http://schemas.openxmlformats.org/officeDocument/2006/relationships/footer" Target="footer14.xml"/><Relationship Id="rId73" Type="http://schemas.openxmlformats.org/officeDocument/2006/relationships/hyperlink" Target="https://www.ibac.vic.gov.au" TargetMode="External"/><Relationship Id="rId78" Type="http://schemas.openxmlformats.org/officeDocument/2006/relationships/hyperlink" Target="mailto:" TargetMode="External"/><Relationship Id="rId81" Type="http://schemas.openxmlformats.org/officeDocument/2006/relationships/hyperlink" Target="https://www.climatechange.vic.gov.au/__data/assets/pdf_file/0034/522799/WoG-sector-pledge-full-colour.pdf" TargetMode="External"/><Relationship Id="rId86" Type="http://schemas.openxmlformats.org/officeDocument/2006/relationships/hyperlink" Target="https://www.dtf.vic.gov.au/financial-reporting-policy/financial-reporting-directions-and-guidance" TargetMode="External"/><Relationship Id="rId94" Type="http://schemas.openxmlformats.org/officeDocument/2006/relationships/hyperlink" Target="https://www.dtf.vic.gov.au/infrastructure-investment/asset-management-accountability-framework" TargetMode="External"/><Relationship Id="rId99" Type="http://schemas.openxmlformats.org/officeDocument/2006/relationships/footer" Target="footer17.xml"/><Relationship Id="rId101"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9" Type="http://schemas.openxmlformats.org/officeDocument/2006/relationships/hyperlink" Target="http://www.dtf.vic.gov.au/financial-management-government/machinery-government-changes-vps-operating-manual" TargetMode="External"/><Relationship Id="rId34" Type="http://schemas.openxmlformats.org/officeDocument/2006/relationships/oleObject" Target="embeddings/Microsoft_Visio_2003-2010_Drawing.vsd"/><Relationship Id="rId50" Type="http://schemas.openxmlformats.org/officeDocument/2006/relationships/hyperlink" Target="https://vpsc.vic.gov.au" TargetMode="External"/><Relationship Id="rId55" Type="http://schemas.openxmlformats.org/officeDocument/2006/relationships/footer" Target="footer10.xml"/><Relationship Id="rId76" Type="http://schemas.openxmlformats.org/officeDocument/2006/relationships/hyperlink" Target="https://www.buyingfor.vic.gov.au/social-and-sustainable-procurement-objectives-and-outcomes" TargetMode="External"/><Relationship Id="rId97" Type="http://schemas.openxmlformats.org/officeDocument/2006/relationships/header" Target="header1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reporting-policy/financial-reporting-directions-and-guidanc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vfdtf001\DTF_DATA02$\TRIM\Accounting%20Policy_BFM\STATE%20BUDGET%20(WoVG)\ACCOUNTING%20(WoVG)\Model%20Report\2021\Report%20of%20Operations\2020-21%20-%20RoO%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fdtf001\DTF_DATA02$\TRIM\Accounting%20Policy_BFM\STATE%20BUDGET%20(WoVG)\ACCOUNTING%20(WoVG)\Model%20Report\2021\Report%20of%20Operations\2020-21%20-%20RoO%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vfdtf001\DTF_DATA02$\TRIM\Accounting%20Policy_BFM\STATE%20BUDGET%20(WoVG)\ACCOUNTING%20(WoVG)\Model%20Report\2021\Report%20of%20Operations\2020-21%20-%20RoO%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vfdtf001\DTF_DATA02$\TRIM\Accounting%20Policy_BFM\STATE%20BUDGET%20(WoVG)\ACCOUNTING%20(WoVG)\Model%20Report\2021\Report%20of%20Operations\2020-21%20-%20RoO%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vfdtf001\DTF_DATA02$\TRIM\Accounting%20Policy_BFM\STATE%20BUDGET%20(WoVG)\ACCOUNTING%20(WoVG)\Model%20Report\2021\Report%20of%20Operations\2020-21%20-%20RoO%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vfdtf001\DTF_DATA02$\TRIM\Accounting%20Policy_BFM\STATE%20BUDGET%20(WoVG)\ACCOUNTING%20(WoVG)\Model%20Report\2021\Report%20of%20Operations\2020-21%20-%20RoO%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vfdtf001\DTF_DATA02$\TRIM\Accounting%20Policy_BFM\STATE%20BUDGET%20(WoVG)\ACCOUNTING%20(WoVG)\Model%20Report\2021\Report%20of%20Operations\2020-21%20-%20RoO%20charts.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6.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chemeClr val="tx1"/>
              </a:solidFill>
            </a:ln>
          </c:spPr>
          <c:marker>
            <c:spPr>
              <a:solidFill>
                <a:schemeClr val="tx1"/>
              </a:solidFill>
              <a:ln>
                <a:solidFill>
                  <a:schemeClr val="tx1"/>
                </a:solidFill>
              </a:ln>
            </c:spPr>
          </c:marker>
          <c:dPt>
            <c:idx val="0"/>
            <c:bubble3D val="0"/>
            <c:extLst>
              <c:ext xmlns:c16="http://schemas.microsoft.com/office/drawing/2014/chart" uri="{C3380CC4-5D6E-409C-BE32-E72D297353CC}">
                <c16:uniqueId val="{00000000-949A-4499-8E82-8E044209C608}"/>
              </c:ext>
            </c:extLst>
          </c:dPt>
          <c:dPt>
            <c:idx val="1"/>
            <c:bubble3D val="0"/>
            <c:extLst>
              <c:ext xmlns:c16="http://schemas.microsoft.com/office/drawing/2014/chart" uri="{C3380CC4-5D6E-409C-BE32-E72D297353CC}">
                <c16:uniqueId val="{00000001-949A-4499-8E82-8E044209C608}"/>
              </c:ext>
            </c:extLst>
          </c:dPt>
          <c:dPt>
            <c:idx val="2"/>
            <c:bubble3D val="0"/>
            <c:extLst>
              <c:ext xmlns:c16="http://schemas.microsoft.com/office/drawing/2014/chart" uri="{C3380CC4-5D6E-409C-BE32-E72D297353CC}">
                <c16:uniqueId val="{00000002-949A-4499-8E82-8E044209C608}"/>
              </c:ext>
            </c:extLst>
          </c:dPt>
          <c:cat>
            <c:strRef>
              <c:f>'Departmental objective 2'!$E$9:$E$12</c:f>
              <c:strCache>
                <c:ptCount val="4"/>
                <c:pt idx="0">
                  <c:v>Year 1</c:v>
                </c:pt>
                <c:pt idx="1">
                  <c:v>Year 2</c:v>
                </c:pt>
                <c:pt idx="2">
                  <c:v>Year 3 
(comparative year)</c:v>
                </c:pt>
                <c:pt idx="3">
                  <c:v>Year 4 
(current year)</c:v>
                </c:pt>
              </c:strCache>
            </c:strRef>
          </c:cat>
          <c:val>
            <c:numRef>
              <c:f>'Departmental objective 2'!$F$9:$F$12</c:f>
              <c:numCache>
                <c:formatCode>General</c:formatCode>
                <c:ptCount val="4"/>
                <c:pt idx="0">
                  <c:v>70</c:v>
                </c:pt>
                <c:pt idx="1">
                  <c:v>68</c:v>
                </c:pt>
                <c:pt idx="2">
                  <c:v>65</c:v>
                </c:pt>
                <c:pt idx="3">
                  <c:v>60</c:v>
                </c:pt>
              </c:numCache>
            </c:numRef>
          </c:val>
          <c:smooth val="0"/>
          <c:extLst>
            <c:ext xmlns:c16="http://schemas.microsoft.com/office/drawing/2014/chart" uri="{C3380CC4-5D6E-409C-BE32-E72D297353CC}">
              <c16:uniqueId val="{00000003-949A-4499-8E82-8E044209C608}"/>
            </c:ext>
          </c:extLst>
        </c:ser>
        <c:dLbls>
          <c:showLegendKey val="0"/>
          <c:showVal val="0"/>
          <c:showCatName val="0"/>
          <c:showSerName val="0"/>
          <c:showPercent val="0"/>
          <c:showBubbleSize val="0"/>
        </c:dLbls>
        <c:marker val="1"/>
        <c:smooth val="0"/>
        <c:axId val="60057472"/>
        <c:axId val="60059008"/>
      </c:lineChart>
      <c:catAx>
        <c:axId val="60057472"/>
        <c:scaling>
          <c:orientation val="minMax"/>
        </c:scaling>
        <c:delete val="0"/>
        <c:axPos val="b"/>
        <c:numFmt formatCode="@"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60059008"/>
        <c:crosses val="autoZero"/>
        <c:auto val="0"/>
        <c:lblAlgn val="ctr"/>
        <c:lblOffset val="100"/>
        <c:noMultiLvlLbl val="0"/>
      </c:catAx>
      <c:valAx>
        <c:axId val="60059008"/>
        <c:scaling>
          <c:orientation val="minMax"/>
          <c:max val="100"/>
          <c:min val="0"/>
        </c:scaling>
        <c:delete val="0"/>
        <c:axPos val="l"/>
        <c:majorGridlines>
          <c:spPr>
            <a:ln>
              <a:solidFill>
                <a:schemeClr val="bg1">
                  <a:lumMod val="85000"/>
                </a:schemeClr>
              </a:solidFill>
              <a:prstDash val="solid"/>
            </a:ln>
          </c:spPr>
        </c:majorGridlines>
        <c:title>
          <c:tx>
            <c:rich>
              <a:bodyPr/>
              <a:lstStyle/>
              <a:p>
                <a:pPr>
                  <a:defRPr sz="900" i="1"/>
                </a:pPr>
                <a:r>
                  <a:rPr lang="en-AU" sz="900" b="0" i="1"/>
                  <a:t>number ('000)</a:t>
                </a:r>
              </a:p>
            </c:rich>
          </c:tx>
          <c:overlay val="0"/>
        </c:title>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60057472"/>
        <c:crosses val="autoZero"/>
        <c:crossBetween val="between"/>
        <c:minorUnit val="20"/>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chemeClr val="tx1"/>
              </a:solidFill>
            </a:ln>
          </c:spPr>
          <c:marker>
            <c:spPr>
              <a:solidFill>
                <a:schemeClr val="tx1"/>
              </a:solidFill>
              <a:ln>
                <a:solidFill>
                  <a:schemeClr val="tx1"/>
                </a:solidFill>
              </a:ln>
            </c:spPr>
          </c:marker>
          <c:dPt>
            <c:idx val="0"/>
            <c:bubble3D val="0"/>
            <c:extLst>
              <c:ext xmlns:c16="http://schemas.microsoft.com/office/drawing/2014/chart" uri="{C3380CC4-5D6E-409C-BE32-E72D297353CC}">
                <c16:uniqueId val="{00000000-CD08-450B-9B03-F9B8F3D1F8FD}"/>
              </c:ext>
            </c:extLst>
          </c:dPt>
          <c:dPt>
            <c:idx val="1"/>
            <c:bubble3D val="0"/>
            <c:extLst>
              <c:ext xmlns:c16="http://schemas.microsoft.com/office/drawing/2014/chart" uri="{C3380CC4-5D6E-409C-BE32-E72D297353CC}">
                <c16:uniqueId val="{00000001-CD08-450B-9B03-F9B8F3D1F8FD}"/>
              </c:ext>
            </c:extLst>
          </c:dPt>
          <c:dPt>
            <c:idx val="2"/>
            <c:bubble3D val="0"/>
            <c:extLst>
              <c:ext xmlns:c16="http://schemas.microsoft.com/office/drawing/2014/chart" uri="{C3380CC4-5D6E-409C-BE32-E72D297353CC}">
                <c16:uniqueId val="{00000002-CD08-450B-9B03-F9B8F3D1F8FD}"/>
              </c:ext>
            </c:extLst>
          </c:dPt>
          <c:cat>
            <c:strRef>
              <c:f>'Departmental objective 2'!$E$9:$E$12</c:f>
              <c:strCache>
                <c:ptCount val="4"/>
                <c:pt idx="0">
                  <c:v>Year 1</c:v>
                </c:pt>
                <c:pt idx="1">
                  <c:v>Year 2</c:v>
                </c:pt>
                <c:pt idx="2">
                  <c:v>Year 3 
(comparative year)</c:v>
                </c:pt>
                <c:pt idx="3">
                  <c:v>Year 4 
(current year)</c:v>
                </c:pt>
              </c:strCache>
            </c:strRef>
          </c:cat>
          <c:val>
            <c:numRef>
              <c:f>'Departmental objective 2'!$G$9:$G$12</c:f>
              <c:numCache>
                <c:formatCode>General</c:formatCode>
                <c:ptCount val="4"/>
                <c:pt idx="0">
                  <c:v>60</c:v>
                </c:pt>
                <c:pt idx="1">
                  <c:v>59</c:v>
                </c:pt>
                <c:pt idx="2">
                  <c:v>58.8</c:v>
                </c:pt>
                <c:pt idx="3">
                  <c:v>61</c:v>
                </c:pt>
              </c:numCache>
            </c:numRef>
          </c:val>
          <c:smooth val="0"/>
          <c:extLst>
            <c:ext xmlns:c16="http://schemas.microsoft.com/office/drawing/2014/chart" uri="{C3380CC4-5D6E-409C-BE32-E72D297353CC}">
              <c16:uniqueId val="{00000003-CD08-450B-9B03-F9B8F3D1F8FD}"/>
            </c:ext>
          </c:extLst>
        </c:ser>
        <c:dLbls>
          <c:showLegendKey val="0"/>
          <c:showVal val="0"/>
          <c:showCatName val="0"/>
          <c:showSerName val="0"/>
          <c:showPercent val="0"/>
          <c:showBubbleSize val="0"/>
        </c:dLbls>
        <c:marker val="1"/>
        <c:smooth val="0"/>
        <c:axId val="60057472"/>
        <c:axId val="60059008"/>
      </c:lineChart>
      <c:catAx>
        <c:axId val="60057472"/>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60059008"/>
        <c:crosses val="autoZero"/>
        <c:auto val="1"/>
        <c:lblAlgn val="ctr"/>
        <c:lblOffset val="100"/>
        <c:noMultiLvlLbl val="0"/>
      </c:catAx>
      <c:valAx>
        <c:axId val="60059008"/>
        <c:scaling>
          <c:orientation val="minMax"/>
          <c:max val="100"/>
          <c:min val="0"/>
        </c:scaling>
        <c:delete val="0"/>
        <c:axPos val="l"/>
        <c:majorGridlines>
          <c:spPr>
            <a:ln>
              <a:solidFill>
                <a:schemeClr val="bg1">
                  <a:lumMod val="85000"/>
                </a:schemeClr>
              </a:solidFill>
              <a:prstDash val="solid"/>
            </a:ln>
          </c:spPr>
        </c:majorGridlines>
        <c:title>
          <c:tx>
            <c:rich>
              <a:bodyPr/>
              <a:lstStyle/>
              <a:p>
                <a:pPr>
                  <a:defRPr sz="900" i="1"/>
                </a:pPr>
                <a:r>
                  <a:rPr lang="en-AU" sz="900" b="0" i="1"/>
                  <a:t>per cent (%)</a:t>
                </a:r>
              </a:p>
            </c:rich>
          </c:tx>
          <c:overlay val="0"/>
        </c:title>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60057472"/>
        <c:crosses val="autoZero"/>
        <c:crossBetween val="between"/>
        <c:minorUnit val="20"/>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'OH&amp;S graph'!$F$5</c:f>
              <c:strCache>
                <c:ptCount val="1"/>
                <c:pt idx="0">
                  <c:v>Incidents</c:v>
                </c:pt>
              </c:strCache>
            </c:strRef>
          </c:tx>
          <c:spPr>
            <a:ln>
              <a:solidFill>
                <a:schemeClr val="tx1"/>
              </a:solidFill>
            </a:ln>
          </c:spPr>
          <c:marker>
            <c:spPr>
              <a:solidFill>
                <a:schemeClr val="tx1"/>
              </a:solidFill>
              <a:ln>
                <a:solidFill>
                  <a:schemeClr val="tx1"/>
                </a:solidFill>
              </a:ln>
            </c:spPr>
          </c:marker>
          <c:dPt>
            <c:idx val="1"/>
            <c:bubble3D val="0"/>
            <c:extLst>
              <c:ext xmlns:c16="http://schemas.microsoft.com/office/drawing/2014/chart" uri="{C3380CC4-5D6E-409C-BE32-E72D297353CC}">
                <c16:uniqueId val="{00000000-BB21-4744-A299-82C7829BC540}"/>
              </c:ext>
            </c:extLst>
          </c:dPt>
          <c:dPt>
            <c:idx val="2"/>
            <c:bubble3D val="0"/>
            <c:extLst>
              <c:ext xmlns:c16="http://schemas.microsoft.com/office/drawing/2014/chart" uri="{C3380CC4-5D6E-409C-BE32-E72D297353CC}">
                <c16:uniqueId val="{00000001-BB21-4744-A299-82C7829BC540}"/>
              </c:ext>
            </c:extLst>
          </c:dPt>
          <c:dPt>
            <c:idx val="3"/>
            <c:bubble3D val="0"/>
            <c:extLst>
              <c:ext xmlns:c16="http://schemas.microsoft.com/office/drawing/2014/chart" uri="{C3380CC4-5D6E-409C-BE32-E72D297353CC}">
                <c16:uniqueId val="{00000002-BB21-4744-A299-82C7829BC540}"/>
              </c:ext>
            </c:extLst>
          </c:dPt>
          <c:cat>
            <c:strRef>
              <c:f>'OH&amp;S graph'!$E$6:$E$8</c:f>
              <c:strCache>
                <c:ptCount val="3"/>
                <c:pt idx="0">
                  <c:v>Year 1</c:v>
                </c:pt>
                <c:pt idx="1">
                  <c:v>Year 2 
(comparative year)</c:v>
                </c:pt>
                <c:pt idx="2">
                  <c:v>Year 3 
(current year)</c:v>
                </c:pt>
              </c:strCache>
            </c:strRef>
          </c:cat>
          <c:val>
            <c:numRef>
              <c:f>'OH&amp;S graph'!$F$6:$F$8</c:f>
              <c:numCache>
                <c:formatCode>General</c:formatCode>
                <c:ptCount val="3"/>
                <c:pt idx="0">
                  <c:v>600</c:v>
                </c:pt>
                <c:pt idx="1">
                  <c:v>526</c:v>
                </c:pt>
                <c:pt idx="2">
                  <c:v>730</c:v>
                </c:pt>
              </c:numCache>
            </c:numRef>
          </c:val>
          <c:smooth val="0"/>
          <c:extLst>
            <c:ext xmlns:c16="http://schemas.microsoft.com/office/drawing/2014/chart" uri="{C3380CC4-5D6E-409C-BE32-E72D297353CC}">
              <c16:uniqueId val="{00000003-BB21-4744-A299-82C7829BC540}"/>
            </c:ext>
          </c:extLst>
        </c:ser>
        <c:ser>
          <c:idx val="1"/>
          <c:order val="1"/>
          <c:tx>
            <c:strRef>
              <c:f>'OH&amp;S graph'!$G$5</c:f>
              <c:strCache>
                <c:ptCount val="1"/>
                <c:pt idx="0">
                  <c:v>Rate per 100 FTE</c:v>
                </c:pt>
              </c:strCache>
            </c:strRef>
          </c:tx>
          <c:spPr>
            <a:ln>
              <a:solidFill>
                <a:schemeClr val="bg1">
                  <a:lumMod val="75000"/>
                </a:schemeClr>
              </a:solidFill>
            </a:ln>
          </c:spPr>
          <c:marker>
            <c:spPr>
              <a:solidFill>
                <a:schemeClr val="bg1">
                  <a:lumMod val="75000"/>
                </a:schemeClr>
              </a:solidFill>
              <a:ln>
                <a:solidFill>
                  <a:schemeClr val="bg1">
                    <a:lumMod val="75000"/>
                  </a:schemeClr>
                </a:solidFill>
              </a:ln>
            </c:spPr>
          </c:marker>
          <c:cat>
            <c:strRef>
              <c:f>'OH&amp;S graph'!$E$6:$E$8</c:f>
              <c:strCache>
                <c:ptCount val="3"/>
                <c:pt idx="0">
                  <c:v>Year 1</c:v>
                </c:pt>
                <c:pt idx="1">
                  <c:v>Year 2 
(comparative year)</c:v>
                </c:pt>
                <c:pt idx="2">
                  <c:v>Year 3 
(current year)</c:v>
                </c:pt>
              </c:strCache>
            </c:strRef>
          </c:cat>
          <c:val>
            <c:numRef>
              <c:f>'OH&amp;S graph'!$G$6:$G$8</c:f>
              <c:numCache>
                <c:formatCode>General</c:formatCode>
                <c:ptCount val="3"/>
                <c:pt idx="0">
                  <c:v>9.4</c:v>
                </c:pt>
                <c:pt idx="1">
                  <c:v>7.7</c:v>
                </c:pt>
                <c:pt idx="2">
                  <c:v>61</c:v>
                </c:pt>
              </c:numCache>
            </c:numRef>
          </c:val>
          <c:smooth val="0"/>
          <c:extLst>
            <c:ext xmlns:c16="http://schemas.microsoft.com/office/drawing/2014/chart" uri="{C3380CC4-5D6E-409C-BE32-E72D297353CC}">
              <c16:uniqueId val="{00000004-BB21-4744-A299-82C7829BC540}"/>
            </c:ext>
          </c:extLst>
        </c:ser>
        <c:dLbls>
          <c:showLegendKey val="0"/>
          <c:showVal val="0"/>
          <c:showCatName val="0"/>
          <c:showSerName val="0"/>
          <c:showPercent val="0"/>
          <c:showBubbleSize val="0"/>
        </c:dLbls>
        <c:marker val="1"/>
        <c:smooth val="0"/>
        <c:axId val="60057472"/>
        <c:axId val="60059008"/>
      </c:lineChart>
      <c:catAx>
        <c:axId val="60057472"/>
        <c:scaling>
          <c:orientation val="minMax"/>
        </c:scaling>
        <c:delete val="0"/>
        <c:axPos val="b"/>
        <c:numFmt formatCode="General" sourceLinked="0"/>
        <c:majorTickMark val="out"/>
        <c:minorTickMark val="none"/>
        <c:tickLblPos val="nextTo"/>
        <c:crossAx val="60059008"/>
        <c:crosses val="autoZero"/>
        <c:auto val="1"/>
        <c:lblAlgn val="ctr"/>
        <c:lblOffset val="100"/>
        <c:noMultiLvlLbl val="0"/>
      </c:catAx>
      <c:valAx>
        <c:axId val="60059008"/>
        <c:scaling>
          <c:logBase val="10"/>
          <c:orientation val="minMax"/>
          <c:max val="1000"/>
          <c:min val="1"/>
        </c:scaling>
        <c:delete val="0"/>
        <c:axPos val="l"/>
        <c:majorGridlines>
          <c:spPr>
            <a:ln>
              <a:solidFill>
                <a:schemeClr val="bg1">
                  <a:lumMod val="85000"/>
                </a:schemeClr>
              </a:solidFill>
              <a:prstDash val="solid"/>
            </a:ln>
          </c:spPr>
        </c:majorGridlines>
        <c:numFmt formatCode="General" sourceLinked="0"/>
        <c:majorTickMark val="out"/>
        <c:minorTickMark val="none"/>
        <c:tickLblPos val="nextTo"/>
        <c:crossAx val="60057472"/>
        <c:crosses val="autoZero"/>
        <c:crossBetween val="between"/>
        <c:majorUnit val="10"/>
      </c:valAx>
      <c:dTable>
        <c:showHorzBorder val="1"/>
        <c:showVertBorder val="1"/>
        <c:showOutline val="0"/>
        <c:showKeys val="1"/>
      </c:dTable>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'OH&amp;S graph'!$H$5</c:f>
              <c:strCache>
                <c:ptCount val="1"/>
                <c:pt idx="0">
                  <c:v>Incidents</c:v>
                </c:pt>
              </c:strCache>
            </c:strRef>
          </c:tx>
          <c:spPr>
            <a:ln>
              <a:solidFill>
                <a:schemeClr val="tx1"/>
              </a:solidFill>
            </a:ln>
          </c:spPr>
          <c:marker>
            <c:spPr>
              <a:solidFill>
                <a:schemeClr val="tx1"/>
              </a:solidFill>
              <a:ln>
                <a:solidFill>
                  <a:schemeClr val="tx1"/>
                </a:solidFill>
              </a:ln>
            </c:spPr>
          </c:marker>
          <c:dPt>
            <c:idx val="1"/>
            <c:bubble3D val="0"/>
            <c:extLst>
              <c:ext xmlns:c16="http://schemas.microsoft.com/office/drawing/2014/chart" uri="{C3380CC4-5D6E-409C-BE32-E72D297353CC}">
                <c16:uniqueId val="{00000000-AE02-4628-9FA1-2B3FCA9D2DC6}"/>
              </c:ext>
            </c:extLst>
          </c:dPt>
          <c:dPt>
            <c:idx val="2"/>
            <c:bubble3D val="0"/>
            <c:extLst>
              <c:ext xmlns:c16="http://schemas.microsoft.com/office/drawing/2014/chart" uri="{C3380CC4-5D6E-409C-BE32-E72D297353CC}">
                <c16:uniqueId val="{00000001-AE02-4628-9FA1-2B3FCA9D2DC6}"/>
              </c:ext>
            </c:extLst>
          </c:dPt>
          <c:dPt>
            <c:idx val="3"/>
            <c:bubble3D val="0"/>
            <c:extLst>
              <c:ext xmlns:c16="http://schemas.microsoft.com/office/drawing/2014/chart" uri="{C3380CC4-5D6E-409C-BE32-E72D297353CC}">
                <c16:uniqueId val="{00000002-AE02-4628-9FA1-2B3FCA9D2DC6}"/>
              </c:ext>
            </c:extLst>
          </c:dPt>
          <c:cat>
            <c:strRef>
              <c:f>'OH&amp;S graph'!$E$6:$E$8</c:f>
              <c:strCache>
                <c:ptCount val="3"/>
                <c:pt idx="0">
                  <c:v>Year 1</c:v>
                </c:pt>
                <c:pt idx="1">
                  <c:v>Year 2 
(comparative year)</c:v>
                </c:pt>
                <c:pt idx="2">
                  <c:v>Year 3 
(current year)</c:v>
                </c:pt>
              </c:strCache>
            </c:strRef>
          </c:cat>
          <c:val>
            <c:numRef>
              <c:f>'OH&amp;S graph'!$H$6:$H$8</c:f>
              <c:numCache>
                <c:formatCode>General</c:formatCode>
                <c:ptCount val="3"/>
                <c:pt idx="0">
                  <c:v>110</c:v>
                </c:pt>
                <c:pt idx="1">
                  <c:v>134</c:v>
                </c:pt>
                <c:pt idx="2">
                  <c:v>143</c:v>
                </c:pt>
              </c:numCache>
            </c:numRef>
          </c:val>
          <c:smooth val="0"/>
          <c:extLst>
            <c:ext xmlns:c16="http://schemas.microsoft.com/office/drawing/2014/chart" uri="{C3380CC4-5D6E-409C-BE32-E72D297353CC}">
              <c16:uniqueId val="{00000003-AE02-4628-9FA1-2B3FCA9D2DC6}"/>
            </c:ext>
          </c:extLst>
        </c:ser>
        <c:ser>
          <c:idx val="1"/>
          <c:order val="1"/>
          <c:tx>
            <c:strRef>
              <c:f>'OH&amp;S graph'!$I$5</c:f>
              <c:strCache>
                <c:ptCount val="1"/>
                <c:pt idx="0">
                  <c:v>Rate per 100 FTE</c:v>
                </c:pt>
              </c:strCache>
            </c:strRef>
          </c:tx>
          <c:spPr>
            <a:ln>
              <a:solidFill>
                <a:schemeClr val="bg1">
                  <a:lumMod val="75000"/>
                </a:schemeClr>
              </a:solidFill>
            </a:ln>
          </c:spPr>
          <c:marker>
            <c:spPr>
              <a:solidFill>
                <a:schemeClr val="bg1">
                  <a:lumMod val="65000"/>
                </a:schemeClr>
              </a:solidFill>
              <a:ln>
                <a:solidFill>
                  <a:schemeClr val="bg1">
                    <a:lumMod val="65000"/>
                  </a:schemeClr>
                </a:solidFill>
              </a:ln>
            </c:spPr>
          </c:marker>
          <c:cat>
            <c:strRef>
              <c:f>'OH&amp;S graph'!$E$6:$E$8</c:f>
              <c:strCache>
                <c:ptCount val="3"/>
                <c:pt idx="0">
                  <c:v>Year 1</c:v>
                </c:pt>
                <c:pt idx="1">
                  <c:v>Year 2 
(comparative year)</c:v>
                </c:pt>
                <c:pt idx="2">
                  <c:v>Year 3 
(current year)</c:v>
                </c:pt>
              </c:strCache>
            </c:strRef>
          </c:cat>
          <c:val>
            <c:numRef>
              <c:f>'OH&amp;S graph'!$I$6:$I$8</c:f>
              <c:numCache>
                <c:formatCode>General</c:formatCode>
                <c:ptCount val="3"/>
                <c:pt idx="0">
                  <c:v>2</c:v>
                </c:pt>
                <c:pt idx="1">
                  <c:v>1.8</c:v>
                </c:pt>
                <c:pt idx="2">
                  <c:v>2.1</c:v>
                </c:pt>
              </c:numCache>
            </c:numRef>
          </c:val>
          <c:smooth val="0"/>
          <c:extLst>
            <c:ext xmlns:c16="http://schemas.microsoft.com/office/drawing/2014/chart" uri="{C3380CC4-5D6E-409C-BE32-E72D297353CC}">
              <c16:uniqueId val="{00000004-AE02-4628-9FA1-2B3FCA9D2DC6}"/>
            </c:ext>
          </c:extLst>
        </c:ser>
        <c:dLbls>
          <c:showLegendKey val="0"/>
          <c:showVal val="0"/>
          <c:showCatName val="0"/>
          <c:showSerName val="0"/>
          <c:showPercent val="0"/>
          <c:showBubbleSize val="0"/>
        </c:dLbls>
        <c:marker val="1"/>
        <c:smooth val="0"/>
        <c:axId val="60057472"/>
        <c:axId val="60059008"/>
      </c:lineChart>
      <c:catAx>
        <c:axId val="60057472"/>
        <c:scaling>
          <c:orientation val="minMax"/>
        </c:scaling>
        <c:delete val="0"/>
        <c:axPos val="b"/>
        <c:numFmt formatCode="General" sourceLinked="0"/>
        <c:majorTickMark val="out"/>
        <c:minorTickMark val="none"/>
        <c:tickLblPos val="nextTo"/>
        <c:crossAx val="60059008"/>
        <c:crosses val="autoZero"/>
        <c:auto val="1"/>
        <c:lblAlgn val="ctr"/>
        <c:lblOffset val="100"/>
        <c:noMultiLvlLbl val="0"/>
      </c:catAx>
      <c:valAx>
        <c:axId val="60059008"/>
        <c:scaling>
          <c:logBase val="10"/>
          <c:orientation val="minMax"/>
          <c:max val="1000"/>
          <c:min val="1"/>
        </c:scaling>
        <c:delete val="0"/>
        <c:axPos val="l"/>
        <c:majorGridlines>
          <c:spPr>
            <a:ln>
              <a:solidFill>
                <a:schemeClr val="bg1">
                  <a:lumMod val="85000"/>
                </a:schemeClr>
              </a:solidFill>
              <a:prstDash val="solid"/>
            </a:ln>
          </c:spPr>
        </c:majorGridlines>
        <c:numFmt formatCode="General" sourceLinked="0"/>
        <c:majorTickMark val="out"/>
        <c:minorTickMark val="none"/>
        <c:tickLblPos val="nextTo"/>
        <c:crossAx val="60057472"/>
        <c:crosses val="autoZero"/>
        <c:crossBetween val="between"/>
        <c:majorUnit val="10"/>
      </c:valAx>
      <c:dTable>
        <c:showHorzBorder val="1"/>
        <c:showVertBorder val="1"/>
        <c:showOutline val="0"/>
        <c:showKeys val="1"/>
      </c:dTable>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'OH&amp;S graph'!$J$5</c:f>
              <c:strCache>
                <c:ptCount val="1"/>
                <c:pt idx="0">
                  <c:v>Incidents</c:v>
                </c:pt>
              </c:strCache>
            </c:strRef>
          </c:tx>
          <c:spPr>
            <a:ln>
              <a:solidFill>
                <a:schemeClr val="tx1"/>
              </a:solidFill>
            </a:ln>
          </c:spPr>
          <c:marker>
            <c:spPr>
              <a:solidFill>
                <a:schemeClr val="tx1"/>
              </a:solidFill>
              <a:ln>
                <a:solidFill>
                  <a:schemeClr val="tx1"/>
                </a:solidFill>
              </a:ln>
            </c:spPr>
          </c:marker>
          <c:dPt>
            <c:idx val="1"/>
            <c:bubble3D val="0"/>
            <c:extLst>
              <c:ext xmlns:c16="http://schemas.microsoft.com/office/drawing/2014/chart" uri="{C3380CC4-5D6E-409C-BE32-E72D297353CC}">
                <c16:uniqueId val="{00000000-BB30-4C4C-835F-9F32B65757CD}"/>
              </c:ext>
            </c:extLst>
          </c:dPt>
          <c:dPt>
            <c:idx val="2"/>
            <c:bubble3D val="0"/>
            <c:extLst>
              <c:ext xmlns:c16="http://schemas.microsoft.com/office/drawing/2014/chart" uri="{C3380CC4-5D6E-409C-BE32-E72D297353CC}">
                <c16:uniqueId val="{00000001-BB30-4C4C-835F-9F32B65757CD}"/>
              </c:ext>
            </c:extLst>
          </c:dPt>
          <c:dPt>
            <c:idx val="3"/>
            <c:bubble3D val="0"/>
            <c:extLst>
              <c:ext xmlns:c16="http://schemas.microsoft.com/office/drawing/2014/chart" uri="{C3380CC4-5D6E-409C-BE32-E72D297353CC}">
                <c16:uniqueId val="{00000002-BB30-4C4C-835F-9F32B65757CD}"/>
              </c:ext>
            </c:extLst>
          </c:dPt>
          <c:cat>
            <c:strRef>
              <c:f>'OH&amp;S graph'!$E$6:$E$8</c:f>
              <c:strCache>
                <c:ptCount val="3"/>
                <c:pt idx="0">
                  <c:v>Year 1</c:v>
                </c:pt>
                <c:pt idx="1">
                  <c:v>Year 2 
(comparative year)</c:v>
                </c:pt>
                <c:pt idx="2">
                  <c:v>Year 3 
(current year)</c:v>
                </c:pt>
              </c:strCache>
            </c:strRef>
          </c:cat>
          <c:val>
            <c:numRef>
              <c:f>'OH&amp;S graph'!$J$6:$J$8</c:f>
              <c:numCache>
                <c:formatCode>General</c:formatCode>
                <c:ptCount val="3"/>
                <c:pt idx="0">
                  <c:v>41</c:v>
                </c:pt>
                <c:pt idx="1">
                  <c:v>55</c:v>
                </c:pt>
                <c:pt idx="2">
                  <c:v>43</c:v>
                </c:pt>
              </c:numCache>
            </c:numRef>
          </c:val>
          <c:smooth val="0"/>
          <c:extLst>
            <c:ext xmlns:c16="http://schemas.microsoft.com/office/drawing/2014/chart" uri="{C3380CC4-5D6E-409C-BE32-E72D297353CC}">
              <c16:uniqueId val="{00000003-BB30-4C4C-835F-9F32B65757CD}"/>
            </c:ext>
          </c:extLst>
        </c:ser>
        <c:ser>
          <c:idx val="1"/>
          <c:order val="1"/>
          <c:tx>
            <c:strRef>
              <c:f>'OH&amp;S graph'!$K$5</c:f>
              <c:strCache>
                <c:ptCount val="1"/>
                <c:pt idx="0">
                  <c:v>Rate per 100 FTE</c:v>
                </c:pt>
              </c:strCache>
            </c:strRef>
          </c:tx>
          <c:spPr>
            <a:ln>
              <a:solidFill>
                <a:schemeClr val="bg1">
                  <a:lumMod val="75000"/>
                </a:schemeClr>
              </a:solidFill>
            </a:ln>
          </c:spPr>
          <c:marker>
            <c:spPr>
              <a:solidFill>
                <a:schemeClr val="bg1">
                  <a:lumMod val="65000"/>
                </a:schemeClr>
              </a:solidFill>
              <a:ln>
                <a:solidFill>
                  <a:schemeClr val="bg1">
                    <a:lumMod val="65000"/>
                  </a:schemeClr>
                </a:solidFill>
              </a:ln>
            </c:spPr>
          </c:marker>
          <c:cat>
            <c:strRef>
              <c:f>'OH&amp;S graph'!$E$6:$E$8</c:f>
              <c:strCache>
                <c:ptCount val="3"/>
                <c:pt idx="0">
                  <c:v>Year 1</c:v>
                </c:pt>
                <c:pt idx="1">
                  <c:v>Year 2 
(comparative year)</c:v>
                </c:pt>
                <c:pt idx="2">
                  <c:v>Year 3 
(current year)</c:v>
                </c:pt>
              </c:strCache>
            </c:strRef>
          </c:cat>
          <c:val>
            <c:numRef>
              <c:f>'OH&amp;S graph'!$K$6:$K$8</c:f>
              <c:numCache>
                <c:formatCode>General</c:formatCode>
                <c:ptCount val="3"/>
                <c:pt idx="0">
                  <c:v>1.7</c:v>
                </c:pt>
                <c:pt idx="1">
                  <c:v>1.7</c:v>
                </c:pt>
                <c:pt idx="2">
                  <c:v>1.6</c:v>
                </c:pt>
              </c:numCache>
            </c:numRef>
          </c:val>
          <c:smooth val="0"/>
          <c:extLst>
            <c:ext xmlns:c16="http://schemas.microsoft.com/office/drawing/2014/chart" uri="{C3380CC4-5D6E-409C-BE32-E72D297353CC}">
              <c16:uniqueId val="{00000004-BB30-4C4C-835F-9F32B65757CD}"/>
            </c:ext>
          </c:extLst>
        </c:ser>
        <c:dLbls>
          <c:showLegendKey val="0"/>
          <c:showVal val="0"/>
          <c:showCatName val="0"/>
          <c:showSerName val="0"/>
          <c:showPercent val="0"/>
          <c:showBubbleSize val="0"/>
        </c:dLbls>
        <c:marker val="1"/>
        <c:smooth val="0"/>
        <c:axId val="60057472"/>
        <c:axId val="60059008"/>
      </c:lineChart>
      <c:catAx>
        <c:axId val="60057472"/>
        <c:scaling>
          <c:orientation val="minMax"/>
        </c:scaling>
        <c:delete val="0"/>
        <c:axPos val="b"/>
        <c:numFmt formatCode="General" sourceLinked="0"/>
        <c:majorTickMark val="out"/>
        <c:minorTickMark val="none"/>
        <c:tickLblPos val="nextTo"/>
        <c:crossAx val="60059008"/>
        <c:crosses val="autoZero"/>
        <c:auto val="1"/>
        <c:lblAlgn val="ctr"/>
        <c:lblOffset val="100"/>
        <c:noMultiLvlLbl val="0"/>
      </c:catAx>
      <c:valAx>
        <c:axId val="60059008"/>
        <c:scaling>
          <c:logBase val="10"/>
          <c:orientation val="minMax"/>
          <c:max val="1000"/>
          <c:min val="1"/>
        </c:scaling>
        <c:delete val="0"/>
        <c:axPos val="l"/>
        <c:majorGridlines>
          <c:spPr>
            <a:ln>
              <a:solidFill>
                <a:schemeClr val="bg1">
                  <a:lumMod val="85000"/>
                </a:schemeClr>
              </a:solidFill>
              <a:prstDash val="solid"/>
            </a:ln>
          </c:spPr>
        </c:majorGridlines>
        <c:numFmt formatCode="General" sourceLinked="0"/>
        <c:majorTickMark val="out"/>
        <c:minorTickMark val="none"/>
        <c:tickLblPos val="nextTo"/>
        <c:crossAx val="60057472"/>
        <c:crosses val="autoZero"/>
        <c:crossBetween val="between"/>
        <c:majorUnit val="10"/>
      </c:valAx>
      <c:dTable>
        <c:showHorzBorder val="1"/>
        <c:showVertBorder val="1"/>
        <c:showOutline val="0"/>
        <c:showKeys val="1"/>
      </c:dTable>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'OH&amp;S graph'!$L$5</c:f>
              <c:strCache>
                <c:ptCount val="1"/>
                <c:pt idx="0">
                  <c:v>Incidents</c:v>
                </c:pt>
              </c:strCache>
            </c:strRef>
          </c:tx>
          <c:spPr>
            <a:ln>
              <a:solidFill>
                <a:schemeClr val="tx1"/>
              </a:solidFill>
            </a:ln>
          </c:spPr>
          <c:marker>
            <c:spPr>
              <a:solidFill>
                <a:schemeClr val="tx1"/>
              </a:solidFill>
              <a:ln>
                <a:solidFill>
                  <a:schemeClr val="tx1"/>
                </a:solidFill>
              </a:ln>
            </c:spPr>
          </c:marker>
          <c:dPt>
            <c:idx val="1"/>
            <c:bubble3D val="0"/>
            <c:extLst>
              <c:ext xmlns:c16="http://schemas.microsoft.com/office/drawing/2014/chart" uri="{C3380CC4-5D6E-409C-BE32-E72D297353CC}">
                <c16:uniqueId val="{00000000-6641-44AB-B304-AED3CDAFA0CF}"/>
              </c:ext>
            </c:extLst>
          </c:dPt>
          <c:dPt>
            <c:idx val="2"/>
            <c:bubble3D val="0"/>
            <c:extLst>
              <c:ext xmlns:c16="http://schemas.microsoft.com/office/drawing/2014/chart" uri="{C3380CC4-5D6E-409C-BE32-E72D297353CC}">
                <c16:uniqueId val="{00000001-6641-44AB-B304-AED3CDAFA0CF}"/>
              </c:ext>
            </c:extLst>
          </c:dPt>
          <c:dPt>
            <c:idx val="3"/>
            <c:bubble3D val="0"/>
            <c:extLst>
              <c:ext xmlns:c16="http://schemas.microsoft.com/office/drawing/2014/chart" uri="{C3380CC4-5D6E-409C-BE32-E72D297353CC}">
                <c16:uniqueId val="{00000002-6641-44AB-B304-AED3CDAFA0CF}"/>
              </c:ext>
            </c:extLst>
          </c:dPt>
          <c:cat>
            <c:strRef>
              <c:f>'OH&amp;S graph'!$E$6:$E$8</c:f>
              <c:strCache>
                <c:ptCount val="3"/>
                <c:pt idx="0">
                  <c:v>Year 1</c:v>
                </c:pt>
                <c:pt idx="1">
                  <c:v>Year 2 
(comparative year)</c:v>
                </c:pt>
                <c:pt idx="2">
                  <c:v>Year 3 
(current year)</c:v>
                </c:pt>
              </c:strCache>
            </c:strRef>
          </c:cat>
          <c:val>
            <c:numRef>
              <c:f>'OH&amp;S graph'!$L$6:$L$8</c:f>
              <c:numCache>
                <c:formatCode>General</c:formatCode>
                <c:ptCount val="3"/>
                <c:pt idx="0">
                  <c:v>21</c:v>
                </c:pt>
                <c:pt idx="1">
                  <c:v>19</c:v>
                </c:pt>
                <c:pt idx="2">
                  <c:v>18</c:v>
                </c:pt>
              </c:numCache>
            </c:numRef>
          </c:val>
          <c:smooth val="0"/>
          <c:extLst>
            <c:ext xmlns:c16="http://schemas.microsoft.com/office/drawing/2014/chart" uri="{C3380CC4-5D6E-409C-BE32-E72D297353CC}">
              <c16:uniqueId val="{00000003-6641-44AB-B304-AED3CDAFA0CF}"/>
            </c:ext>
          </c:extLst>
        </c:ser>
        <c:ser>
          <c:idx val="1"/>
          <c:order val="1"/>
          <c:tx>
            <c:strRef>
              <c:f>'OH&amp;S graph'!$M$5</c:f>
              <c:strCache>
                <c:ptCount val="1"/>
                <c:pt idx="0">
                  <c:v>Rate per 100 FTE</c:v>
                </c:pt>
              </c:strCache>
            </c:strRef>
          </c:tx>
          <c:spPr>
            <a:ln>
              <a:solidFill>
                <a:schemeClr val="bg1">
                  <a:lumMod val="75000"/>
                </a:schemeClr>
              </a:solidFill>
            </a:ln>
          </c:spPr>
          <c:marker>
            <c:spPr>
              <a:solidFill>
                <a:schemeClr val="bg1">
                  <a:lumMod val="65000"/>
                </a:schemeClr>
              </a:solidFill>
              <a:ln>
                <a:solidFill>
                  <a:schemeClr val="bg1">
                    <a:lumMod val="65000"/>
                  </a:schemeClr>
                </a:solidFill>
              </a:ln>
            </c:spPr>
          </c:marker>
          <c:cat>
            <c:strRef>
              <c:f>'OH&amp;S graph'!$E$6:$E$8</c:f>
              <c:strCache>
                <c:ptCount val="3"/>
                <c:pt idx="0">
                  <c:v>Year 1</c:v>
                </c:pt>
                <c:pt idx="1">
                  <c:v>Year 2 
(comparative year)</c:v>
                </c:pt>
                <c:pt idx="2">
                  <c:v>Year 3 
(current year)</c:v>
                </c:pt>
              </c:strCache>
            </c:strRef>
          </c:cat>
          <c:val>
            <c:numRef>
              <c:f>'OH&amp;S graph'!$M$6:$M$8</c:f>
              <c:numCache>
                <c:formatCode>General</c:formatCode>
                <c:ptCount val="3"/>
                <c:pt idx="0">
                  <c:v>2</c:v>
                </c:pt>
                <c:pt idx="1">
                  <c:v>1.8</c:v>
                </c:pt>
                <c:pt idx="2">
                  <c:v>2.1</c:v>
                </c:pt>
              </c:numCache>
            </c:numRef>
          </c:val>
          <c:smooth val="0"/>
          <c:extLst>
            <c:ext xmlns:c16="http://schemas.microsoft.com/office/drawing/2014/chart" uri="{C3380CC4-5D6E-409C-BE32-E72D297353CC}">
              <c16:uniqueId val="{00000004-6641-44AB-B304-AED3CDAFA0CF}"/>
            </c:ext>
          </c:extLst>
        </c:ser>
        <c:dLbls>
          <c:showLegendKey val="0"/>
          <c:showVal val="0"/>
          <c:showCatName val="0"/>
          <c:showSerName val="0"/>
          <c:showPercent val="0"/>
          <c:showBubbleSize val="0"/>
        </c:dLbls>
        <c:marker val="1"/>
        <c:smooth val="0"/>
        <c:axId val="60057472"/>
        <c:axId val="60059008"/>
      </c:lineChart>
      <c:catAx>
        <c:axId val="60057472"/>
        <c:scaling>
          <c:orientation val="minMax"/>
        </c:scaling>
        <c:delete val="0"/>
        <c:axPos val="b"/>
        <c:numFmt formatCode="General" sourceLinked="0"/>
        <c:majorTickMark val="out"/>
        <c:minorTickMark val="none"/>
        <c:tickLblPos val="nextTo"/>
        <c:crossAx val="60059008"/>
        <c:crosses val="autoZero"/>
        <c:auto val="1"/>
        <c:lblAlgn val="ctr"/>
        <c:lblOffset val="100"/>
        <c:noMultiLvlLbl val="0"/>
      </c:catAx>
      <c:valAx>
        <c:axId val="60059008"/>
        <c:scaling>
          <c:logBase val="10"/>
          <c:orientation val="minMax"/>
          <c:max val="1000"/>
          <c:min val="1"/>
        </c:scaling>
        <c:delete val="0"/>
        <c:axPos val="l"/>
        <c:majorGridlines>
          <c:spPr>
            <a:ln>
              <a:solidFill>
                <a:schemeClr val="bg1">
                  <a:lumMod val="85000"/>
                </a:schemeClr>
              </a:solidFill>
              <a:prstDash val="solid"/>
            </a:ln>
          </c:spPr>
        </c:majorGridlines>
        <c:numFmt formatCode="General" sourceLinked="0"/>
        <c:majorTickMark val="out"/>
        <c:minorTickMark val="none"/>
        <c:tickLblPos val="nextTo"/>
        <c:crossAx val="60057472"/>
        <c:crosses val="autoZero"/>
        <c:crossBetween val="between"/>
        <c:majorUnit val="10"/>
      </c:valAx>
      <c:dTable>
        <c:showHorzBorder val="1"/>
        <c:showVertBorder val="1"/>
        <c:showOutline val="0"/>
        <c:showKeys val="1"/>
      </c:dTable>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'Workcover premium rate'!$F$8</c:f>
              <c:strCache>
                <c:ptCount val="1"/>
                <c:pt idx="0">
                  <c:v>Premium rate</c:v>
                </c:pt>
              </c:strCache>
            </c:strRef>
          </c:tx>
          <c:spPr>
            <a:ln>
              <a:solidFill>
                <a:schemeClr val="tx1"/>
              </a:solidFill>
            </a:ln>
          </c:spPr>
          <c:marker>
            <c:spPr>
              <a:solidFill>
                <a:schemeClr val="tx1"/>
              </a:solidFill>
              <a:ln>
                <a:solidFill>
                  <a:schemeClr val="tx1"/>
                </a:solidFill>
              </a:ln>
            </c:spPr>
          </c:marker>
          <c:dPt>
            <c:idx val="1"/>
            <c:bubble3D val="0"/>
            <c:extLst>
              <c:ext xmlns:c16="http://schemas.microsoft.com/office/drawing/2014/chart" uri="{C3380CC4-5D6E-409C-BE32-E72D297353CC}">
                <c16:uniqueId val="{00000000-E6A9-4811-859F-38E4A16C4870}"/>
              </c:ext>
            </c:extLst>
          </c:dPt>
          <c:dPt>
            <c:idx val="2"/>
            <c:bubble3D val="0"/>
            <c:extLst>
              <c:ext xmlns:c16="http://schemas.microsoft.com/office/drawing/2014/chart" uri="{C3380CC4-5D6E-409C-BE32-E72D297353CC}">
                <c16:uniqueId val="{00000001-E6A9-4811-859F-38E4A16C4870}"/>
              </c:ext>
            </c:extLst>
          </c:dPt>
          <c:dPt>
            <c:idx val="3"/>
            <c:bubble3D val="0"/>
            <c:extLst>
              <c:ext xmlns:c16="http://schemas.microsoft.com/office/drawing/2014/chart" uri="{C3380CC4-5D6E-409C-BE32-E72D297353CC}">
                <c16:uniqueId val="{00000002-E6A9-4811-859F-38E4A16C4870}"/>
              </c:ext>
            </c:extLst>
          </c:dPt>
          <c:cat>
            <c:strRef>
              <c:f>'Workcover premium rate'!$E$9:$E$13</c:f>
              <c:strCache>
                <c:ptCount val="5"/>
                <c:pt idx="0">
                  <c:v>Year 1</c:v>
                </c:pt>
                <c:pt idx="1">
                  <c:v>Year 2</c:v>
                </c:pt>
                <c:pt idx="2">
                  <c:v>Year 3</c:v>
                </c:pt>
                <c:pt idx="3">
                  <c:v>Year 4 (comparative year)</c:v>
                </c:pt>
                <c:pt idx="4">
                  <c:v>Year 5 (current year)</c:v>
                </c:pt>
              </c:strCache>
            </c:strRef>
          </c:cat>
          <c:val>
            <c:numRef>
              <c:f>'Workcover premium rate'!$F$9:$F$13</c:f>
              <c:numCache>
                <c:formatCode>0.00%</c:formatCode>
                <c:ptCount val="5"/>
                <c:pt idx="0">
                  <c:v>2.1874999999999999E-2</c:v>
                </c:pt>
                <c:pt idx="1">
                  <c:v>2.0548E-2</c:v>
                </c:pt>
                <c:pt idx="2">
                  <c:v>1.9574999999999999E-2</c:v>
                </c:pt>
                <c:pt idx="3">
                  <c:v>1.5643000000000001E-2</c:v>
                </c:pt>
                <c:pt idx="4">
                  <c:v>1.1282E-2</c:v>
                </c:pt>
              </c:numCache>
            </c:numRef>
          </c:val>
          <c:smooth val="0"/>
          <c:extLst>
            <c:ext xmlns:c16="http://schemas.microsoft.com/office/drawing/2014/chart" uri="{C3380CC4-5D6E-409C-BE32-E72D297353CC}">
              <c16:uniqueId val="{00000003-E6A9-4811-859F-38E4A16C4870}"/>
            </c:ext>
          </c:extLst>
        </c:ser>
        <c:dLbls>
          <c:showLegendKey val="0"/>
          <c:showVal val="0"/>
          <c:showCatName val="0"/>
          <c:showSerName val="0"/>
          <c:showPercent val="0"/>
          <c:showBubbleSize val="0"/>
        </c:dLbls>
        <c:marker val="1"/>
        <c:smooth val="0"/>
        <c:axId val="60057472"/>
        <c:axId val="60059008"/>
      </c:lineChart>
      <c:catAx>
        <c:axId val="60057472"/>
        <c:scaling>
          <c:orientation val="minMax"/>
        </c:scaling>
        <c:delete val="0"/>
        <c:axPos val="b"/>
        <c:numFmt formatCode="General" sourceLinked="0"/>
        <c:majorTickMark val="out"/>
        <c:minorTickMark val="none"/>
        <c:tickLblPos val="nextTo"/>
        <c:crossAx val="60059008"/>
        <c:crosses val="autoZero"/>
        <c:auto val="1"/>
        <c:lblAlgn val="ctr"/>
        <c:lblOffset val="100"/>
        <c:noMultiLvlLbl val="0"/>
      </c:catAx>
      <c:valAx>
        <c:axId val="60059008"/>
        <c:scaling>
          <c:orientation val="minMax"/>
          <c:max val="2.5000000000000005E-2"/>
        </c:scaling>
        <c:delete val="0"/>
        <c:axPos val="l"/>
        <c:majorGridlines>
          <c:spPr>
            <a:ln>
              <a:solidFill>
                <a:schemeClr val="bg1">
                  <a:lumMod val="85000"/>
                </a:schemeClr>
              </a:solidFill>
              <a:prstDash val="solid"/>
            </a:ln>
          </c:spPr>
        </c:majorGridlines>
        <c:numFmt formatCode="0.00%" sourceLinked="0"/>
        <c:majorTickMark val="out"/>
        <c:minorTickMark val="none"/>
        <c:tickLblPos val="nextTo"/>
        <c:crossAx val="60057472"/>
        <c:crosses val="autoZero"/>
        <c:crossBetween val="between"/>
      </c:valAx>
      <c:dTable>
        <c:showHorzBorder val="1"/>
        <c:showVertBorder val="1"/>
        <c:showOutline val="0"/>
        <c:showKeys val="1"/>
      </c:dTable>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7881992833396"/>
          <c:y val="0.1459264027759451"/>
          <c:w val="0.69066701368254257"/>
          <c:h val="0.94074944446276465"/>
        </c:manualLayout>
      </c:layout>
      <c:radarChart>
        <c:radarStyle val="filled"/>
        <c:varyColors val="0"/>
        <c:ser>
          <c:idx val="2"/>
          <c:order val="0"/>
          <c:spPr>
            <a:solidFill>
              <a:srgbClr val="ABFF57"/>
            </a:solidFill>
          </c:spPr>
          <c:cat>
            <c:strRef>
              <c:f>'Progress Summary'!$AP$77:$AP$123</c:f>
              <c:strCache>
                <c:ptCount val="47"/>
                <c:pt idx="0">
                  <c:v>1</c:v>
                </c:pt>
                <c:pt idx="1">
                  <c:v>2</c:v>
                </c:pt>
                <c:pt idx="2">
                  <c:v>3</c:v>
                </c:pt>
                <c:pt idx="3">
                  <c:v>4</c:v>
                </c:pt>
                <c:pt idx="4">
                  <c:v>5</c:v>
                </c:pt>
                <c:pt idx="5">
                  <c:v>6</c:v>
                </c:pt>
                <c:pt idx="6">
                  <c:v>7</c:v>
                </c:pt>
                <c:pt idx="7">
                  <c:v>8</c:v>
                </c:pt>
                <c:pt idx="8">
                  <c:v>9</c:v>
                </c:pt>
                <c:pt idx="9">
                  <c:v>10</c:v>
                </c:pt>
                <c:pt idx="10">
                  <c:v>11</c:v>
                </c:pt>
                <c:pt idx="11">
                  <c:v>12a</c:v>
                </c:pt>
                <c:pt idx="12">
                  <c:v>12b</c:v>
                </c:pt>
                <c:pt idx="13">
                  <c:v>13</c:v>
                </c:pt>
                <c:pt idx="14">
                  <c:v>14</c:v>
                </c:pt>
                <c:pt idx="15">
                  <c:v>15</c:v>
                </c:pt>
                <c:pt idx="16">
                  <c:v>16a</c:v>
                </c:pt>
                <c:pt idx="17">
                  <c:v>16b</c:v>
                </c:pt>
                <c:pt idx="18">
                  <c:v>17</c:v>
                </c:pt>
                <c:pt idx="19">
                  <c:v>18a</c:v>
                </c:pt>
                <c:pt idx="20">
                  <c:v>18b</c:v>
                </c:pt>
                <c:pt idx="21">
                  <c:v>19</c:v>
                </c:pt>
                <c:pt idx="22">
                  <c:v>20</c:v>
                </c:pt>
                <c:pt idx="23">
                  <c:v>21a</c:v>
                </c:pt>
                <c:pt idx="24">
                  <c:v>21b</c:v>
                </c:pt>
                <c:pt idx="25">
                  <c:v>22</c:v>
                </c:pt>
                <c:pt idx="26">
                  <c:v>23</c:v>
                </c:pt>
                <c:pt idx="27">
                  <c:v>24</c:v>
                </c:pt>
                <c:pt idx="28">
                  <c:v>25</c:v>
                </c:pt>
                <c:pt idx="29">
                  <c:v>26</c:v>
                </c:pt>
                <c:pt idx="30">
                  <c:v>27</c:v>
                </c:pt>
                <c:pt idx="31">
                  <c:v>28</c:v>
                </c:pt>
                <c:pt idx="32">
                  <c:v>29</c:v>
                </c:pt>
                <c:pt idx="33">
                  <c:v>30</c:v>
                </c:pt>
                <c:pt idx="34">
                  <c:v>31</c:v>
                </c:pt>
                <c:pt idx="35">
                  <c:v>32a</c:v>
                </c:pt>
                <c:pt idx="36">
                  <c:v>32b</c:v>
                </c:pt>
                <c:pt idx="37">
                  <c:v>33</c:v>
                </c:pt>
                <c:pt idx="38">
                  <c:v>34</c:v>
                </c:pt>
                <c:pt idx="39">
                  <c:v>35</c:v>
                </c:pt>
                <c:pt idx="40">
                  <c:v>36</c:v>
                </c:pt>
                <c:pt idx="41">
                  <c:v>37a</c:v>
                </c:pt>
                <c:pt idx="42">
                  <c:v>37b</c:v>
                </c:pt>
                <c:pt idx="43">
                  <c:v>38</c:v>
                </c:pt>
                <c:pt idx="44">
                  <c:v>39</c:v>
                </c:pt>
                <c:pt idx="45">
                  <c:v>40</c:v>
                </c:pt>
                <c:pt idx="46">
                  <c:v>41</c:v>
                </c:pt>
              </c:strCache>
            </c:strRef>
          </c:cat>
          <c:val>
            <c:numLit>
              <c:ptCount val="0"/>
            </c:numLit>
          </c:val>
          <c:extLst>
            <c:ext xmlns:c16="http://schemas.microsoft.com/office/drawing/2014/chart" uri="{C3380CC4-5D6E-409C-BE32-E72D297353CC}">
              <c16:uniqueId val="{00000000-B8A3-49AF-890B-412C4F36AFEC}"/>
            </c:ext>
          </c:extLst>
        </c:ser>
        <c:ser>
          <c:idx val="3"/>
          <c:order val="1"/>
          <c:spPr>
            <a:solidFill>
              <a:srgbClr val="FFFF00"/>
            </a:solidFill>
          </c:spPr>
          <c:cat>
            <c:strRef>
              <c:f>'Progress Summary'!$AP$77:$AP$123</c:f>
              <c:strCache>
                <c:ptCount val="47"/>
                <c:pt idx="0">
                  <c:v>1</c:v>
                </c:pt>
                <c:pt idx="1">
                  <c:v>2</c:v>
                </c:pt>
                <c:pt idx="2">
                  <c:v>3</c:v>
                </c:pt>
                <c:pt idx="3">
                  <c:v>4</c:v>
                </c:pt>
                <c:pt idx="4">
                  <c:v>5</c:v>
                </c:pt>
                <c:pt idx="5">
                  <c:v>6</c:v>
                </c:pt>
                <c:pt idx="6">
                  <c:v>7</c:v>
                </c:pt>
                <c:pt idx="7">
                  <c:v>8</c:v>
                </c:pt>
                <c:pt idx="8">
                  <c:v>9</c:v>
                </c:pt>
                <c:pt idx="9">
                  <c:v>10</c:v>
                </c:pt>
                <c:pt idx="10">
                  <c:v>11</c:v>
                </c:pt>
                <c:pt idx="11">
                  <c:v>12a</c:v>
                </c:pt>
                <c:pt idx="12">
                  <c:v>12b</c:v>
                </c:pt>
                <c:pt idx="13">
                  <c:v>13</c:v>
                </c:pt>
                <c:pt idx="14">
                  <c:v>14</c:v>
                </c:pt>
                <c:pt idx="15">
                  <c:v>15</c:v>
                </c:pt>
                <c:pt idx="16">
                  <c:v>16a</c:v>
                </c:pt>
                <c:pt idx="17">
                  <c:v>16b</c:v>
                </c:pt>
                <c:pt idx="18">
                  <c:v>17</c:v>
                </c:pt>
                <c:pt idx="19">
                  <c:v>18a</c:v>
                </c:pt>
                <c:pt idx="20">
                  <c:v>18b</c:v>
                </c:pt>
                <c:pt idx="21">
                  <c:v>19</c:v>
                </c:pt>
                <c:pt idx="22">
                  <c:v>20</c:v>
                </c:pt>
                <c:pt idx="23">
                  <c:v>21a</c:v>
                </c:pt>
                <c:pt idx="24">
                  <c:v>21b</c:v>
                </c:pt>
                <c:pt idx="25">
                  <c:v>22</c:v>
                </c:pt>
                <c:pt idx="26">
                  <c:v>23</c:v>
                </c:pt>
                <c:pt idx="27">
                  <c:v>24</c:v>
                </c:pt>
                <c:pt idx="28">
                  <c:v>25</c:v>
                </c:pt>
                <c:pt idx="29">
                  <c:v>26</c:v>
                </c:pt>
                <c:pt idx="30">
                  <c:v>27</c:v>
                </c:pt>
                <c:pt idx="31">
                  <c:v>28</c:v>
                </c:pt>
                <c:pt idx="32">
                  <c:v>29</c:v>
                </c:pt>
                <c:pt idx="33">
                  <c:v>30</c:v>
                </c:pt>
                <c:pt idx="34">
                  <c:v>31</c:v>
                </c:pt>
                <c:pt idx="35">
                  <c:v>32a</c:v>
                </c:pt>
                <c:pt idx="36">
                  <c:v>32b</c:v>
                </c:pt>
                <c:pt idx="37">
                  <c:v>33</c:v>
                </c:pt>
                <c:pt idx="38">
                  <c:v>34</c:v>
                </c:pt>
                <c:pt idx="39">
                  <c:v>35</c:v>
                </c:pt>
                <c:pt idx="40">
                  <c:v>36</c:v>
                </c:pt>
                <c:pt idx="41">
                  <c:v>37a</c:v>
                </c:pt>
                <c:pt idx="42">
                  <c:v>37b</c:v>
                </c:pt>
                <c:pt idx="43">
                  <c:v>38</c:v>
                </c:pt>
                <c:pt idx="44">
                  <c:v>39</c:v>
                </c:pt>
                <c:pt idx="45">
                  <c:v>40</c:v>
                </c:pt>
                <c:pt idx="46">
                  <c:v>41</c:v>
                </c:pt>
              </c:strCache>
            </c:strRef>
          </c:cat>
          <c:val>
            <c:numLit>
              <c:ptCount val="0"/>
            </c:numLit>
          </c:val>
          <c:extLst>
            <c:ext xmlns:c16="http://schemas.microsoft.com/office/drawing/2014/chart" uri="{C3380CC4-5D6E-409C-BE32-E72D297353CC}">
              <c16:uniqueId val="{00000001-B8A3-49AF-890B-412C4F36AFEC}"/>
            </c:ext>
          </c:extLst>
        </c:ser>
        <c:ser>
          <c:idx val="4"/>
          <c:order val="2"/>
          <c:spPr>
            <a:solidFill>
              <a:srgbClr val="FFC000"/>
            </a:solidFill>
          </c:spPr>
          <c:cat>
            <c:strRef>
              <c:f>'Progress Summary'!$AP$77:$AP$123</c:f>
              <c:strCache>
                <c:ptCount val="47"/>
                <c:pt idx="0">
                  <c:v>1</c:v>
                </c:pt>
                <c:pt idx="1">
                  <c:v>2</c:v>
                </c:pt>
                <c:pt idx="2">
                  <c:v>3</c:v>
                </c:pt>
                <c:pt idx="3">
                  <c:v>4</c:v>
                </c:pt>
                <c:pt idx="4">
                  <c:v>5</c:v>
                </c:pt>
                <c:pt idx="5">
                  <c:v>6</c:v>
                </c:pt>
                <c:pt idx="6">
                  <c:v>7</c:v>
                </c:pt>
                <c:pt idx="7">
                  <c:v>8</c:v>
                </c:pt>
                <c:pt idx="8">
                  <c:v>9</c:v>
                </c:pt>
                <c:pt idx="9">
                  <c:v>10</c:v>
                </c:pt>
                <c:pt idx="10">
                  <c:v>11</c:v>
                </c:pt>
                <c:pt idx="11">
                  <c:v>12a</c:v>
                </c:pt>
                <c:pt idx="12">
                  <c:v>12b</c:v>
                </c:pt>
                <c:pt idx="13">
                  <c:v>13</c:v>
                </c:pt>
                <c:pt idx="14">
                  <c:v>14</c:v>
                </c:pt>
                <c:pt idx="15">
                  <c:v>15</c:v>
                </c:pt>
                <c:pt idx="16">
                  <c:v>16a</c:v>
                </c:pt>
                <c:pt idx="17">
                  <c:v>16b</c:v>
                </c:pt>
                <c:pt idx="18">
                  <c:v>17</c:v>
                </c:pt>
                <c:pt idx="19">
                  <c:v>18a</c:v>
                </c:pt>
                <c:pt idx="20">
                  <c:v>18b</c:v>
                </c:pt>
                <c:pt idx="21">
                  <c:v>19</c:v>
                </c:pt>
                <c:pt idx="22">
                  <c:v>20</c:v>
                </c:pt>
                <c:pt idx="23">
                  <c:v>21a</c:v>
                </c:pt>
                <c:pt idx="24">
                  <c:v>21b</c:v>
                </c:pt>
                <c:pt idx="25">
                  <c:v>22</c:v>
                </c:pt>
                <c:pt idx="26">
                  <c:v>23</c:v>
                </c:pt>
                <c:pt idx="27">
                  <c:v>24</c:v>
                </c:pt>
                <c:pt idx="28">
                  <c:v>25</c:v>
                </c:pt>
                <c:pt idx="29">
                  <c:v>26</c:v>
                </c:pt>
                <c:pt idx="30">
                  <c:v>27</c:v>
                </c:pt>
                <c:pt idx="31">
                  <c:v>28</c:v>
                </c:pt>
                <c:pt idx="32">
                  <c:v>29</c:v>
                </c:pt>
                <c:pt idx="33">
                  <c:v>30</c:v>
                </c:pt>
                <c:pt idx="34">
                  <c:v>31</c:v>
                </c:pt>
                <c:pt idx="35">
                  <c:v>32a</c:v>
                </c:pt>
                <c:pt idx="36">
                  <c:v>32b</c:v>
                </c:pt>
                <c:pt idx="37">
                  <c:v>33</c:v>
                </c:pt>
                <c:pt idx="38">
                  <c:v>34</c:v>
                </c:pt>
                <c:pt idx="39">
                  <c:v>35</c:v>
                </c:pt>
                <c:pt idx="40">
                  <c:v>36</c:v>
                </c:pt>
                <c:pt idx="41">
                  <c:v>37a</c:v>
                </c:pt>
                <c:pt idx="42">
                  <c:v>37b</c:v>
                </c:pt>
                <c:pt idx="43">
                  <c:v>38</c:v>
                </c:pt>
                <c:pt idx="44">
                  <c:v>39</c:v>
                </c:pt>
                <c:pt idx="45">
                  <c:v>40</c:v>
                </c:pt>
                <c:pt idx="46">
                  <c:v>41</c:v>
                </c:pt>
              </c:strCache>
            </c:strRef>
          </c:cat>
          <c:val>
            <c:numLit>
              <c:ptCount val="0"/>
            </c:numLit>
          </c:val>
          <c:extLst>
            <c:ext xmlns:c16="http://schemas.microsoft.com/office/drawing/2014/chart" uri="{C3380CC4-5D6E-409C-BE32-E72D297353CC}">
              <c16:uniqueId val="{00000002-B8A3-49AF-890B-412C4F36AFEC}"/>
            </c:ext>
          </c:extLst>
        </c:ser>
        <c:ser>
          <c:idx val="5"/>
          <c:order val="3"/>
          <c:spPr>
            <a:solidFill>
              <a:srgbClr val="FF0000"/>
            </a:solidFill>
          </c:spPr>
          <c:cat>
            <c:strRef>
              <c:f>'Progress Summary'!$AP$77:$AP$123</c:f>
              <c:strCache>
                <c:ptCount val="47"/>
                <c:pt idx="0">
                  <c:v>1</c:v>
                </c:pt>
                <c:pt idx="1">
                  <c:v>2</c:v>
                </c:pt>
                <c:pt idx="2">
                  <c:v>3</c:v>
                </c:pt>
                <c:pt idx="3">
                  <c:v>4</c:v>
                </c:pt>
                <c:pt idx="4">
                  <c:v>5</c:v>
                </c:pt>
                <c:pt idx="5">
                  <c:v>6</c:v>
                </c:pt>
                <c:pt idx="6">
                  <c:v>7</c:v>
                </c:pt>
                <c:pt idx="7">
                  <c:v>8</c:v>
                </c:pt>
                <c:pt idx="8">
                  <c:v>9</c:v>
                </c:pt>
                <c:pt idx="9">
                  <c:v>10</c:v>
                </c:pt>
                <c:pt idx="10">
                  <c:v>11</c:v>
                </c:pt>
                <c:pt idx="11">
                  <c:v>12a</c:v>
                </c:pt>
                <c:pt idx="12">
                  <c:v>12b</c:v>
                </c:pt>
                <c:pt idx="13">
                  <c:v>13</c:v>
                </c:pt>
                <c:pt idx="14">
                  <c:v>14</c:v>
                </c:pt>
                <c:pt idx="15">
                  <c:v>15</c:v>
                </c:pt>
                <c:pt idx="16">
                  <c:v>16a</c:v>
                </c:pt>
                <c:pt idx="17">
                  <c:v>16b</c:v>
                </c:pt>
                <c:pt idx="18">
                  <c:v>17</c:v>
                </c:pt>
                <c:pt idx="19">
                  <c:v>18a</c:v>
                </c:pt>
                <c:pt idx="20">
                  <c:v>18b</c:v>
                </c:pt>
                <c:pt idx="21">
                  <c:v>19</c:v>
                </c:pt>
                <c:pt idx="22">
                  <c:v>20</c:v>
                </c:pt>
                <c:pt idx="23">
                  <c:v>21a</c:v>
                </c:pt>
                <c:pt idx="24">
                  <c:v>21b</c:v>
                </c:pt>
                <c:pt idx="25">
                  <c:v>22</c:v>
                </c:pt>
                <c:pt idx="26">
                  <c:v>23</c:v>
                </c:pt>
                <c:pt idx="27">
                  <c:v>24</c:v>
                </c:pt>
                <c:pt idx="28">
                  <c:v>25</c:v>
                </c:pt>
                <c:pt idx="29">
                  <c:v>26</c:v>
                </c:pt>
                <c:pt idx="30">
                  <c:v>27</c:v>
                </c:pt>
                <c:pt idx="31">
                  <c:v>28</c:v>
                </c:pt>
                <c:pt idx="32">
                  <c:v>29</c:v>
                </c:pt>
                <c:pt idx="33">
                  <c:v>30</c:v>
                </c:pt>
                <c:pt idx="34">
                  <c:v>31</c:v>
                </c:pt>
                <c:pt idx="35">
                  <c:v>32a</c:v>
                </c:pt>
                <c:pt idx="36">
                  <c:v>32b</c:v>
                </c:pt>
                <c:pt idx="37">
                  <c:v>33</c:v>
                </c:pt>
                <c:pt idx="38">
                  <c:v>34</c:v>
                </c:pt>
                <c:pt idx="39">
                  <c:v>35</c:v>
                </c:pt>
                <c:pt idx="40">
                  <c:v>36</c:v>
                </c:pt>
                <c:pt idx="41">
                  <c:v>37a</c:v>
                </c:pt>
                <c:pt idx="42">
                  <c:v>37b</c:v>
                </c:pt>
                <c:pt idx="43">
                  <c:v>38</c:v>
                </c:pt>
                <c:pt idx="44">
                  <c:v>39</c:v>
                </c:pt>
                <c:pt idx="45">
                  <c:v>40</c:v>
                </c:pt>
                <c:pt idx="46">
                  <c:v>41</c:v>
                </c:pt>
              </c:strCache>
            </c:strRef>
          </c:cat>
          <c:val>
            <c:numLit>
              <c:ptCount val="0"/>
            </c:numLit>
          </c:val>
          <c:extLst>
            <c:ext xmlns:c16="http://schemas.microsoft.com/office/drawing/2014/chart" uri="{C3380CC4-5D6E-409C-BE32-E72D297353CC}">
              <c16:uniqueId val="{00000003-B8A3-49AF-890B-412C4F36AFEC}"/>
            </c:ext>
          </c:extLst>
        </c:ser>
        <c:ser>
          <c:idx val="6"/>
          <c:order val="4"/>
          <c:tx>
            <c:strRef>
              <c:f>'Progress Summary'!$AU$76</c:f>
              <c:strCache>
                <c:ptCount val="1"/>
                <c:pt idx="0">
                  <c:v>Target maturity</c:v>
                </c:pt>
              </c:strCache>
            </c:strRef>
          </c:tx>
          <c:spPr>
            <a:solidFill>
              <a:srgbClr val="FF0000">
                <a:alpha val="30980"/>
              </a:srgbClr>
            </a:solidFill>
            <a:ln w="31750">
              <a:solidFill>
                <a:srgbClr val="FF0000"/>
              </a:solidFill>
            </a:ln>
          </c:spPr>
          <c:cat>
            <c:strRef>
              <c:f>'Progress Summary'!$AP$77:$AP$123</c:f>
              <c:strCache>
                <c:ptCount val="47"/>
                <c:pt idx="0">
                  <c:v>1</c:v>
                </c:pt>
                <c:pt idx="1">
                  <c:v>2</c:v>
                </c:pt>
                <c:pt idx="2">
                  <c:v>3</c:v>
                </c:pt>
                <c:pt idx="3">
                  <c:v>4</c:v>
                </c:pt>
                <c:pt idx="4">
                  <c:v>5</c:v>
                </c:pt>
                <c:pt idx="5">
                  <c:v>6</c:v>
                </c:pt>
                <c:pt idx="6">
                  <c:v>7</c:v>
                </c:pt>
                <c:pt idx="7">
                  <c:v>8</c:v>
                </c:pt>
                <c:pt idx="8">
                  <c:v>9</c:v>
                </c:pt>
                <c:pt idx="9">
                  <c:v>10</c:v>
                </c:pt>
                <c:pt idx="10">
                  <c:v>11</c:v>
                </c:pt>
                <c:pt idx="11">
                  <c:v>12a</c:v>
                </c:pt>
                <c:pt idx="12">
                  <c:v>12b</c:v>
                </c:pt>
                <c:pt idx="13">
                  <c:v>13</c:v>
                </c:pt>
                <c:pt idx="14">
                  <c:v>14</c:v>
                </c:pt>
                <c:pt idx="15">
                  <c:v>15</c:v>
                </c:pt>
                <c:pt idx="16">
                  <c:v>16a</c:v>
                </c:pt>
                <c:pt idx="17">
                  <c:v>16b</c:v>
                </c:pt>
                <c:pt idx="18">
                  <c:v>17</c:v>
                </c:pt>
                <c:pt idx="19">
                  <c:v>18a</c:v>
                </c:pt>
                <c:pt idx="20">
                  <c:v>18b</c:v>
                </c:pt>
                <c:pt idx="21">
                  <c:v>19</c:v>
                </c:pt>
                <c:pt idx="22">
                  <c:v>20</c:v>
                </c:pt>
                <c:pt idx="23">
                  <c:v>21a</c:v>
                </c:pt>
                <c:pt idx="24">
                  <c:v>21b</c:v>
                </c:pt>
                <c:pt idx="25">
                  <c:v>22</c:v>
                </c:pt>
                <c:pt idx="26">
                  <c:v>23</c:v>
                </c:pt>
                <c:pt idx="27">
                  <c:v>24</c:v>
                </c:pt>
                <c:pt idx="28">
                  <c:v>25</c:v>
                </c:pt>
                <c:pt idx="29">
                  <c:v>26</c:v>
                </c:pt>
                <c:pt idx="30">
                  <c:v>27</c:v>
                </c:pt>
                <c:pt idx="31">
                  <c:v>28</c:v>
                </c:pt>
                <c:pt idx="32">
                  <c:v>29</c:v>
                </c:pt>
                <c:pt idx="33">
                  <c:v>30</c:v>
                </c:pt>
                <c:pt idx="34">
                  <c:v>31</c:v>
                </c:pt>
                <c:pt idx="35">
                  <c:v>32a</c:v>
                </c:pt>
                <c:pt idx="36">
                  <c:v>32b</c:v>
                </c:pt>
                <c:pt idx="37">
                  <c:v>33</c:v>
                </c:pt>
                <c:pt idx="38">
                  <c:v>34</c:v>
                </c:pt>
                <c:pt idx="39">
                  <c:v>35</c:v>
                </c:pt>
                <c:pt idx="40">
                  <c:v>36</c:v>
                </c:pt>
                <c:pt idx="41">
                  <c:v>37a</c:v>
                </c:pt>
                <c:pt idx="42">
                  <c:v>37b</c:v>
                </c:pt>
                <c:pt idx="43">
                  <c:v>38</c:v>
                </c:pt>
                <c:pt idx="44">
                  <c:v>39</c:v>
                </c:pt>
                <c:pt idx="45">
                  <c:v>40</c:v>
                </c:pt>
                <c:pt idx="46">
                  <c:v>41</c:v>
                </c:pt>
              </c:strCache>
            </c:strRef>
          </c:cat>
          <c:val>
            <c:numRef>
              <c:f>'Progress Summary'!$AU$77:$AU$123</c:f>
              <c:numCache>
                <c:formatCode>General</c:formatCode>
                <c:ptCount val="47"/>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3</c:v>
                </c:pt>
                <c:pt idx="27">
                  <c:v>3</c:v>
                </c:pt>
                <c:pt idx="28">
                  <c:v>3</c:v>
                </c:pt>
                <c:pt idx="29">
                  <c:v>3</c:v>
                </c:pt>
                <c:pt idx="30">
                  <c:v>3</c:v>
                </c:pt>
                <c:pt idx="31">
                  <c:v>3</c:v>
                </c:pt>
                <c:pt idx="32">
                  <c:v>3</c:v>
                </c:pt>
                <c:pt idx="33">
                  <c:v>3</c:v>
                </c:pt>
                <c:pt idx="34">
                  <c:v>3</c:v>
                </c:pt>
                <c:pt idx="35">
                  <c:v>3</c:v>
                </c:pt>
                <c:pt idx="36">
                  <c:v>3</c:v>
                </c:pt>
                <c:pt idx="37">
                  <c:v>3</c:v>
                </c:pt>
                <c:pt idx="38">
                  <c:v>3</c:v>
                </c:pt>
                <c:pt idx="39">
                  <c:v>3</c:v>
                </c:pt>
                <c:pt idx="40">
                  <c:v>3</c:v>
                </c:pt>
                <c:pt idx="41">
                  <c:v>3</c:v>
                </c:pt>
                <c:pt idx="42">
                  <c:v>3</c:v>
                </c:pt>
                <c:pt idx="43">
                  <c:v>3</c:v>
                </c:pt>
                <c:pt idx="44">
                  <c:v>3</c:v>
                </c:pt>
                <c:pt idx="45">
                  <c:v>3</c:v>
                </c:pt>
                <c:pt idx="46">
                  <c:v>3</c:v>
                </c:pt>
              </c:numCache>
            </c:numRef>
          </c:val>
          <c:extLst>
            <c:ext xmlns:c16="http://schemas.microsoft.com/office/drawing/2014/chart" uri="{C3380CC4-5D6E-409C-BE32-E72D297353CC}">
              <c16:uniqueId val="{00000004-B8A3-49AF-890B-412C4F36AFEC}"/>
            </c:ext>
          </c:extLst>
        </c:ser>
        <c:ser>
          <c:idx val="0"/>
          <c:order val="5"/>
          <c:tx>
            <c:strRef>
              <c:f>'Progress Summary'!$AT$76</c:f>
              <c:strCache>
                <c:ptCount val="1"/>
                <c:pt idx="0">
                  <c:v>Overall Assessment</c:v>
                </c:pt>
              </c:strCache>
            </c:strRef>
          </c:tx>
          <c:spPr>
            <a:solidFill>
              <a:srgbClr val="000000">
                <a:alpha val="27059"/>
              </a:srgbClr>
            </a:solidFill>
            <a:ln w="38100">
              <a:solidFill>
                <a:sysClr val="windowText" lastClr="000000"/>
              </a:solidFill>
            </a:ln>
          </c:spPr>
          <c:val>
            <c:numRef>
              <c:f>'Progress Summary'!$AT$77:$AT$123</c:f>
              <c:numCache>
                <c:formatCode>General</c:formatCode>
                <c:ptCount val="47"/>
                <c:pt idx="0">
                  <c:v>3</c:v>
                </c:pt>
                <c:pt idx="1">
                  <c:v>4</c:v>
                </c:pt>
                <c:pt idx="2">
                  <c:v>4</c:v>
                </c:pt>
                <c:pt idx="3">
                  <c:v>3</c:v>
                </c:pt>
                <c:pt idx="4">
                  <c:v>3</c:v>
                </c:pt>
                <c:pt idx="5">
                  <c:v>2</c:v>
                </c:pt>
                <c:pt idx="6">
                  <c:v>2</c:v>
                </c:pt>
                <c:pt idx="7">
                  <c:v>1</c:v>
                </c:pt>
                <c:pt idx="8">
                  <c:v>1</c:v>
                </c:pt>
                <c:pt idx="9">
                  <c:v>1</c:v>
                </c:pt>
                <c:pt idx="10">
                  <c:v>4</c:v>
                </c:pt>
                <c:pt idx="11">
                  <c:v>4</c:v>
                </c:pt>
                <c:pt idx="12">
                  <c:v>3</c:v>
                </c:pt>
                <c:pt idx="13">
                  <c:v>4</c:v>
                </c:pt>
                <c:pt idx="14">
                  <c:v>4</c:v>
                </c:pt>
                <c:pt idx="15">
                  <c:v>3</c:v>
                </c:pt>
                <c:pt idx="16">
                  <c:v>3</c:v>
                </c:pt>
                <c:pt idx="17">
                  <c:v>4</c:v>
                </c:pt>
                <c:pt idx="18">
                  <c:v>3</c:v>
                </c:pt>
                <c:pt idx="19">
                  <c:v>4</c:v>
                </c:pt>
                <c:pt idx="20">
                  <c:v>3</c:v>
                </c:pt>
                <c:pt idx="21">
                  <c:v>2</c:v>
                </c:pt>
                <c:pt idx="22">
                  <c:v>3</c:v>
                </c:pt>
                <c:pt idx="23">
                  <c:v>4</c:v>
                </c:pt>
                <c:pt idx="24">
                  <c:v>3</c:v>
                </c:pt>
                <c:pt idx="25">
                  <c:v>4</c:v>
                </c:pt>
                <c:pt idx="26">
                  <c:v>3</c:v>
                </c:pt>
                <c:pt idx="27">
                  <c:v>3</c:v>
                </c:pt>
                <c:pt idx="28">
                  <c:v>3</c:v>
                </c:pt>
                <c:pt idx="29">
                  <c:v>3</c:v>
                </c:pt>
                <c:pt idx="30">
                  <c:v>2</c:v>
                </c:pt>
                <c:pt idx="31">
                  <c:v>2</c:v>
                </c:pt>
                <c:pt idx="32">
                  <c:v>3</c:v>
                </c:pt>
                <c:pt idx="33">
                  <c:v>3</c:v>
                </c:pt>
                <c:pt idx="34">
                  <c:v>3</c:v>
                </c:pt>
                <c:pt idx="35">
                  <c:v>3</c:v>
                </c:pt>
                <c:pt idx="36">
                  <c:v>3</c:v>
                </c:pt>
                <c:pt idx="37">
                  <c:v>3</c:v>
                </c:pt>
                <c:pt idx="38">
                  <c:v>3</c:v>
                </c:pt>
                <c:pt idx="39">
                  <c:v>3</c:v>
                </c:pt>
                <c:pt idx="40">
                  <c:v>2</c:v>
                </c:pt>
                <c:pt idx="41">
                  <c:v>3</c:v>
                </c:pt>
                <c:pt idx="42">
                  <c:v>3</c:v>
                </c:pt>
                <c:pt idx="43">
                  <c:v>3</c:v>
                </c:pt>
                <c:pt idx="44">
                  <c:v>3</c:v>
                </c:pt>
                <c:pt idx="45">
                  <c:v>3</c:v>
                </c:pt>
                <c:pt idx="46">
                  <c:v>3</c:v>
                </c:pt>
              </c:numCache>
            </c:numRef>
          </c:val>
          <c:extLst>
            <c:ext xmlns:c16="http://schemas.microsoft.com/office/drawing/2014/chart" uri="{C3380CC4-5D6E-409C-BE32-E72D297353CC}">
              <c16:uniqueId val="{00000005-B8A3-49AF-890B-412C4F36AFEC}"/>
            </c:ext>
          </c:extLst>
        </c:ser>
        <c:dLbls>
          <c:showLegendKey val="0"/>
          <c:showVal val="0"/>
          <c:showCatName val="0"/>
          <c:showSerName val="0"/>
          <c:showPercent val="0"/>
          <c:showBubbleSize val="0"/>
        </c:dLbls>
        <c:axId val="199192960"/>
        <c:axId val="199194496"/>
      </c:radarChart>
      <c:catAx>
        <c:axId val="199192960"/>
        <c:scaling>
          <c:orientation val="minMax"/>
        </c:scaling>
        <c:delete val="0"/>
        <c:axPos val="b"/>
        <c:majorGridlines/>
        <c:numFmt formatCode="General" sourceLinked="0"/>
        <c:majorTickMark val="out"/>
        <c:minorTickMark val="none"/>
        <c:tickLblPos val="nextTo"/>
        <c:txPr>
          <a:bodyPr/>
          <a:lstStyle/>
          <a:p>
            <a:pPr>
              <a:defRPr sz="1000"/>
            </a:pPr>
            <a:endParaRPr lang="en-US"/>
          </a:p>
        </c:txPr>
        <c:crossAx val="199194496"/>
        <c:crosses val="autoZero"/>
        <c:auto val="1"/>
        <c:lblAlgn val="ctr"/>
        <c:lblOffset val="100"/>
        <c:noMultiLvlLbl val="0"/>
      </c:catAx>
      <c:valAx>
        <c:axId val="199194496"/>
        <c:scaling>
          <c:orientation val="minMax"/>
          <c:max val="4"/>
        </c:scaling>
        <c:delete val="0"/>
        <c:axPos val="l"/>
        <c:majorGridlines/>
        <c:numFmt formatCode="General" sourceLinked="1"/>
        <c:majorTickMark val="cross"/>
        <c:minorTickMark val="none"/>
        <c:tickLblPos val="nextTo"/>
        <c:spPr>
          <a:noFill/>
        </c:spPr>
        <c:txPr>
          <a:bodyPr/>
          <a:lstStyle/>
          <a:p>
            <a:pPr>
              <a:defRPr sz="1200" b="1" i="0" baseline="0">
                <a:ln>
                  <a:noFill/>
                </a:ln>
                <a:solidFill>
                  <a:sysClr val="windowText" lastClr="000000"/>
                </a:solidFill>
              </a:defRPr>
            </a:pPr>
            <a:endParaRPr lang="en-US"/>
          </a:p>
        </c:txPr>
        <c:crossAx val="199192960"/>
        <c:crosses val="autoZero"/>
        <c:crossBetween val="between"/>
        <c:majorUnit val="1"/>
        <c:minorUnit val="0.2"/>
      </c:valAx>
      <c:spPr>
        <a:blipFill dpi="0" rotWithShape="1">
          <a:blip xmlns:r="http://schemas.openxmlformats.org/officeDocument/2006/relationships" r:embed="rId1"/>
          <a:srcRect/>
          <a:stretch>
            <a:fillRect l="-2400" t="-1400" b="-1300"/>
          </a:stretch>
        </a:blipFill>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a:noFill/>
    </a:ln>
  </c:spPr>
  <c:txPr>
    <a:bodyPr/>
    <a:lstStyle/>
    <a:p>
      <a:pPr>
        <a:defRPr sz="9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6e3d215-38fc-4294-ac6f-e1813d9666dd" xsi:nil="true"/>
    <_dlc_DocId xmlns="b6e3d215-38fc-4294-ac6f-e1813d9666dd">63PAK4U6Z4MQ-1289146740-72509</_dlc_DocId>
    <_dlc_DocIdUrl xmlns="b6e3d215-38fc-4294-ac6f-e1813d9666dd">
      <Url>https://vicgov.sharepoint.com/sites/DTFStrategicCommunications/_layouts/15/DocIdRedir.aspx?ID=63PAK4U6Z4MQ-1289146740-72509</Url>
      <Description>63PAK4U6Z4MQ-1289146740-72509</Description>
    </_dlc_DocIdUrl>
    <lcf76f155ced4ddcb4097134ff3c332f xmlns="e1efcbdc-f8f0-4bac-929e-ffe707bb638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859DFB47952C4E911DE9714EC95DB1" ma:contentTypeVersion="13" ma:contentTypeDescription="Create a new document." ma:contentTypeScope="" ma:versionID="30785ec2a10f2bae1604613d54f6d78e">
  <xsd:schema xmlns:xsd="http://www.w3.org/2001/XMLSchema" xmlns:xs="http://www.w3.org/2001/XMLSchema" xmlns:p="http://schemas.microsoft.com/office/2006/metadata/properties" xmlns:ns2="b6e3d215-38fc-4294-ac6f-e1813d9666dd" xmlns:ns3="e1efcbdc-f8f0-4bac-929e-ffe707bb6387" targetNamespace="http://schemas.microsoft.com/office/2006/metadata/properties" ma:root="true" ma:fieldsID="c1983676ec05362d9dffe7d3ddea16a8" ns2:_="" ns3:_="">
    <xsd:import namespace="b6e3d215-38fc-4294-ac6f-e1813d9666dd"/>
    <xsd:import namespace="e1efcbdc-f8f0-4bac-929e-ffe707bb6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3d215-38fc-4294-ac6f-e1813d966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a531579-585f-4194-aed9-1ac5952e811b}" ma:internalName="TaxCatchAll" ma:showField="CatchAllData" ma:web="b6e3d215-38fc-4294-ac6f-e1813d9666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fcbdc-f8f0-4bac-929e-ffe707bb6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523708-5273-4F62-99F7-D8993E1E0A82}">
  <ds:schemaRefs>
    <ds:schemaRef ds:uri="http://schemas.microsoft.com/sharepoint/v3/contenttype/forms"/>
  </ds:schemaRefs>
</ds:datastoreItem>
</file>

<file path=customXml/itemProps2.xml><?xml version="1.0" encoding="utf-8"?>
<ds:datastoreItem xmlns:ds="http://schemas.openxmlformats.org/officeDocument/2006/customXml" ds:itemID="{67F922A1-25B2-45FE-AF38-70EDD186C907}">
  <ds:schemaRefs>
    <ds:schemaRef ds:uri="http://schemas.openxmlformats.org/officeDocument/2006/bibliography"/>
  </ds:schemaRefs>
</ds:datastoreItem>
</file>

<file path=customXml/itemProps3.xml><?xml version="1.0" encoding="utf-8"?>
<ds:datastoreItem xmlns:ds="http://schemas.openxmlformats.org/officeDocument/2006/customXml" ds:itemID="{6A3FF985-C9BC-41AE-B238-506E85120EAB}">
  <ds:schemaRefs>
    <ds:schemaRef ds:uri="http://schemas.microsoft.com/sharepoint/events"/>
  </ds:schemaRefs>
</ds:datastoreItem>
</file>

<file path=customXml/itemProps4.xml><?xml version="1.0" encoding="utf-8"?>
<ds:datastoreItem xmlns:ds="http://schemas.openxmlformats.org/officeDocument/2006/customXml" ds:itemID="{994A257D-5A4C-4D61-B339-C474CCEA6661}">
  <ds:schemaRefs>
    <ds:schemaRef ds:uri="http://schemas.microsoft.com/office/2006/metadata/properties"/>
    <ds:schemaRef ds:uri="http://schemas.microsoft.com/office/infopath/2007/PartnerControls"/>
    <ds:schemaRef ds:uri="b6e3d215-38fc-4294-ac6f-e1813d9666dd"/>
    <ds:schemaRef ds:uri="e1efcbdc-f8f0-4bac-929e-ffe707bb6387"/>
  </ds:schemaRefs>
</ds:datastoreItem>
</file>

<file path=customXml/itemProps5.xml><?xml version="1.0" encoding="utf-8"?>
<ds:datastoreItem xmlns:ds="http://schemas.openxmlformats.org/officeDocument/2006/customXml" ds:itemID="{B67D678F-A4B8-4CF4-BE42-1F6FE25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3d215-38fc-4294-ac6f-e1813d9666dd"/>
    <ds:schemaRef ds:uri="e1efcbdc-f8f0-4bac-929e-ffe707bb6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BE6B22-0D89-49B4-83C2-EDE7A8CF90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37821</Words>
  <Characters>216340</Characters>
  <Application>Microsoft Office Word</Application>
  <DocSecurity>0</DocSecurity>
  <Lines>5847</Lines>
  <Paragraphs>4034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250127</CharactersWithSpaces>
  <SharedDoc>false</SharedDoc>
  <HLinks>
    <vt:vector size="762" baseType="variant">
      <vt:variant>
        <vt:i4>5963795</vt:i4>
      </vt:variant>
      <vt:variant>
        <vt:i4>1155</vt:i4>
      </vt:variant>
      <vt:variant>
        <vt:i4>0</vt:i4>
      </vt:variant>
      <vt:variant>
        <vt:i4>5</vt:i4>
      </vt:variant>
      <vt:variant>
        <vt:lpwstr>https://www.dtf.vic.gov.au/financial-reporting-policy/financial-reporting-directions-and-guidance</vt:lpwstr>
      </vt:variant>
      <vt:variant>
        <vt:lpwstr/>
      </vt:variant>
      <vt:variant>
        <vt:i4>2752519</vt:i4>
      </vt:variant>
      <vt:variant>
        <vt:i4>1152</vt:i4>
      </vt:variant>
      <vt:variant>
        <vt:i4>0</vt:i4>
      </vt:variant>
      <vt:variant>
        <vt:i4>5</vt:i4>
      </vt:variant>
      <vt:variant>
        <vt:lpwstr/>
      </vt:variant>
      <vt:variant>
        <vt:lpwstr>INDEX_ComplianceAASB</vt:lpwstr>
      </vt:variant>
      <vt:variant>
        <vt:i4>5046387</vt:i4>
      </vt:variant>
      <vt:variant>
        <vt:i4>1146</vt:i4>
      </vt:variant>
      <vt:variant>
        <vt:i4>0</vt:i4>
      </vt:variant>
      <vt:variant>
        <vt:i4>5</vt:i4>
      </vt:variant>
      <vt:variant>
        <vt:lpwstr/>
      </vt:variant>
      <vt:variant>
        <vt:lpwstr>INDEX_VIPP</vt:lpwstr>
      </vt:variant>
      <vt:variant>
        <vt:i4>5767271</vt:i4>
      </vt:variant>
      <vt:variant>
        <vt:i4>1140</vt:i4>
      </vt:variant>
      <vt:variant>
        <vt:i4>0</vt:i4>
      </vt:variant>
      <vt:variant>
        <vt:i4>5</vt:i4>
      </vt:variant>
      <vt:variant>
        <vt:lpwstr/>
      </vt:variant>
      <vt:variant>
        <vt:lpwstr>INDEX_CompliianceDisabilityAct</vt:lpwstr>
      </vt:variant>
      <vt:variant>
        <vt:i4>3932163</vt:i4>
      </vt:variant>
      <vt:variant>
        <vt:i4>1134</vt:i4>
      </vt:variant>
      <vt:variant>
        <vt:i4>0</vt:i4>
      </vt:variant>
      <vt:variant>
        <vt:i4>5</vt:i4>
      </vt:variant>
      <vt:variant>
        <vt:lpwstr/>
      </vt:variant>
      <vt:variant>
        <vt:lpwstr>INDEX_CarersRecogAct</vt:lpwstr>
      </vt:variant>
      <vt:variant>
        <vt:i4>3014671</vt:i4>
      </vt:variant>
      <vt:variant>
        <vt:i4>1128</vt:i4>
      </vt:variant>
      <vt:variant>
        <vt:i4>0</vt:i4>
      </vt:variant>
      <vt:variant>
        <vt:i4>5</vt:i4>
      </vt:variant>
      <vt:variant>
        <vt:lpwstr/>
      </vt:variant>
      <vt:variant>
        <vt:lpwstr>INDEX_ProtectedDisclosure</vt:lpwstr>
      </vt:variant>
      <vt:variant>
        <vt:i4>2097173</vt:i4>
      </vt:variant>
      <vt:variant>
        <vt:i4>1122</vt:i4>
      </vt:variant>
      <vt:variant>
        <vt:i4>0</vt:i4>
      </vt:variant>
      <vt:variant>
        <vt:i4>5</vt:i4>
      </vt:variant>
      <vt:variant>
        <vt:lpwstr/>
      </vt:variant>
      <vt:variant>
        <vt:lpwstr>INDEX_BuildingAct</vt:lpwstr>
      </vt:variant>
      <vt:variant>
        <vt:i4>3866643</vt:i4>
      </vt:variant>
      <vt:variant>
        <vt:i4>1116</vt:i4>
      </vt:variant>
      <vt:variant>
        <vt:i4>0</vt:i4>
      </vt:variant>
      <vt:variant>
        <vt:i4>5</vt:i4>
      </vt:variant>
      <vt:variant>
        <vt:lpwstr/>
      </vt:variant>
      <vt:variant>
        <vt:lpwstr>INDEX_FOI</vt:lpwstr>
      </vt:variant>
      <vt:variant>
        <vt:i4>4587624</vt:i4>
      </vt:variant>
      <vt:variant>
        <vt:i4>1113</vt:i4>
      </vt:variant>
      <vt:variant>
        <vt:i4>0</vt:i4>
      </vt:variant>
      <vt:variant>
        <vt:i4>5</vt:i4>
      </vt:variant>
      <vt:variant>
        <vt:lpwstr/>
      </vt:variant>
      <vt:variant>
        <vt:lpwstr>INDEX_FinancialInstruments</vt:lpwstr>
      </vt:variant>
      <vt:variant>
        <vt:i4>4784226</vt:i4>
      </vt:variant>
      <vt:variant>
        <vt:i4>1110</vt:i4>
      </vt:variant>
      <vt:variant>
        <vt:i4>0</vt:i4>
      </vt:variant>
      <vt:variant>
        <vt:i4>5</vt:i4>
      </vt:variant>
      <vt:variant>
        <vt:lpwstr/>
      </vt:variant>
      <vt:variant>
        <vt:lpwstr>INDEX_DBPObligation</vt:lpwstr>
      </vt:variant>
      <vt:variant>
        <vt:i4>3276804</vt:i4>
      </vt:variant>
      <vt:variant>
        <vt:i4>1107</vt:i4>
      </vt:variant>
      <vt:variant>
        <vt:i4>0</vt:i4>
      </vt:variant>
      <vt:variant>
        <vt:i4>5</vt:i4>
      </vt:variant>
      <vt:variant>
        <vt:lpwstr/>
      </vt:variant>
      <vt:variant>
        <vt:lpwstr>INDEX_CFStats</vt:lpwstr>
      </vt:variant>
      <vt:variant>
        <vt:i4>5636218</vt:i4>
      </vt:variant>
      <vt:variant>
        <vt:i4>1104</vt:i4>
      </vt:variant>
      <vt:variant>
        <vt:i4>0</vt:i4>
      </vt:variant>
      <vt:variant>
        <vt:i4>5</vt:i4>
      </vt:variant>
      <vt:variant>
        <vt:lpwstr/>
      </vt:variant>
      <vt:variant>
        <vt:lpwstr>INDEX_NonFinAssets</vt:lpwstr>
      </vt:variant>
      <vt:variant>
        <vt:i4>3407895</vt:i4>
      </vt:variant>
      <vt:variant>
        <vt:i4>1101</vt:i4>
      </vt:variant>
      <vt:variant>
        <vt:i4>0</vt:i4>
      </vt:variant>
      <vt:variant>
        <vt:i4>5</vt:i4>
      </vt:variant>
      <vt:variant>
        <vt:lpwstr/>
      </vt:variant>
      <vt:variant>
        <vt:lpwstr>INDEX_ResponsiblePersons</vt:lpwstr>
      </vt:variant>
      <vt:variant>
        <vt:i4>4915317</vt:i4>
      </vt:variant>
      <vt:variant>
        <vt:i4>1098</vt:i4>
      </vt:variant>
      <vt:variant>
        <vt:i4>0</vt:i4>
      </vt:variant>
      <vt:variant>
        <vt:i4>5</vt:i4>
      </vt:variant>
      <vt:variant>
        <vt:lpwstr/>
      </vt:variant>
      <vt:variant>
        <vt:lpwstr>INDEX_ParApprop</vt:lpwstr>
      </vt:variant>
      <vt:variant>
        <vt:i4>4915327</vt:i4>
      </vt:variant>
      <vt:variant>
        <vt:i4>1095</vt:i4>
      </vt:variant>
      <vt:variant>
        <vt:i4>0</vt:i4>
      </vt:variant>
      <vt:variant>
        <vt:i4>5</vt:i4>
      </vt:variant>
      <vt:variant>
        <vt:lpwstr/>
      </vt:variant>
      <vt:variant>
        <vt:lpwstr>INDEX_ExGratia</vt:lpwstr>
      </vt:variant>
      <vt:variant>
        <vt:i4>3538946</vt:i4>
      </vt:variant>
      <vt:variant>
        <vt:i4>1092</vt:i4>
      </vt:variant>
      <vt:variant>
        <vt:i4>0</vt:i4>
      </vt:variant>
      <vt:variant>
        <vt:i4>5</vt:i4>
      </vt:variant>
      <vt:variant>
        <vt:lpwstr/>
      </vt:variant>
      <vt:variant>
        <vt:lpwstr>INDEX_DeptAdminAssetsNLiabilities</vt:lpwstr>
      </vt:variant>
      <vt:variant>
        <vt:i4>7143494</vt:i4>
      </vt:variant>
      <vt:variant>
        <vt:i4>1086</vt:i4>
      </vt:variant>
      <vt:variant>
        <vt:i4>0</vt:i4>
      </vt:variant>
      <vt:variant>
        <vt:i4>5</vt:i4>
      </vt:variant>
      <vt:variant>
        <vt:lpwstr/>
      </vt:variant>
      <vt:variant>
        <vt:lpwstr>RequirementsUnderSD5_2</vt:lpwstr>
      </vt:variant>
      <vt:variant>
        <vt:i4>7143494</vt:i4>
      </vt:variant>
      <vt:variant>
        <vt:i4>1080</vt:i4>
      </vt:variant>
      <vt:variant>
        <vt:i4>0</vt:i4>
      </vt:variant>
      <vt:variant>
        <vt:i4>5</vt:i4>
      </vt:variant>
      <vt:variant>
        <vt:lpwstr/>
      </vt:variant>
      <vt:variant>
        <vt:lpwstr>RequirementsUnderSD5_2</vt:lpwstr>
      </vt:variant>
      <vt:variant>
        <vt:i4>7143494</vt:i4>
      </vt:variant>
      <vt:variant>
        <vt:i4>1074</vt:i4>
      </vt:variant>
      <vt:variant>
        <vt:i4>0</vt:i4>
      </vt:variant>
      <vt:variant>
        <vt:i4>5</vt:i4>
      </vt:variant>
      <vt:variant>
        <vt:lpwstr/>
      </vt:variant>
      <vt:variant>
        <vt:lpwstr>RequirementsUnderSD5_2</vt:lpwstr>
      </vt:variant>
      <vt:variant>
        <vt:i4>3276801</vt:i4>
      </vt:variant>
      <vt:variant>
        <vt:i4>1071</vt:i4>
      </vt:variant>
      <vt:variant>
        <vt:i4>0</vt:i4>
      </vt:variant>
      <vt:variant>
        <vt:i4>5</vt:i4>
      </vt:variant>
      <vt:variant>
        <vt:lpwstr/>
      </vt:variant>
      <vt:variant>
        <vt:lpwstr>INDEX_ComplianceMinDirection</vt:lpwstr>
      </vt:variant>
      <vt:variant>
        <vt:i4>1310721</vt:i4>
      </vt:variant>
      <vt:variant>
        <vt:i4>1065</vt:i4>
      </vt:variant>
      <vt:variant>
        <vt:i4>0</vt:i4>
      </vt:variant>
      <vt:variant>
        <vt:i4>5</vt:i4>
      </vt:variant>
      <vt:variant>
        <vt:lpwstr/>
      </vt:variant>
      <vt:variant>
        <vt:lpwstr>DeclarationInRoO</vt:lpwstr>
      </vt:variant>
      <vt:variant>
        <vt:i4>5832821</vt:i4>
      </vt:variant>
      <vt:variant>
        <vt:i4>1059</vt:i4>
      </vt:variant>
      <vt:variant>
        <vt:i4>0</vt:i4>
      </vt:variant>
      <vt:variant>
        <vt:i4>5</vt:i4>
      </vt:variant>
      <vt:variant>
        <vt:lpwstr/>
      </vt:variant>
      <vt:variant>
        <vt:lpwstr>INDEX_AttestationSD</vt:lpwstr>
      </vt:variant>
      <vt:variant>
        <vt:i4>7143494</vt:i4>
      </vt:variant>
      <vt:variant>
        <vt:i4>1053</vt:i4>
      </vt:variant>
      <vt:variant>
        <vt:i4>0</vt:i4>
      </vt:variant>
      <vt:variant>
        <vt:i4>5</vt:i4>
      </vt:variant>
      <vt:variant>
        <vt:lpwstr/>
      </vt:variant>
      <vt:variant>
        <vt:lpwstr>RequirementsUnderSD5_2</vt:lpwstr>
      </vt:variant>
      <vt:variant>
        <vt:i4>6881361</vt:i4>
      </vt:variant>
      <vt:variant>
        <vt:i4>1047</vt:i4>
      </vt:variant>
      <vt:variant>
        <vt:i4>0</vt:i4>
      </vt:variant>
      <vt:variant>
        <vt:i4>5</vt:i4>
      </vt:variant>
      <vt:variant>
        <vt:lpwstr/>
      </vt:variant>
      <vt:variant>
        <vt:lpwstr>Report_Section3</vt:lpwstr>
      </vt:variant>
      <vt:variant>
        <vt:i4>5046387</vt:i4>
      </vt:variant>
      <vt:variant>
        <vt:i4>1041</vt:i4>
      </vt:variant>
      <vt:variant>
        <vt:i4>0</vt:i4>
      </vt:variant>
      <vt:variant>
        <vt:i4>5</vt:i4>
      </vt:variant>
      <vt:variant>
        <vt:lpwstr/>
      </vt:variant>
      <vt:variant>
        <vt:lpwstr>INDEX_VIPP</vt:lpwstr>
      </vt:variant>
      <vt:variant>
        <vt:i4>2097175</vt:i4>
      </vt:variant>
      <vt:variant>
        <vt:i4>1035</vt:i4>
      </vt:variant>
      <vt:variant>
        <vt:i4>0</vt:i4>
      </vt:variant>
      <vt:variant>
        <vt:i4>5</vt:i4>
      </vt:variant>
      <vt:variant>
        <vt:lpwstr/>
      </vt:variant>
      <vt:variant>
        <vt:lpwstr>INDEX_EnvironmentalReporting</vt:lpwstr>
      </vt:variant>
      <vt:variant>
        <vt:i4>6094970</vt:i4>
      </vt:variant>
      <vt:variant>
        <vt:i4>1029</vt:i4>
      </vt:variant>
      <vt:variant>
        <vt:i4>0</vt:i4>
      </vt:variant>
      <vt:variant>
        <vt:i4>5</vt:i4>
      </vt:variant>
      <vt:variant>
        <vt:lpwstr/>
      </vt:variant>
      <vt:variant>
        <vt:lpwstr>_Disclosure_of_procurement</vt:lpwstr>
      </vt:variant>
      <vt:variant>
        <vt:i4>3276828</vt:i4>
      </vt:variant>
      <vt:variant>
        <vt:i4>1023</vt:i4>
      </vt:variant>
      <vt:variant>
        <vt:i4>0</vt:i4>
      </vt:variant>
      <vt:variant>
        <vt:i4>5</vt:i4>
      </vt:variant>
      <vt:variant>
        <vt:lpwstr/>
      </vt:variant>
      <vt:variant>
        <vt:lpwstr>_Disclosure_of_social</vt:lpwstr>
      </vt:variant>
      <vt:variant>
        <vt:i4>5439589</vt:i4>
      </vt:variant>
      <vt:variant>
        <vt:i4>1017</vt:i4>
      </vt:variant>
      <vt:variant>
        <vt:i4>0</vt:i4>
      </vt:variant>
      <vt:variant>
        <vt:i4>5</vt:i4>
      </vt:variant>
      <vt:variant>
        <vt:lpwstr/>
      </vt:variant>
      <vt:variant>
        <vt:lpwstr>INDEX_EmergencyProcurement</vt:lpwstr>
      </vt:variant>
      <vt:variant>
        <vt:i4>2359323</vt:i4>
      </vt:variant>
      <vt:variant>
        <vt:i4>1011</vt:i4>
      </vt:variant>
      <vt:variant>
        <vt:i4>0</vt:i4>
      </vt:variant>
      <vt:variant>
        <vt:i4>5</vt:i4>
      </vt:variant>
      <vt:variant>
        <vt:lpwstr/>
      </vt:variant>
      <vt:variant>
        <vt:lpwstr>_Asset_Management_Accountability</vt:lpwstr>
      </vt:variant>
      <vt:variant>
        <vt:i4>3342341</vt:i4>
      </vt:variant>
      <vt:variant>
        <vt:i4>1005</vt:i4>
      </vt:variant>
      <vt:variant>
        <vt:i4>0</vt:i4>
      </vt:variant>
      <vt:variant>
        <vt:i4>5</vt:i4>
      </vt:variant>
      <vt:variant>
        <vt:lpwstr/>
      </vt:variant>
      <vt:variant>
        <vt:lpwstr>INDEX_AdditionalInfo</vt:lpwstr>
      </vt:variant>
      <vt:variant>
        <vt:i4>4849773</vt:i4>
      </vt:variant>
      <vt:variant>
        <vt:i4>999</vt:i4>
      </vt:variant>
      <vt:variant>
        <vt:i4>0</vt:i4>
      </vt:variant>
      <vt:variant>
        <vt:i4>5</vt:i4>
      </vt:variant>
      <vt:variant>
        <vt:lpwstr/>
      </vt:variant>
      <vt:variant>
        <vt:lpwstr>INDEX_ReviewsAndStudiesExp</vt:lpwstr>
      </vt:variant>
      <vt:variant>
        <vt:i4>2228240</vt:i4>
      </vt:variant>
      <vt:variant>
        <vt:i4>993</vt:i4>
      </vt:variant>
      <vt:variant>
        <vt:i4>0</vt:i4>
      </vt:variant>
      <vt:variant>
        <vt:i4>5</vt:i4>
      </vt:variant>
      <vt:variant>
        <vt:lpwstr/>
      </vt:variant>
      <vt:variant>
        <vt:lpwstr>INDEX_ICTexp</vt:lpwstr>
      </vt:variant>
      <vt:variant>
        <vt:i4>2686991</vt:i4>
      </vt:variant>
      <vt:variant>
        <vt:i4>987</vt:i4>
      </vt:variant>
      <vt:variant>
        <vt:i4>0</vt:i4>
      </vt:variant>
      <vt:variant>
        <vt:i4>5</vt:i4>
      </vt:variant>
      <vt:variant>
        <vt:lpwstr/>
      </vt:variant>
      <vt:variant>
        <vt:lpwstr>INDEX_AdvertisingExp</vt:lpwstr>
      </vt:variant>
      <vt:variant>
        <vt:i4>7471222</vt:i4>
      </vt:variant>
      <vt:variant>
        <vt:i4>981</vt:i4>
      </vt:variant>
      <vt:variant>
        <vt:i4>0</vt:i4>
      </vt:variant>
      <vt:variant>
        <vt:i4>5</vt:i4>
      </vt:variant>
      <vt:variant>
        <vt:lpwstr/>
      </vt:variant>
      <vt:variant>
        <vt:lpwstr>_Details_of_consultancies_1</vt:lpwstr>
      </vt:variant>
      <vt:variant>
        <vt:i4>2949125</vt:i4>
      </vt:variant>
      <vt:variant>
        <vt:i4>975</vt:i4>
      </vt:variant>
      <vt:variant>
        <vt:i4>0</vt:i4>
      </vt:variant>
      <vt:variant>
        <vt:i4>5</vt:i4>
      </vt:variant>
      <vt:variant>
        <vt:lpwstr/>
      </vt:variant>
      <vt:variant>
        <vt:lpwstr>_Details_of_consultancies</vt:lpwstr>
      </vt:variant>
      <vt:variant>
        <vt:i4>3932163</vt:i4>
      </vt:variant>
      <vt:variant>
        <vt:i4>969</vt:i4>
      </vt:variant>
      <vt:variant>
        <vt:i4>0</vt:i4>
      </vt:variant>
      <vt:variant>
        <vt:i4>5</vt:i4>
      </vt:variant>
      <vt:variant>
        <vt:lpwstr/>
      </vt:variant>
      <vt:variant>
        <vt:lpwstr>INDEX_CarersRecogAct</vt:lpwstr>
      </vt:variant>
      <vt:variant>
        <vt:i4>3014671</vt:i4>
      </vt:variant>
      <vt:variant>
        <vt:i4>963</vt:i4>
      </vt:variant>
      <vt:variant>
        <vt:i4>0</vt:i4>
      </vt:variant>
      <vt:variant>
        <vt:i4>5</vt:i4>
      </vt:variant>
      <vt:variant>
        <vt:lpwstr/>
      </vt:variant>
      <vt:variant>
        <vt:lpwstr>INDEX_ProtectedDisclosure</vt:lpwstr>
      </vt:variant>
      <vt:variant>
        <vt:i4>3342365</vt:i4>
      </vt:variant>
      <vt:variant>
        <vt:i4>957</vt:i4>
      </vt:variant>
      <vt:variant>
        <vt:i4>0</vt:i4>
      </vt:variant>
      <vt:variant>
        <vt:i4>5</vt:i4>
      </vt:variant>
      <vt:variant>
        <vt:lpwstr/>
      </vt:variant>
      <vt:variant>
        <vt:lpwstr>INDEX_CompetitiveNeutralityPolicy</vt:lpwstr>
      </vt:variant>
      <vt:variant>
        <vt:i4>2097173</vt:i4>
      </vt:variant>
      <vt:variant>
        <vt:i4>951</vt:i4>
      </vt:variant>
      <vt:variant>
        <vt:i4>0</vt:i4>
      </vt:variant>
      <vt:variant>
        <vt:i4>5</vt:i4>
      </vt:variant>
      <vt:variant>
        <vt:lpwstr/>
      </vt:variant>
      <vt:variant>
        <vt:lpwstr>INDEX_BuildingAct</vt:lpwstr>
      </vt:variant>
      <vt:variant>
        <vt:i4>3866643</vt:i4>
      </vt:variant>
      <vt:variant>
        <vt:i4>945</vt:i4>
      </vt:variant>
      <vt:variant>
        <vt:i4>0</vt:i4>
      </vt:variant>
      <vt:variant>
        <vt:i4>5</vt:i4>
      </vt:variant>
      <vt:variant>
        <vt:lpwstr/>
      </vt:variant>
      <vt:variant>
        <vt:lpwstr>INDEX_FOI</vt:lpwstr>
      </vt:variant>
      <vt:variant>
        <vt:i4>2752538</vt:i4>
      </vt:variant>
      <vt:variant>
        <vt:i4>939</vt:i4>
      </vt:variant>
      <vt:variant>
        <vt:i4>0</vt:i4>
      </vt:variant>
      <vt:variant>
        <vt:i4>5</vt:i4>
      </vt:variant>
      <vt:variant>
        <vt:lpwstr/>
      </vt:variant>
      <vt:variant>
        <vt:lpwstr>INDEX_SubsequentEvent</vt:lpwstr>
      </vt:variant>
      <vt:variant>
        <vt:i4>524330</vt:i4>
      </vt:variant>
      <vt:variant>
        <vt:i4>933</vt:i4>
      </vt:variant>
      <vt:variant>
        <vt:i4>0</vt:i4>
      </vt:variant>
      <vt:variant>
        <vt:i4>5</vt:i4>
      </vt:variant>
      <vt:variant>
        <vt:lpwstr/>
      </vt:variant>
      <vt:variant>
        <vt:lpwstr>INDEX_Sig_change_finposition</vt:lpwstr>
      </vt:variant>
      <vt:variant>
        <vt:i4>524330</vt:i4>
      </vt:variant>
      <vt:variant>
        <vt:i4>927</vt:i4>
      </vt:variant>
      <vt:variant>
        <vt:i4>0</vt:i4>
      </vt:variant>
      <vt:variant>
        <vt:i4>5</vt:i4>
      </vt:variant>
      <vt:variant>
        <vt:lpwstr/>
      </vt:variant>
      <vt:variant>
        <vt:lpwstr>INDEX_Sig_change_finposition</vt:lpwstr>
      </vt:variant>
      <vt:variant>
        <vt:i4>2883598</vt:i4>
      </vt:variant>
      <vt:variant>
        <vt:i4>921</vt:i4>
      </vt:variant>
      <vt:variant>
        <vt:i4>0</vt:i4>
      </vt:variant>
      <vt:variant>
        <vt:i4>5</vt:i4>
      </vt:variant>
      <vt:variant>
        <vt:lpwstr/>
      </vt:variant>
      <vt:variant>
        <vt:lpwstr>INDEX_Sum_Fin_Result</vt:lpwstr>
      </vt:variant>
      <vt:variant>
        <vt:i4>8323187</vt:i4>
      </vt:variant>
      <vt:variant>
        <vt:i4>915</vt:i4>
      </vt:variant>
      <vt:variant>
        <vt:i4>0</vt:i4>
      </vt:variant>
      <vt:variant>
        <vt:i4>5</vt:i4>
      </vt:variant>
      <vt:variant>
        <vt:lpwstr/>
      </vt:variant>
      <vt:variant>
        <vt:lpwstr>INDEX_OHS_policies</vt:lpwstr>
      </vt:variant>
      <vt:variant>
        <vt:i4>1310747</vt:i4>
      </vt:variant>
      <vt:variant>
        <vt:i4>909</vt:i4>
      </vt:variant>
      <vt:variant>
        <vt:i4>0</vt:i4>
      </vt:variant>
      <vt:variant>
        <vt:i4>5</vt:i4>
      </vt:variant>
      <vt:variant>
        <vt:lpwstr/>
      </vt:variant>
      <vt:variant>
        <vt:lpwstr>INDEXemploymentconductprinciples</vt:lpwstr>
      </vt:variant>
      <vt:variant>
        <vt:i4>6881400</vt:i4>
      </vt:variant>
      <vt:variant>
        <vt:i4>903</vt:i4>
      </vt:variant>
      <vt:variant>
        <vt:i4>0</vt:i4>
      </vt:variant>
      <vt:variant>
        <vt:i4>5</vt:i4>
      </vt:variant>
      <vt:variant>
        <vt:lpwstr/>
      </vt:variant>
      <vt:variant>
        <vt:lpwstr>_Executive_data</vt:lpwstr>
      </vt:variant>
      <vt:variant>
        <vt:i4>7340135</vt:i4>
      </vt:variant>
      <vt:variant>
        <vt:i4>897</vt:i4>
      </vt:variant>
      <vt:variant>
        <vt:i4>0</vt:i4>
      </vt:variant>
      <vt:variant>
        <vt:i4>5</vt:i4>
      </vt:variant>
      <vt:variant>
        <vt:lpwstr/>
      </vt:variant>
      <vt:variant>
        <vt:lpwstr>INDEXmajorcontract</vt:lpwstr>
      </vt:variant>
      <vt:variant>
        <vt:i4>458783</vt:i4>
      </vt:variant>
      <vt:variant>
        <vt:i4>888</vt:i4>
      </vt:variant>
      <vt:variant>
        <vt:i4>0</vt:i4>
      </vt:variant>
      <vt:variant>
        <vt:i4>5</vt:i4>
      </vt:variant>
      <vt:variant>
        <vt:lpwstr/>
      </vt:variant>
      <vt:variant>
        <vt:lpwstr>INDEXBudgetportfoliooutcomes</vt:lpwstr>
      </vt:variant>
      <vt:variant>
        <vt:i4>1441808</vt:i4>
      </vt:variant>
      <vt:variant>
        <vt:i4>882</vt:i4>
      </vt:variant>
      <vt:variant>
        <vt:i4>0</vt:i4>
      </vt:variant>
      <vt:variant>
        <vt:i4>5</vt:i4>
      </vt:variant>
      <vt:variant>
        <vt:lpwstr/>
      </vt:variant>
      <vt:variant>
        <vt:lpwstr>INDEXPerfAgainstOutp</vt:lpwstr>
      </vt:variant>
      <vt:variant>
        <vt:i4>262160</vt:i4>
      </vt:variant>
      <vt:variant>
        <vt:i4>876</vt:i4>
      </vt:variant>
      <vt:variant>
        <vt:i4>0</vt:i4>
      </vt:variant>
      <vt:variant>
        <vt:i4>5</vt:i4>
      </vt:variant>
      <vt:variant>
        <vt:lpwstr/>
      </vt:variant>
      <vt:variant>
        <vt:lpwstr>INDEXOrgStructure</vt:lpwstr>
      </vt:variant>
      <vt:variant>
        <vt:i4>6881361</vt:i4>
      </vt:variant>
      <vt:variant>
        <vt:i4>870</vt:i4>
      </vt:variant>
      <vt:variant>
        <vt:i4>0</vt:i4>
      </vt:variant>
      <vt:variant>
        <vt:i4>5</vt:i4>
      </vt:variant>
      <vt:variant>
        <vt:lpwstr/>
      </vt:variant>
      <vt:variant>
        <vt:lpwstr>Report_Section1</vt:lpwstr>
      </vt:variant>
      <vt:variant>
        <vt:i4>7209083</vt:i4>
      </vt:variant>
      <vt:variant>
        <vt:i4>864</vt:i4>
      </vt:variant>
      <vt:variant>
        <vt:i4>0</vt:i4>
      </vt:variant>
      <vt:variant>
        <vt:i4>5</vt:i4>
      </vt:variant>
      <vt:variant>
        <vt:lpwstr/>
      </vt:variant>
      <vt:variant>
        <vt:lpwstr>INDEXKeyInitiatives</vt:lpwstr>
      </vt:variant>
      <vt:variant>
        <vt:i4>1703942</vt:i4>
      </vt:variant>
      <vt:variant>
        <vt:i4>858</vt:i4>
      </vt:variant>
      <vt:variant>
        <vt:i4>0</vt:i4>
      </vt:variant>
      <vt:variant>
        <vt:i4>5</vt:i4>
      </vt:variant>
      <vt:variant>
        <vt:lpwstr/>
      </vt:variant>
      <vt:variant>
        <vt:lpwstr>INDEXDeptObj</vt:lpwstr>
      </vt:variant>
      <vt:variant>
        <vt:i4>1376267</vt:i4>
      </vt:variant>
      <vt:variant>
        <vt:i4>852</vt:i4>
      </vt:variant>
      <vt:variant>
        <vt:i4>0</vt:i4>
      </vt:variant>
      <vt:variant>
        <vt:i4>5</vt:i4>
      </vt:variant>
      <vt:variant>
        <vt:lpwstr/>
      </vt:variant>
      <vt:variant>
        <vt:lpwstr>INDEXPurposeFunc</vt:lpwstr>
      </vt:variant>
      <vt:variant>
        <vt:i4>6881361</vt:i4>
      </vt:variant>
      <vt:variant>
        <vt:i4>846</vt:i4>
      </vt:variant>
      <vt:variant>
        <vt:i4>0</vt:i4>
      </vt:variant>
      <vt:variant>
        <vt:i4>5</vt:i4>
      </vt:variant>
      <vt:variant>
        <vt:lpwstr/>
      </vt:variant>
      <vt:variant>
        <vt:lpwstr>Report_Section1</vt:lpwstr>
      </vt:variant>
      <vt:variant>
        <vt:i4>8060967</vt:i4>
      </vt:variant>
      <vt:variant>
        <vt:i4>843</vt:i4>
      </vt:variant>
      <vt:variant>
        <vt:i4>0</vt:i4>
      </vt:variant>
      <vt:variant>
        <vt:i4>5</vt:i4>
      </vt:variant>
      <vt:variant>
        <vt:lpwstr>https://www.dtf.vic.gov.au/infrastructure-investment/asset-management-accountability-framework</vt:lpwstr>
      </vt:variant>
      <vt:variant>
        <vt:lpwstr/>
      </vt:variant>
      <vt:variant>
        <vt:i4>8060967</vt:i4>
      </vt:variant>
      <vt:variant>
        <vt:i4>840</vt:i4>
      </vt:variant>
      <vt:variant>
        <vt:i4>0</vt:i4>
      </vt:variant>
      <vt:variant>
        <vt:i4>5</vt:i4>
      </vt:variant>
      <vt:variant>
        <vt:lpwstr>https://www.dtf.vic.gov.au/infrastructure-investment/asset-management-accountability-framework</vt:lpwstr>
      </vt:variant>
      <vt:variant>
        <vt:lpwstr/>
      </vt:variant>
      <vt:variant>
        <vt:i4>4194388</vt:i4>
      </vt:variant>
      <vt:variant>
        <vt:i4>837</vt:i4>
      </vt:variant>
      <vt:variant>
        <vt:i4>0</vt:i4>
      </vt:variant>
      <vt:variant>
        <vt:i4>5</vt:i4>
      </vt:variant>
      <vt:variant>
        <vt:lpwstr>http://www.data.vic.gov.au/datavic-access-policy</vt:lpwstr>
      </vt:variant>
      <vt:variant>
        <vt:lpwstr/>
      </vt:variant>
      <vt:variant>
        <vt:i4>327739</vt:i4>
      </vt:variant>
      <vt:variant>
        <vt:i4>834</vt:i4>
      </vt:variant>
      <vt:variant>
        <vt:i4>0</vt:i4>
      </vt:variant>
      <vt:variant>
        <vt:i4>5</vt:i4>
      </vt:variant>
      <vt:variant>
        <vt:lpwstr>mailto:datavic@dpc.vic.gov.au</vt:lpwstr>
      </vt:variant>
      <vt:variant>
        <vt:lpwstr/>
      </vt:variant>
      <vt:variant>
        <vt:i4>8323182</vt:i4>
      </vt:variant>
      <vt:variant>
        <vt:i4>831</vt:i4>
      </vt:variant>
      <vt:variant>
        <vt:i4>0</vt:i4>
      </vt:variant>
      <vt:variant>
        <vt:i4>5</vt:i4>
      </vt:variant>
      <vt:variant>
        <vt:lpwstr>https://directory.data.vic.gov.au/</vt:lpwstr>
      </vt:variant>
      <vt:variant>
        <vt:lpwstr/>
      </vt:variant>
      <vt:variant>
        <vt:i4>2162744</vt:i4>
      </vt:variant>
      <vt:variant>
        <vt:i4>828</vt:i4>
      </vt:variant>
      <vt:variant>
        <vt:i4>0</vt:i4>
      </vt:variant>
      <vt:variant>
        <vt:i4>5</vt:i4>
      </vt:variant>
      <vt:variant>
        <vt:lpwstr>https://prov.vic.gov.au/recordkeeping-government/learning-resources-tools/information-management-maturity-measurement-tool-im3</vt:lpwstr>
      </vt:variant>
      <vt:variant>
        <vt:lpwstr/>
      </vt:variant>
      <vt:variant>
        <vt:i4>131085</vt:i4>
      </vt:variant>
      <vt:variant>
        <vt:i4>825</vt:i4>
      </vt:variant>
      <vt:variant>
        <vt:i4>0</vt:i4>
      </vt:variant>
      <vt:variant>
        <vt:i4>5</vt:i4>
      </vt:variant>
      <vt:variant>
        <vt:lpwstr>https://www.data.vic.gov.au/</vt:lpwstr>
      </vt:variant>
      <vt:variant>
        <vt:lpwstr/>
      </vt:variant>
      <vt:variant>
        <vt:i4>5963795</vt:i4>
      </vt:variant>
      <vt:variant>
        <vt:i4>819</vt:i4>
      </vt:variant>
      <vt:variant>
        <vt:i4>0</vt:i4>
      </vt:variant>
      <vt:variant>
        <vt:i4>5</vt:i4>
      </vt:variant>
      <vt:variant>
        <vt:lpwstr>https://www.dtf.vic.gov.au/financial-reporting-policy/financial-reporting-directions-and-guidance</vt:lpwstr>
      </vt:variant>
      <vt:variant>
        <vt:lpwstr/>
      </vt:variant>
      <vt:variant>
        <vt:i4>5963795</vt:i4>
      </vt:variant>
      <vt:variant>
        <vt:i4>696</vt:i4>
      </vt:variant>
      <vt:variant>
        <vt:i4>0</vt:i4>
      </vt:variant>
      <vt:variant>
        <vt:i4>5</vt:i4>
      </vt:variant>
      <vt:variant>
        <vt:lpwstr>https://www.dtf.vic.gov.au/financial-reporting-policy/financial-reporting-directions-and-guidance</vt:lpwstr>
      </vt:variant>
      <vt:variant>
        <vt:lpwstr/>
      </vt:variant>
      <vt:variant>
        <vt:i4>7274550</vt:i4>
      </vt:variant>
      <vt:variant>
        <vt:i4>693</vt:i4>
      </vt:variant>
      <vt:variant>
        <vt:i4>0</vt:i4>
      </vt:variant>
      <vt:variant>
        <vt:i4>5</vt:i4>
      </vt:variant>
      <vt:variant>
        <vt:lpwstr>http://www.opv.vic.gov.au/files/sharedassets/public-opv/publications/opv-sustainable-investment-guidelines.docx</vt:lpwstr>
      </vt:variant>
      <vt:variant>
        <vt:lpwstr/>
      </vt:variant>
      <vt:variant>
        <vt:i4>7274595</vt:i4>
      </vt:variant>
      <vt:variant>
        <vt:i4>690</vt:i4>
      </vt:variant>
      <vt:variant>
        <vt:i4>0</vt:i4>
      </vt:variant>
      <vt:variant>
        <vt:i4>5</vt:i4>
      </vt:variant>
      <vt:variant>
        <vt:lpwstr>https://www.vic.gov.au/victorias-plan-circular-economy</vt:lpwstr>
      </vt:variant>
      <vt:variant>
        <vt:lpwstr/>
      </vt:variant>
      <vt:variant>
        <vt:i4>262214</vt:i4>
      </vt:variant>
      <vt:variant>
        <vt:i4>687</vt:i4>
      </vt:variant>
      <vt:variant>
        <vt:i4>0</vt:i4>
      </vt:variant>
      <vt:variant>
        <vt:i4>5</vt:i4>
      </vt:variant>
      <vt:variant>
        <vt:lpwstr>https://www.energy.vic.gov.au/renewable-energy/victorian-renewable-energy-and-storage-targets</vt:lpwstr>
      </vt:variant>
      <vt:variant>
        <vt:lpwstr/>
      </vt:variant>
      <vt:variant>
        <vt:i4>7405660</vt:i4>
      </vt:variant>
      <vt:variant>
        <vt:i4>684</vt:i4>
      </vt:variant>
      <vt:variant>
        <vt:i4>0</vt:i4>
      </vt:variant>
      <vt:variant>
        <vt:i4>5</vt:i4>
      </vt:variant>
      <vt:variant>
        <vt:lpwstr>https://www.climatechange.vic.gov.au/__data/assets/pdf_file/0034/522799/WoG-sector-pledge-full-colour.pdf</vt:lpwstr>
      </vt:variant>
      <vt:variant>
        <vt:lpwstr/>
      </vt:variant>
      <vt:variant>
        <vt:i4>2752621</vt:i4>
      </vt:variant>
      <vt:variant>
        <vt:i4>681</vt:i4>
      </vt:variant>
      <vt:variant>
        <vt:i4>0</vt:i4>
      </vt:variant>
      <vt:variant>
        <vt:i4>5</vt:i4>
      </vt:variant>
      <vt:variant>
        <vt:lpwstr>https://www.climatechange.vic.gov.au/victorias-climate-change-strategy</vt:lpwstr>
      </vt:variant>
      <vt:variant>
        <vt:lpwstr/>
      </vt:variant>
      <vt:variant>
        <vt:i4>1441820</vt:i4>
      </vt:variant>
      <vt:variant>
        <vt:i4>678</vt:i4>
      </vt:variant>
      <vt:variant>
        <vt:i4>0</vt:i4>
      </vt:variant>
      <vt:variant>
        <vt:i4>5</vt:i4>
      </vt:variant>
      <vt:variant>
        <vt:lpwstr>https://www.legislation.vic.gov.au/in-force/acts/climate-change-act-2017/</vt:lpwstr>
      </vt:variant>
      <vt:variant>
        <vt:lpwstr/>
      </vt:variant>
      <vt:variant>
        <vt:i4>6422640</vt:i4>
      </vt:variant>
      <vt:variant>
        <vt:i4>672</vt:i4>
      </vt:variant>
      <vt:variant>
        <vt:i4>0</vt:i4>
      </vt:variant>
      <vt:variant>
        <vt:i4>5</vt:i4>
      </vt:variant>
      <vt:variant>
        <vt:lpwstr>mailto:</vt:lpwstr>
      </vt:variant>
      <vt:variant>
        <vt:lpwstr/>
      </vt:variant>
      <vt:variant>
        <vt:i4>2555980</vt:i4>
      </vt:variant>
      <vt:variant>
        <vt:i4>669</vt:i4>
      </vt:variant>
      <vt:variant>
        <vt:i4>0</vt:i4>
      </vt:variant>
      <vt:variant>
        <vt:i4>5</vt:i4>
      </vt:variant>
      <vt:variant>
        <vt:lpwstr>mailto:social.procurement@dgs.vic.gov.au</vt:lpwstr>
      </vt:variant>
      <vt:variant>
        <vt:lpwstr/>
      </vt:variant>
      <vt:variant>
        <vt:i4>7929965</vt:i4>
      </vt:variant>
      <vt:variant>
        <vt:i4>666</vt:i4>
      </vt:variant>
      <vt:variant>
        <vt:i4>0</vt:i4>
      </vt:variant>
      <vt:variant>
        <vt:i4>5</vt:i4>
      </vt:variant>
      <vt:variant>
        <vt:lpwstr>https://www.buyingfor.vic.gov.au/social-and-sustainable-procurement-objectives-and-outcomes</vt:lpwstr>
      </vt:variant>
      <vt:variant>
        <vt:lpwstr/>
      </vt:variant>
      <vt:variant>
        <vt:i4>917575</vt:i4>
      </vt:variant>
      <vt:variant>
        <vt:i4>645</vt:i4>
      </vt:variant>
      <vt:variant>
        <vt:i4>0</vt:i4>
      </vt:variant>
      <vt:variant>
        <vt:i4>5</vt:i4>
      </vt:variant>
      <vt:variant>
        <vt:lpwstr>https://www.vic.gov.au/state-disability-plan</vt:lpwstr>
      </vt:variant>
      <vt:variant>
        <vt:lpwstr/>
      </vt:variant>
      <vt:variant>
        <vt:i4>3538951</vt:i4>
      </vt:variant>
      <vt:variant>
        <vt:i4>642</vt:i4>
      </vt:variant>
      <vt:variant>
        <vt:i4>0</vt:i4>
      </vt:variant>
      <vt:variant>
        <vt:i4>5</vt:i4>
      </vt:variant>
      <vt:variant>
        <vt:lpwstr>mailto:ofd@dffh.vic.gov.au</vt:lpwstr>
      </vt:variant>
      <vt:variant>
        <vt:lpwstr/>
      </vt:variant>
      <vt:variant>
        <vt:i4>196629</vt:i4>
      </vt:variant>
      <vt:variant>
        <vt:i4>633</vt:i4>
      </vt:variant>
      <vt:variant>
        <vt:i4>0</vt:i4>
      </vt:variant>
      <vt:variant>
        <vt:i4>5</vt:i4>
      </vt:variant>
      <vt:variant>
        <vt:lpwstr>https://www.ibac.vic.gov.au/</vt:lpwstr>
      </vt:variant>
      <vt:variant>
        <vt:lpwstr/>
      </vt:variant>
      <vt:variant>
        <vt:i4>6750240</vt:i4>
      </vt:variant>
      <vt:variant>
        <vt:i4>630</vt:i4>
      </vt:variant>
      <vt:variant>
        <vt:i4>0</vt:i4>
      </vt:variant>
      <vt:variant>
        <vt:i4>5</vt:i4>
      </vt:variant>
      <vt:variant>
        <vt:lpwstr>http://www.betterregulation.vic.gov.au/</vt:lpwstr>
      </vt:variant>
      <vt:variant>
        <vt:lpwstr/>
      </vt:variant>
      <vt:variant>
        <vt:i4>5111835</vt:i4>
      </vt:variant>
      <vt:variant>
        <vt:i4>627</vt:i4>
      </vt:variant>
      <vt:variant>
        <vt:i4>0</vt:i4>
      </vt:variant>
      <vt:variant>
        <vt:i4>5</vt:i4>
      </vt:variant>
      <vt:variant>
        <vt:lpwstr>https://ovic.vic.gov.au/</vt:lpwstr>
      </vt:variant>
      <vt:variant>
        <vt:lpwstr/>
      </vt:variant>
      <vt:variant>
        <vt:i4>7143550</vt:i4>
      </vt:variant>
      <vt:variant>
        <vt:i4>609</vt:i4>
      </vt:variant>
      <vt:variant>
        <vt:i4>0</vt:i4>
      </vt:variant>
      <vt:variant>
        <vt:i4>5</vt:i4>
      </vt:variant>
      <vt:variant>
        <vt:lpwstr>http://www.tenders.vic.gov.au/</vt:lpwstr>
      </vt:variant>
      <vt:variant>
        <vt:lpwstr/>
      </vt:variant>
      <vt:variant>
        <vt:i4>6815840</vt:i4>
      </vt:variant>
      <vt:variant>
        <vt:i4>603</vt:i4>
      </vt:variant>
      <vt:variant>
        <vt:i4>0</vt:i4>
      </vt:variant>
      <vt:variant>
        <vt:i4>5</vt:i4>
      </vt:variant>
      <vt:variant>
        <vt:lpwstr>http://www.vic.gov.au/it-project-and-expenditure-reporting-standard-and-guidelines</vt:lpwstr>
      </vt:variant>
      <vt:variant>
        <vt:lpwstr/>
      </vt:variant>
      <vt:variant>
        <vt:i4>4849673</vt:i4>
      </vt:variant>
      <vt:variant>
        <vt:i4>597</vt:i4>
      </vt:variant>
      <vt:variant>
        <vt:i4>0</vt:i4>
      </vt:variant>
      <vt:variant>
        <vt:i4>5</vt:i4>
      </vt:variant>
      <vt:variant>
        <vt:lpwstr>https://www.dtf.vic.gov.au/sites/default/files/2024-10/Guidance-note-to-financial-reporting-direction-FRD-22.docx</vt:lpwstr>
      </vt:variant>
      <vt:variant>
        <vt:lpwstr/>
      </vt:variant>
      <vt:variant>
        <vt:i4>3145793</vt:i4>
      </vt:variant>
      <vt:variant>
        <vt:i4>522</vt:i4>
      </vt:variant>
      <vt:variant>
        <vt:i4>0</vt:i4>
      </vt:variant>
      <vt:variant>
        <vt:i4>5</vt:i4>
      </vt:variant>
      <vt:variant>
        <vt:lpwstr>mailto:workforce.data@vpsc.vic.gov.au</vt:lpwstr>
      </vt:variant>
      <vt:variant>
        <vt:lpwstr/>
      </vt:variant>
      <vt:variant>
        <vt:i4>3145793</vt:i4>
      </vt:variant>
      <vt:variant>
        <vt:i4>495</vt:i4>
      </vt:variant>
      <vt:variant>
        <vt:i4>0</vt:i4>
      </vt:variant>
      <vt:variant>
        <vt:i4>5</vt:i4>
      </vt:variant>
      <vt:variant>
        <vt:lpwstr>mailto:workforce.data@vpsc.vic.gov.au</vt:lpwstr>
      </vt:variant>
      <vt:variant>
        <vt:lpwstr/>
      </vt:variant>
      <vt:variant>
        <vt:i4>4718616</vt:i4>
      </vt:variant>
      <vt:variant>
        <vt:i4>477</vt:i4>
      </vt:variant>
      <vt:variant>
        <vt:i4>0</vt:i4>
      </vt:variant>
      <vt:variant>
        <vt:i4>5</vt:i4>
      </vt:variant>
      <vt:variant>
        <vt:lpwstr>https://vpsc.vic.gov.au/</vt:lpwstr>
      </vt:variant>
      <vt:variant>
        <vt:lpwstr/>
      </vt:variant>
      <vt:variant>
        <vt:i4>1966099</vt:i4>
      </vt:variant>
      <vt:variant>
        <vt:i4>369</vt:i4>
      </vt:variant>
      <vt:variant>
        <vt:i4>0</vt:i4>
      </vt:variant>
      <vt:variant>
        <vt:i4>5</vt:i4>
      </vt:variant>
      <vt:variant>
        <vt:lpwstr>http://www.dtf.vic.gov.au/planning-budgeting-and-financial-reporting-frameworks/resource-management-framework</vt:lpwstr>
      </vt:variant>
      <vt:variant>
        <vt:lpwstr/>
      </vt:variant>
      <vt:variant>
        <vt:i4>2490401</vt:i4>
      </vt:variant>
      <vt:variant>
        <vt:i4>270</vt:i4>
      </vt:variant>
      <vt:variant>
        <vt:i4>0</vt:i4>
      </vt:variant>
      <vt:variant>
        <vt:i4>5</vt:i4>
      </vt:variant>
      <vt:variant>
        <vt:lpwstr>http://www.dtf.vic.gov.au/financial-management-government/machinery-government-changes-vps-operating-manual</vt:lpwstr>
      </vt:variant>
      <vt:variant>
        <vt:lpwstr/>
      </vt:variant>
      <vt:variant>
        <vt:i4>1769533</vt:i4>
      </vt:variant>
      <vt:variant>
        <vt:i4>221</vt:i4>
      </vt:variant>
      <vt:variant>
        <vt:i4>0</vt:i4>
      </vt:variant>
      <vt:variant>
        <vt:i4>5</vt:i4>
      </vt:variant>
      <vt:variant>
        <vt:lpwstr/>
      </vt:variant>
      <vt:variant>
        <vt:lpwstr>_Toc65769758</vt:lpwstr>
      </vt:variant>
      <vt:variant>
        <vt:i4>1310781</vt:i4>
      </vt:variant>
      <vt:variant>
        <vt:i4>215</vt:i4>
      </vt:variant>
      <vt:variant>
        <vt:i4>0</vt:i4>
      </vt:variant>
      <vt:variant>
        <vt:i4>5</vt:i4>
      </vt:variant>
      <vt:variant>
        <vt:lpwstr/>
      </vt:variant>
      <vt:variant>
        <vt:lpwstr>_Toc65769757</vt:lpwstr>
      </vt:variant>
      <vt:variant>
        <vt:i4>1376317</vt:i4>
      </vt:variant>
      <vt:variant>
        <vt:i4>209</vt:i4>
      </vt:variant>
      <vt:variant>
        <vt:i4>0</vt:i4>
      </vt:variant>
      <vt:variant>
        <vt:i4>5</vt:i4>
      </vt:variant>
      <vt:variant>
        <vt:lpwstr/>
      </vt:variant>
      <vt:variant>
        <vt:lpwstr>_Toc65769756</vt:lpwstr>
      </vt:variant>
      <vt:variant>
        <vt:i4>1441853</vt:i4>
      </vt:variant>
      <vt:variant>
        <vt:i4>203</vt:i4>
      </vt:variant>
      <vt:variant>
        <vt:i4>0</vt:i4>
      </vt:variant>
      <vt:variant>
        <vt:i4>5</vt:i4>
      </vt:variant>
      <vt:variant>
        <vt:lpwstr/>
      </vt:variant>
      <vt:variant>
        <vt:lpwstr>_Toc65769755</vt:lpwstr>
      </vt:variant>
      <vt:variant>
        <vt:i4>1507389</vt:i4>
      </vt:variant>
      <vt:variant>
        <vt:i4>197</vt:i4>
      </vt:variant>
      <vt:variant>
        <vt:i4>0</vt:i4>
      </vt:variant>
      <vt:variant>
        <vt:i4>5</vt:i4>
      </vt:variant>
      <vt:variant>
        <vt:lpwstr/>
      </vt:variant>
      <vt:variant>
        <vt:lpwstr>_Toc65769754</vt:lpwstr>
      </vt:variant>
      <vt:variant>
        <vt:i4>1900600</vt:i4>
      </vt:variant>
      <vt:variant>
        <vt:i4>188</vt:i4>
      </vt:variant>
      <vt:variant>
        <vt:i4>0</vt:i4>
      </vt:variant>
      <vt:variant>
        <vt:i4>5</vt:i4>
      </vt:variant>
      <vt:variant>
        <vt:lpwstr/>
      </vt:variant>
      <vt:variant>
        <vt:lpwstr>_Toc130288134</vt:lpwstr>
      </vt:variant>
      <vt:variant>
        <vt:i4>1900600</vt:i4>
      </vt:variant>
      <vt:variant>
        <vt:i4>182</vt:i4>
      </vt:variant>
      <vt:variant>
        <vt:i4>0</vt:i4>
      </vt:variant>
      <vt:variant>
        <vt:i4>5</vt:i4>
      </vt:variant>
      <vt:variant>
        <vt:lpwstr/>
      </vt:variant>
      <vt:variant>
        <vt:lpwstr>_Toc130288133</vt:lpwstr>
      </vt:variant>
      <vt:variant>
        <vt:i4>1900600</vt:i4>
      </vt:variant>
      <vt:variant>
        <vt:i4>176</vt:i4>
      </vt:variant>
      <vt:variant>
        <vt:i4>0</vt:i4>
      </vt:variant>
      <vt:variant>
        <vt:i4>5</vt:i4>
      </vt:variant>
      <vt:variant>
        <vt:lpwstr/>
      </vt:variant>
      <vt:variant>
        <vt:lpwstr>_Toc130288132</vt:lpwstr>
      </vt:variant>
      <vt:variant>
        <vt:i4>1900600</vt:i4>
      </vt:variant>
      <vt:variant>
        <vt:i4>170</vt:i4>
      </vt:variant>
      <vt:variant>
        <vt:i4>0</vt:i4>
      </vt:variant>
      <vt:variant>
        <vt:i4>5</vt:i4>
      </vt:variant>
      <vt:variant>
        <vt:lpwstr/>
      </vt:variant>
      <vt:variant>
        <vt:lpwstr>_Toc130288131</vt:lpwstr>
      </vt:variant>
      <vt:variant>
        <vt:i4>1900600</vt:i4>
      </vt:variant>
      <vt:variant>
        <vt:i4>164</vt:i4>
      </vt:variant>
      <vt:variant>
        <vt:i4>0</vt:i4>
      </vt:variant>
      <vt:variant>
        <vt:i4>5</vt:i4>
      </vt:variant>
      <vt:variant>
        <vt:lpwstr/>
      </vt:variant>
      <vt:variant>
        <vt:lpwstr>_Toc130288130</vt:lpwstr>
      </vt:variant>
      <vt:variant>
        <vt:i4>1835064</vt:i4>
      </vt:variant>
      <vt:variant>
        <vt:i4>158</vt:i4>
      </vt:variant>
      <vt:variant>
        <vt:i4>0</vt:i4>
      </vt:variant>
      <vt:variant>
        <vt:i4>5</vt:i4>
      </vt:variant>
      <vt:variant>
        <vt:lpwstr/>
      </vt:variant>
      <vt:variant>
        <vt:lpwstr>_Toc130288129</vt:lpwstr>
      </vt:variant>
      <vt:variant>
        <vt:i4>5242888</vt:i4>
      </vt:variant>
      <vt:variant>
        <vt:i4>153</vt:i4>
      </vt:variant>
      <vt:variant>
        <vt:i4>0</vt:i4>
      </vt:variant>
      <vt:variant>
        <vt:i4>5</vt:i4>
      </vt:variant>
      <vt:variant>
        <vt:lpwstr>https://www.dtf.vic.gov.au/economic-and-financial-updates</vt:lpwstr>
      </vt:variant>
      <vt:variant>
        <vt:lpwstr/>
      </vt:variant>
      <vt:variant>
        <vt:i4>7667767</vt:i4>
      </vt:variant>
      <vt:variant>
        <vt:i4>150</vt:i4>
      </vt:variant>
      <vt:variant>
        <vt:i4>0</vt:i4>
      </vt:variant>
      <vt:variant>
        <vt:i4>5</vt:i4>
      </vt:variant>
      <vt:variant>
        <vt:lpwstr>https://www.dtf.vic.gov.au/state-budget</vt:lpwstr>
      </vt:variant>
      <vt:variant>
        <vt:lpwstr/>
      </vt:variant>
      <vt:variant>
        <vt:i4>6357034</vt:i4>
      </vt:variant>
      <vt:variant>
        <vt:i4>147</vt:i4>
      </vt:variant>
      <vt:variant>
        <vt:i4>0</vt:i4>
      </vt:variant>
      <vt:variant>
        <vt:i4>5</vt:i4>
      </vt:variant>
      <vt:variant>
        <vt:lpwstr>http://www.dtf.vic.gov.au/state-financial-reports/financial-report-inc-quarterly-financial-report-no-4</vt:lpwstr>
      </vt:variant>
      <vt:variant>
        <vt:lpwstr/>
      </vt:variant>
      <vt:variant>
        <vt:i4>1966099</vt:i4>
      </vt:variant>
      <vt:variant>
        <vt:i4>138</vt:i4>
      </vt:variant>
      <vt:variant>
        <vt:i4>0</vt:i4>
      </vt:variant>
      <vt:variant>
        <vt:i4>5</vt:i4>
      </vt:variant>
      <vt:variant>
        <vt:lpwstr>http://www.dtf.vic.gov.au/planning-budgeting-and-financial-reporting-frameworks/resource-management-framework</vt:lpwstr>
      </vt:variant>
      <vt:variant>
        <vt:lpwstr/>
      </vt:variant>
      <vt:variant>
        <vt:i4>1835064</vt:i4>
      </vt:variant>
      <vt:variant>
        <vt:i4>128</vt:i4>
      </vt:variant>
      <vt:variant>
        <vt:i4>0</vt:i4>
      </vt:variant>
      <vt:variant>
        <vt:i4>5</vt:i4>
      </vt:variant>
      <vt:variant>
        <vt:lpwstr/>
      </vt:variant>
      <vt:variant>
        <vt:lpwstr>_Toc199156554</vt:lpwstr>
      </vt:variant>
      <vt:variant>
        <vt:i4>1835064</vt:i4>
      </vt:variant>
      <vt:variant>
        <vt:i4>122</vt:i4>
      </vt:variant>
      <vt:variant>
        <vt:i4>0</vt:i4>
      </vt:variant>
      <vt:variant>
        <vt:i4>5</vt:i4>
      </vt:variant>
      <vt:variant>
        <vt:lpwstr/>
      </vt:variant>
      <vt:variant>
        <vt:lpwstr>_Toc199156553</vt:lpwstr>
      </vt:variant>
      <vt:variant>
        <vt:i4>1835064</vt:i4>
      </vt:variant>
      <vt:variant>
        <vt:i4>116</vt:i4>
      </vt:variant>
      <vt:variant>
        <vt:i4>0</vt:i4>
      </vt:variant>
      <vt:variant>
        <vt:i4>5</vt:i4>
      </vt:variant>
      <vt:variant>
        <vt:lpwstr/>
      </vt:variant>
      <vt:variant>
        <vt:lpwstr>_Toc199156552</vt:lpwstr>
      </vt:variant>
      <vt:variant>
        <vt:i4>1835064</vt:i4>
      </vt:variant>
      <vt:variant>
        <vt:i4>110</vt:i4>
      </vt:variant>
      <vt:variant>
        <vt:i4>0</vt:i4>
      </vt:variant>
      <vt:variant>
        <vt:i4>5</vt:i4>
      </vt:variant>
      <vt:variant>
        <vt:lpwstr/>
      </vt:variant>
      <vt:variant>
        <vt:lpwstr>_Toc199156551</vt:lpwstr>
      </vt:variant>
      <vt:variant>
        <vt:i4>1835064</vt:i4>
      </vt:variant>
      <vt:variant>
        <vt:i4>104</vt:i4>
      </vt:variant>
      <vt:variant>
        <vt:i4>0</vt:i4>
      </vt:variant>
      <vt:variant>
        <vt:i4>5</vt:i4>
      </vt:variant>
      <vt:variant>
        <vt:lpwstr/>
      </vt:variant>
      <vt:variant>
        <vt:lpwstr>_Toc199156550</vt:lpwstr>
      </vt:variant>
      <vt:variant>
        <vt:i4>1900600</vt:i4>
      </vt:variant>
      <vt:variant>
        <vt:i4>98</vt:i4>
      </vt:variant>
      <vt:variant>
        <vt:i4>0</vt:i4>
      </vt:variant>
      <vt:variant>
        <vt:i4>5</vt:i4>
      </vt:variant>
      <vt:variant>
        <vt:lpwstr/>
      </vt:variant>
      <vt:variant>
        <vt:lpwstr>_Toc199156549</vt:lpwstr>
      </vt:variant>
      <vt:variant>
        <vt:i4>1638457</vt:i4>
      </vt:variant>
      <vt:variant>
        <vt:i4>89</vt:i4>
      </vt:variant>
      <vt:variant>
        <vt:i4>0</vt:i4>
      </vt:variant>
      <vt:variant>
        <vt:i4>5</vt:i4>
      </vt:variant>
      <vt:variant>
        <vt:lpwstr/>
      </vt:variant>
      <vt:variant>
        <vt:lpwstr>_Toc199167712</vt:lpwstr>
      </vt:variant>
      <vt:variant>
        <vt:i4>1638457</vt:i4>
      </vt:variant>
      <vt:variant>
        <vt:i4>83</vt:i4>
      </vt:variant>
      <vt:variant>
        <vt:i4>0</vt:i4>
      </vt:variant>
      <vt:variant>
        <vt:i4>5</vt:i4>
      </vt:variant>
      <vt:variant>
        <vt:lpwstr/>
      </vt:variant>
      <vt:variant>
        <vt:lpwstr>_Toc199167711</vt:lpwstr>
      </vt:variant>
      <vt:variant>
        <vt:i4>1638457</vt:i4>
      </vt:variant>
      <vt:variant>
        <vt:i4>77</vt:i4>
      </vt:variant>
      <vt:variant>
        <vt:i4>0</vt:i4>
      </vt:variant>
      <vt:variant>
        <vt:i4>5</vt:i4>
      </vt:variant>
      <vt:variant>
        <vt:lpwstr/>
      </vt:variant>
      <vt:variant>
        <vt:lpwstr>_Toc199167710</vt:lpwstr>
      </vt:variant>
      <vt:variant>
        <vt:i4>1572921</vt:i4>
      </vt:variant>
      <vt:variant>
        <vt:i4>71</vt:i4>
      </vt:variant>
      <vt:variant>
        <vt:i4>0</vt:i4>
      </vt:variant>
      <vt:variant>
        <vt:i4>5</vt:i4>
      </vt:variant>
      <vt:variant>
        <vt:lpwstr/>
      </vt:variant>
      <vt:variant>
        <vt:lpwstr>_Toc199167709</vt:lpwstr>
      </vt:variant>
      <vt:variant>
        <vt:i4>1572921</vt:i4>
      </vt:variant>
      <vt:variant>
        <vt:i4>65</vt:i4>
      </vt:variant>
      <vt:variant>
        <vt:i4>0</vt:i4>
      </vt:variant>
      <vt:variant>
        <vt:i4>5</vt:i4>
      </vt:variant>
      <vt:variant>
        <vt:lpwstr/>
      </vt:variant>
      <vt:variant>
        <vt:lpwstr>_Toc199167708</vt:lpwstr>
      </vt:variant>
      <vt:variant>
        <vt:i4>1572921</vt:i4>
      </vt:variant>
      <vt:variant>
        <vt:i4>59</vt:i4>
      </vt:variant>
      <vt:variant>
        <vt:i4>0</vt:i4>
      </vt:variant>
      <vt:variant>
        <vt:i4>5</vt:i4>
      </vt:variant>
      <vt:variant>
        <vt:lpwstr/>
      </vt:variant>
      <vt:variant>
        <vt:lpwstr>_Toc199167707</vt:lpwstr>
      </vt:variant>
      <vt:variant>
        <vt:i4>1572921</vt:i4>
      </vt:variant>
      <vt:variant>
        <vt:i4>53</vt:i4>
      </vt:variant>
      <vt:variant>
        <vt:i4>0</vt:i4>
      </vt:variant>
      <vt:variant>
        <vt:i4>5</vt:i4>
      </vt:variant>
      <vt:variant>
        <vt:lpwstr/>
      </vt:variant>
      <vt:variant>
        <vt:lpwstr>_Toc199167706</vt:lpwstr>
      </vt:variant>
      <vt:variant>
        <vt:i4>1572921</vt:i4>
      </vt:variant>
      <vt:variant>
        <vt:i4>47</vt:i4>
      </vt:variant>
      <vt:variant>
        <vt:i4>0</vt:i4>
      </vt:variant>
      <vt:variant>
        <vt:i4>5</vt:i4>
      </vt:variant>
      <vt:variant>
        <vt:lpwstr/>
      </vt:variant>
      <vt:variant>
        <vt:lpwstr>_Toc199167705</vt:lpwstr>
      </vt:variant>
      <vt:variant>
        <vt:i4>1572921</vt:i4>
      </vt:variant>
      <vt:variant>
        <vt:i4>41</vt:i4>
      </vt:variant>
      <vt:variant>
        <vt:i4>0</vt:i4>
      </vt:variant>
      <vt:variant>
        <vt:i4>5</vt:i4>
      </vt:variant>
      <vt:variant>
        <vt:lpwstr/>
      </vt:variant>
      <vt:variant>
        <vt:lpwstr>_Toc199167704</vt:lpwstr>
      </vt:variant>
      <vt:variant>
        <vt:i4>1572921</vt:i4>
      </vt:variant>
      <vt:variant>
        <vt:i4>35</vt:i4>
      </vt:variant>
      <vt:variant>
        <vt:i4>0</vt:i4>
      </vt:variant>
      <vt:variant>
        <vt:i4>5</vt:i4>
      </vt:variant>
      <vt:variant>
        <vt:lpwstr/>
      </vt:variant>
      <vt:variant>
        <vt:lpwstr>_Toc199167703</vt:lpwstr>
      </vt:variant>
      <vt:variant>
        <vt:i4>1572921</vt:i4>
      </vt:variant>
      <vt:variant>
        <vt:i4>29</vt:i4>
      </vt:variant>
      <vt:variant>
        <vt:i4>0</vt:i4>
      </vt:variant>
      <vt:variant>
        <vt:i4>5</vt:i4>
      </vt:variant>
      <vt:variant>
        <vt:lpwstr/>
      </vt:variant>
      <vt:variant>
        <vt:lpwstr>_Toc199167702</vt:lpwstr>
      </vt:variant>
      <vt:variant>
        <vt:i4>1572921</vt:i4>
      </vt:variant>
      <vt:variant>
        <vt:i4>23</vt:i4>
      </vt:variant>
      <vt:variant>
        <vt:i4>0</vt:i4>
      </vt:variant>
      <vt:variant>
        <vt:i4>5</vt:i4>
      </vt:variant>
      <vt:variant>
        <vt:lpwstr/>
      </vt:variant>
      <vt:variant>
        <vt:lpwstr>_Toc199167701</vt:lpwstr>
      </vt:variant>
      <vt:variant>
        <vt:i4>1572921</vt:i4>
      </vt:variant>
      <vt:variant>
        <vt:i4>17</vt:i4>
      </vt:variant>
      <vt:variant>
        <vt:i4>0</vt:i4>
      </vt:variant>
      <vt:variant>
        <vt:i4>5</vt:i4>
      </vt:variant>
      <vt:variant>
        <vt:lpwstr/>
      </vt:variant>
      <vt:variant>
        <vt:lpwstr>_Toc199167700</vt:lpwstr>
      </vt:variant>
      <vt:variant>
        <vt:i4>6488185</vt:i4>
      </vt:variant>
      <vt:variant>
        <vt:i4>12</vt:i4>
      </vt:variant>
      <vt:variant>
        <vt:i4>0</vt:i4>
      </vt:variant>
      <vt:variant>
        <vt:i4>5</vt:i4>
      </vt:variant>
      <vt:variant>
        <vt:lpwstr>http://www.dtf.vic.gov.au/</vt:lpwstr>
      </vt:variant>
      <vt:variant>
        <vt:lpwstr/>
      </vt:variant>
      <vt:variant>
        <vt:i4>1966113</vt:i4>
      </vt:variant>
      <vt:variant>
        <vt:i4>9</vt:i4>
      </vt:variant>
      <vt:variant>
        <vt:i4>0</vt:i4>
      </vt:variant>
      <vt:variant>
        <vt:i4>5</vt:i4>
      </vt:variant>
      <vt:variant>
        <vt:lpwstr>mailto:information@dtf.vic.gov.au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5963795</vt:i4>
      </vt:variant>
      <vt:variant>
        <vt:i4>0</vt:i4>
      </vt:variant>
      <vt:variant>
        <vt:i4>0</vt:i4>
      </vt:variant>
      <vt:variant>
        <vt:i4>5</vt:i4>
      </vt:variant>
      <vt:variant>
        <vt:lpwstr>https://www.dtf.vic.gov.au/financial-reporting-policy/financial-reporting-directions-and-guidance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dc:description/>
  <cp:lastModifiedBy>Natalie Maroki (DTF)</cp:lastModifiedBy>
  <cp:revision>3</cp:revision>
  <cp:lastPrinted>2025-05-26T23:19:00Z</cp:lastPrinted>
  <dcterms:created xsi:type="dcterms:W3CDTF">2025-05-26T06:57:00Z</dcterms:created>
  <dcterms:modified xsi:type="dcterms:W3CDTF">2025-05-26T06:57:00Z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Current">
    <vt:lpwstr>20X2</vt:lpwstr>
  </property>
  <property fmtid="{D5CDD505-2E9C-101B-9397-08002B2CF9AE}" pid="3" name="YearPrevious">
    <vt:lpwstr>20X1</vt:lpwstr>
  </property>
  <property fmtid="{D5CDD505-2E9C-101B-9397-08002B2CF9AE}" pid="4" name="FinYearPrevious">
    <vt:lpwstr>20X0‑X1</vt:lpwstr>
  </property>
  <property fmtid="{D5CDD505-2E9C-101B-9397-08002B2CF9AE}" pid="5" name="FinYearCurrent">
    <vt:lpwstr>20X1‑X2</vt:lpwstr>
  </property>
  <property fmtid="{D5CDD505-2E9C-101B-9397-08002B2CF9AE}" pid="6" name="FinYearNext">
    <vt:lpwstr>20X2‑X3</vt:lpwstr>
  </property>
  <property fmtid="{D5CDD505-2E9C-101B-9397-08002B2CF9AE}" pid="7" name="YearNext">
    <vt:lpwstr>20X3</vt:lpwstr>
  </property>
  <property fmtid="{D5CDD505-2E9C-101B-9397-08002B2CF9AE}" pid="8" name="FinYear-2">
    <vt:lpwstr>2018‑19</vt:lpwstr>
  </property>
  <property fmtid="{D5CDD505-2E9C-101B-9397-08002B2CF9AE}" pid="9" name="FinYear-3">
    <vt:lpwstr>2017‑18</vt:lpwstr>
  </property>
  <property fmtid="{D5CDD505-2E9C-101B-9397-08002B2CF9AE}" pid="10" name="ContentTypeId">
    <vt:lpwstr>0x010100E2859DFB47952C4E911DE9714EC95DB1</vt:lpwstr>
  </property>
  <property fmtid="{D5CDD505-2E9C-101B-9397-08002B2CF9AE}" pid="11" name="MediaServiceImageTags">
    <vt:lpwstr/>
  </property>
  <property fmtid="{D5CDD505-2E9C-101B-9397-08002B2CF9AE}" pid="12" name="GrammarlyDocumentId">
    <vt:lpwstr>19b66f0d15c8b9632472c6b211f103f5966708ee335a81c6a0c4797eee2db62a</vt:lpwstr>
  </property>
  <property fmtid="{D5CDD505-2E9C-101B-9397-08002B2CF9AE}" pid="13" name="MSIP_Label_7158ebbd-6c5e-441f-bfc9-4eb8c11e3978_Enabled">
    <vt:lpwstr>true</vt:lpwstr>
  </property>
  <property fmtid="{D5CDD505-2E9C-101B-9397-08002B2CF9AE}" pid="14" name="MSIP_Label_7158ebbd-6c5e-441f-bfc9-4eb8c11e3978_SetDate">
    <vt:lpwstr>2023-08-31T03:32:24Z</vt:lpwstr>
  </property>
  <property fmtid="{D5CDD505-2E9C-101B-9397-08002B2CF9AE}" pid="15" name="MSIP_Label_7158ebbd-6c5e-441f-bfc9-4eb8c11e3978_Method">
    <vt:lpwstr>Privileged</vt:lpwstr>
  </property>
  <property fmtid="{D5CDD505-2E9C-101B-9397-08002B2CF9AE}" pid="16" name="MSIP_Label_7158ebbd-6c5e-441f-bfc9-4eb8c11e3978_Name">
    <vt:lpwstr>7158ebbd-6c5e-441f-bfc9-4eb8c11e3978</vt:lpwstr>
  </property>
  <property fmtid="{D5CDD505-2E9C-101B-9397-08002B2CF9AE}" pid="17" name="MSIP_Label_7158ebbd-6c5e-441f-bfc9-4eb8c11e3978_SiteId">
    <vt:lpwstr>722ea0be-3e1c-4b11-ad6f-9401d6856e24</vt:lpwstr>
  </property>
  <property fmtid="{D5CDD505-2E9C-101B-9397-08002B2CF9AE}" pid="18" name="MSIP_Label_7158ebbd-6c5e-441f-bfc9-4eb8c11e3978_ActionId">
    <vt:lpwstr>ac8d5219-233e-432c-ac79-551ce3c6cd93</vt:lpwstr>
  </property>
  <property fmtid="{D5CDD505-2E9C-101B-9397-08002B2CF9AE}" pid="19" name="MSIP_Label_7158ebbd-6c5e-441f-bfc9-4eb8c11e3978_ContentBits">
    <vt:lpwstr>2</vt:lpwstr>
  </property>
  <property fmtid="{D5CDD505-2E9C-101B-9397-08002B2CF9AE}" pid="20" name="_dlc_DocIdItemGuid">
    <vt:lpwstr>a0070a5c-8a1f-49c9-944f-afa33c3329f8</vt:lpwstr>
  </property>
  <property fmtid="{D5CDD505-2E9C-101B-9397-08002B2CF9AE}" pid="21" name="AssignedTo">
    <vt:lpwstr/>
  </property>
  <property fmtid="{D5CDD505-2E9C-101B-9397-08002B2CF9AE}" pid="22" name="Status">
    <vt:lpwstr>Unallocated</vt:lpwstr>
  </property>
</Properties>
</file>