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78DE" w14:textId="49855CB3" w:rsidR="005124B0" w:rsidRPr="005124B0" w:rsidRDefault="00555EDE" w:rsidP="005124B0">
      <w:pPr>
        <w:pStyle w:val="DeedTitle"/>
        <w:rPr>
          <w:bCs w:val="0"/>
          <w:szCs w:val="56"/>
        </w:rPr>
      </w:pPr>
      <w:r>
        <w:rPr>
          <w:bCs w:val="0"/>
          <w:szCs w:val="56"/>
        </w:rPr>
        <w:br/>
      </w:r>
      <w:r w:rsidR="005124B0" w:rsidRPr="00FE4FD6">
        <w:rPr>
          <w:bCs w:val="0"/>
          <w:szCs w:val="56"/>
        </w:rPr>
        <w:t xml:space="preserve">Medium Works </w:t>
      </w:r>
      <w:r w:rsidR="005124B0" w:rsidRPr="005124B0">
        <w:rPr>
          <w:bCs w:val="0"/>
          <w:szCs w:val="56"/>
        </w:rPr>
        <w:t xml:space="preserve">Contract </w:t>
      </w:r>
      <w:r w:rsidR="005124B0" w:rsidRPr="005124B0">
        <w:rPr>
          <w:szCs w:val="56"/>
        </w:rPr>
        <w:t>(with option for Design)</w:t>
      </w:r>
      <w:r w:rsidR="005124B0">
        <w:rPr>
          <w:szCs w:val="56"/>
        </w:rPr>
        <w:t xml:space="preserve"> - </w:t>
      </w:r>
      <w:r w:rsidR="005124B0">
        <w:rPr>
          <w:bCs w:val="0"/>
          <w:szCs w:val="56"/>
        </w:rPr>
        <w:t>Model Clause</w:t>
      </w:r>
      <w:r w:rsidR="004C0913">
        <w:rPr>
          <w:bCs w:val="0"/>
          <w:szCs w:val="56"/>
        </w:rPr>
        <w:t>s</w:t>
      </w:r>
      <w:r w:rsidR="005124B0">
        <w:rPr>
          <w:bCs w:val="0"/>
          <w:szCs w:val="56"/>
        </w:rPr>
        <w:t xml:space="preserve"> </w:t>
      </w:r>
    </w:p>
    <w:p w14:paraId="42B03DF1" w14:textId="77777777" w:rsidR="004C0913" w:rsidRDefault="004C0913" w:rsidP="00557BA2">
      <w:pPr>
        <w:rPr>
          <w:lang w:val="en-US"/>
        </w:rPr>
      </w:pPr>
    </w:p>
    <w:tbl>
      <w:tblPr>
        <w:tblStyle w:val="TableGrid"/>
        <w:tblpPr w:leftFromText="180" w:rightFromText="180" w:vertAnchor="text" w:horzAnchor="margin" w:tblpY="292"/>
        <w:tblW w:w="9639" w:type="dxa"/>
        <w:shd w:val="clear" w:color="auto" w:fill="DBE5F1"/>
        <w:tblLook w:val="04A0" w:firstRow="1" w:lastRow="0" w:firstColumn="1" w:lastColumn="0" w:noHBand="0" w:noVBand="1"/>
      </w:tblPr>
      <w:tblGrid>
        <w:gridCol w:w="9639"/>
      </w:tblGrid>
      <w:tr w:rsidR="004C0913" w14:paraId="699F4C9C" w14:textId="77777777" w:rsidTr="004C0913">
        <w:trPr>
          <w:trHeight w:val="304"/>
        </w:trPr>
        <w:tc>
          <w:tcPr>
            <w:tcW w:w="9639" w:type="dxa"/>
            <w:tcBorders>
              <w:top w:val="single" w:sz="4" w:space="0" w:color="auto"/>
              <w:left w:val="single" w:sz="4" w:space="0" w:color="auto"/>
              <w:bottom w:val="single" w:sz="4" w:space="0" w:color="auto"/>
              <w:right w:val="single" w:sz="4" w:space="0" w:color="auto"/>
            </w:tcBorders>
            <w:shd w:val="clear" w:color="auto" w:fill="DBE5F1"/>
            <w:hideMark/>
          </w:tcPr>
          <w:p w14:paraId="39681D62" w14:textId="77777777" w:rsidR="004C0913" w:rsidRPr="004C0913" w:rsidRDefault="004C0913" w:rsidP="004C0913">
            <w:pPr>
              <w:spacing w:before="60"/>
              <w:rPr>
                <w:color w:val="1F497D"/>
              </w:rPr>
            </w:pPr>
            <w:r w:rsidRPr="004C0913">
              <w:rPr>
                <w:b/>
                <w:color w:val="1F497D"/>
              </w:rPr>
              <w:t>Guidance Note:</w:t>
            </w:r>
            <w:r w:rsidRPr="004C0913">
              <w:rPr>
                <w:color w:val="1F497D"/>
              </w:rPr>
              <w:t xml:space="preserve"> </w:t>
            </w:r>
          </w:p>
          <w:p w14:paraId="7855AE31" w14:textId="50A3903C" w:rsidR="00FE57BA" w:rsidRPr="00FE57BA" w:rsidRDefault="00775FC9" w:rsidP="00FE57BA">
            <w:pPr>
              <w:rPr>
                <w:sz w:val="18"/>
                <w:szCs w:val="18"/>
              </w:rPr>
            </w:pPr>
            <w:r>
              <w:rPr>
                <w:sz w:val="18"/>
                <w:szCs w:val="18"/>
              </w:rPr>
              <w:t xml:space="preserve">The </w:t>
            </w:r>
            <w:r w:rsidR="00FE57BA">
              <w:rPr>
                <w:sz w:val="18"/>
                <w:szCs w:val="18"/>
              </w:rPr>
              <w:t xml:space="preserve">model </w:t>
            </w:r>
            <w:r>
              <w:rPr>
                <w:sz w:val="18"/>
                <w:szCs w:val="18"/>
              </w:rPr>
              <w:t xml:space="preserve">clauses in this </w:t>
            </w:r>
            <w:r w:rsidR="00FE57BA">
              <w:rPr>
                <w:sz w:val="18"/>
                <w:szCs w:val="18"/>
              </w:rPr>
              <w:t>document</w:t>
            </w:r>
            <w:r>
              <w:rPr>
                <w:sz w:val="18"/>
                <w:szCs w:val="18"/>
              </w:rPr>
              <w:t xml:space="preserve"> are available for incorporation in the</w:t>
            </w:r>
            <w:r w:rsidR="00F54FAB" w:rsidRPr="00F54FAB">
              <w:rPr>
                <w:sz w:val="18"/>
                <w:szCs w:val="18"/>
              </w:rPr>
              <w:t xml:space="preserve"> Victorian Public Sector Medium Works Contract</w:t>
            </w:r>
            <w:r w:rsidR="00662277">
              <w:rPr>
                <w:sz w:val="18"/>
                <w:szCs w:val="18"/>
              </w:rPr>
              <w:t xml:space="preserve"> (</w:t>
            </w:r>
            <w:r w:rsidR="00FE57BA" w:rsidRPr="00FE57BA">
              <w:rPr>
                <w:sz w:val="18"/>
                <w:szCs w:val="18"/>
              </w:rPr>
              <w:t>published by the State of Victoria (Department of Treasury and Finance)</w:t>
            </w:r>
            <w:r w:rsidR="00960213">
              <w:rPr>
                <w:sz w:val="18"/>
                <w:szCs w:val="18"/>
              </w:rPr>
              <w:t xml:space="preserve"> (</w:t>
            </w:r>
            <w:r w:rsidR="00960213" w:rsidRPr="000B535D">
              <w:rPr>
                <w:b/>
                <w:bCs/>
                <w:sz w:val="18"/>
                <w:szCs w:val="18"/>
              </w:rPr>
              <w:t>DTF</w:t>
            </w:r>
            <w:r w:rsidR="00960213">
              <w:rPr>
                <w:sz w:val="18"/>
                <w:szCs w:val="18"/>
              </w:rPr>
              <w:t>)</w:t>
            </w:r>
            <w:r w:rsidR="00193776">
              <w:rPr>
                <w:sz w:val="18"/>
                <w:szCs w:val="18"/>
              </w:rPr>
              <w:t>) (</w:t>
            </w:r>
            <w:r w:rsidR="00193776" w:rsidRPr="00662277">
              <w:rPr>
                <w:b/>
                <w:bCs/>
                <w:sz w:val="18"/>
                <w:szCs w:val="18"/>
              </w:rPr>
              <w:t>MWC</w:t>
            </w:r>
            <w:r w:rsidR="00193776">
              <w:rPr>
                <w:sz w:val="18"/>
                <w:szCs w:val="18"/>
              </w:rPr>
              <w:t>)</w:t>
            </w:r>
            <w:r w:rsidR="00193776">
              <w:t>,</w:t>
            </w:r>
            <w:r w:rsidR="00FE57BA" w:rsidRPr="00FE57BA">
              <w:rPr>
                <w:sz w:val="18"/>
                <w:szCs w:val="18"/>
              </w:rPr>
              <w:t xml:space="preserve"> if required by an agency for a specific project.</w:t>
            </w:r>
          </w:p>
          <w:p w14:paraId="78F773B3" w14:textId="3515963E" w:rsidR="000572BD" w:rsidRDefault="00775FC9" w:rsidP="00FE57BA">
            <w:pPr>
              <w:rPr>
                <w:sz w:val="18"/>
                <w:szCs w:val="18"/>
              </w:rPr>
            </w:pPr>
            <w:r>
              <w:rPr>
                <w:sz w:val="18"/>
                <w:szCs w:val="18"/>
              </w:rPr>
              <w:t xml:space="preserve">The </w:t>
            </w:r>
            <w:r w:rsidR="00662277">
              <w:rPr>
                <w:sz w:val="18"/>
                <w:szCs w:val="18"/>
              </w:rPr>
              <w:t xml:space="preserve">MWC </w:t>
            </w:r>
            <w:r w:rsidR="00FE57BA">
              <w:rPr>
                <w:sz w:val="18"/>
                <w:szCs w:val="18"/>
              </w:rPr>
              <w:t>sets out</w:t>
            </w:r>
            <w:r>
              <w:rPr>
                <w:sz w:val="18"/>
                <w:szCs w:val="18"/>
              </w:rPr>
              <w:t xml:space="preserve"> </w:t>
            </w:r>
            <w:r w:rsidR="00FE57BA">
              <w:rPr>
                <w:sz w:val="18"/>
                <w:szCs w:val="18"/>
              </w:rPr>
              <w:t>the State's</w:t>
            </w:r>
            <w:r>
              <w:rPr>
                <w:sz w:val="18"/>
                <w:szCs w:val="18"/>
              </w:rPr>
              <w:t xml:space="preserve"> preferred risk allocation</w:t>
            </w:r>
            <w:r w:rsidR="000572BD">
              <w:rPr>
                <w:sz w:val="18"/>
                <w:szCs w:val="18"/>
              </w:rPr>
              <w:t xml:space="preserve"> </w:t>
            </w:r>
            <w:bookmarkStart w:id="0" w:name="_Hlk137656817"/>
            <w:r w:rsidR="000572BD" w:rsidRPr="000572BD">
              <w:rPr>
                <w:sz w:val="18"/>
                <w:szCs w:val="18"/>
              </w:rPr>
              <w:t>and</w:t>
            </w:r>
            <w:r w:rsidR="00D14278">
              <w:rPr>
                <w:sz w:val="18"/>
                <w:szCs w:val="18"/>
              </w:rPr>
              <w:t>,</w:t>
            </w:r>
            <w:r w:rsidR="00D14278" w:rsidRPr="000B535D">
              <w:rPr>
                <w:sz w:val="18"/>
                <w:szCs w:val="18"/>
              </w:rPr>
              <w:t xml:space="preserve"> with the exception of two model clauses,</w:t>
            </w:r>
            <w:r w:rsidR="000572BD">
              <w:rPr>
                <w:sz w:val="18"/>
                <w:szCs w:val="18"/>
              </w:rPr>
              <w:t xml:space="preserve"> </w:t>
            </w:r>
            <w:r w:rsidR="000572BD" w:rsidRPr="000572BD">
              <w:rPr>
                <w:sz w:val="18"/>
                <w:szCs w:val="18"/>
              </w:rPr>
              <w:t>should be issued in an RFT without use of any model clauses.</w:t>
            </w:r>
            <w:r w:rsidR="000572BD">
              <w:rPr>
                <w:sz w:val="18"/>
                <w:szCs w:val="18"/>
              </w:rPr>
              <w:t xml:space="preserve"> </w:t>
            </w:r>
            <w:bookmarkStart w:id="1" w:name="_Hlk137900951"/>
            <w:r w:rsidR="000572BD">
              <w:rPr>
                <w:sz w:val="18"/>
                <w:szCs w:val="18"/>
              </w:rPr>
              <w:t>The exception</w:t>
            </w:r>
            <w:r w:rsidR="00D14278">
              <w:rPr>
                <w:sz w:val="18"/>
                <w:szCs w:val="18"/>
              </w:rPr>
              <w:t>s are</w:t>
            </w:r>
            <w:r w:rsidR="000572BD">
              <w:rPr>
                <w:sz w:val="18"/>
                <w:szCs w:val="18"/>
              </w:rPr>
              <w:t xml:space="preserve"> model clause</w:t>
            </w:r>
            <w:r w:rsidR="00D14278">
              <w:rPr>
                <w:sz w:val="18"/>
                <w:szCs w:val="18"/>
              </w:rPr>
              <w:t xml:space="preserve">s </w:t>
            </w:r>
            <w:r w:rsidR="000B535D">
              <w:rPr>
                <w:sz w:val="18"/>
                <w:szCs w:val="18"/>
              </w:rPr>
              <w:fldChar w:fldCharType="begin"/>
            </w:r>
            <w:r w:rsidR="000B535D">
              <w:rPr>
                <w:sz w:val="18"/>
                <w:szCs w:val="18"/>
              </w:rPr>
              <w:instrText xml:space="preserve"> REF _Ref141683479 \w \h </w:instrText>
            </w:r>
            <w:r w:rsidR="000B535D">
              <w:rPr>
                <w:sz w:val="18"/>
                <w:szCs w:val="18"/>
              </w:rPr>
            </w:r>
            <w:r w:rsidR="000B535D">
              <w:rPr>
                <w:sz w:val="18"/>
                <w:szCs w:val="18"/>
              </w:rPr>
              <w:fldChar w:fldCharType="separate"/>
            </w:r>
            <w:r w:rsidR="001A253E">
              <w:rPr>
                <w:sz w:val="18"/>
                <w:szCs w:val="18"/>
              </w:rPr>
              <w:t>5</w:t>
            </w:r>
            <w:r w:rsidR="000B535D">
              <w:rPr>
                <w:sz w:val="18"/>
                <w:szCs w:val="18"/>
              </w:rPr>
              <w:fldChar w:fldCharType="end"/>
            </w:r>
            <w:r w:rsidR="00D14278">
              <w:rPr>
                <w:sz w:val="18"/>
                <w:szCs w:val="18"/>
              </w:rPr>
              <w:t xml:space="preserve"> and </w:t>
            </w:r>
            <w:r w:rsidR="000B535D">
              <w:rPr>
                <w:sz w:val="18"/>
                <w:szCs w:val="18"/>
              </w:rPr>
              <w:fldChar w:fldCharType="begin"/>
            </w:r>
            <w:r w:rsidR="000B535D">
              <w:rPr>
                <w:sz w:val="18"/>
                <w:szCs w:val="18"/>
              </w:rPr>
              <w:instrText xml:space="preserve"> REF _Ref141683487 \w \h </w:instrText>
            </w:r>
            <w:r w:rsidR="000B535D">
              <w:rPr>
                <w:sz w:val="18"/>
                <w:szCs w:val="18"/>
              </w:rPr>
            </w:r>
            <w:r w:rsidR="000B535D">
              <w:rPr>
                <w:sz w:val="18"/>
                <w:szCs w:val="18"/>
              </w:rPr>
              <w:fldChar w:fldCharType="separate"/>
            </w:r>
            <w:r w:rsidR="001A253E">
              <w:rPr>
                <w:sz w:val="18"/>
                <w:szCs w:val="18"/>
              </w:rPr>
              <w:t>6</w:t>
            </w:r>
            <w:r w:rsidR="000B535D">
              <w:rPr>
                <w:sz w:val="18"/>
                <w:szCs w:val="18"/>
              </w:rPr>
              <w:fldChar w:fldCharType="end"/>
            </w:r>
            <w:r w:rsidR="000572BD">
              <w:rPr>
                <w:sz w:val="18"/>
                <w:szCs w:val="18"/>
              </w:rPr>
              <w:t xml:space="preserve"> which</w:t>
            </w:r>
            <w:r w:rsidR="00D14278">
              <w:rPr>
                <w:sz w:val="18"/>
                <w:szCs w:val="18"/>
              </w:rPr>
              <w:t xml:space="preserve">, respectively, </w:t>
            </w:r>
            <w:r w:rsidR="000572BD">
              <w:rPr>
                <w:sz w:val="18"/>
                <w:szCs w:val="18"/>
              </w:rPr>
              <w:t>provide</w:t>
            </w:r>
            <w:r w:rsidR="00D14278">
              <w:rPr>
                <w:sz w:val="18"/>
                <w:szCs w:val="18"/>
              </w:rPr>
              <w:t xml:space="preserve"> </w:t>
            </w:r>
            <w:r w:rsidR="000572BD">
              <w:rPr>
                <w:sz w:val="18"/>
                <w:szCs w:val="18"/>
              </w:rPr>
              <w:t>for</w:t>
            </w:r>
            <w:r w:rsidR="00D14278">
              <w:rPr>
                <w:sz w:val="18"/>
                <w:szCs w:val="18"/>
              </w:rPr>
              <w:t xml:space="preserve"> the imposition of an aggregate cap on delay damages payable to the Contractor, and </w:t>
            </w:r>
            <w:r w:rsidR="000572BD">
              <w:rPr>
                <w:sz w:val="18"/>
                <w:szCs w:val="18"/>
              </w:rPr>
              <w:t>State ownership of intellectual property rather than a licence. Th</w:t>
            </w:r>
            <w:r w:rsidR="00D14278">
              <w:rPr>
                <w:sz w:val="18"/>
                <w:szCs w:val="18"/>
              </w:rPr>
              <w:t>ose model clauses</w:t>
            </w:r>
            <w:r w:rsidR="000572BD">
              <w:rPr>
                <w:sz w:val="18"/>
                <w:szCs w:val="18"/>
              </w:rPr>
              <w:t>, however, should only be used in exceptional circumstances. Please refer to the guidance note</w:t>
            </w:r>
            <w:r w:rsidR="00D14278">
              <w:rPr>
                <w:sz w:val="18"/>
                <w:szCs w:val="18"/>
              </w:rPr>
              <w:t>s</w:t>
            </w:r>
            <w:r w:rsidR="000572BD">
              <w:rPr>
                <w:sz w:val="18"/>
                <w:szCs w:val="18"/>
              </w:rPr>
              <w:t xml:space="preserve"> in model clause</w:t>
            </w:r>
            <w:r w:rsidR="00D14278">
              <w:rPr>
                <w:sz w:val="18"/>
                <w:szCs w:val="18"/>
              </w:rPr>
              <w:t>s</w:t>
            </w:r>
            <w:r w:rsidR="000572BD">
              <w:rPr>
                <w:sz w:val="18"/>
                <w:szCs w:val="18"/>
              </w:rPr>
              <w:t xml:space="preserve"> </w:t>
            </w:r>
            <w:r w:rsidR="000B535D">
              <w:rPr>
                <w:sz w:val="18"/>
                <w:szCs w:val="18"/>
              </w:rPr>
              <w:fldChar w:fldCharType="begin"/>
            </w:r>
            <w:r w:rsidR="000B535D">
              <w:rPr>
                <w:sz w:val="18"/>
                <w:szCs w:val="18"/>
              </w:rPr>
              <w:instrText xml:space="preserve"> REF _Ref141683493 \w \h </w:instrText>
            </w:r>
            <w:r w:rsidR="000B535D">
              <w:rPr>
                <w:sz w:val="18"/>
                <w:szCs w:val="18"/>
              </w:rPr>
            </w:r>
            <w:r w:rsidR="000B535D">
              <w:rPr>
                <w:sz w:val="18"/>
                <w:szCs w:val="18"/>
              </w:rPr>
              <w:fldChar w:fldCharType="separate"/>
            </w:r>
            <w:r w:rsidR="001A253E">
              <w:rPr>
                <w:sz w:val="18"/>
                <w:szCs w:val="18"/>
              </w:rPr>
              <w:t>5</w:t>
            </w:r>
            <w:r w:rsidR="000B535D">
              <w:rPr>
                <w:sz w:val="18"/>
                <w:szCs w:val="18"/>
              </w:rPr>
              <w:fldChar w:fldCharType="end"/>
            </w:r>
            <w:r w:rsidR="00D14278">
              <w:rPr>
                <w:sz w:val="18"/>
                <w:szCs w:val="18"/>
              </w:rPr>
              <w:t xml:space="preserve"> and </w:t>
            </w:r>
            <w:r w:rsidR="000B535D">
              <w:rPr>
                <w:sz w:val="18"/>
                <w:szCs w:val="18"/>
              </w:rPr>
              <w:fldChar w:fldCharType="begin"/>
            </w:r>
            <w:r w:rsidR="000B535D">
              <w:rPr>
                <w:sz w:val="18"/>
                <w:szCs w:val="18"/>
              </w:rPr>
              <w:instrText xml:space="preserve"> REF _Ref141683498 \w \h </w:instrText>
            </w:r>
            <w:r w:rsidR="000B535D">
              <w:rPr>
                <w:sz w:val="18"/>
                <w:szCs w:val="18"/>
              </w:rPr>
            </w:r>
            <w:r w:rsidR="000B535D">
              <w:rPr>
                <w:sz w:val="18"/>
                <w:szCs w:val="18"/>
              </w:rPr>
              <w:fldChar w:fldCharType="separate"/>
            </w:r>
            <w:r w:rsidR="001A253E">
              <w:rPr>
                <w:sz w:val="18"/>
                <w:szCs w:val="18"/>
              </w:rPr>
              <w:t>6</w:t>
            </w:r>
            <w:r w:rsidR="000B535D">
              <w:rPr>
                <w:sz w:val="18"/>
                <w:szCs w:val="18"/>
              </w:rPr>
              <w:fldChar w:fldCharType="end"/>
            </w:r>
            <w:r w:rsidR="000572BD">
              <w:rPr>
                <w:sz w:val="18"/>
                <w:szCs w:val="18"/>
              </w:rPr>
              <w:t xml:space="preserve"> for that purpose. </w:t>
            </w:r>
            <w:bookmarkEnd w:id="0"/>
            <w:bookmarkEnd w:id="1"/>
          </w:p>
          <w:p w14:paraId="369CFF4D" w14:textId="28CFEB14" w:rsidR="00FE57BA" w:rsidRPr="00FE57BA" w:rsidRDefault="00030472" w:rsidP="001D0ACA">
            <w:pPr>
              <w:tabs>
                <w:tab w:val="left" w:pos="1427"/>
              </w:tabs>
              <w:rPr>
                <w:sz w:val="18"/>
                <w:szCs w:val="18"/>
              </w:rPr>
            </w:pPr>
            <w:r>
              <w:rPr>
                <w:sz w:val="18"/>
                <w:szCs w:val="18"/>
              </w:rPr>
              <w:t>Otherwise, a</w:t>
            </w:r>
            <w:r w:rsidR="000572BD" w:rsidRPr="000572BD">
              <w:rPr>
                <w:sz w:val="18"/>
                <w:szCs w:val="18"/>
              </w:rPr>
              <w:t xml:space="preserve">fter tenders are received, there may be circumstances when it is necessary to depart from the standard position as a result of tenderer departures or negotiations. It is in those circumstances that the model clauses may be </w:t>
            </w:r>
            <w:r w:rsidR="00555EDE">
              <w:rPr>
                <w:sz w:val="18"/>
                <w:szCs w:val="18"/>
              </w:rPr>
              <w:t>used</w:t>
            </w:r>
            <w:r w:rsidR="00FE57BA" w:rsidRPr="00FE57BA">
              <w:rPr>
                <w:sz w:val="18"/>
                <w:szCs w:val="18"/>
              </w:rPr>
              <w:t xml:space="preserve">.  </w:t>
            </w:r>
          </w:p>
          <w:p w14:paraId="1F4E92A3" w14:textId="77777777" w:rsidR="00D14278" w:rsidRDefault="00FE57BA" w:rsidP="00FE57BA">
            <w:pPr>
              <w:rPr>
                <w:sz w:val="18"/>
                <w:szCs w:val="18"/>
              </w:rPr>
            </w:pPr>
            <w:r w:rsidRPr="00FE57BA">
              <w:rPr>
                <w:sz w:val="18"/>
                <w:szCs w:val="18"/>
              </w:rPr>
              <w:t xml:space="preserve">Where inclusion of a model clause necessitates amendment to other clauses in the </w:t>
            </w:r>
            <w:r w:rsidR="00662277">
              <w:rPr>
                <w:sz w:val="18"/>
                <w:szCs w:val="18"/>
              </w:rPr>
              <w:t>MWC</w:t>
            </w:r>
            <w:r w:rsidRPr="00FE57BA">
              <w:rPr>
                <w:sz w:val="18"/>
                <w:szCs w:val="18"/>
              </w:rPr>
              <w:t xml:space="preserve">, </w:t>
            </w:r>
            <w:r w:rsidR="00193776">
              <w:rPr>
                <w:sz w:val="18"/>
                <w:szCs w:val="18"/>
              </w:rPr>
              <w:t>instructions as to how to effect those changes are set out in this document</w:t>
            </w:r>
            <w:r w:rsidRPr="00FE57BA">
              <w:rPr>
                <w:sz w:val="18"/>
                <w:szCs w:val="18"/>
              </w:rPr>
              <w:t xml:space="preserve">. </w:t>
            </w:r>
          </w:p>
          <w:p w14:paraId="0196647E" w14:textId="77777777" w:rsidR="00D14278" w:rsidRPr="00D14278" w:rsidRDefault="00D14278" w:rsidP="001D0ACA">
            <w:pPr>
              <w:rPr>
                <w:sz w:val="18"/>
                <w:szCs w:val="18"/>
              </w:rPr>
            </w:pPr>
            <w:r w:rsidRPr="00D14278">
              <w:rPr>
                <w:sz w:val="18"/>
                <w:szCs w:val="18"/>
              </w:rPr>
              <w:t xml:space="preserve">Importantly, </w:t>
            </w:r>
            <w:r w:rsidRPr="001D0ACA">
              <w:rPr>
                <w:sz w:val="18"/>
                <w:szCs w:val="18"/>
              </w:rPr>
              <w:t>please</w:t>
            </w:r>
            <w:r w:rsidRPr="00D14278">
              <w:rPr>
                <w:sz w:val="18"/>
                <w:szCs w:val="18"/>
              </w:rPr>
              <w:t xml:space="preserve"> note as follows:</w:t>
            </w:r>
          </w:p>
          <w:p w14:paraId="04381E24" w14:textId="4BDF69B4" w:rsidR="00D14278" w:rsidRPr="00D14278" w:rsidRDefault="00FE57BA" w:rsidP="00D14278">
            <w:pPr>
              <w:pStyle w:val="ListParagraph"/>
              <w:numPr>
                <w:ilvl w:val="0"/>
                <w:numId w:val="39"/>
              </w:numPr>
              <w:spacing w:before="0" w:after="0" w:line="240" w:lineRule="auto"/>
              <w:ind w:left="357" w:hanging="357"/>
              <w:rPr>
                <w:sz w:val="18"/>
                <w:szCs w:val="18"/>
              </w:rPr>
            </w:pPr>
            <w:r w:rsidRPr="00D14278">
              <w:rPr>
                <w:sz w:val="18"/>
                <w:szCs w:val="18"/>
              </w:rPr>
              <w:t xml:space="preserve">Legal review of a </w:t>
            </w:r>
            <w:r w:rsidR="00662277" w:rsidRPr="00D14278">
              <w:rPr>
                <w:sz w:val="18"/>
                <w:szCs w:val="18"/>
              </w:rPr>
              <w:t xml:space="preserve">MWC </w:t>
            </w:r>
            <w:r w:rsidR="000572BD" w:rsidRPr="00D14278">
              <w:rPr>
                <w:sz w:val="18"/>
                <w:szCs w:val="18"/>
              </w:rPr>
              <w:t xml:space="preserve">which has been </w:t>
            </w:r>
            <w:r w:rsidRPr="00D14278">
              <w:rPr>
                <w:sz w:val="18"/>
                <w:szCs w:val="18"/>
              </w:rPr>
              <w:t>amended to include any of the model clauses should</w:t>
            </w:r>
            <w:r w:rsidR="00535F51" w:rsidRPr="00D14278">
              <w:rPr>
                <w:sz w:val="18"/>
                <w:szCs w:val="18"/>
              </w:rPr>
              <w:t xml:space="preserve"> always</w:t>
            </w:r>
            <w:r w:rsidRPr="00D14278">
              <w:rPr>
                <w:sz w:val="18"/>
                <w:szCs w:val="18"/>
              </w:rPr>
              <w:t xml:space="preserve"> be obtained</w:t>
            </w:r>
            <w:r w:rsidR="00193776" w:rsidRPr="00D14278">
              <w:rPr>
                <w:sz w:val="18"/>
                <w:szCs w:val="18"/>
              </w:rPr>
              <w:t xml:space="preserve"> before </w:t>
            </w:r>
            <w:r w:rsidR="00193776" w:rsidRPr="001D0ACA">
              <w:rPr>
                <w:rFonts w:ascii="Arial" w:hAnsi="Arial" w:cs="Arial"/>
                <w:sz w:val="18"/>
                <w:szCs w:val="18"/>
              </w:rPr>
              <w:t xml:space="preserve">it is released </w:t>
            </w:r>
            <w:r w:rsidR="00193776" w:rsidRPr="00D14278">
              <w:rPr>
                <w:sz w:val="18"/>
                <w:szCs w:val="18"/>
              </w:rPr>
              <w:t>for tender</w:t>
            </w:r>
            <w:r w:rsidR="00535F51" w:rsidRPr="00D14278">
              <w:rPr>
                <w:sz w:val="18"/>
                <w:szCs w:val="18"/>
              </w:rPr>
              <w:t xml:space="preserve"> or prior to execution (as the case may be)</w:t>
            </w:r>
            <w:r w:rsidRPr="00D14278">
              <w:rPr>
                <w:sz w:val="18"/>
                <w:szCs w:val="18"/>
              </w:rPr>
              <w:t>.</w:t>
            </w:r>
            <w:r w:rsidR="00D14278" w:rsidRPr="00D14278">
              <w:rPr>
                <w:sz w:val="18"/>
                <w:szCs w:val="18"/>
              </w:rPr>
              <w:br/>
            </w:r>
          </w:p>
          <w:p w14:paraId="43CDE780" w14:textId="52BA00B8" w:rsidR="00D14278" w:rsidRPr="00D14278" w:rsidRDefault="00D14278" w:rsidP="00D14278">
            <w:pPr>
              <w:pStyle w:val="ListParagraph"/>
              <w:numPr>
                <w:ilvl w:val="0"/>
                <w:numId w:val="39"/>
              </w:numPr>
              <w:spacing w:before="0" w:after="0" w:line="240" w:lineRule="auto"/>
              <w:ind w:left="357" w:hanging="357"/>
              <w:rPr>
                <w:sz w:val="18"/>
                <w:szCs w:val="18"/>
              </w:rPr>
            </w:pPr>
            <w:r w:rsidRPr="001D0ACA">
              <w:rPr>
                <w:sz w:val="18"/>
                <w:szCs w:val="18"/>
              </w:rPr>
              <w:t xml:space="preserve">Incorporating a model clause in the </w:t>
            </w:r>
            <w:r w:rsidR="00960213">
              <w:rPr>
                <w:sz w:val="18"/>
                <w:szCs w:val="18"/>
              </w:rPr>
              <w:t>MWC</w:t>
            </w:r>
            <w:r w:rsidRPr="001D0ACA">
              <w:rPr>
                <w:sz w:val="18"/>
                <w:szCs w:val="18"/>
              </w:rPr>
              <w:t xml:space="preserve"> will not be regarded as a material amendment or departure if the agency incorporates the model clause in its unamended form. Any modifications to the model clauses will necessitate an evaluation by DTF to determine their materiality.</w:t>
            </w:r>
            <w:r w:rsidRPr="00D14278">
              <w:rPr>
                <w:sz w:val="18"/>
                <w:szCs w:val="18"/>
              </w:rPr>
              <w:br/>
            </w:r>
          </w:p>
          <w:p w14:paraId="1532AB5C" w14:textId="5A9638F5" w:rsidR="00F54FAB" w:rsidRPr="00D14278" w:rsidRDefault="00775FC9" w:rsidP="00D14278">
            <w:pPr>
              <w:pStyle w:val="ListParagraph"/>
              <w:numPr>
                <w:ilvl w:val="0"/>
                <w:numId w:val="39"/>
              </w:numPr>
              <w:spacing w:before="0" w:after="0" w:line="240" w:lineRule="auto"/>
              <w:ind w:left="357" w:hanging="357"/>
              <w:rPr>
                <w:sz w:val="18"/>
                <w:szCs w:val="18"/>
              </w:rPr>
            </w:pPr>
            <w:r w:rsidRPr="00D14278">
              <w:rPr>
                <w:sz w:val="18"/>
                <w:szCs w:val="18"/>
              </w:rPr>
              <w:t xml:space="preserve">Because clauses in this </w:t>
            </w:r>
            <w:r w:rsidR="00FE57BA" w:rsidRPr="00D14278">
              <w:rPr>
                <w:sz w:val="18"/>
                <w:szCs w:val="18"/>
              </w:rPr>
              <w:t>document</w:t>
            </w:r>
            <w:r w:rsidRPr="00D14278">
              <w:rPr>
                <w:sz w:val="18"/>
                <w:szCs w:val="18"/>
              </w:rPr>
              <w:t xml:space="preserve"> do not represent </w:t>
            </w:r>
            <w:r w:rsidR="00FE57BA" w:rsidRPr="00D14278">
              <w:rPr>
                <w:sz w:val="18"/>
                <w:szCs w:val="18"/>
              </w:rPr>
              <w:t>the State's</w:t>
            </w:r>
            <w:r w:rsidRPr="00D14278">
              <w:rPr>
                <w:sz w:val="18"/>
                <w:szCs w:val="18"/>
              </w:rPr>
              <w:t xml:space="preserve"> preferred position, </w:t>
            </w:r>
            <w:r w:rsidR="00306B4A" w:rsidRPr="00D14278">
              <w:rPr>
                <w:sz w:val="18"/>
                <w:szCs w:val="18"/>
              </w:rPr>
              <w:t xml:space="preserve">they must </w:t>
            </w:r>
            <w:r w:rsidRPr="00D14278">
              <w:rPr>
                <w:sz w:val="18"/>
                <w:szCs w:val="18"/>
              </w:rPr>
              <w:t>NOT be made publicly available</w:t>
            </w:r>
            <w:r w:rsidR="00F54FAB" w:rsidRPr="00D14278">
              <w:rPr>
                <w:sz w:val="18"/>
                <w:szCs w:val="18"/>
              </w:rPr>
              <w:t xml:space="preserve">. They are </w:t>
            </w:r>
            <w:r w:rsidR="00193776" w:rsidRPr="00D14278">
              <w:rPr>
                <w:sz w:val="18"/>
                <w:szCs w:val="18"/>
              </w:rPr>
              <w:t xml:space="preserve">only </w:t>
            </w:r>
            <w:r w:rsidR="00FE57BA" w:rsidRPr="00D14278">
              <w:rPr>
                <w:sz w:val="18"/>
                <w:szCs w:val="18"/>
              </w:rPr>
              <w:t xml:space="preserve">intended as an </w:t>
            </w:r>
            <w:r w:rsidR="00FE57BA" w:rsidRPr="00D14278">
              <w:rPr>
                <w:b/>
                <w:bCs/>
                <w:sz w:val="18"/>
                <w:szCs w:val="18"/>
              </w:rPr>
              <w:t>internal resource</w:t>
            </w:r>
            <w:r w:rsidR="00FE57BA" w:rsidRPr="00D14278">
              <w:rPr>
                <w:sz w:val="18"/>
                <w:szCs w:val="18"/>
              </w:rPr>
              <w:t xml:space="preserve"> for </w:t>
            </w:r>
            <w:r w:rsidR="00F54FAB" w:rsidRPr="00D14278">
              <w:rPr>
                <w:sz w:val="18"/>
                <w:szCs w:val="18"/>
              </w:rPr>
              <w:t>agencies.</w:t>
            </w:r>
          </w:p>
          <w:p w14:paraId="1A0A33DA" w14:textId="77777777" w:rsidR="004C0913" w:rsidRPr="004C0913" w:rsidRDefault="004C0913" w:rsidP="004C0913">
            <w:pPr>
              <w:rPr>
                <w:sz w:val="18"/>
                <w:szCs w:val="18"/>
              </w:rPr>
            </w:pPr>
            <w:r w:rsidRPr="004C0913">
              <w:rPr>
                <w:sz w:val="18"/>
                <w:szCs w:val="18"/>
              </w:rPr>
              <w:t>In this document, items highlighted:</w:t>
            </w:r>
          </w:p>
          <w:p w14:paraId="1473EB5E" w14:textId="50140338" w:rsidR="004C0913" w:rsidRPr="004C0913" w:rsidRDefault="004C0913" w:rsidP="00D14278">
            <w:pPr>
              <w:pStyle w:val="ListParagraph"/>
              <w:numPr>
                <w:ilvl w:val="0"/>
                <w:numId w:val="39"/>
              </w:numPr>
              <w:spacing w:after="240" w:line="240" w:lineRule="auto"/>
              <w:rPr>
                <w:rFonts w:ascii="Arial" w:hAnsi="Arial" w:cs="Arial"/>
                <w:sz w:val="18"/>
                <w:szCs w:val="18"/>
              </w:rPr>
            </w:pPr>
            <w:r w:rsidRPr="001D0ACA">
              <w:rPr>
                <w:rFonts w:ascii="Cambria" w:eastAsia="Times New Roman" w:hAnsi="Cambria" w:cs="Times New Roman"/>
                <w:b/>
                <w:i/>
                <w:iCs/>
                <w:color w:val="1F497D"/>
                <w:highlight w:val="green"/>
              </w:rPr>
              <w:t>GREEN</w:t>
            </w:r>
            <w:r w:rsidRPr="004C0913">
              <w:rPr>
                <w:rFonts w:asciiTheme="majorHAnsi" w:hAnsiTheme="majorHAnsi"/>
                <w:b/>
                <w:bCs/>
                <w:i/>
                <w:iCs/>
                <w:color w:val="B4D012" w:themeColor="text2"/>
              </w:rPr>
              <w:t xml:space="preserve"> </w:t>
            </w:r>
            <w:r w:rsidRPr="004C0913">
              <w:rPr>
                <w:rFonts w:ascii="Arial" w:hAnsi="Arial" w:cs="Arial"/>
                <w:sz w:val="18"/>
                <w:szCs w:val="18"/>
              </w:rPr>
              <w:t xml:space="preserve">are to be completed by the agency before going to tender; </w:t>
            </w:r>
          </w:p>
          <w:p w14:paraId="7D7B6C8F" w14:textId="2ACC4A9F" w:rsidR="00555EDE" w:rsidRPr="001D0ACA" w:rsidRDefault="004C0913" w:rsidP="00D14278">
            <w:pPr>
              <w:pStyle w:val="ListParagraph"/>
              <w:numPr>
                <w:ilvl w:val="0"/>
                <w:numId w:val="39"/>
              </w:numPr>
              <w:spacing w:after="240" w:line="240" w:lineRule="auto"/>
              <w:rPr>
                <w:sz w:val="18"/>
                <w:szCs w:val="18"/>
              </w:rPr>
            </w:pPr>
            <w:r w:rsidRPr="001D0ACA">
              <w:rPr>
                <w:rFonts w:ascii="Cambria" w:eastAsia="Times New Roman" w:hAnsi="Cambria" w:cs="Times New Roman"/>
                <w:b/>
                <w:i/>
                <w:iCs/>
                <w:color w:val="1F497D"/>
                <w:highlight w:val="yellow"/>
              </w:rPr>
              <w:t>YELLOW</w:t>
            </w:r>
            <w:r w:rsidRPr="004C0913">
              <w:rPr>
                <w:rFonts w:asciiTheme="majorHAnsi" w:hAnsiTheme="majorHAnsi"/>
                <w:b/>
                <w:bCs/>
                <w:i/>
                <w:iCs/>
                <w:color w:val="B4D012" w:themeColor="text2"/>
              </w:rPr>
              <w:t xml:space="preserve"> </w:t>
            </w:r>
            <w:r w:rsidRPr="004C0913">
              <w:rPr>
                <w:rFonts w:ascii="Arial" w:hAnsi="Arial" w:cs="Arial"/>
                <w:sz w:val="18"/>
                <w:szCs w:val="18"/>
              </w:rPr>
              <w:t xml:space="preserve">are to be completed by the agency using information provided by the tenderer in response to </w:t>
            </w:r>
            <w:r w:rsidR="00555EDE">
              <w:rPr>
                <w:rFonts w:ascii="Arial" w:hAnsi="Arial" w:cs="Arial"/>
                <w:sz w:val="18"/>
                <w:szCs w:val="18"/>
              </w:rPr>
              <w:t>the</w:t>
            </w:r>
            <w:r w:rsidR="00193776">
              <w:rPr>
                <w:rFonts w:ascii="Arial" w:hAnsi="Arial" w:cs="Arial"/>
                <w:sz w:val="18"/>
                <w:szCs w:val="18"/>
              </w:rPr>
              <w:t xml:space="preserve"> </w:t>
            </w:r>
            <w:r w:rsidR="00555EDE">
              <w:rPr>
                <w:rFonts w:ascii="Arial" w:hAnsi="Arial" w:cs="Arial"/>
                <w:sz w:val="18"/>
                <w:szCs w:val="18"/>
              </w:rPr>
              <w:t>tender (</w:t>
            </w:r>
            <w:r w:rsidRPr="004C0913">
              <w:rPr>
                <w:rFonts w:ascii="Arial" w:hAnsi="Arial" w:cs="Arial"/>
                <w:sz w:val="18"/>
                <w:szCs w:val="18"/>
              </w:rPr>
              <w:t>RFT</w:t>
            </w:r>
            <w:r w:rsidR="00555EDE">
              <w:rPr>
                <w:rFonts w:ascii="Arial" w:hAnsi="Arial" w:cs="Arial"/>
                <w:sz w:val="18"/>
                <w:szCs w:val="18"/>
              </w:rPr>
              <w:t>); and</w:t>
            </w:r>
          </w:p>
          <w:p w14:paraId="3E193F54" w14:textId="5A700242" w:rsidR="004C0913" w:rsidRPr="004C0913" w:rsidRDefault="00555EDE" w:rsidP="00D14278">
            <w:pPr>
              <w:pStyle w:val="ListParagraph"/>
              <w:numPr>
                <w:ilvl w:val="0"/>
                <w:numId w:val="39"/>
              </w:numPr>
              <w:spacing w:after="240" w:line="240" w:lineRule="auto"/>
              <w:rPr>
                <w:sz w:val="18"/>
                <w:szCs w:val="18"/>
              </w:rPr>
            </w:pPr>
            <w:r w:rsidRPr="001D0ACA">
              <w:rPr>
                <w:rFonts w:ascii="Cambria" w:eastAsia="Times New Roman" w:hAnsi="Cambria" w:cs="Times New Roman"/>
                <w:b/>
                <w:i/>
                <w:iCs/>
                <w:color w:val="1F497D"/>
                <w:highlight w:val="cyan"/>
              </w:rPr>
              <w:t>BLUE</w:t>
            </w:r>
            <w:r w:rsidRPr="00A32388">
              <w:rPr>
                <w:rFonts w:asciiTheme="majorHAnsi" w:hAnsiTheme="majorHAnsi"/>
                <w:b/>
                <w:bCs/>
                <w:i/>
                <w:iCs/>
                <w:color w:val="B4D012" w:themeColor="text2"/>
                <w:sz w:val="18"/>
                <w:szCs w:val="18"/>
              </w:rPr>
              <w:t xml:space="preserve"> </w:t>
            </w:r>
            <w:r w:rsidRPr="004F2187">
              <w:rPr>
                <w:rFonts w:ascii="Arial" w:hAnsi="Arial" w:cs="Arial"/>
                <w:sz w:val="18"/>
                <w:szCs w:val="18"/>
              </w:rPr>
              <w:t>are internal guidance notes designed to assist agencies</w:t>
            </w:r>
            <w:r w:rsidR="004C0913" w:rsidRPr="004C0913">
              <w:rPr>
                <w:rFonts w:ascii="Arial" w:hAnsi="Arial" w:cs="Arial"/>
                <w:sz w:val="18"/>
                <w:szCs w:val="18"/>
              </w:rPr>
              <w:t>.</w:t>
            </w:r>
          </w:p>
        </w:tc>
      </w:tr>
    </w:tbl>
    <w:p w14:paraId="59793F02" w14:textId="1B7312DC" w:rsidR="00557BA2" w:rsidRDefault="00557BA2" w:rsidP="00557BA2">
      <w:pPr>
        <w:rPr>
          <w:lang w:val="en-US"/>
        </w:rPr>
      </w:pPr>
    </w:p>
    <w:p w14:paraId="2405E15F" w14:textId="3F600012" w:rsidR="00294126" w:rsidRDefault="00294126">
      <w:pPr>
        <w:rPr>
          <w:lang w:val="en-US"/>
        </w:rPr>
      </w:pPr>
      <w:r>
        <w:rPr>
          <w:lang w:val="en-US"/>
        </w:rPr>
        <w:br w:type="page"/>
      </w:r>
    </w:p>
    <w:p w14:paraId="60EF8CFA" w14:textId="77777777" w:rsidR="00555EDE" w:rsidRDefault="00555EDE" w:rsidP="005124B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962"/>
        <w:gridCol w:w="3756"/>
        <w:gridCol w:w="1268"/>
      </w:tblGrid>
      <w:tr w:rsidR="005124B0" w:rsidRPr="00FB4034" w14:paraId="155230F5" w14:textId="77777777" w:rsidTr="00F54FAB">
        <w:tc>
          <w:tcPr>
            <w:tcW w:w="1065" w:type="dxa"/>
            <w:shd w:val="clear" w:color="auto" w:fill="F2F2F2" w:themeFill="background1" w:themeFillShade="F2"/>
          </w:tcPr>
          <w:p w14:paraId="55F7AB14" w14:textId="77777777" w:rsidR="005124B0" w:rsidRPr="00F54FAB" w:rsidRDefault="005124B0" w:rsidP="00F54FAB">
            <w:pPr>
              <w:spacing w:before="80" w:after="80"/>
              <w:rPr>
                <w:rFonts w:cs="Arial"/>
                <w:b/>
                <w:sz w:val="16"/>
                <w:szCs w:val="16"/>
              </w:rPr>
            </w:pPr>
            <w:r w:rsidRPr="00F54FAB">
              <w:rPr>
                <w:rFonts w:cs="Arial"/>
                <w:b/>
                <w:sz w:val="16"/>
                <w:szCs w:val="16"/>
              </w:rPr>
              <w:t>Revision:</w:t>
            </w:r>
          </w:p>
        </w:tc>
        <w:tc>
          <w:tcPr>
            <w:tcW w:w="1292" w:type="dxa"/>
            <w:shd w:val="clear" w:color="auto" w:fill="F2F2F2" w:themeFill="background1" w:themeFillShade="F2"/>
          </w:tcPr>
          <w:p w14:paraId="196B10E9" w14:textId="77777777" w:rsidR="005124B0" w:rsidRPr="00FB4034" w:rsidRDefault="005124B0" w:rsidP="00F54FAB">
            <w:pPr>
              <w:spacing w:before="80" w:after="80"/>
              <w:rPr>
                <w:rFonts w:cs="Arial"/>
                <w:b/>
                <w:sz w:val="16"/>
                <w:szCs w:val="16"/>
              </w:rPr>
            </w:pPr>
            <w:r w:rsidRPr="00FB4034">
              <w:rPr>
                <w:rFonts w:cs="Arial"/>
                <w:b/>
                <w:sz w:val="16"/>
                <w:szCs w:val="16"/>
              </w:rPr>
              <w:t>Date:</w:t>
            </w:r>
          </w:p>
        </w:tc>
        <w:tc>
          <w:tcPr>
            <w:tcW w:w="1962" w:type="dxa"/>
            <w:shd w:val="clear" w:color="auto" w:fill="F2F2F2" w:themeFill="background1" w:themeFillShade="F2"/>
          </w:tcPr>
          <w:p w14:paraId="3B746AAD" w14:textId="77777777" w:rsidR="005124B0" w:rsidRPr="00FB4034" w:rsidRDefault="005124B0" w:rsidP="00F54FAB">
            <w:pPr>
              <w:spacing w:before="80" w:after="80"/>
              <w:rPr>
                <w:rFonts w:cs="Arial"/>
                <w:b/>
                <w:sz w:val="16"/>
                <w:szCs w:val="16"/>
              </w:rPr>
            </w:pPr>
            <w:r w:rsidRPr="00FB4034">
              <w:rPr>
                <w:rFonts w:cs="Arial"/>
                <w:b/>
                <w:sz w:val="16"/>
                <w:szCs w:val="16"/>
              </w:rPr>
              <w:t>Clause reference:</w:t>
            </w:r>
          </w:p>
        </w:tc>
        <w:tc>
          <w:tcPr>
            <w:tcW w:w="3756" w:type="dxa"/>
            <w:shd w:val="clear" w:color="auto" w:fill="F2F2F2" w:themeFill="background1" w:themeFillShade="F2"/>
          </w:tcPr>
          <w:p w14:paraId="7C2D32E1" w14:textId="77777777" w:rsidR="005124B0" w:rsidRPr="00FB4034" w:rsidRDefault="005124B0" w:rsidP="00F54FAB">
            <w:pPr>
              <w:spacing w:before="80" w:after="80"/>
              <w:rPr>
                <w:rFonts w:cs="Arial"/>
                <w:b/>
                <w:sz w:val="16"/>
                <w:szCs w:val="16"/>
              </w:rPr>
            </w:pPr>
            <w:r w:rsidRPr="00FB4034">
              <w:rPr>
                <w:rFonts w:cs="Arial"/>
                <w:b/>
                <w:sz w:val="16"/>
                <w:szCs w:val="16"/>
              </w:rPr>
              <w:t>Details:</w:t>
            </w:r>
          </w:p>
        </w:tc>
        <w:tc>
          <w:tcPr>
            <w:tcW w:w="1268" w:type="dxa"/>
            <w:shd w:val="clear" w:color="auto" w:fill="F2F2F2" w:themeFill="background1" w:themeFillShade="F2"/>
          </w:tcPr>
          <w:p w14:paraId="6D05DF3E" w14:textId="77777777" w:rsidR="005124B0" w:rsidRPr="00FB4034" w:rsidRDefault="005124B0" w:rsidP="00F54FAB">
            <w:pPr>
              <w:spacing w:before="80" w:after="80"/>
              <w:rPr>
                <w:rFonts w:cs="Arial"/>
                <w:b/>
                <w:sz w:val="16"/>
                <w:szCs w:val="16"/>
              </w:rPr>
            </w:pPr>
            <w:r w:rsidRPr="00FB4034">
              <w:rPr>
                <w:rFonts w:cs="Arial"/>
                <w:b/>
                <w:sz w:val="16"/>
                <w:szCs w:val="16"/>
              </w:rPr>
              <w:t>Endorsed by:</w:t>
            </w:r>
          </w:p>
        </w:tc>
      </w:tr>
      <w:tr w:rsidR="005124B0" w:rsidRPr="00FB4034" w14:paraId="62EBC701" w14:textId="77777777" w:rsidTr="00F54FAB">
        <w:tc>
          <w:tcPr>
            <w:tcW w:w="1065" w:type="dxa"/>
          </w:tcPr>
          <w:p w14:paraId="0D2CDBFB" w14:textId="4CA0CB5E" w:rsidR="005124B0" w:rsidRPr="00F54FAB" w:rsidRDefault="00F54FAB" w:rsidP="00F54FAB">
            <w:pPr>
              <w:spacing w:before="80" w:after="80"/>
              <w:jc w:val="center"/>
              <w:rPr>
                <w:rFonts w:cs="Arial"/>
                <w:bCs/>
                <w:sz w:val="16"/>
                <w:szCs w:val="16"/>
              </w:rPr>
            </w:pPr>
            <w:r w:rsidRPr="00F54FAB">
              <w:rPr>
                <w:rFonts w:cs="Arial"/>
                <w:bCs/>
                <w:sz w:val="16"/>
                <w:szCs w:val="16"/>
              </w:rPr>
              <w:t>1</w:t>
            </w:r>
          </w:p>
        </w:tc>
        <w:tc>
          <w:tcPr>
            <w:tcW w:w="1292" w:type="dxa"/>
          </w:tcPr>
          <w:p w14:paraId="0CFFEFC6" w14:textId="77777777" w:rsidR="005124B0" w:rsidRPr="00FB4034" w:rsidRDefault="005124B0" w:rsidP="00F54FAB">
            <w:pPr>
              <w:spacing w:before="80" w:after="80"/>
              <w:rPr>
                <w:rFonts w:cs="Arial"/>
                <w:sz w:val="16"/>
                <w:szCs w:val="16"/>
              </w:rPr>
            </w:pPr>
          </w:p>
        </w:tc>
        <w:tc>
          <w:tcPr>
            <w:tcW w:w="1962" w:type="dxa"/>
          </w:tcPr>
          <w:p w14:paraId="519E2C43" w14:textId="77777777" w:rsidR="005124B0" w:rsidRPr="00FB4034" w:rsidRDefault="005124B0" w:rsidP="00F54FAB">
            <w:pPr>
              <w:spacing w:before="80" w:after="80"/>
              <w:rPr>
                <w:rFonts w:cs="Arial"/>
                <w:sz w:val="16"/>
                <w:szCs w:val="16"/>
              </w:rPr>
            </w:pPr>
          </w:p>
        </w:tc>
        <w:tc>
          <w:tcPr>
            <w:tcW w:w="3756" w:type="dxa"/>
          </w:tcPr>
          <w:p w14:paraId="3C14DC0F" w14:textId="77777777" w:rsidR="005124B0" w:rsidRPr="00FB4034" w:rsidRDefault="005124B0" w:rsidP="00F54FAB">
            <w:pPr>
              <w:spacing w:before="80" w:after="80"/>
              <w:rPr>
                <w:rFonts w:cs="Arial"/>
                <w:sz w:val="16"/>
                <w:szCs w:val="16"/>
              </w:rPr>
            </w:pPr>
          </w:p>
        </w:tc>
        <w:tc>
          <w:tcPr>
            <w:tcW w:w="1268" w:type="dxa"/>
          </w:tcPr>
          <w:p w14:paraId="074AFD80" w14:textId="77777777" w:rsidR="005124B0" w:rsidRPr="00FB4034" w:rsidRDefault="005124B0" w:rsidP="00F54FAB">
            <w:pPr>
              <w:spacing w:before="80" w:after="80"/>
              <w:rPr>
                <w:rFonts w:cs="Arial"/>
                <w:sz w:val="16"/>
                <w:szCs w:val="16"/>
              </w:rPr>
            </w:pPr>
          </w:p>
        </w:tc>
      </w:tr>
      <w:tr w:rsidR="005124B0" w:rsidRPr="00FB4034" w14:paraId="1A5B327A" w14:textId="77777777" w:rsidTr="00F54FAB">
        <w:tc>
          <w:tcPr>
            <w:tcW w:w="1065" w:type="dxa"/>
          </w:tcPr>
          <w:p w14:paraId="0A3E515A" w14:textId="77777777" w:rsidR="005124B0" w:rsidRPr="00F54FAB" w:rsidRDefault="005124B0" w:rsidP="00F54FAB">
            <w:pPr>
              <w:spacing w:before="80" w:after="80"/>
              <w:jc w:val="center"/>
              <w:rPr>
                <w:rFonts w:cs="Arial"/>
                <w:bCs/>
                <w:sz w:val="16"/>
                <w:szCs w:val="16"/>
              </w:rPr>
            </w:pPr>
            <w:bookmarkStart w:id="2" w:name="_Hlk47981443"/>
          </w:p>
        </w:tc>
        <w:tc>
          <w:tcPr>
            <w:tcW w:w="1292" w:type="dxa"/>
          </w:tcPr>
          <w:p w14:paraId="13C390F6" w14:textId="77777777" w:rsidR="005124B0" w:rsidRDefault="005124B0" w:rsidP="00F54FAB">
            <w:pPr>
              <w:spacing w:before="80" w:after="80"/>
              <w:rPr>
                <w:rFonts w:cs="Arial"/>
                <w:sz w:val="16"/>
                <w:szCs w:val="16"/>
              </w:rPr>
            </w:pPr>
          </w:p>
        </w:tc>
        <w:tc>
          <w:tcPr>
            <w:tcW w:w="1962" w:type="dxa"/>
          </w:tcPr>
          <w:p w14:paraId="509CE7BC" w14:textId="77777777" w:rsidR="005124B0" w:rsidRDefault="005124B0" w:rsidP="00F54FAB">
            <w:pPr>
              <w:spacing w:before="80" w:after="80"/>
              <w:rPr>
                <w:rFonts w:cs="Arial"/>
                <w:sz w:val="16"/>
                <w:szCs w:val="16"/>
              </w:rPr>
            </w:pPr>
          </w:p>
        </w:tc>
        <w:tc>
          <w:tcPr>
            <w:tcW w:w="3756" w:type="dxa"/>
          </w:tcPr>
          <w:p w14:paraId="2E73043E" w14:textId="77777777" w:rsidR="005124B0" w:rsidRDefault="005124B0" w:rsidP="00F54FAB">
            <w:pPr>
              <w:spacing w:before="80" w:after="80"/>
              <w:rPr>
                <w:rFonts w:cs="Arial"/>
                <w:sz w:val="16"/>
                <w:szCs w:val="16"/>
              </w:rPr>
            </w:pPr>
          </w:p>
        </w:tc>
        <w:tc>
          <w:tcPr>
            <w:tcW w:w="1268" w:type="dxa"/>
          </w:tcPr>
          <w:p w14:paraId="0D769C69" w14:textId="77777777" w:rsidR="005124B0" w:rsidRDefault="005124B0" w:rsidP="00F54FAB">
            <w:pPr>
              <w:spacing w:before="80" w:after="80"/>
              <w:rPr>
                <w:rFonts w:cs="Arial"/>
                <w:sz w:val="16"/>
                <w:szCs w:val="16"/>
              </w:rPr>
            </w:pPr>
          </w:p>
        </w:tc>
      </w:tr>
      <w:tr w:rsidR="005124B0" w:rsidRPr="00FB4034" w14:paraId="767DD9E1" w14:textId="77777777" w:rsidTr="00F54FAB">
        <w:tc>
          <w:tcPr>
            <w:tcW w:w="1065" w:type="dxa"/>
          </w:tcPr>
          <w:p w14:paraId="37AC2CFD" w14:textId="77777777" w:rsidR="005124B0" w:rsidRPr="00F54FAB" w:rsidRDefault="005124B0" w:rsidP="00F54FAB">
            <w:pPr>
              <w:spacing w:before="80" w:after="80"/>
              <w:jc w:val="center"/>
              <w:rPr>
                <w:rFonts w:cs="Arial"/>
                <w:bCs/>
                <w:sz w:val="16"/>
                <w:szCs w:val="16"/>
              </w:rPr>
            </w:pPr>
          </w:p>
        </w:tc>
        <w:tc>
          <w:tcPr>
            <w:tcW w:w="1292" w:type="dxa"/>
          </w:tcPr>
          <w:p w14:paraId="6346C85D" w14:textId="77777777" w:rsidR="005124B0" w:rsidRDefault="005124B0" w:rsidP="00F54FAB">
            <w:pPr>
              <w:spacing w:before="80" w:after="80"/>
              <w:rPr>
                <w:rFonts w:cs="Arial"/>
                <w:sz w:val="16"/>
                <w:szCs w:val="16"/>
              </w:rPr>
            </w:pPr>
          </w:p>
        </w:tc>
        <w:tc>
          <w:tcPr>
            <w:tcW w:w="1962" w:type="dxa"/>
          </w:tcPr>
          <w:p w14:paraId="2D818B8D" w14:textId="77777777" w:rsidR="005124B0" w:rsidRDefault="005124B0" w:rsidP="00F54FAB">
            <w:pPr>
              <w:spacing w:before="80" w:after="80"/>
              <w:rPr>
                <w:rFonts w:cs="Arial"/>
                <w:sz w:val="16"/>
                <w:szCs w:val="16"/>
              </w:rPr>
            </w:pPr>
          </w:p>
        </w:tc>
        <w:tc>
          <w:tcPr>
            <w:tcW w:w="3756" w:type="dxa"/>
          </w:tcPr>
          <w:p w14:paraId="5DD36C0C" w14:textId="77777777" w:rsidR="005124B0" w:rsidRDefault="005124B0" w:rsidP="00F54FAB">
            <w:pPr>
              <w:spacing w:before="80" w:after="80"/>
              <w:rPr>
                <w:rFonts w:cs="Arial"/>
                <w:sz w:val="16"/>
                <w:szCs w:val="16"/>
              </w:rPr>
            </w:pPr>
          </w:p>
        </w:tc>
        <w:tc>
          <w:tcPr>
            <w:tcW w:w="1268" w:type="dxa"/>
          </w:tcPr>
          <w:p w14:paraId="12E501AC" w14:textId="77777777" w:rsidR="005124B0" w:rsidRDefault="005124B0" w:rsidP="00F54FAB">
            <w:pPr>
              <w:spacing w:before="80" w:after="80"/>
              <w:rPr>
                <w:rFonts w:cs="Arial"/>
                <w:sz w:val="16"/>
                <w:szCs w:val="16"/>
              </w:rPr>
            </w:pPr>
          </w:p>
        </w:tc>
      </w:tr>
      <w:tr w:rsidR="005124B0" w:rsidRPr="00FB4034" w14:paraId="795D03A9" w14:textId="77777777" w:rsidTr="00F54FAB">
        <w:tc>
          <w:tcPr>
            <w:tcW w:w="1065" w:type="dxa"/>
          </w:tcPr>
          <w:p w14:paraId="551C87FF" w14:textId="77777777" w:rsidR="005124B0" w:rsidRPr="00F54FAB" w:rsidRDefault="005124B0" w:rsidP="00F54FAB">
            <w:pPr>
              <w:spacing w:before="80" w:after="80"/>
              <w:jc w:val="center"/>
              <w:rPr>
                <w:rFonts w:cs="Arial"/>
                <w:bCs/>
                <w:sz w:val="16"/>
                <w:szCs w:val="16"/>
              </w:rPr>
            </w:pPr>
          </w:p>
        </w:tc>
        <w:tc>
          <w:tcPr>
            <w:tcW w:w="1292" w:type="dxa"/>
          </w:tcPr>
          <w:p w14:paraId="429A13D5" w14:textId="77777777" w:rsidR="005124B0" w:rsidRDefault="005124B0" w:rsidP="00F54FAB">
            <w:pPr>
              <w:spacing w:before="80" w:after="80"/>
              <w:rPr>
                <w:rFonts w:cs="Arial"/>
                <w:sz w:val="16"/>
                <w:szCs w:val="16"/>
              </w:rPr>
            </w:pPr>
          </w:p>
        </w:tc>
        <w:tc>
          <w:tcPr>
            <w:tcW w:w="1962" w:type="dxa"/>
          </w:tcPr>
          <w:p w14:paraId="2BF7B62F" w14:textId="77777777" w:rsidR="005124B0" w:rsidRDefault="005124B0" w:rsidP="00F54FAB">
            <w:pPr>
              <w:spacing w:before="80" w:after="80"/>
              <w:rPr>
                <w:rFonts w:cs="Arial"/>
                <w:sz w:val="16"/>
                <w:szCs w:val="16"/>
              </w:rPr>
            </w:pPr>
          </w:p>
        </w:tc>
        <w:tc>
          <w:tcPr>
            <w:tcW w:w="3756" w:type="dxa"/>
          </w:tcPr>
          <w:p w14:paraId="591500D0" w14:textId="77777777" w:rsidR="005124B0" w:rsidRDefault="005124B0" w:rsidP="00F54FAB">
            <w:pPr>
              <w:spacing w:before="80" w:after="80"/>
              <w:rPr>
                <w:rFonts w:cs="Arial"/>
                <w:sz w:val="16"/>
                <w:szCs w:val="16"/>
              </w:rPr>
            </w:pPr>
          </w:p>
        </w:tc>
        <w:tc>
          <w:tcPr>
            <w:tcW w:w="1268" w:type="dxa"/>
          </w:tcPr>
          <w:p w14:paraId="15CD204E" w14:textId="77777777" w:rsidR="005124B0" w:rsidRDefault="005124B0" w:rsidP="00F54FAB">
            <w:pPr>
              <w:spacing w:before="80" w:after="80"/>
              <w:rPr>
                <w:rFonts w:cs="Arial"/>
                <w:sz w:val="16"/>
                <w:szCs w:val="16"/>
              </w:rPr>
            </w:pPr>
          </w:p>
        </w:tc>
      </w:tr>
      <w:tr w:rsidR="005124B0" w:rsidRPr="00FB4034" w14:paraId="12B75242" w14:textId="77777777" w:rsidTr="00F54FAB">
        <w:tc>
          <w:tcPr>
            <w:tcW w:w="1065" w:type="dxa"/>
          </w:tcPr>
          <w:p w14:paraId="0062547F" w14:textId="77777777" w:rsidR="005124B0" w:rsidRPr="00F54FAB" w:rsidRDefault="005124B0" w:rsidP="00F54FAB">
            <w:pPr>
              <w:spacing w:before="80" w:after="80"/>
              <w:jc w:val="center"/>
              <w:rPr>
                <w:rFonts w:cs="Arial"/>
                <w:bCs/>
                <w:sz w:val="16"/>
                <w:szCs w:val="16"/>
              </w:rPr>
            </w:pPr>
          </w:p>
        </w:tc>
        <w:tc>
          <w:tcPr>
            <w:tcW w:w="1292" w:type="dxa"/>
          </w:tcPr>
          <w:p w14:paraId="57504767" w14:textId="77777777" w:rsidR="005124B0" w:rsidRDefault="005124B0" w:rsidP="00F54FAB">
            <w:pPr>
              <w:spacing w:before="80" w:after="80"/>
              <w:rPr>
                <w:rFonts w:cs="Arial"/>
                <w:sz w:val="16"/>
                <w:szCs w:val="16"/>
              </w:rPr>
            </w:pPr>
          </w:p>
        </w:tc>
        <w:tc>
          <w:tcPr>
            <w:tcW w:w="1962" w:type="dxa"/>
          </w:tcPr>
          <w:p w14:paraId="3DD02E42" w14:textId="77777777" w:rsidR="005124B0" w:rsidDel="00BE143C" w:rsidRDefault="005124B0" w:rsidP="00F54FAB">
            <w:pPr>
              <w:spacing w:before="80" w:after="80"/>
              <w:rPr>
                <w:rFonts w:cs="Arial"/>
                <w:sz w:val="16"/>
                <w:szCs w:val="16"/>
              </w:rPr>
            </w:pPr>
          </w:p>
        </w:tc>
        <w:tc>
          <w:tcPr>
            <w:tcW w:w="3756" w:type="dxa"/>
          </w:tcPr>
          <w:p w14:paraId="768B7B28" w14:textId="77777777" w:rsidR="005124B0" w:rsidRDefault="005124B0" w:rsidP="00F54FAB">
            <w:pPr>
              <w:spacing w:before="80" w:after="80"/>
              <w:rPr>
                <w:rFonts w:cs="Arial"/>
                <w:sz w:val="16"/>
                <w:szCs w:val="16"/>
              </w:rPr>
            </w:pPr>
          </w:p>
        </w:tc>
        <w:tc>
          <w:tcPr>
            <w:tcW w:w="1268" w:type="dxa"/>
          </w:tcPr>
          <w:p w14:paraId="60009DEC" w14:textId="77777777" w:rsidR="005124B0" w:rsidRDefault="005124B0" w:rsidP="00F54FAB">
            <w:pPr>
              <w:spacing w:before="80" w:after="80"/>
              <w:rPr>
                <w:rFonts w:cs="Arial"/>
                <w:sz w:val="16"/>
                <w:szCs w:val="16"/>
              </w:rPr>
            </w:pPr>
          </w:p>
        </w:tc>
      </w:tr>
      <w:bookmarkEnd w:id="2"/>
    </w:tbl>
    <w:p w14:paraId="1DDB7A8E" w14:textId="77777777" w:rsidR="005124B0" w:rsidRDefault="005124B0" w:rsidP="005124B0">
      <w:pPr>
        <w:rPr>
          <w:sz w:val="18"/>
          <w:szCs w:val="18"/>
        </w:rPr>
      </w:pPr>
    </w:p>
    <w:p w14:paraId="07F9657E" w14:textId="4941F600" w:rsidR="005124B0" w:rsidRDefault="005124B0" w:rsidP="005124B0">
      <w:pPr>
        <w:rPr>
          <w:sz w:val="18"/>
          <w:szCs w:val="18"/>
        </w:rPr>
      </w:pPr>
    </w:p>
    <w:p w14:paraId="028731D9" w14:textId="7ED18624" w:rsidR="00F54FAB" w:rsidRDefault="00F54FAB" w:rsidP="005124B0">
      <w:pPr>
        <w:rPr>
          <w:sz w:val="18"/>
          <w:szCs w:val="18"/>
        </w:rPr>
      </w:pPr>
    </w:p>
    <w:p w14:paraId="4713FF0D" w14:textId="652C65D2" w:rsidR="00F54FAB" w:rsidRDefault="00F54FAB" w:rsidP="005124B0">
      <w:pPr>
        <w:rPr>
          <w:sz w:val="18"/>
          <w:szCs w:val="18"/>
        </w:rPr>
      </w:pPr>
    </w:p>
    <w:p w14:paraId="734B09CB" w14:textId="20C3AF27" w:rsidR="00F54FAB" w:rsidRDefault="00F54FAB" w:rsidP="005124B0">
      <w:pPr>
        <w:rPr>
          <w:sz w:val="18"/>
          <w:szCs w:val="18"/>
        </w:rPr>
      </w:pPr>
    </w:p>
    <w:p w14:paraId="0E232F22" w14:textId="76D3D529" w:rsidR="00F54FAB" w:rsidRDefault="00F54FAB" w:rsidP="005124B0">
      <w:pPr>
        <w:rPr>
          <w:sz w:val="18"/>
          <w:szCs w:val="18"/>
        </w:rPr>
      </w:pPr>
    </w:p>
    <w:p w14:paraId="37A56D5F" w14:textId="2DDC982D" w:rsidR="00F54FAB" w:rsidRDefault="00F54FAB" w:rsidP="005124B0">
      <w:pPr>
        <w:rPr>
          <w:sz w:val="18"/>
          <w:szCs w:val="18"/>
        </w:rPr>
      </w:pPr>
    </w:p>
    <w:p w14:paraId="02C6CBD8" w14:textId="1F86DA9D" w:rsidR="00F54FAB" w:rsidRDefault="00F54FAB" w:rsidP="005124B0">
      <w:pPr>
        <w:rPr>
          <w:sz w:val="18"/>
          <w:szCs w:val="18"/>
        </w:rPr>
      </w:pPr>
    </w:p>
    <w:p w14:paraId="137D74E9" w14:textId="7833C54D" w:rsidR="00F54FAB" w:rsidRDefault="00F54FAB" w:rsidP="005124B0">
      <w:pPr>
        <w:rPr>
          <w:sz w:val="18"/>
          <w:szCs w:val="18"/>
        </w:rPr>
      </w:pPr>
    </w:p>
    <w:p w14:paraId="75250239" w14:textId="27D32A3D" w:rsidR="00F54FAB" w:rsidRDefault="00F54FAB" w:rsidP="005124B0">
      <w:pPr>
        <w:rPr>
          <w:sz w:val="18"/>
          <w:szCs w:val="18"/>
        </w:rPr>
      </w:pPr>
    </w:p>
    <w:p w14:paraId="6B081E6E" w14:textId="31844B9C" w:rsidR="00F54FAB" w:rsidRDefault="00F54FAB" w:rsidP="005124B0">
      <w:pPr>
        <w:rPr>
          <w:sz w:val="18"/>
          <w:szCs w:val="18"/>
        </w:rPr>
      </w:pPr>
    </w:p>
    <w:p w14:paraId="3B557E02" w14:textId="56A2BF53" w:rsidR="00F54FAB" w:rsidRDefault="00F54FAB" w:rsidP="005124B0">
      <w:pPr>
        <w:rPr>
          <w:sz w:val="18"/>
          <w:szCs w:val="18"/>
        </w:rPr>
      </w:pPr>
    </w:p>
    <w:p w14:paraId="4913A36E" w14:textId="27C9E286" w:rsidR="00F54FAB" w:rsidRDefault="00F54FAB" w:rsidP="005124B0">
      <w:pPr>
        <w:rPr>
          <w:sz w:val="18"/>
          <w:szCs w:val="18"/>
        </w:rPr>
      </w:pPr>
    </w:p>
    <w:p w14:paraId="0703F305" w14:textId="65CEEA72" w:rsidR="00F54FAB" w:rsidRDefault="00F54FAB" w:rsidP="005124B0">
      <w:pPr>
        <w:rPr>
          <w:sz w:val="18"/>
          <w:szCs w:val="18"/>
        </w:rPr>
      </w:pPr>
    </w:p>
    <w:p w14:paraId="6639BE9A" w14:textId="77777777" w:rsidR="005124B0" w:rsidRDefault="005124B0" w:rsidP="005124B0">
      <w:pPr>
        <w:rPr>
          <w:sz w:val="18"/>
          <w:szCs w:val="18"/>
        </w:rPr>
      </w:pPr>
    </w:p>
    <w:p w14:paraId="50520B76" w14:textId="77777777" w:rsidR="005124B0" w:rsidRDefault="005124B0" w:rsidP="005124B0">
      <w:pPr>
        <w:rPr>
          <w:sz w:val="18"/>
          <w:szCs w:val="18"/>
        </w:rPr>
      </w:pPr>
    </w:p>
    <w:p w14:paraId="560A1024" w14:textId="77777777" w:rsidR="005124B0" w:rsidRDefault="005124B0" w:rsidP="005124B0">
      <w:pPr>
        <w:rPr>
          <w:sz w:val="18"/>
          <w:szCs w:val="18"/>
        </w:rPr>
      </w:pPr>
    </w:p>
    <w:p w14:paraId="70614269" w14:textId="79B18BE8" w:rsidR="005124B0" w:rsidRPr="008A1CE7" w:rsidRDefault="005124B0" w:rsidP="005124B0">
      <w:pPr>
        <w:rPr>
          <w:sz w:val="18"/>
          <w:szCs w:val="18"/>
        </w:rPr>
      </w:pPr>
      <w:r w:rsidRPr="008A1CE7">
        <w:rPr>
          <w:sz w:val="18"/>
          <w:szCs w:val="18"/>
        </w:rPr>
        <w:t>The copyright in th</w:t>
      </w:r>
      <w:r w:rsidR="00F54FAB">
        <w:rPr>
          <w:sz w:val="18"/>
          <w:szCs w:val="18"/>
        </w:rPr>
        <w:t>ese</w:t>
      </w:r>
      <w:r w:rsidR="00772360">
        <w:rPr>
          <w:sz w:val="18"/>
          <w:szCs w:val="18"/>
        </w:rPr>
        <w:t xml:space="preserve"> Model Clause</w:t>
      </w:r>
      <w:r w:rsidR="00F54FAB">
        <w:rPr>
          <w:sz w:val="18"/>
          <w:szCs w:val="18"/>
        </w:rPr>
        <w:t>s</w:t>
      </w:r>
      <w:r w:rsidR="00772360">
        <w:rPr>
          <w:sz w:val="18"/>
          <w:szCs w:val="18"/>
        </w:rPr>
        <w:t xml:space="preserve"> </w:t>
      </w:r>
      <w:r w:rsidRPr="008A1CE7">
        <w:rPr>
          <w:sz w:val="18"/>
          <w:szCs w:val="18"/>
        </w:rPr>
        <w:t>is owned by the State of Victoria (Department of Treasury and Finance).</w:t>
      </w:r>
    </w:p>
    <w:p w14:paraId="5E3DA7E2" w14:textId="2B512BBC" w:rsidR="005124B0" w:rsidRPr="008A1CE7" w:rsidRDefault="005124B0" w:rsidP="005124B0">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sidR="00F54FAB">
        <w:rPr>
          <w:rFonts w:asciiTheme="minorHAnsi" w:hAnsiTheme="minorHAnsi" w:cstheme="minorHAnsi"/>
          <w:sz w:val="18"/>
          <w:szCs w:val="18"/>
        </w:rPr>
        <w:t>3</w:t>
      </w:r>
    </w:p>
    <w:p w14:paraId="7E5E7F1C" w14:textId="2C19C916" w:rsidR="005124B0" w:rsidRPr="008A1CE7" w:rsidRDefault="007F0686" w:rsidP="005124B0">
      <w:pPr>
        <w:tabs>
          <w:tab w:val="left" w:pos="3170"/>
        </w:tabs>
        <w:spacing w:before="120" w:after="120"/>
        <w:rPr>
          <w:rFonts w:asciiTheme="minorHAnsi" w:hAnsiTheme="minorHAnsi" w:cstheme="minorHAnsi"/>
          <w:sz w:val="18"/>
          <w:szCs w:val="18"/>
        </w:rPr>
      </w:pPr>
      <w:hyperlink r:id="rId8" w:history="1">
        <w:r w:rsidR="005124B0" w:rsidRPr="008A1CE7">
          <w:rPr>
            <w:rFonts w:asciiTheme="minorHAnsi" w:hAnsiTheme="minorHAnsi" w:cstheme="minorHAnsi"/>
            <w:noProof/>
            <w:sz w:val="18"/>
            <w:szCs w:val="18"/>
            <w:lang w:eastAsia="en-AU"/>
          </w:rPr>
          <w:drawing>
            <wp:inline distT="0" distB="0" distL="0" distR="0" wp14:anchorId="635A651B" wp14:editId="1DE59A8C">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5124B0" w:rsidRPr="008A1CE7">
          <w:rPr>
            <w:rFonts w:asciiTheme="minorHAnsi" w:hAnsiTheme="minorHAnsi" w:cstheme="minorHAnsi"/>
            <w:sz w:val="18"/>
            <w:szCs w:val="18"/>
          </w:rPr>
          <w:t xml:space="preserve"> </w:t>
        </w:r>
      </w:hyperlink>
      <w:r w:rsidR="005124B0" w:rsidRPr="008A1CE7">
        <w:rPr>
          <w:rFonts w:asciiTheme="minorHAnsi" w:hAnsiTheme="minorHAnsi" w:cstheme="minorHAnsi"/>
          <w:sz w:val="18"/>
          <w:szCs w:val="18"/>
        </w:rPr>
        <w:t xml:space="preserve"> </w:t>
      </w:r>
    </w:p>
    <w:p w14:paraId="0A3F589A" w14:textId="5703C72E" w:rsidR="005124B0" w:rsidRPr="008A1CE7" w:rsidRDefault="005124B0" w:rsidP="005124B0">
      <w:pPr>
        <w:rPr>
          <w:sz w:val="18"/>
          <w:szCs w:val="18"/>
        </w:rPr>
      </w:pPr>
      <w:r w:rsidRPr="00A05142">
        <w:rPr>
          <w:sz w:val="18"/>
          <w:szCs w:val="18"/>
        </w:rPr>
        <w:t xml:space="preserve">You are free to re-use </w:t>
      </w:r>
      <w:r w:rsidR="00772360">
        <w:rPr>
          <w:sz w:val="18"/>
          <w:szCs w:val="18"/>
        </w:rPr>
        <w:t>these Model Clauses</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3B36B023" w14:textId="7143D790" w:rsidR="005124B0" w:rsidRPr="008D492A" w:rsidRDefault="005124B0" w:rsidP="005124B0">
      <w:pPr>
        <w:rPr>
          <w:lang w:val="en-US"/>
        </w:rPr>
      </w:pPr>
      <w:r w:rsidRPr="008A1CE7">
        <w:rPr>
          <w:sz w:val="18"/>
          <w:szCs w:val="18"/>
        </w:rPr>
        <w:t xml:space="preserve">Copyright queries may be directed to </w:t>
      </w:r>
      <w:hyperlink r:id="rId10" w:history="1">
        <w:r w:rsidRPr="008A1CE7">
          <w:rPr>
            <w:sz w:val="18"/>
            <w:szCs w:val="18"/>
          </w:rPr>
          <w:t>IPpolicy@dtf.vic.gov.au</w:t>
        </w:r>
      </w:hyperlink>
    </w:p>
    <w:p w14:paraId="3C0FFE4A" w14:textId="77777777" w:rsidR="005124B0" w:rsidRDefault="005124B0" w:rsidP="005124B0">
      <w:pPr>
        <w:rPr>
          <w:color w:val="000000"/>
        </w:rPr>
        <w:sectPr w:rsidR="005124B0" w:rsidSect="00711AA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5" w:h="16837" w:code="9"/>
          <w:pgMar w:top="1134" w:right="1134" w:bottom="1134" w:left="1418" w:header="1077" w:footer="567" w:gutter="0"/>
          <w:pgNumType w:start="1"/>
          <w:cols w:space="720"/>
          <w:noEndnote/>
          <w:docGrid w:linePitch="71"/>
        </w:sectPr>
      </w:pPr>
    </w:p>
    <w:p w14:paraId="4C9B32FA" w14:textId="77777777" w:rsidR="005124B0" w:rsidRDefault="005124B0" w:rsidP="005124B0">
      <w:pPr>
        <w:pStyle w:val="TOCHeader"/>
      </w:pPr>
      <w:r>
        <w:rPr>
          <w:color w:val="000000"/>
        </w:rPr>
        <w:lastRenderedPageBreak/>
        <w:t>Contents</w:t>
      </w:r>
    </w:p>
    <w:sdt>
      <w:sdtPr>
        <w:rPr>
          <w:b w:val="0"/>
          <w:sz w:val="24"/>
        </w:rPr>
        <w:id w:val="-1642266677"/>
        <w:docPartObj>
          <w:docPartGallery w:val="Table of Contents"/>
          <w:docPartUnique/>
        </w:docPartObj>
      </w:sdtPr>
      <w:sdtEndPr>
        <w:rPr>
          <w:b/>
          <w:sz w:val="20"/>
        </w:rPr>
      </w:sdtEndPr>
      <w:sdtContent>
        <w:p w14:paraId="30EC2E9E" w14:textId="08DB5AB9" w:rsidR="005652AF" w:rsidRDefault="004D3BB0">
          <w:pPr>
            <w:pStyle w:val="TOC1"/>
            <w:rPr>
              <w:rFonts w:asciiTheme="minorHAnsi" w:eastAsiaTheme="minorEastAsia" w:hAnsiTheme="minorHAnsi" w:cstheme="minorBidi"/>
              <w:b w:val="0"/>
              <w:noProof/>
              <w:sz w:val="22"/>
              <w:szCs w:val="22"/>
              <w:lang w:eastAsia="en-AU"/>
            </w:rPr>
          </w:pPr>
          <w:r>
            <w:fldChar w:fldCharType="begin"/>
          </w:r>
          <w:r>
            <w:instrText xml:space="preserve"> TOC \o "1-1" \h \z \u </w:instrText>
          </w:r>
          <w:r>
            <w:fldChar w:fldCharType="separate"/>
          </w:r>
          <w:hyperlink w:anchor="_Toc143702850" w:history="1">
            <w:r w:rsidR="005652AF" w:rsidRPr="0084673D">
              <w:rPr>
                <w:rStyle w:val="Hyperlink"/>
                <w:caps/>
                <w:noProof/>
              </w:rPr>
              <w:t>1.</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Limitation of liability and exclusion of Consequential Loss</w:t>
            </w:r>
            <w:r w:rsidR="005652AF">
              <w:rPr>
                <w:noProof/>
                <w:webHidden/>
              </w:rPr>
              <w:tab/>
            </w:r>
            <w:r w:rsidR="005652AF">
              <w:rPr>
                <w:noProof/>
                <w:webHidden/>
              </w:rPr>
              <w:fldChar w:fldCharType="begin"/>
            </w:r>
            <w:r w:rsidR="005652AF">
              <w:rPr>
                <w:noProof/>
                <w:webHidden/>
              </w:rPr>
              <w:instrText xml:space="preserve"> PAGEREF _Toc143702850 \h </w:instrText>
            </w:r>
            <w:r w:rsidR="005652AF">
              <w:rPr>
                <w:noProof/>
                <w:webHidden/>
              </w:rPr>
            </w:r>
            <w:r w:rsidR="005652AF">
              <w:rPr>
                <w:noProof/>
                <w:webHidden/>
              </w:rPr>
              <w:fldChar w:fldCharType="separate"/>
            </w:r>
            <w:r w:rsidR="005652AF">
              <w:rPr>
                <w:noProof/>
                <w:webHidden/>
              </w:rPr>
              <w:t>4</w:t>
            </w:r>
            <w:r w:rsidR="005652AF">
              <w:rPr>
                <w:noProof/>
                <w:webHidden/>
              </w:rPr>
              <w:fldChar w:fldCharType="end"/>
            </w:r>
          </w:hyperlink>
        </w:p>
        <w:p w14:paraId="6FC5372A" w14:textId="30600879" w:rsidR="005652AF" w:rsidRDefault="007F0686">
          <w:pPr>
            <w:pStyle w:val="TOC1"/>
            <w:rPr>
              <w:rFonts w:asciiTheme="minorHAnsi" w:eastAsiaTheme="minorEastAsia" w:hAnsiTheme="minorHAnsi" w:cstheme="minorBidi"/>
              <w:b w:val="0"/>
              <w:noProof/>
              <w:sz w:val="22"/>
              <w:szCs w:val="22"/>
              <w:lang w:eastAsia="en-AU"/>
            </w:rPr>
          </w:pPr>
          <w:hyperlink w:anchor="_Toc143702851" w:history="1">
            <w:r w:rsidR="005652AF" w:rsidRPr="0084673D">
              <w:rPr>
                <w:rStyle w:val="Hyperlink"/>
                <w:caps/>
                <w:noProof/>
              </w:rPr>
              <w:t>2.</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Liquidated damages</w:t>
            </w:r>
            <w:r w:rsidR="005652AF">
              <w:rPr>
                <w:noProof/>
                <w:webHidden/>
              </w:rPr>
              <w:tab/>
            </w:r>
            <w:r w:rsidR="005652AF">
              <w:rPr>
                <w:noProof/>
                <w:webHidden/>
              </w:rPr>
              <w:fldChar w:fldCharType="begin"/>
            </w:r>
            <w:r w:rsidR="005652AF">
              <w:rPr>
                <w:noProof/>
                <w:webHidden/>
              </w:rPr>
              <w:instrText xml:space="preserve"> PAGEREF _Toc143702851 \h </w:instrText>
            </w:r>
            <w:r w:rsidR="005652AF">
              <w:rPr>
                <w:noProof/>
                <w:webHidden/>
              </w:rPr>
            </w:r>
            <w:r w:rsidR="005652AF">
              <w:rPr>
                <w:noProof/>
                <w:webHidden/>
              </w:rPr>
              <w:fldChar w:fldCharType="separate"/>
            </w:r>
            <w:r w:rsidR="005652AF">
              <w:rPr>
                <w:noProof/>
                <w:webHidden/>
              </w:rPr>
              <w:t>9</w:t>
            </w:r>
            <w:r w:rsidR="005652AF">
              <w:rPr>
                <w:noProof/>
                <w:webHidden/>
              </w:rPr>
              <w:fldChar w:fldCharType="end"/>
            </w:r>
          </w:hyperlink>
        </w:p>
        <w:p w14:paraId="7BE2494E" w14:textId="00087F65" w:rsidR="005652AF" w:rsidRDefault="007F0686">
          <w:pPr>
            <w:pStyle w:val="TOC1"/>
            <w:rPr>
              <w:rFonts w:asciiTheme="minorHAnsi" w:eastAsiaTheme="minorEastAsia" w:hAnsiTheme="minorHAnsi" w:cstheme="minorBidi"/>
              <w:b w:val="0"/>
              <w:noProof/>
              <w:sz w:val="22"/>
              <w:szCs w:val="22"/>
              <w:lang w:eastAsia="en-AU"/>
            </w:rPr>
          </w:pPr>
          <w:hyperlink w:anchor="_Toc143702852" w:history="1">
            <w:r w:rsidR="005652AF" w:rsidRPr="0084673D">
              <w:rPr>
                <w:rStyle w:val="Hyperlink"/>
                <w:caps/>
                <w:noProof/>
              </w:rPr>
              <w:t>3.</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Pandemics</w:t>
            </w:r>
            <w:r w:rsidR="005652AF">
              <w:rPr>
                <w:noProof/>
                <w:webHidden/>
              </w:rPr>
              <w:tab/>
            </w:r>
            <w:r w:rsidR="005652AF">
              <w:rPr>
                <w:noProof/>
                <w:webHidden/>
              </w:rPr>
              <w:fldChar w:fldCharType="begin"/>
            </w:r>
            <w:r w:rsidR="005652AF">
              <w:rPr>
                <w:noProof/>
                <w:webHidden/>
              </w:rPr>
              <w:instrText xml:space="preserve"> PAGEREF _Toc143702852 \h </w:instrText>
            </w:r>
            <w:r w:rsidR="005652AF">
              <w:rPr>
                <w:noProof/>
                <w:webHidden/>
              </w:rPr>
            </w:r>
            <w:r w:rsidR="005652AF">
              <w:rPr>
                <w:noProof/>
                <w:webHidden/>
              </w:rPr>
              <w:fldChar w:fldCharType="separate"/>
            </w:r>
            <w:r w:rsidR="005652AF">
              <w:rPr>
                <w:noProof/>
                <w:webHidden/>
              </w:rPr>
              <w:t>10</w:t>
            </w:r>
            <w:r w:rsidR="005652AF">
              <w:rPr>
                <w:noProof/>
                <w:webHidden/>
              </w:rPr>
              <w:fldChar w:fldCharType="end"/>
            </w:r>
          </w:hyperlink>
        </w:p>
        <w:p w14:paraId="332329B3" w14:textId="44E347F1" w:rsidR="005652AF" w:rsidRDefault="007F0686">
          <w:pPr>
            <w:pStyle w:val="TOC1"/>
            <w:rPr>
              <w:rFonts w:asciiTheme="minorHAnsi" w:eastAsiaTheme="minorEastAsia" w:hAnsiTheme="minorHAnsi" w:cstheme="minorBidi"/>
              <w:b w:val="0"/>
              <w:noProof/>
              <w:sz w:val="22"/>
              <w:szCs w:val="22"/>
              <w:lang w:eastAsia="en-AU"/>
            </w:rPr>
          </w:pPr>
          <w:hyperlink w:anchor="_Toc143702853" w:history="1">
            <w:r w:rsidR="005652AF" w:rsidRPr="0084673D">
              <w:rPr>
                <w:rStyle w:val="Hyperlink"/>
                <w:caps/>
                <w:noProof/>
              </w:rPr>
              <w:t>4.</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Authority delays</w:t>
            </w:r>
            <w:r w:rsidR="005652AF">
              <w:rPr>
                <w:noProof/>
                <w:webHidden/>
              </w:rPr>
              <w:tab/>
            </w:r>
            <w:r w:rsidR="005652AF">
              <w:rPr>
                <w:noProof/>
                <w:webHidden/>
              </w:rPr>
              <w:fldChar w:fldCharType="begin"/>
            </w:r>
            <w:r w:rsidR="005652AF">
              <w:rPr>
                <w:noProof/>
                <w:webHidden/>
              </w:rPr>
              <w:instrText xml:space="preserve"> PAGEREF _Toc143702853 \h </w:instrText>
            </w:r>
            <w:r w:rsidR="005652AF">
              <w:rPr>
                <w:noProof/>
                <w:webHidden/>
              </w:rPr>
            </w:r>
            <w:r w:rsidR="005652AF">
              <w:rPr>
                <w:noProof/>
                <w:webHidden/>
              </w:rPr>
              <w:fldChar w:fldCharType="separate"/>
            </w:r>
            <w:r w:rsidR="005652AF">
              <w:rPr>
                <w:noProof/>
                <w:webHidden/>
              </w:rPr>
              <w:t>12</w:t>
            </w:r>
            <w:r w:rsidR="005652AF">
              <w:rPr>
                <w:noProof/>
                <w:webHidden/>
              </w:rPr>
              <w:fldChar w:fldCharType="end"/>
            </w:r>
          </w:hyperlink>
        </w:p>
        <w:p w14:paraId="67039550" w14:textId="44F98F69" w:rsidR="005652AF" w:rsidRDefault="007F0686">
          <w:pPr>
            <w:pStyle w:val="TOC1"/>
            <w:rPr>
              <w:rFonts w:asciiTheme="minorHAnsi" w:eastAsiaTheme="minorEastAsia" w:hAnsiTheme="minorHAnsi" w:cstheme="minorBidi"/>
              <w:b w:val="0"/>
              <w:noProof/>
              <w:sz w:val="22"/>
              <w:szCs w:val="22"/>
              <w:lang w:eastAsia="en-AU"/>
            </w:rPr>
          </w:pPr>
          <w:hyperlink w:anchor="_Toc143702854" w:history="1">
            <w:r w:rsidR="005652AF" w:rsidRPr="0084673D">
              <w:rPr>
                <w:rStyle w:val="Hyperlink"/>
                <w:caps/>
                <w:noProof/>
              </w:rPr>
              <w:t>5.</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Delay costs (aggregate cap)</w:t>
            </w:r>
            <w:r w:rsidR="005652AF">
              <w:rPr>
                <w:noProof/>
                <w:webHidden/>
              </w:rPr>
              <w:tab/>
            </w:r>
            <w:r w:rsidR="005652AF">
              <w:rPr>
                <w:noProof/>
                <w:webHidden/>
              </w:rPr>
              <w:fldChar w:fldCharType="begin"/>
            </w:r>
            <w:r w:rsidR="005652AF">
              <w:rPr>
                <w:noProof/>
                <w:webHidden/>
              </w:rPr>
              <w:instrText xml:space="preserve"> PAGEREF _Toc143702854 \h </w:instrText>
            </w:r>
            <w:r w:rsidR="005652AF">
              <w:rPr>
                <w:noProof/>
                <w:webHidden/>
              </w:rPr>
            </w:r>
            <w:r w:rsidR="005652AF">
              <w:rPr>
                <w:noProof/>
                <w:webHidden/>
              </w:rPr>
              <w:fldChar w:fldCharType="separate"/>
            </w:r>
            <w:r w:rsidR="005652AF">
              <w:rPr>
                <w:noProof/>
                <w:webHidden/>
              </w:rPr>
              <w:t>13</w:t>
            </w:r>
            <w:r w:rsidR="005652AF">
              <w:rPr>
                <w:noProof/>
                <w:webHidden/>
              </w:rPr>
              <w:fldChar w:fldCharType="end"/>
            </w:r>
          </w:hyperlink>
        </w:p>
        <w:p w14:paraId="0F83FD60" w14:textId="012627DB" w:rsidR="005652AF" w:rsidRDefault="007F0686">
          <w:pPr>
            <w:pStyle w:val="TOC1"/>
            <w:rPr>
              <w:rFonts w:asciiTheme="minorHAnsi" w:eastAsiaTheme="minorEastAsia" w:hAnsiTheme="minorHAnsi" w:cstheme="minorBidi"/>
              <w:b w:val="0"/>
              <w:noProof/>
              <w:sz w:val="22"/>
              <w:szCs w:val="22"/>
              <w:lang w:eastAsia="en-AU"/>
            </w:rPr>
          </w:pPr>
          <w:hyperlink w:anchor="_Toc143702855" w:history="1">
            <w:r w:rsidR="005652AF" w:rsidRPr="0084673D">
              <w:rPr>
                <w:rStyle w:val="Hyperlink"/>
                <w:caps/>
                <w:noProof/>
              </w:rPr>
              <w:t>6.</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Intellectual Property – Ownership</w:t>
            </w:r>
            <w:r w:rsidR="005652AF">
              <w:rPr>
                <w:noProof/>
                <w:webHidden/>
              </w:rPr>
              <w:tab/>
            </w:r>
            <w:r w:rsidR="005652AF">
              <w:rPr>
                <w:noProof/>
                <w:webHidden/>
              </w:rPr>
              <w:fldChar w:fldCharType="begin"/>
            </w:r>
            <w:r w:rsidR="005652AF">
              <w:rPr>
                <w:noProof/>
                <w:webHidden/>
              </w:rPr>
              <w:instrText xml:space="preserve"> PAGEREF _Toc143702855 \h </w:instrText>
            </w:r>
            <w:r w:rsidR="005652AF">
              <w:rPr>
                <w:noProof/>
                <w:webHidden/>
              </w:rPr>
            </w:r>
            <w:r w:rsidR="005652AF">
              <w:rPr>
                <w:noProof/>
                <w:webHidden/>
              </w:rPr>
              <w:fldChar w:fldCharType="separate"/>
            </w:r>
            <w:r w:rsidR="005652AF">
              <w:rPr>
                <w:noProof/>
                <w:webHidden/>
              </w:rPr>
              <w:t>13</w:t>
            </w:r>
            <w:r w:rsidR="005652AF">
              <w:rPr>
                <w:noProof/>
                <w:webHidden/>
              </w:rPr>
              <w:fldChar w:fldCharType="end"/>
            </w:r>
          </w:hyperlink>
        </w:p>
        <w:p w14:paraId="559C0126" w14:textId="321ACCEF" w:rsidR="005652AF" w:rsidRDefault="007F0686">
          <w:pPr>
            <w:pStyle w:val="TOC1"/>
            <w:rPr>
              <w:rFonts w:asciiTheme="minorHAnsi" w:eastAsiaTheme="minorEastAsia" w:hAnsiTheme="minorHAnsi" w:cstheme="minorBidi"/>
              <w:b w:val="0"/>
              <w:noProof/>
              <w:sz w:val="22"/>
              <w:szCs w:val="22"/>
              <w:lang w:eastAsia="en-AU"/>
            </w:rPr>
          </w:pPr>
          <w:hyperlink w:anchor="_Toc143702856" w:history="1">
            <w:r w:rsidR="005652AF" w:rsidRPr="0084673D">
              <w:rPr>
                <w:rStyle w:val="Hyperlink"/>
                <w:caps/>
                <w:noProof/>
              </w:rPr>
              <w:t>7.</w:t>
            </w:r>
            <w:r w:rsidR="005652AF">
              <w:rPr>
                <w:rFonts w:asciiTheme="minorHAnsi" w:eastAsiaTheme="minorEastAsia" w:hAnsiTheme="minorHAnsi" w:cstheme="minorBidi"/>
                <w:b w:val="0"/>
                <w:noProof/>
                <w:sz w:val="22"/>
                <w:szCs w:val="22"/>
                <w:lang w:eastAsia="en-AU"/>
              </w:rPr>
              <w:tab/>
            </w:r>
            <w:r w:rsidR="005652AF" w:rsidRPr="0084673D">
              <w:rPr>
                <w:rStyle w:val="Hyperlink"/>
                <w:noProof/>
              </w:rPr>
              <w:t>Performance Security</w:t>
            </w:r>
            <w:r w:rsidR="005652AF">
              <w:rPr>
                <w:noProof/>
                <w:webHidden/>
              </w:rPr>
              <w:tab/>
            </w:r>
            <w:r w:rsidR="005652AF">
              <w:rPr>
                <w:noProof/>
                <w:webHidden/>
              </w:rPr>
              <w:fldChar w:fldCharType="begin"/>
            </w:r>
            <w:r w:rsidR="005652AF">
              <w:rPr>
                <w:noProof/>
                <w:webHidden/>
              </w:rPr>
              <w:instrText xml:space="preserve"> PAGEREF _Toc143702856 \h </w:instrText>
            </w:r>
            <w:r w:rsidR="005652AF">
              <w:rPr>
                <w:noProof/>
                <w:webHidden/>
              </w:rPr>
            </w:r>
            <w:r w:rsidR="005652AF">
              <w:rPr>
                <w:noProof/>
                <w:webHidden/>
              </w:rPr>
              <w:fldChar w:fldCharType="separate"/>
            </w:r>
            <w:r w:rsidR="005652AF">
              <w:rPr>
                <w:noProof/>
                <w:webHidden/>
              </w:rPr>
              <w:t>15</w:t>
            </w:r>
            <w:r w:rsidR="005652AF">
              <w:rPr>
                <w:noProof/>
                <w:webHidden/>
              </w:rPr>
              <w:fldChar w:fldCharType="end"/>
            </w:r>
          </w:hyperlink>
        </w:p>
        <w:p w14:paraId="78DDB1C4" w14:textId="5CE4EE43" w:rsidR="005124B0" w:rsidRDefault="004D3BB0" w:rsidP="004D3BB0">
          <w:pPr>
            <w:pStyle w:val="TOC1"/>
            <w:rPr>
              <w:b w:val="0"/>
              <w:bCs/>
              <w:sz w:val="32"/>
              <w:szCs w:val="32"/>
            </w:rPr>
          </w:pPr>
          <w:r>
            <w:fldChar w:fldCharType="end"/>
          </w:r>
        </w:p>
      </w:sdtContent>
    </w:sdt>
    <w:p w14:paraId="3329210D" w14:textId="77777777" w:rsidR="00772360" w:rsidRDefault="00772360" w:rsidP="005124B0">
      <w:pPr>
        <w:pBdr>
          <w:bottom w:val="single" w:sz="12" w:space="1" w:color="auto"/>
        </w:pBdr>
        <w:rPr>
          <w:b/>
          <w:bCs/>
          <w:sz w:val="32"/>
          <w:szCs w:val="32"/>
        </w:rPr>
      </w:pPr>
      <w:r>
        <w:rPr>
          <w:b/>
          <w:bCs/>
          <w:sz w:val="32"/>
          <w:szCs w:val="32"/>
        </w:rPr>
        <w:br w:type="page"/>
      </w:r>
    </w:p>
    <w:p w14:paraId="0486D9AC" w14:textId="250F7898" w:rsidR="005124B0" w:rsidRPr="00FE4FD6" w:rsidRDefault="005124B0" w:rsidP="005124B0">
      <w:pPr>
        <w:pBdr>
          <w:bottom w:val="single" w:sz="12" w:space="1" w:color="auto"/>
        </w:pBdr>
        <w:rPr>
          <w:b/>
          <w:bCs/>
          <w:sz w:val="32"/>
          <w:szCs w:val="32"/>
        </w:rPr>
      </w:pPr>
      <w:r w:rsidRPr="00FE4FD6">
        <w:rPr>
          <w:b/>
          <w:bCs/>
          <w:sz w:val="32"/>
          <w:szCs w:val="32"/>
        </w:rPr>
        <w:lastRenderedPageBreak/>
        <w:t>Medium Works Contract</w:t>
      </w:r>
      <w:r>
        <w:rPr>
          <w:b/>
          <w:bCs/>
          <w:sz w:val="32"/>
          <w:szCs w:val="32"/>
        </w:rPr>
        <w:t xml:space="preserve"> – Model Clause</w:t>
      </w:r>
      <w:r w:rsidR="00F54FAB">
        <w:rPr>
          <w:b/>
          <w:bCs/>
          <w:sz w:val="32"/>
          <w:szCs w:val="32"/>
        </w:rPr>
        <w:t>s</w:t>
      </w:r>
      <w:r w:rsidRPr="00FE4FD6">
        <w:rPr>
          <w:b/>
          <w:bCs/>
          <w:sz w:val="32"/>
          <w:szCs w:val="32"/>
        </w:rPr>
        <w:t xml:space="preserve"> </w:t>
      </w:r>
    </w:p>
    <w:p w14:paraId="77A0EB72" w14:textId="1965EAB0" w:rsidR="005124B0" w:rsidRDefault="00772360" w:rsidP="00F54FAB">
      <w:pPr>
        <w:pStyle w:val="Heading1"/>
        <w:numPr>
          <w:ilvl w:val="0"/>
          <w:numId w:val="11"/>
        </w:numPr>
        <w:pBdr>
          <w:top w:val="none" w:sz="0" w:space="0" w:color="auto"/>
        </w:pBdr>
      </w:pPr>
      <w:bookmarkStart w:id="3" w:name="_Ref73811642"/>
      <w:bookmarkStart w:id="4" w:name="_Toc105070812"/>
      <w:bookmarkStart w:id="5" w:name="_Ref109048828"/>
      <w:bookmarkStart w:id="6" w:name="_Toc143702850"/>
      <w:r>
        <w:t>Limitation of liability</w:t>
      </w:r>
      <w:bookmarkEnd w:id="3"/>
      <w:bookmarkEnd w:id="4"/>
      <w:r w:rsidR="006F5FAB">
        <w:t xml:space="preserve"> and exclusion of Consequential Loss</w:t>
      </w:r>
      <w:bookmarkEnd w:id="5"/>
      <w:bookmarkEnd w:id="6"/>
    </w:p>
    <w:tbl>
      <w:tblPr>
        <w:tblStyle w:val="TableGrid"/>
        <w:tblW w:w="0" w:type="auto"/>
        <w:tblInd w:w="-5" w:type="dxa"/>
        <w:shd w:val="clear" w:color="auto" w:fill="CFD7F1" w:themeFill="accent3" w:themeFillTint="33"/>
        <w:tblLook w:val="04A0" w:firstRow="1" w:lastRow="0" w:firstColumn="1" w:lastColumn="0" w:noHBand="0" w:noVBand="1"/>
      </w:tblPr>
      <w:tblGrid>
        <w:gridCol w:w="9349"/>
      </w:tblGrid>
      <w:tr w:rsidR="005F58C7" w:rsidRPr="00D14278" w14:paraId="47F6234F" w14:textId="77777777" w:rsidTr="00662277">
        <w:tc>
          <w:tcPr>
            <w:tcW w:w="9349" w:type="dxa"/>
            <w:shd w:val="clear" w:color="auto" w:fill="CFD7F1" w:themeFill="accent3" w:themeFillTint="33"/>
          </w:tcPr>
          <w:p w14:paraId="28430B46" w14:textId="77777777" w:rsidR="00D14278" w:rsidRPr="001D0ACA" w:rsidRDefault="005F58C7" w:rsidP="008C071E">
            <w:pPr>
              <w:pStyle w:val="IndentParaLevel1"/>
              <w:spacing w:before="80" w:after="80"/>
              <w:ind w:left="0"/>
              <w:jc w:val="both"/>
              <w:rPr>
                <w:rFonts w:asciiTheme="minorHAnsi" w:hAnsiTheme="minorHAnsi" w:cstheme="minorHAnsi"/>
                <w:sz w:val="18"/>
                <w:szCs w:val="18"/>
              </w:rPr>
            </w:pPr>
            <w:bookmarkStart w:id="7" w:name="_Hlk122360047"/>
            <w:r w:rsidRPr="001D0ACA">
              <w:rPr>
                <w:rFonts w:asciiTheme="minorHAnsi" w:hAnsiTheme="minorHAnsi" w:cstheme="minorHAnsi"/>
                <w:b/>
                <w:bCs/>
                <w:sz w:val="18"/>
                <w:szCs w:val="18"/>
              </w:rPr>
              <w:t>Guidance Note:</w:t>
            </w:r>
            <w:r w:rsidRPr="001D0ACA">
              <w:rPr>
                <w:rFonts w:asciiTheme="minorHAnsi" w:hAnsiTheme="minorHAnsi" w:cstheme="minorHAnsi"/>
                <w:sz w:val="18"/>
                <w:szCs w:val="18"/>
              </w:rPr>
              <w:t xml:space="preserve"> </w:t>
            </w:r>
          </w:p>
          <w:p w14:paraId="6BDD6D72" w14:textId="77777777"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 xml:space="preserve">Contractors will often seek to limit their total liability to a Principal under a contract, or to limit the types of losses that the Principal can recover. Typically, this will be sought by way of a tender departure requesting the inclusion of either or both of a limitation of liability and exclusion of "Consequential Loss" clause: </w:t>
            </w:r>
          </w:p>
          <w:p w14:paraId="28BCAED8"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b/>
                <w:bCs/>
                <w:sz w:val="18"/>
                <w:szCs w:val="18"/>
              </w:rPr>
              <w:t>Limitation of liability:</w:t>
            </w:r>
            <w:r w:rsidRPr="001D0ACA">
              <w:rPr>
                <w:rFonts w:asciiTheme="minorHAnsi" w:hAnsiTheme="minorHAnsi" w:cstheme="minorHAnsi"/>
                <w:sz w:val="18"/>
                <w:szCs w:val="18"/>
              </w:rPr>
              <w:t xml:space="preserve"> a clause which imposes a monetary cap on the Contractor's liability to the Principal for claims arising out of or in connection with the Contract. </w:t>
            </w:r>
          </w:p>
          <w:p w14:paraId="698C54D4"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b/>
                <w:bCs/>
                <w:sz w:val="18"/>
                <w:szCs w:val="18"/>
              </w:rPr>
              <w:t>Exclusion of Consequential Loss:</w:t>
            </w:r>
            <w:r w:rsidRPr="001D0ACA">
              <w:rPr>
                <w:rFonts w:asciiTheme="minorHAnsi" w:hAnsiTheme="minorHAnsi" w:cstheme="minorHAnsi"/>
                <w:sz w:val="18"/>
                <w:szCs w:val="18"/>
              </w:rPr>
              <w:t xml:space="preserve"> a clause that limits the types of losses for which either party can be held responsible by excluding liability for consequential or indirect losses arising out of or in connection with the Contract. The term "Consequential Loss" is defined in the model clause to mean "any loss of revenue, profit, business opportunity, anticipated savings or goodwill".</w:t>
            </w:r>
          </w:p>
          <w:p w14:paraId="479F4A57" w14:textId="6348D8E1"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 xml:space="preserve">The standard form </w:t>
            </w:r>
            <w:r w:rsidR="00960213">
              <w:rPr>
                <w:rFonts w:asciiTheme="minorHAnsi" w:hAnsiTheme="minorHAnsi" w:cstheme="minorHAnsi"/>
                <w:sz w:val="18"/>
                <w:szCs w:val="18"/>
              </w:rPr>
              <w:t>MWC</w:t>
            </w:r>
            <w:r w:rsidRPr="001D0ACA">
              <w:rPr>
                <w:rFonts w:asciiTheme="minorHAnsi" w:hAnsiTheme="minorHAnsi" w:cstheme="minorHAnsi"/>
                <w:sz w:val="18"/>
                <w:szCs w:val="18"/>
              </w:rPr>
              <w:t xml:space="preserve"> does not include either of these clauses.  </w:t>
            </w:r>
          </w:p>
          <w:p w14:paraId="44F3D913" w14:textId="77777777"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 xml:space="preserve">Agencies should avoid their inclusion if possible and seek legal advice before doing so. While they allow contractors to safeguard themselves from significant financial risks and unforeseen events (and so reduce the risk of insolvency), they limit the amount of compensation a Principal can recover for losses flowing from the Contractor's performance under the Contract. </w:t>
            </w:r>
          </w:p>
          <w:p w14:paraId="59DB9634" w14:textId="77777777" w:rsidR="00D14278" w:rsidRPr="001D0ACA" w:rsidRDefault="00D14278" w:rsidP="001D0ACA">
            <w:pPr>
              <w:pStyle w:val="Heading4numbered"/>
              <w:numPr>
                <w:ilvl w:val="0"/>
                <w:numId w:val="0"/>
              </w:numPr>
              <w:spacing w:before="60" w:after="60"/>
              <w:rPr>
                <w:rFonts w:asciiTheme="minorHAnsi" w:hAnsiTheme="minorHAnsi" w:cstheme="minorHAnsi"/>
                <w:b w:val="0"/>
                <w:bCs w:val="0"/>
                <w:color w:val="auto"/>
                <w:sz w:val="18"/>
                <w:szCs w:val="18"/>
              </w:rPr>
            </w:pPr>
            <w:r w:rsidRPr="001D0ACA">
              <w:rPr>
                <w:rFonts w:asciiTheme="minorHAnsi" w:hAnsiTheme="minorHAnsi" w:cstheme="minorHAnsi"/>
                <w:color w:val="auto"/>
                <w:sz w:val="18"/>
                <w:szCs w:val="18"/>
              </w:rPr>
              <w:t>Model limitation of liability and exclusion of Consequential Loss clauses</w:t>
            </w:r>
          </w:p>
          <w:p w14:paraId="581E1CBC" w14:textId="7CB50AEC"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Three optional model clauses are available for use with the M</w:t>
            </w:r>
            <w:r w:rsidR="00960213">
              <w:rPr>
                <w:rFonts w:asciiTheme="minorHAnsi" w:hAnsiTheme="minorHAnsi" w:cstheme="minorHAnsi"/>
                <w:sz w:val="18"/>
                <w:szCs w:val="18"/>
              </w:rPr>
              <w:t>WC</w:t>
            </w:r>
            <w:r w:rsidRPr="001D0ACA">
              <w:rPr>
                <w:rFonts w:asciiTheme="minorHAnsi" w:hAnsiTheme="minorHAnsi" w:cstheme="minorHAnsi"/>
                <w:sz w:val="18"/>
                <w:szCs w:val="18"/>
              </w:rPr>
              <w:t xml:space="preserve"> if necessary. They are described in the table set out below:</w:t>
            </w:r>
          </w:p>
          <w:tbl>
            <w:tblPr>
              <w:tblStyle w:val="TableGrid"/>
              <w:tblW w:w="9072" w:type="dxa"/>
              <w:tblInd w:w="10" w:type="dxa"/>
              <w:tblLook w:val="04A0" w:firstRow="1" w:lastRow="0" w:firstColumn="1" w:lastColumn="0" w:noHBand="0" w:noVBand="1"/>
            </w:tblPr>
            <w:tblGrid>
              <w:gridCol w:w="796"/>
              <w:gridCol w:w="1898"/>
              <w:gridCol w:w="6378"/>
            </w:tblGrid>
            <w:tr w:rsidR="00D14278" w:rsidRPr="00D14278" w14:paraId="5B8498D8" w14:textId="77777777" w:rsidTr="001D0ACA">
              <w:tc>
                <w:tcPr>
                  <w:tcW w:w="796" w:type="dxa"/>
                  <w:shd w:val="clear" w:color="auto" w:fill="9FB0E3" w:themeFill="accent3" w:themeFillTint="66"/>
                </w:tcPr>
                <w:p w14:paraId="16413BF4" w14:textId="77777777" w:rsidR="00D14278" w:rsidRPr="001D0ACA" w:rsidRDefault="00D14278" w:rsidP="001D0ACA">
                  <w:pPr>
                    <w:pStyle w:val="NormalIndent"/>
                    <w:spacing w:before="40" w:after="40"/>
                    <w:ind w:left="0"/>
                    <w:rPr>
                      <w:rFonts w:cstheme="minorHAnsi"/>
                      <w:sz w:val="18"/>
                      <w:szCs w:val="18"/>
                    </w:rPr>
                  </w:pPr>
                  <w:r w:rsidRPr="001D0ACA">
                    <w:rPr>
                      <w:rFonts w:cstheme="minorHAnsi"/>
                      <w:b/>
                      <w:bCs/>
                      <w:sz w:val="18"/>
                      <w:szCs w:val="18"/>
                    </w:rPr>
                    <w:t>Option</w:t>
                  </w:r>
                </w:p>
              </w:tc>
              <w:tc>
                <w:tcPr>
                  <w:tcW w:w="1898" w:type="dxa"/>
                  <w:shd w:val="clear" w:color="auto" w:fill="9FB0E3" w:themeFill="accent3" w:themeFillTint="66"/>
                </w:tcPr>
                <w:p w14:paraId="5FA5C972" w14:textId="77777777" w:rsidR="00D14278" w:rsidRPr="001D0ACA" w:rsidRDefault="00D14278" w:rsidP="001D0ACA">
                  <w:pPr>
                    <w:pStyle w:val="NormalIndent"/>
                    <w:spacing w:before="40" w:after="40"/>
                    <w:ind w:left="0"/>
                    <w:rPr>
                      <w:rFonts w:cstheme="minorHAnsi"/>
                      <w:sz w:val="18"/>
                      <w:szCs w:val="18"/>
                    </w:rPr>
                  </w:pPr>
                  <w:r w:rsidRPr="001D0ACA">
                    <w:rPr>
                      <w:rFonts w:cstheme="minorHAnsi"/>
                      <w:b/>
                      <w:bCs/>
                      <w:sz w:val="18"/>
                      <w:szCs w:val="18"/>
                    </w:rPr>
                    <w:t>Type of Clause</w:t>
                  </w:r>
                </w:p>
              </w:tc>
              <w:tc>
                <w:tcPr>
                  <w:tcW w:w="6378" w:type="dxa"/>
                  <w:shd w:val="clear" w:color="auto" w:fill="9FB0E3" w:themeFill="accent3" w:themeFillTint="66"/>
                </w:tcPr>
                <w:p w14:paraId="762DF107" w14:textId="77777777" w:rsidR="00D14278" w:rsidRPr="001D0ACA" w:rsidRDefault="00D14278" w:rsidP="001D0ACA">
                  <w:pPr>
                    <w:pStyle w:val="NormalIndent"/>
                    <w:spacing w:before="40" w:after="40"/>
                    <w:ind w:left="0"/>
                    <w:rPr>
                      <w:rFonts w:cstheme="minorHAnsi"/>
                      <w:sz w:val="18"/>
                      <w:szCs w:val="18"/>
                    </w:rPr>
                  </w:pPr>
                  <w:r w:rsidRPr="001D0ACA">
                    <w:rPr>
                      <w:rFonts w:cstheme="minorHAnsi"/>
                      <w:b/>
                      <w:bCs/>
                      <w:sz w:val="18"/>
                      <w:szCs w:val="18"/>
                    </w:rPr>
                    <w:t>Features</w:t>
                  </w:r>
                </w:p>
              </w:tc>
            </w:tr>
            <w:tr w:rsidR="00D14278" w:rsidRPr="00D14278" w14:paraId="341B6027" w14:textId="77777777" w:rsidTr="001D0ACA">
              <w:tc>
                <w:tcPr>
                  <w:tcW w:w="796" w:type="dxa"/>
                </w:tcPr>
                <w:p w14:paraId="08E887B0"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1</w:t>
                  </w:r>
                </w:p>
              </w:tc>
              <w:tc>
                <w:tcPr>
                  <w:tcW w:w="1898" w:type="dxa"/>
                </w:tcPr>
                <w:p w14:paraId="5BAA3005" w14:textId="77777777" w:rsidR="00D14278" w:rsidRPr="001D0ACA" w:rsidRDefault="00D14278" w:rsidP="001D0ACA">
                  <w:pPr>
                    <w:pStyle w:val="IndentParaLevel1"/>
                    <w:numPr>
                      <w:ilvl w:val="0"/>
                      <w:numId w:val="0"/>
                    </w:numPr>
                    <w:spacing w:before="40" w:after="40"/>
                    <w:rPr>
                      <w:rFonts w:asciiTheme="minorHAnsi" w:hAnsiTheme="minorHAnsi" w:cstheme="minorHAnsi"/>
                      <w:sz w:val="18"/>
                      <w:szCs w:val="18"/>
                    </w:rPr>
                  </w:pPr>
                  <w:r w:rsidRPr="001D0ACA">
                    <w:rPr>
                      <w:rFonts w:asciiTheme="minorHAnsi" w:hAnsiTheme="minorHAnsi" w:cstheme="minorHAnsi"/>
                      <w:sz w:val="18"/>
                      <w:szCs w:val="18"/>
                    </w:rPr>
                    <w:t xml:space="preserve">Limitation of liability </w:t>
                  </w:r>
                  <w:r w:rsidRPr="001D0ACA">
                    <w:rPr>
                      <w:rFonts w:asciiTheme="minorHAnsi" w:hAnsiTheme="minorHAnsi" w:cstheme="minorHAnsi"/>
                      <w:b/>
                      <w:bCs/>
                      <w:sz w:val="18"/>
                      <w:szCs w:val="18"/>
                    </w:rPr>
                    <w:t xml:space="preserve">AND </w:t>
                  </w:r>
                  <w:r w:rsidRPr="001D0ACA">
                    <w:rPr>
                      <w:rFonts w:asciiTheme="minorHAnsi" w:hAnsiTheme="minorHAnsi" w:cstheme="minorHAnsi"/>
                      <w:sz w:val="18"/>
                      <w:szCs w:val="18"/>
                    </w:rPr>
                    <w:t>exclusion of Consequential Loss</w:t>
                  </w:r>
                </w:p>
              </w:tc>
              <w:tc>
                <w:tcPr>
                  <w:tcW w:w="6378" w:type="dxa"/>
                </w:tcPr>
                <w:p w14:paraId="2B011BCA" w14:textId="77777777" w:rsidR="00D14278" w:rsidRPr="001D0ACA" w:rsidRDefault="00D14278" w:rsidP="001D0ACA">
                  <w:pPr>
                    <w:pStyle w:val="IndentParaLevel1"/>
                    <w:spacing w:before="40" w:after="40"/>
                    <w:ind w:left="0"/>
                    <w:jc w:val="both"/>
                    <w:rPr>
                      <w:rFonts w:asciiTheme="minorHAnsi" w:hAnsiTheme="minorHAnsi" w:cstheme="minorHAnsi"/>
                      <w:sz w:val="18"/>
                      <w:szCs w:val="18"/>
                    </w:rPr>
                  </w:pPr>
                  <w:r w:rsidRPr="001D0ACA">
                    <w:rPr>
                      <w:rFonts w:asciiTheme="minorHAnsi" w:hAnsiTheme="minorHAnsi" w:cstheme="minorHAnsi"/>
                      <w:sz w:val="18"/>
                      <w:szCs w:val="18"/>
                    </w:rPr>
                    <w:t xml:space="preserve">Provides for: </w:t>
                  </w:r>
                </w:p>
                <w:p w14:paraId="6493E468" w14:textId="77777777" w:rsidR="00D14278" w:rsidRPr="001D0ACA" w:rsidRDefault="00D14278" w:rsidP="001D0ACA">
                  <w:pPr>
                    <w:pStyle w:val="IndentParaLevel1"/>
                    <w:numPr>
                      <w:ilvl w:val="0"/>
                      <w:numId w:val="51"/>
                    </w:numPr>
                    <w:spacing w:before="40" w:after="40"/>
                    <w:ind w:left="173" w:hanging="173"/>
                    <w:jc w:val="both"/>
                    <w:rPr>
                      <w:rFonts w:asciiTheme="minorHAnsi" w:hAnsiTheme="minorHAnsi" w:cstheme="minorHAnsi"/>
                      <w:sz w:val="18"/>
                      <w:szCs w:val="18"/>
                    </w:rPr>
                  </w:pPr>
                  <w:r w:rsidRPr="001D0ACA">
                    <w:rPr>
                      <w:rFonts w:asciiTheme="minorHAnsi" w:hAnsiTheme="minorHAnsi" w:cstheme="minorHAnsi"/>
                      <w:sz w:val="18"/>
                      <w:szCs w:val="18"/>
                    </w:rPr>
                    <w:t xml:space="preserve">the Contractor’s total liability to the Principal to be capped at a specified amount, subject to certain exclusions; and </w:t>
                  </w:r>
                </w:p>
                <w:p w14:paraId="18AE4353" w14:textId="77777777" w:rsidR="00D14278" w:rsidRPr="001D0ACA" w:rsidRDefault="00D14278" w:rsidP="001D0ACA">
                  <w:pPr>
                    <w:pStyle w:val="IndentParaLevel1"/>
                    <w:numPr>
                      <w:ilvl w:val="0"/>
                      <w:numId w:val="51"/>
                    </w:numPr>
                    <w:spacing w:before="40" w:after="40"/>
                    <w:ind w:left="173" w:hanging="173"/>
                    <w:jc w:val="both"/>
                    <w:rPr>
                      <w:rFonts w:asciiTheme="minorHAnsi" w:hAnsiTheme="minorHAnsi" w:cstheme="minorHAnsi"/>
                      <w:sz w:val="18"/>
                      <w:szCs w:val="18"/>
                    </w:rPr>
                  </w:pPr>
                  <w:r w:rsidRPr="001D0ACA">
                    <w:rPr>
                      <w:rFonts w:asciiTheme="minorHAnsi" w:hAnsiTheme="minorHAnsi" w:cstheme="minorHAnsi"/>
                      <w:sz w:val="18"/>
                      <w:szCs w:val="18"/>
                    </w:rPr>
                    <w:t xml:space="preserve">an exclusion of a party's liability to the other for Consequential Loss. </w:t>
                  </w:r>
                </w:p>
                <w:p w14:paraId="70597CF3" w14:textId="67701945" w:rsidR="00D14278" w:rsidRPr="001D0ACA" w:rsidRDefault="00D14278" w:rsidP="001D0ACA">
                  <w:pPr>
                    <w:pStyle w:val="NormalIndent"/>
                    <w:spacing w:before="40" w:after="40"/>
                    <w:ind w:left="0"/>
                    <w:rPr>
                      <w:rFonts w:cstheme="minorHAnsi"/>
                      <w:sz w:val="18"/>
                      <w:szCs w:val="18"/>
                    </w:rPr>
                  </w:pPr>
                  <w:r w:rsidRPr="001D0ACA">
                    <w:rPr>
                      <w:rFonts w:cstheme="minorHAnsi"/>
                      <w:b/>
                      <w:bCs/>
                      <w:sz w:val="18"/>
                      <w:szCs w:val="18"/>
                    </w:rPr>
                    <w:t>Important:</w:t>
                  </w:r>
                  <w:r w:rsidRPr="001D0ACA">
                    <w:rPr>
                      <w:rFonts w:cstheme="minorHAnsi"/>
                      <w:sz w:val="18"/>
                      <w:szCs w:val="18"/>
                    </w:rPr>
                    <w:t xml:space="preserve"> Note that if model clause 2 (Liquidated damages) is also used in your Contract, you will need to decide whether the limitation of liability provided for in this clause is inclusive or exclusive of the cap on liquidated damages provided for in model clause 2 and tailor the limitation of liability model clause accordingly - refer to the blue highlighted notes in new clause 11.4(b)(ix).</w:t>
                  </w:r>
                </w:p>
              </w:tc>
            </w:tr>
            <w:tr w:rsidR="00D14278" w:rsidRPr="00D14278" w14:paraId="185D226F" w14:textId="77777777" w:rsidTr="001D0ACA">
              <w:tc>
                <w:tcPr>
                  <w:tcW w:w="796" w:type="dxa"/>
                </w:tcPr>
                <w:p w14:paraId="194484F9"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2</w:t>
                  </w:r>
                </w:p>
              </w:tc>
              <w:tc>
                <w:tcPr>
                  <w:tcW w:w="1898" w:type="dxa"/>
                </w:tcPr>
                <w:p w14:paraId="74ADFEE6"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Limitation of liability only</w:t>
                  </w:r>
                </w:p>
              </w:tc>
              <w:tc>
                <w:tcPr>
                  <w:tcW w:w="6378" w:type="dxa"/>
                </w:tcPr>
                <w:p w14:paraId="5218B178"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Provides for the Contractor’s total liability to the Principal to be capped on the same basis as set out in Option 1 but does not include a Consequential Loss exclusion. Again, please refer to the blue highlighted notes in new clause 11.4(b)(ix) if model clause 2 (Liquidated damages) is also used.</w:t>
                  </w:r>
                </w:p>
              </w:tc>
            </w:tr>
            <w:tr w:rsidR="00D14278" w:rsidRPr="00D14278" w14:paraId="675059C4" w14:textId="77777777" w:rsidTr="001D0ACA">
              <w:tc>
                <w:tcPr>
                  <w:tcW w:w="796" w:type="dxa"/>
                </w:tcPr>
                <w:p w14:paraId="47FECDFF"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3</w:t>
                  </w:r>
                </w:p>
              </w:tc>
              <w:tc>
                <w:tcPr>
                  <w:tcW w:w="1898" w:type="dxa"/>
                </w:tcPr>
                <w:p w14:paraId="15318907" w14:textId="77777777" w:rsidR="00D14278" w:rsidRPr="001D0ACA" w:rsidRDefault="00D14278" w:rsidP="001D0ACA">
                  <w:pPr>
                    <w:pStyle w:val="NormalIndent"/>
                    <w:spacing w:before="40" w:after="40"/>
                    <w:ind w:left="0"/>
                    <w:rPr>
                      <w:rFonts w:cstheme="minorHAnsi"/>
                      <w:sz w:val="18"/>
                      <w:szCs w:val="18"/>
                    </w:rPr>
                  </w:pPr>
                  <w:r w:rsidRPr="001D0ACA">
                    <w:rPr>
                      <w:rFonts w:cstheme="minorHAnsi"/>
                      <w:sz w:val="18"/>
                      <w:szCs w:val="18"/>
                    </w:rPr>
                    <w:t>Exclusion of Consequential Loss only</w:t>
                  </w:r>
                </w:p>
              </w:tc>
              <w:tc>
                <w:tcPr>
                  <w:tcW w:w="6378" w:type="dxa"/>
                </w:tcPr>
                <w:p w14:paraId="28629FC5" w14:textId="77777777" w:rsidR="00D14278" w:rsidRPr="001D0ACA" w:rsidRDefault="00D14278" w:rsidP="001D0ACA">
                  <w:pPr>
                    <w:pStyle w:val="IndentParaLevel1"/>
                    <w:spacing w:before="40" w:after="40"/>
                    <w:ind w:left="0"/>
                    <w:jc w:val="both"/>
                    <w:rPr>
                      <w:rFonts w:asciiTheme="minorHAnsi" w:hAnsiTheme="minorHAnsi" w:cstheme="minorHAnsi"/>
                      <w:sz w:val="18"/>
                      <w:szCs w:val="18"/>
                    </w:rPr>
                  </w:pPr>
                  <w:r w:rsidRPr="001D0ACA">
                    <w:rPr>
                      <w:rFonts w:asciiTheme="minorHAnsi" w:hAnsiTheme="minorHAnsi" w:cstheme="minorHAnsi"/>
                      <w:sz w:val="18"/>
                      <w:szCs w:val="18"/>
                    </w:rPr>
                    <w:t>Provides for a mutual exclusion of Consequential Loss liability.</w:t>
                  </w:r>
                </w:p>
                <w:p w14:paraId="6A981451" w14:textId="77777777" w:rsidR="00D14278" w:rsidRPr="001D0ACA" w:rsidRDefault="00D14278" w:rsidP="001D0ACA">
                  <w:pPr>
                    <w:pStyle w:val="NormalIndent"/>
                    <w:spacing w:before="40" w:after="40"/>
                    <w:ind w:left="0"/>
                    <w:rPr>
                      <w:rFonts w:cstheme="minorHAnsi"/>
                      <w:sz w:val="18"/>
                      <w:szCs w:val="18"/>
                    </w:rPr>
                  </w:pPr>
                </w:p>
              </w:tc>
            </w:tr>
          </w:tbl>
          <w:p w14:paraId="10909517" w14:textId="77777777" w:rsidR="00D14278" w:rsidRPr="001D0ACA" w:rsidRDefault="00D14278" w:rsidP="001D0ACA">
            <w:pPr>
              <w:pStyle w:val="Heading4numbered"/>
              <w:numPr>
                <w:ilvl w:val="0"/>
                <w:numId w:val="0"/>
              </w:numPr>
              <w:spacing w:before="60" w:after="60"/>
              <w:rPr>
                <w:rFonts w:asciiTheme="minorHAnsi" w:hAnsiTheme="minorHAnsi" w:cstheme="minorHAnsi"/>
                <w:color w:val="auto"/>
                <w:sz w:val="18"/>
                <w:szCs w:val="18"/>
              </w:rPr>
            </w:pPr>
            <w:r w:rsidRPr="001D0ACA">
              <w:rPr>
                <w:rFonts w:asciiTheme="minorHAnsi" w:hAnsiTheme="minorHAnsi" w:cstheme="minorHAnsi"/>
                <w:color w:val="auto"/>
                <w:sz w:val="18"/>
                <w:szCs w:val="18"/>
              </w:rPr>
              <w:t>Should they be included?</w:t>
            </w:r>
          </w:p>
          <w:p w14:paraId="15B44184" w14:textId="77777777"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Whether or not a liability cap and/or a Consequential Loss exclusion should be agreed is ultimately a commercial decision for the agency, after having obtained legal advice. The agency's decision should be informed by consideration of several factors, including:</w:t>
            </w:r>
          </w:p>
          <w:p w14:paraId="3F42143C"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sz w:val="18"/>
                <w:szCs w:val="18"/>
              </w:rPr>
              <w:t>the nature and scale of the works;</w:t>
            </w:r>
          </w:p>
          <w:p w14:paraId="0D6DC75E"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sz w:val="18"/>
                <w:szCs w:val="18"/>
              </w:rPr>
              <w:t>the proposed tenderers (and their risk appetite);</w:t>
            </w:r>
          </w:p>
          <w:p w14:paraId="7EAF65D6"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sz w:val="18"/>
                <w:szCs w:val="18"/>
              </w:rPr>
              <w:t xml:space="preserve">any relevant State/agency requirements or policies; and </w:t>
            </w:r>
          </w:p>
          <w:p w14:paraId="79BCC27C" w14:textId="77777777" w:rsidR="00D14278" w:rsidRPr="001D0ACA" w:rsidRDefault="00D14278" w:rsidP="001D0ACA">
            <w:pPr>
              <w:pStyle w:val="IndentParaLevel1"/>
              <w:numPr>
                <w:ilvl w:val="0"/>
                <w:numId w:val="56"/>
              </w:numPr>
              <w:spacing w:before="80" w:after="80"/>
              <w:ind w:left="284" w:hanging="284"/>
              <w:jc w:val="both"/>
              <w:rPr>
                <w:rFonts w:asciiTheme="minorHAnsi" w:hAnsiTheme="minorHAnsi" w:cstheme="minorHAnsi"/>
                <w:sz w:val="18"/>
                <w:szCs w:val="18"/>
              </w:rPr>
            </w:pPr>
            <w:r w:rsidRPr="001D0ACA">
              <w:rPr>
                <w:rFonts w:asciiTheme="minorHAnsi" w:hAnsiTheme="minorHAnsi" w:cstheme="minorHAnsi"/>
                <w:sz w:val="18"/>
                <w:szCs w:val="18"/>
              </w:rPr>
              <w:t>the risks associated with limiting the Contractor's liability for the relevant project (for instance, does the project entail a high risk of third-party claims? This will be particularly relevant if works are being performed in an urbanised or sensitive environment where there may be a material risk of damage to surrounding infrastructure).</w:t>
            </w:r>
          </w:p>
          <w:p w14:paraId="597E0C7A" w14:textId="77777777" w:rsidR="00D14278" w:rsidRPr="001D0ACA" w:rsidRDefault="00D14278" w:rsidP="001D0ACA">
            <w:pPr>
              <w:pStyle w:val="Heading4numbered"/>
              <w:numPr>
                <w:ilvl w:val="0"/>
                <w:numId w:val="0"/>
              </w:numPr>
              <w:spacing w:before="60" w:after="60"/>
              <w:rPr>
                <w:rFonts w:asciiTheme="minorHAnsi" w:hAnsiTheme="minorHAnsi" w:cstheme="minorHAnsi"/>
                <w:color w:val="auto"/>
                <w:sz w:val="18"/>
                <w:szCs w:val="18"/>
              </w:rPr>
            </w:pPr>
            <w:r w:rsidRPr="001D0ACA">
              <w:rPr>
                <w:rFonts w:asciiTheme="minorHAnsi" w:hAnsiTheme="minorHAnsi" w:cstheme="minorHAnsi"/>
                <w:color w:val="auto"/>
                <w:sz w:val="18"/>
                <w:szCs w:val="18"/>
              </w:rPr>
              <w:t>Quantum of liability cap</w:t>
            </w:r>
          </w:p>
          <w:p w14:paraId="53B180DB" w14:textId="326AC81C" w:rsidR="00D14278" w:rsidRPr="001D0ACA" w:rsidRDefault="00D14278" w:rsidP="001D0ACA">
            <w:pPr>
              <w:pStyle w:val="IndentParaLevel1"/>
              <w:spacing w:before="80" w:after="80"/>
              <w:ind w:left="0"/>
              <w:jc w:val="both"/>
              <w:rPr>
                <w:rFonts w:cstheme="minorHAnsi"/>
                <w:sz w:val="18"/>
                <w:szCs w:val="18"/>
              </w:rPr>
            </w:pPr>
            <w:r w:rsidRPr="001D0ACA">
              <w:rPr>
                <w:rFonts w:asciiTheme="minorHAnsi" w:hAnsiTheme="minorHAnsi" w:cstheme="minorHAnsi"/>
                <w:sz w:val="18"/>
                <w:szCs w:val="18"/>
              </w:rPr>
              <w:t>Options 1 and 2 of this model clause provide for the inclusion, in the M</w:t>
            </w:r>
            <w:r w:rsidR="00960213">
              <w:rPr>
                <w:rFonts w:asciiTheme="minorHAnsi" w:hAnsiTheme="minorHAnsi" w:cstheme="minorHAnsi"/>
                <w:sz w:val="18"/>
                <w:szCs w:val="18"/>
              </w:rPr>
              <w:t>WC</w:t>
            </w:r>
            <w:r w:rsidRPr="001D0ACA">
              <w:rPr>
                <w:rFonts w:asciiTheme="minorHAnsi" w:hAnsiTheme="minorHAnsi" w:cstheme="minorHAnsi"/>
                <w:sz w:val="18"/>
                <w:szCs w:val="18"/>
              </w:rPr>
              <w:t xml:space="preserve"> Schedule 1 (Contract Particulars), of a new Item 49, where the Contractor's maximum aggregate liability is to be specified. The default position is </w:t>
            </w:r>
            <w:r w:rsidRPr="001D0ACA">
              <w:rPr>
                <w:rStyle w:val="ui-provider"/>
                <w:rFonts w:asciiTheme="minorHAnsi" w:hAnsiTheme="minorHAnsi" w:cstheme="minorHAnsi"/>
                <w:sz w:val="18"/>
                <w:szCs w:val="18"/>
              </w:rPr>
              <w:t>100% of the Contract Sum</w:t>
            </w:r>
            <w:r w:rsidRPr="001D0ACA">
              <w:rPr>
                <w:rFonts w:asciiTheme="minorHAnsi" w:hAnsiTheme="minorHAnsi" w:cstheme="minorHAnsi"/>
                <w:sz w:val="18"/>
                <w:szCs w:val="18"/>
              </w:rPr>
              <w:t xml:space="preserve">. Agencies </w:t>
            </w:r>
            <w:r w:rsidRPr="001D0ACA">
              <w:rPr>
                <w:rFonts w:asciiTheme="minorHAnsi" w:hAnsiTheme="minorHAnsi" w:cstheme="minorHAnsi"/>
                <w:b/>
                <w:bCs/>
                <w:sz w:val="18"/>
                <w:szCs w:val="18"/>
              </w:rPr>
              <w:t>should not</w:t>
            </w:r>
            <w:r w:rsidRPr="001D0ACA">
              <w:rPr>
                <w:rFonts w:asciiTheme="minorHAnsi" w:hAnsiTheme="minorHAnsi" w:cstheme="minorHAnsi"/>
                <w:sz w:val="18"/>
                <w:szCs w:val="18"/>
              </w:rPr>
              <w:t xml:space="preserve"> specify a lesser percentage or amount without legal advice. </w:t>
            </w:r>
          </w:p>
          <w:p w14:paraId="5BA937E9" w14:textId="77777777" w:rsidR="00D14278" w:rsidRPr="001D0ACA" w:rsidRDefault="00D14278" w:rsidP="001D0ACA">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lastRenderedPageBreak/>
              <w:t xml:space="preserve">Agencies must ensure that the amount of any liability cap is reasonable and proportionate to the nature and size of the project and sufficient to protect the agency against losses it may suffer. The quantum of the liability cap should be based on a fair assessment of the potential risks and liabilities involved. </w:t>
            </w:r>
          </w:p>
          <w:p w14:paraId="05D2C422" w14:textId="77777777" w:rsidR="00D14278" w:rsidRPr="001D0ACA" w:rsidRDefault="00D14278" w:rsidP="001D0ACA">
            <w:pPr>
              <w:pStyle w:val="Heading4numbered"/>
              <w:numPr>
                <w:ilvl w:val="0"/>
                <w:numId w:val="0"/>
              </w:numPr>
              <w:spacing w:before="60" w:after="60"/>
              <w:rPr>
                <w:rFonts w:asciiTheme="minorHAnsi" w:eastAsia="Times New Roman" w:hAnsiTheme="minorHAnsi" w:cstheme="minorHAnsi"/>
                <w:color w:val="auto"/>
                <w:sz w:val="18"/>
                <w:szCs w:val="18"/>
                <w:lang w:eastAsia="en-US"/>
              </w:rPr>
            </w:pPr>
            <w:r w:rsidRPr="001D0ACA">
              <w:rPr>
                <w:rFonts w:asciiTheme="minorHAnsi" w:hAnsiTheme="minorHAnsi" w:cstheme="minorHAnsi"/>
                <w:color w:val="auto"/>
                <w:sz w:val="18"/>
                <w:szCs w:val="18"/>
              </w:rPr>
              <w:t>Carve outs from Consequential</w:t>
            </w:r>
            <w:r w:rsidRPr="001D0ACA">
              <w:rPr>
                <w:rFonts w:asciiTheme="minorHAnsi" w:eastAsia="Times New Roman" w:hAnsiTheme="minorHAnsi" w:cstheme="minorHAnsi"/>
                <w:color w:val="auto"/>
                <w:sz w:val="18"/>
                <w:szCs w:val="18"/>
                <w:lang w:eastAsia="en-US"/>
              </w:rPr>
              <w:t xml:space="preserve"> Loss</w:t>
            </w:r>
          </w:p>
          <w:p w14:paraId="01BB01B4" w14:textId="458BAF24" w:rsidR="00D14278" w:rsidRPr="001D0ACA" w:rsidRDefault="00D14278" w:rsidP="001D0ACA">
            <w:pPr>
              <w:pStyle w:val="IndentParaLevel1"/>
              <w:spacing w:before="80" w:after="80"/>
              <w:ind w:left="0"/>
              <w:jc w:val="both"/>
              <w:rPr>
                <w:rFonts w:cstheme="minorHAnsi"/>
                <w:sz w:val="18"/>
                <w:szCs w:val="18"/>
              </w:rPr>
            </w:pPr>
            <w:r w:rsidRPr="001D0ACA">
              <w:rPr>
                <w:rFonts w:asciiTheme="minorHAnsi" w:hAnsiTheme="minorHAnsi" w:cstheme="minorHAnsi"/>
                <w:sz w:val="18"/>
                <w:szCs w:val="18"/>
              </w:rPr>
              <w:t>Options 1 and 3 of this model clause provide for the inclusion, in the M</w:t>
            </w:r>
            <w:r w:rsidR="00960213">
              <w:rPr>
                <w:rFonts w:asciiTheme="minorHAnsi" w:hAnsiTheme="minorHAnsi" w:cstheme="minorHAnsi"/>
                <w:sz w:val="18"/>
                <w:szCs w:val="18"/>
              </w:rPr>
              <w:t>WC</w:t>
            </w:r>
            <w:r w:rsidRPr="001D0ACA">
              <w:rPr>
                <w:rFonts w:asciiTheme="minorHAnsi" w:hAnsiTheme="minorHAnsi" w:cstheme="minorHAnsi"/>
                <w:sz w:val="18"/>
                <w:szCs w:val="18"/>
              </w:rPr>
              <w:t xml:space="preserve"> Schedule 1 (Contract Particulars), of a new Item 50 (Option 1) or 49 (Option 3), where the parties can specify carve outs to the definition of "Consequential Loss".</w:t>
            </w:r>
          </w:p>
          <w:p w14:paraId="02A67C2B" w14:textId="7CD2FFD2" w:rsidR="004D7E15" w:rsidRPr="001D0ACA" w:rsidRDefault="00D14278" w:rsidP="0034721F">
            <w:pPr>
              <w:pStyle w:val="IndentParaLevel1"/>
              <w:spacing w:before="80" w:after="80"/>
              <w:ind w:left="0"/>
              <w:jc w:val="both"/>
              <w:rPr>
                <w:rFonts w:asciiTheme="minorHAnsi" w:hAnsiTheme="minorHAnsi" w:cstheme="minorHAnsi"/>
                <w:sz w:val="18"/>
                <w:szCs w:val="18"/>
              </w:rPr>
            </w:pPr>
            <w:r w:rsidRPr="001D0ACA">
              <w:rPr>
                <w:rFonts w:asciiTheme="minorHAnsi" w:hAnsiTheme="minorHAnsi" w:cstheme="minorHAnsi"/>
                <w:sz w:val="18"/>
                <w:szCs w:val="18"/>
              </w:rPr>
              <w:t>Because clause 11.4(a) already provides that the Consequential Loss exclusion does not apply to various categories of liability of the Contractor (listed in clause 11.4(b)), the need to specify additional carve-outs to the definition of "Consequential Loss</w:t>
            </w:r>
            <w:r w:rsidR="0034721F">
              <w:rPr>
                <w:rFonts w:asciiTheme="minorHAnsi" w:hAnsiTheme="minorHAnsi" w:cstheme="minorHAnsi"/>
                <w:sz w:val="18"/>
                <w:szCs w:val="18"/>
              </w:rPr>
              <w:t>"</w:t>
            </w:r>
            <w:r w:rsidRPr="001D0ACA">
              <w:rPr>
                <w:rFonts w:asciiTheme="minorHAnsi" w:hAnsiTheme="minorHAnsi" w:cstheme="minorHAnsi"/>
                <w:sz w:val="18"/>
                <w:szCs w:val="18"/>
              </w:rPr>
              <w:t xml:space="preserve"> is restricted to liabilities not already referred to in clause 11.4(b). One example of losses that a Principal may want to ensure are not included in the Consequential Loss exclusion are damages claimed by the Principal as a result of third party claims against the Principal (for example by neighbouring landowners) for loss of amenity or loss of business as a result of the Contractor's Activities. Legal advice should be sought in respect of any items proposed to be included as additional Consequential Loss exclusions. </w:t>
            </w:r>
          </w:p>
        </w:tc>
      </w:tr>
    </w:tbl>
    <w:p w14:paraId="087A3678" w14:textId="538842E1" w:rsidR="00662277" w:rsidRDefault="00662277" w:rsidP="00662277">
      <w:pPr>
        <w:pStyle w:val="Heading3"/>
        <w:numPr>
          <w:ilvl w:val="0"/>
          <w:numId w:val="0"/>
        </w:numPr>
        <w:spacing w:after="0"/>
        <w:rPr>
          <w:rFonts w:cs="Angsana New"/>
          <w:b/>
          <w:bCs w:val="0"/>
          <w:szCs w:val="20"/>
          <w:lang w:eastAsia="zh-CN" w:bidi="th-TH"/>
        </w:rPr>
      </w:pPr>
      <w:bookmarkStart w:id="8" w:name="_Ref109055272"/>
      <w:bookmarkEnd w:id="7"/>
    </w:p>
    <w:tbl>
      <w:tblPr>
        <w:tblStyle w:val="TableGrid"/>
        <w:tblW w:w="0" w:type="auto"/>
        <w:tblInd w:w="-5" w:type="dxa"/>
        <w:shd w:val="clear" w:color="auto" w:fill="CFD7F1" w:themeFill="accent3" w:themeFillTint="33"/>
        <w:tblLook w:val="04A0" w:firstRow="1" w:lastRow="0" w:firstColumn="1" w:lastColumn="0" w:noHBand="0" w:noVBand="1"/>
      </w:tblPr>
      <w:tblGrid>
        <w:gridCol w:w="9349"/>
      </w:tblGrid>
      <w:tr w:rsidR="00662277" w14:paraId="7BDFA35E" w14:textId="77777777" w:rsidTr="00662277">
        <w:tc>
          <w:tcPr>
            <w:tcW w:w="9349" w:type="dxa"/>
            <w:shd w:val="clear" w:color="auto" w:fill="CFD7F1" w:themeFill="accent3" w:themeFillTint="33"/>
            <w:vAlign w:val="center"/>
          </w:tcPr>
          <w:p w14:paraId="455C2AB8" w14:textId="5F60220A" w:rsidR="00662277" w:rsidRDefault="00662277" w:rsidP="00773E15">
            <w:pPr>
              <w:pStyle w:val="Heading3"/>
              <w:numPr>
                <w:ilvl w:val="0"/>
                <w:numId w:val="0"/>
              </w:numPr>
              <w:rPr>
                <w:rFonts w:cs="Angsana New"/>
                <w:b/>
                <w:bCs w:val="0"/>
                <w:szCs w:val="20"/>
                <w:lang w:eastAsia="zh-CN" w:bidi="th-TH"/>
              </w:rPr>
            </w:pPr>
            <w:bookmarkStart w:id="9" w:name="_Hlk132294115"/>
            <w:r>
              <w:rPr>
                <w:rFonts w:cs="Angsana New"/>
                <w:b/>
                <w:bCs w:val="0"/>
                <w:szCs w:val="20"/>
                <w:lang w:eastAsia="zh-CN" w:bidi="th-TH"/>
              </w:rPr>
              <w:t>Option 1</w:t>
            </w:r>
          </w:p>
        </w:tc>
      </w:tr>
    </w:tbl>
    <w:bookmarkEnd w:id="9"/>
    <w:p w14:paraId="06D8CCBD" w14:textId="540AC4DC" w:rsidR="006B1CBE" w:rsidRDefault="006B1CBE" w:rsidP="00D2609B">
      <w:pPr>
        <w:pStyle w:val="Heading3"/>
        <w:numPr>
          <w:ilvl w:val="0"/>
          <w:numId w:val="0"/>
        </w:numPr>
        <w:spacing w:before="240"/>
        <w:ind w:left="964" w:hanging="964"/>
        <w:rPr>
          <w:rFonts w:cs="Angsana New"/>
          <w:szCs w:val="20"/>
          <w:lang w:eastAsia="zh-CN" w:bidi="th-TH"/>
        </w:rPr>
      </w:pPr>
      <w:r>
        <w:rPr>
          <w:rFonts w:cs="Angsana New"/>
          <w:szCs w:val="20"/>
          <w:lang w:eastAsia="zh-CN" w:bidi="th-TH"/>
        </w:rPr>
        <w:t>1.1</w:t>
      </w:r>
      <w:r>
        <w:rPr>
          <w:rFonts w:cs="Angsana New"/>
          <w:szCs w:val="20"/>
          <w:lang w:eastAsia="zh-CN" w:bidi="th-TH"/>
        </w:rPr>
        <w:tab/>
        <w:t>Add the following definitions in clause 1.1 of the MWC (in alphabetical order):</w:t>
      </w:r>
    </w:p>
    <w:p w14:paraId="46330FEE" w14:textId="17BCF965" w:rsidR="006B1CBE" w:rsidRDefault="006B1CBE" w:rsidP="006B1CBE">
      <w:pPr>
        <w:pStyle w:val="Definition"/>
      </w:pPr>
      <w:r w:rsidRPr="003C7922">
        <w:rPr>
          <w:b/>
        </w:rPr>
        <w:t>Consequential Loss</w:t>
      </w:r>
      <w:r>
        <w:t xml:space="preserve"> </w:t>
      </w:r>
      <w:r w:rsidRPr="00E259C9">
        <w:rPr>
          <w:szCs w:val="20"/>
        </w:rPr>
        <w:t>means</w:t>
      </w:r>
      <w:r>
        <w:rPr>
          <w:szCs w:val="20"/>
        </w:rPr>
        <w:t xml:space="preserve"> any </w:t>
      </w:r>
      <w:r w:rsidRPr="00E259C9">
        <w:t>loss of revenue, profi</w:t>
      </w:r>
      <w:r>
        <w:t>t</w:t>
      </w:r>
      <w:r w:rsidRPr="00E259C9">
        <w:t xml:space="preserve">, </w:t>
      </w:r>
      <w:r w:rsidRPr="00443B3D">
        <w:t>business opportunity, anticipated savings or goodwill</w:t>
      </w:r>
      <w:r w:rsidR="009541E9">
        <w:t>, but does not include any loss of the type referred to in Item 5</w:t>
      </w:r>
      <w:r w:rsidR="00A44E91">
        <w:t>0</w:t>
      </w:r>
      <w:r>
        <w:t>.</w:t>
      </w:r>
    </w:p>
    <w:p w14:paraId="2FF6E9D0" w14:textId="77777777" w:rsidR="006B1CBE" w:rsidRDefault="006B1CBE" w:rsidP="006B1CBE">
      <w:pPr>
        <w:pStyle w:val="IndentParaLevel1"/>
        <w:numPr>
          <w:ilvl w:val="0"/>
          <w:numId w:val="0"/>
        </w:numPr>
        <w:ind w:left="964"/>
        <w:rPr>
          <w:bCs/>
        </w:rPr>
      </w:pPr>
      <w:r>
        <w:rPr>
          <w:b/>
        </w:rPr>
        <w:t xml:space="preserve">Limitation of Liability </w:t>
      </w:r>
      <w:r w:rsidRPr="005C6C46">
        <w:rPr>
          <w:bCs/>
        </w:rPr>
        <w:t>has the meaning given in clause 11.4(a)(i).</w:t>
      </w:r>
    </w:p>
    <w:p w14:paraId="3C843D2E" w14:textId="70BA81BD" w:rsidR="004D7E2D" w:rsidRDefault="005C6C46" w:rsidP="005C6C46">
      <w:pPr>
        <w:pStyle w:val="Heading3"/>
        <w:numPr>
          <w:ilvl w:val="0"/>
          <w:numId w:val="0"/>
        </w:numPr>
        <w:ind w:left="964" w:hanging="964"/>
        <w:rPr>
          <w:rFonts w:cs="Angsana New"/>
          <w:szCs w:val="20"/>
          <w:lang w:eastAsia="zh-CN" w:bidi="th-TH"/>
        </w:rPr>
      </w:pPr>
      <w:r>
        <w:rPr>
          <w:rFonts w:cs="Angsana New"/>
          <w:szCs w:val="20"/>
          <w:lang w:eastAsia="zh-CN" w:bidi="th-TH"/>
        </w:rPr>
        <w:t>1.</w:t>
      </w:r>
      <w:r w:rsidR="006B1CBE">
        <w:rPr>
          <w:rFonts w:cs="Angsana New"/>
          <w:szCs w:val="20"/>
          <w:lang w:eastAsia="zh-CN" w:bidi="th-TH"/>
        </w:rPr>
        <w:t>2</w:t>
      </w:r>
      <w:r>
        <w:rPr>
          <w:rFonts w:cs="Angsana New"/>
          <w:szCs w:val="20"/>
          <w:lang w:eastAsia="zh-CN" w:bidi="th-TH"/>
        </w:rPr>
        <w:tab/>
      </w:r>
      <w:r w:rsidR="004D7E2D">
        <w:rPr>
          <w:rFonts w:cs="Angsana New"/>
          <w:szCs w:val="20"/>
          <w:lang w:eastAsia="zh-CN" w:bidi="th-TH"/>
        </w:rPr>
        <w:t>Add a new clause 11.4 as follows:</w:t>
      </w:r>
    </w:p>
    <w:p w14:paraId="4CF7D56E" w14:textId="14C74809" w:rsidR="005C6C46" w:rsidRPr="005C6C46" w:rsidRDefault="005C6C46" w:rsidP="005C6C46">
      <w:pPr>
        <w:pStyle w:val="Heading3"/>
        <w:numPr>
          <w:ilvl w:val="0"/>
          <w:numId w:val="0"/>
        </w:numPr>
        <w:ind w:left="964"/>
        <w:rPr>
          <w:rFonts w:cs="Angsana New"/>
          <w:b/>
          <w:bCs w:val="0"/>
          <w:sz w:val="24"/>
          <w:szCs w:val="24"/>
          <w:lang w:eastAsia="zh-CN" w:bidi="th-TH"/>
        </w:rPr>
      </w:pPr>
      <w:r w:rsidRPr="005C6C46">
        <w:rPr>
          <w:rFonts w:cs="Angsana New"/>
          <w:b/>
          <w:bCs w:val="0"/>
          <w:sz w:val="24"/>
          <w:szCs w:val="24"/>
          <w:lang w:eastAsia="zh-CN" w:bidi="th-TH"/>
        </w:rPr>
        <w:t>11.4</w:t>
      </w:r>
      <w:r w:rsidRPr="005C6C46">
        <w:rPr>
          <w:rFonts w:cs="Angsana New"/>
          <w:b/>
          <w:bCs w:val="0"/>
          <w:sz w:val="24"/>
          <w:szCs w:val="24"/>
          <w:lang w:eastAsia="zh-CN" w:bidi="th-TH"/>
        </w:rPr>
        <w:tab/>
        <w:t>Limitation of liability and exclusion of Consequential Loss</w:t>
      </w:r>
    </w:p>
    <w:p w14:paraId="70F8CA46" w14:textId="043A0993" w:rsidR="00AD1D59" w:rsidRPr="005C6C46" w:rsidRDefault="0047265B" w:rsidP="00710987">
      <w:pPr>
        <w:pStyle w:val="Heading3"/>
        <w:numPr>
          <w:ilvl w:val="2"/>
          <w:numId w:val="22"/>
        </w:numPr>
        <w:rPr>
          <w:rFonts w:cs="Angsana New"/>
          <w:szCs w:val="20"/>
          <w:lang w:eastAsia="zh-CN" w:bidi="th-TH"/>
        </w:rPr>
      </w:pPr>
      <w:r w:rsidRPr="005C6C46">
        <w:rPr>
          <w:rFonts w:cs="Angsana New"/>
          <w:szCs w:val="20"/>
          <w:lang w:eastAsia="zh-CN" w:bidi="th-TH"/>
        </w:rPr>
        <w:t>Subject to clause</w:t>
      </w:r>
      <w:r w:rsidR="005C6C46" w:rsidRPr="005C6C46">
        <w:rPr>
          <w:rFonts w:cs="Angsana New"/>
          <w:szCs w:val="20"/>
          <w:lang w:eastAsia="zh-CN" w:bidi="th-TH"/>
        </w:rPr>
        <w:t xml:space="preserve"> 11.4(b)</w:t>
      </w:r>
      <w:r w:rsidR="00AD1D59" w:rsidRPr="005C6C46">
        <w:rPr>
          <w:rFonts w:cs="Angsana New"/>
          <w:szCs w:val="20"/>
          <w:lang w:eastAsia="zh-CN" w:bidi="th-TH"/>
        </w:rPr>
        <w:t>:</w:t>
      </w:r>
      <w:bookmarkEnd w:id="8"/>
      <w:r w:rsidRPr="005C6C46">
        <w:rPr>
          <w:rFonts w:cs="Angsana New"/>
          <w:szCs w:val="20"/>
          <w:lang w:eastAsia="zh-CN" w:bidi="th-TH"/>
        </w:rPr>
        <w:t xml:space="preserve"> </w:t>
      </w:r>
    </w:p>
    <w:p w14:paraId="324CB7E6" w14:textId="148733B5" w:rsidR="00AD1D59" w:rsidRDefault="00AD1D59" w:rsidP="00AD1D59">
      <w:pPr>
        <w:pStyle w:val="Heading4"/>
        <w:rPr>
          <w:rFonts w:cs="Angsana New"/>
          <w:szCs w:val="20"/>
          <w:lang w:eastAsia="zh-CN" w:bidi="th-TH"/>
        </w:rPr>
      </w:pPr>
      <w:bookmarkStart w:id="10" w:name="_Ref109133007"/>
      <w:r w:rsidRPr="00AD1D59">
        <w:rPr>
          <w:rFonts w:cs="Angsana New"/>
          <w:szCs w:val="20"/>
          <w:lang w:eastAsia="zh-CN" w:bidi="th-TH"/>
        </w:rPr>
        <w:t xml:space="preserve">to the extent permitted by </w:t>
      </w:r>
      <w:r w:rsidR="00066712">
        <w:rPr>
          <w:rFonts w:cs="Angsana New"/>
          <w:szCs w:val="20"/>
          <w:lang w:eastAsia="zh-CN" w:bidi="th-TH"/>
        </w:rPr>
        <w:t>L</w:t>
      </w:r>
      <w:r w:rsidRPr="00AD1D59">
        <w:rPr>
          <w:rFonts w:cs="Angsana New"/>
          <w:szCs w:val="20"/>
          <w:lang w:eastAsia="zh-CN" w:bidi="th-TH"/>
        </w:rPr>
        <w:t xml:space="preserve">aw, </w:t>
      </w:r>
      <w:r w:rsidRPr="008972CA">
        <w:rPr>
          <w:rFonts w:cs="Angsana New"/>
          <w:szCs w:val="20"/>
          <w:lang w:eastAsia="zh-CN" w:bidi="th-TH"/>
        </w:rPr>
        <w:t xml:space="preserve">the </w:t>
      </w:r>
      <w:r w:rsidRPr="00AD1D59">
        <w:rPr>
          <w:rFonts w:cs="Angsana New"/>
          <w:szCs w:val="20"/>
          <w:lang w:eastAsia="zh-CN" w:bidi="th-TH"/>
        </w:rPr>
        <w:t xml:space="preserve">maximum aggregate liability </w:t>
      </w:r>
      <w:r w:rsidR="00B34BBB">
        <w:rPr>
          <w:rFonts w:cs="Angsana New"/>
          <w:szCs w:val="20"/>
          <w:lang w:eastAsia="zh-CN" w:bidi="th-TH"/>
        </w:rPr>
        <w:t xml:space="preserve">of the Contractor </w:t>
      </w:r>
      <w:r w:rsidRPr="00AD1D59">
        <w:rPr>
          <w:rFonts w:cs="Angsana New"/>
          <w:szCs w:val="20"/>
          <w:lang w:eastAsia="zh-CN" w:bidi="th-TH"/>
        </w:rPr>
        <w:t xml:space="preserve">to the </w:t>
      </w:r>
      <w:r>
        <w:rPr>
          <w:rFonts w:cs="Angsana New"/>
          <w:szCs w:val="20"/>
          <w:lang w:eastAsia="zh-CN" w:bidi="th-TH"/>
        </w:rPr>
        <w:t xml:space="preserve">Principal </w:t>
      </w:r>
      <w:r w:rsidRPr="00AD1D59">
        <w:rPr>
          <w:rFonts w:cs="Angsana New"/>
          <w:szCs w:val="20"/>
          <w:lang w:eastAsia="zh-CN" w:bidi="th-TH"/>
        </w:rPr>
        <w:t xml:space="preserve">arising out of or in connection with the Contract (whether arising in contract, in equity, tort (including negligence), by way of indemnity, under statute or otherwise at </w:t>
      </w:r>
      <w:r w:rsidR="00066712">
        <w:rPr>
          <w:rFonts w:cs="Angsana New"/>
          <w:szCs w:val="20"/>
          <w:lang w:eastAsia="zh-CN" w:bidi="th-TH"/>
        </w:rPr>
        <w:t>L</w:t>
      </w:r>
      <w:r w:rsidRPr="00AD1D59">
        <w:rPr>
          <w:rFonts w:cs="Angsana New"/>
          <w:szCs w:val="20"/>
          <w:lang w:eastAsia="zh-CN" w:bidi="th-TH"/>
        </w:rPr>
        <w:t>aw) is limited to the amount specified in</w:t>
      </w:r>
      <w:r w:rsidR="00415200">
        <w:rPr>
          <w:rFonts w:cs="Angsana New"/>
          <w:szCs w:val="20"/>
          <w:lang w:eastAsia="zh-CN" w:bidi="th-TH"/>
        </w:rPr>
        <w:t xml:space="preserve"> Item </w:t>
      </w:r>
      <w:r w:rsidR="00C50545">
        <w:rPr>
          <w:rFonts w:cs="Angsana New"/>
          <w:szCs w:val="20"/>
          <w:lang w:eastAsia="zh-CN" w:bidi="th-TH"/>
        </w:rPr>
        <w:t>49</w:t>
      </w:r>
      <w:r w:rsidR="00C077FB">
        <w:rPr>
          <w:rFonts w:cs="Angsana New"/>
          <w:szCs w:val="20"/>
          <w:lang w:eastAsia="zh-CN" w:bidi="th-TH"/>
        </w:rPr>
        <w:t xml:space="preserve"> </w:t>
      </w:r>
      <w:r w:rsidR="00C077FB">
        <w:t>(</w:t>
      </w:r>
      <w:r w:rsidR="00C077FB">
        <w:rPr>
          <w:b/>
        </w:rPr>
        <w:t>Limitation of Liability</w:t>
      </w:r>
      <w:r w:rsidR="00C077FB">
        <w:t>)</w:t>
      </w:r>
      <w:r w:rsidR="00415200">
        <w:rPr>
          <w:rFonts w:cs="Angsana New"/>
          <w:szCs w:val="20"/>
          <w:lang w:eastAsia="zh-CN" w:bidi="th-TH"/>
        </w:rPr>
        <w:t>; and</w:t>
      </w:r>
      <w:bookmarkEnd w:id="10"/>
    </w:p>
    <w:p w14:paraId="73330A9C" w14:textId="38E5DD1E" w:rsidR="0047265B" w:rsidRPr="008972CA" w:rsidRDefault="00AD1D59" w:rsidP="00415200">
      <w:pPr>
        <w:pStyle w:val="Heading4"/>
        <w:rPr>
          <w:rFonts w:cs="Angsana New"/>
          <w:szCs w:val="20"/>
          <w:lang w:eastAsia="zh-CN" w:bidi="th-TH"/>
        </w:rPr>
      </w:pPr>
      <w:bookmarkStart w:id="11" w:name="_Ref56159193"/>
      <w:r w:rsidRPr="00AD1D59">
        <w:rPr>
          <w:rFonts w:cs="Angsana New"/>
          <w:szCs w:val="20"/>
          <w:lang w:eastAsia="zh-CN" w:bidi="th-TH"/>
        </w:rPr>
        <w:t xml:space="preserve">neither the </w:t>
      </w:r>
      <w:r w:rsidR="00415200">
        <w:rPr>
          <w:rFonts w:cs="Angsana New"/>
          <w:szCs w:val="20"/>
          <w:lang w:eastAsia="zh-CN" w:bidi="th-TH"/>
        </w:rPr>
        <w:t xml:space="preserve">Principal </w:t>
      </w:r>
      <w:r w:rsidRPr="00AD1D59">
        <w:rPr>
          <w:rFonts w:cs="Angsana New"/>
          <w:szCs w:val="20"/>
          <w:lang w:eastAsia="zh-CN" w:bidi="th-TH"/>
        </w:rPr>
        <w:t>nor the Contractor will be liable to the other for any Consequential Loss howsoever arising</w:t>
      </w:r>
      <w:r w:rsidR="00415200">
        <w:rPr>
          <w:rFonts w:cs="Angsana New"/>
          <w:szCs w:val="20"/>
          <w:lang w:eastAsia="zh-CN" w:bidi="th-TH"/>
        </w:rPr>
        <w:t>.</w:t>
      </w:r>
      <w:bookmarkEnd w:id="11"/>
      <w:r w:rsidR="0047265B" w:rsidRPr="008972CA">
        <w:rPr>
          <w:rFonts w:cs="Angsana New"/>
          <w:szCs w:val="20"/>
          <w:lang w:eastAsia="zh-CN" w:bidi="th-TH"/>
        </w:rPr>
        <w:t xml:space="preserve"> </w:t>
      </w:r>
    </w:p>
    <w:p w14:paraId="082B03DA" w14:textId="64B15E77" w:rsidR="0047265B" w:rsidRPr="008972CA" w:rsidRDefault="00415200" w:rsidP="00AD1D59">
      <w:pPr>
        <w:pStyle w:val="Heading3"/>
        <w:rPr>
          <w:rFonts w:cs="Angsana New"/>
          <w:szCs w:val="20"/>
          <w:lang w:eastAsia="zh-CN" w:bidi="th-TH"/>
        </w:rPr>
      </w:pPr>
      <w:bookmarkStart w:id="12" w:name="_Ref109048819"/>
      <w:r>
        <w:rPr>
          <w:rFonts w:cs="Angsana New"/>
          <w:szCs w:val="20"/>
          <w:lang w:eastAsia="zh-CN" w:bidi="th-TH"/>
        </w:rPr>
        <w:t xml:space="preserve">Clause </w:t>
      </w:r>
      <w:r w:rsidR="005C6C46">
        <w:rPr>
          <w:rFonts w:cs="Angsana New"/>
          <w:szCs w:val="20"/>
          <w:lang w:eastAsia="zh-CN" w:bidi="th-TH"/>
        </w:rPr>
        <w:t>11.4(a)</w:t>
      </w:r>
      <w:r w:rsidR="004F5848">
        <w:rPr>
          <w:rFonts w:cs="Angsana New"/>
          <w:szCs w:val="20"/>
          <w:lang w:eastAsia="zh-CN" w:bidi="th-TH"/>
        </w:rPr>
        <w:t xml:space="preserve"> </w:t>
      </w:r>
      <w:r>
        <w:rPr>
          <w:rFonts w:cs="Angsana New"/>
          <w:szCs w:val="20"/>
          <w:lang w:eastAsia="zh-CN" w:bidi="th-TH"/>
        </w:rPr>
        <w:t xml:space="preserve">does </w:t>
      </w:r>
      <w:r w:rsidR="0047265B" w:rsidRPr="008972CA">
        <w:rPr>
          <w:rFonts w:cs="Angsana New"/>
          <w:szCs w:val="20"/>
          <w:lang w:eastAsia="zh-CN" w:bidi="th-TH"/>
        </w:rPr>
        <w:t xml:space="preserve">not apply to </w:t>
      </w:r>
      <w:r>
        <w:rPr>
          <w:rFonts w:cs="Angsana New"/>
          <w:szCs w:val="20"/>
          <w:lang w:eastAsia="zh-CN" w:bidi="th-TH"/>
        </w:rPr>
        <w:t xml:space="preserve">a liability of </w:t>
      </w:r>
      <w:r w:rsidR="0047265B" w:rsidRPr="008972CA">
        <w:rPr>
          <w:rFonts w:cs="Angsana New"/>
          <w:szCs w:val="20"/>
          <w:lang w:eastAsia="zh-CN" w:bidi="th-TH"/>
        </w:rPr>
        <w:t>the Contractor</w:t>
      </w:r>
      <w:r w:rsidR="0047265B" w:rsidRPr="00024C00">
        <w:rPr>
          <w:rFonts w:cs="Angsana New"/>
          <w:szCs w:val="20"/>
          <w:lang w:eastAsia="zh-CN" w:bidi="th-TH"/>
        </w:rPr>
        <w:t>:</w:t>
      </w:r>
      <w:bookmarkEnd w:id="12"/>
      <w:r w:rsidR="00024C00" w:rsidRPr="00024C00">
        <w:rPr>
          <w:b/>
          <w:bCs w:val="0"/>
          <w:i/>
          <w:iCs/>
        </w:rPr>
        <w:t xml:space="preserve"> </w:t>
      </w:r>
    </w:p>
    <w:p w14:paraId="781CE0CF" w14:textId="1D4409BC" w:rsidR="006D4287" w:rsidRPr="001D64A0" w:rsidRDefault="00C077FB" w:rsidP="00910C08">
      <w:pPr>
        <w:pStyle w:val="Heading4"/>
        <w:rPr>
          <w:b/>
          <w:bCs w:val="0"/>
          <w:i/>
          <w:iCs/>
        </w:rPr>
      </w:pPr>
      <w:bookmarkStart w:id="13" w:name="_Hlk132294194"/>
      <w:r>
        <w:t xml:space="preserve">under </w:t>
      </w:r>
      <w:r w:rsidR="00910C08" w:rsidRPr="00910C08">
        <w:t>the indemnities in clause</w:t>
      </w:r>
      <w:r w:rsidR="00857DB6">
        <w:t xml:space="preserve"> 11.2(a)</w:t>
      </w:r>
      <w:r w:rsidR="0095358B">
        <w:t xml:space="preserve"> (</w:t>
      </w:r>
      <w:r w:rsidR="00C50545">
        <w:t>other than</w:t>
      </w:r>
      <w:r w:rsidR="0095358B">
        <w:t xml:space="preserve"> clause 11.2(a)(i))</w:t>
      </w:r>
      <w:r w:rsidR="00910C08" w:rsidRPr="00024C00">
        <w:t>;</w:t>
      </w:r>
      <w:r w:rsidR="001D64A0">
        <w:t xml:space="preserve"> </w:t>
      </w:r>
    </w:p>
    <w:p w14:paraId="5DF18203" w14:textId="6CD54506" w:rsidR="00910C08" w:rsidRPr="00024C00" w:rsidRDefault="006D4287" w:rsidP="00910C08">
      <w:pPr>
        <w:pStyle w:val="Heading4"/>
        <w:rPr>
          <w:b/>
          <w:bCs w:val="0"/>
          <w:i/>
          <w:iCs/>
        </w:rPr>
      </w:pPr>
      <w:r>
        <w:t xml:space="preserve">under </w:t>
      </w:r>
      <w:r w:rsidR="00E51CC3">
        <w:t xml:space="preserve">any </w:t>
      </w:r>
      <w:r>
        <w:t xml:space="preserve">indemnity </w:t>
      </w:r>
      <w:r w:rsidR="00E51CC3">
        <w:t xml:space="preserve">given </w:t>
      </w:r>
      <w:r>
        <w:t xml:space="preserve">in </w:t>
      </w:r>
      <w:r w:rsidR="00E51CC3">
        <w:t xml:space="preserve">accordance with </w:t>
      </w:r>
      <w:r>
        <w:t xml:space="preserve">the Mandatory Government Policy Requirements; </w:t>
      </w:r>
      <w:r w:rsidR="00024C00">
        <w:rPr>
          <w:b/>
          <w:bCs w:val="0"/>
          <w:i/>
          <w:iCs/>
        </w:rPr>
        <w:t xml:space="preserve"> </w:t>
      </w:r>
    </w:p>
    <w:p w14:paraId="67449E3D" w14:textId="0409BE90" w:rsidR="00E4714D" w:rsidRDefault="00C74ADE" w:rsidP="00415200">
      <w:pPr>
        <w:pStyle w:val="Heading4"/>
        <w:rPr>
          <w:rFonts w:cs="Angsana New"/>
          <w:szCs w:val="20"/>
          <w:lang w:eastAsia="zh-CN" w:bidi="th-TH"/>
        </w:rPr>
      </w:pPr>
      <w:r>
        <w:t xml:space="preserve">arising from or in connection with </w:t>
      </w:r>
      <w:r w:rsidR="00E4714D">
        <w:rPr>
          <w:rFonts w:cs="Angsana New"/>
          <w:szCs w:val="20"/>
          <w:lang w:eastAsia="zh-CN" w:bidi="th-TH"/>
        </w:rPr>
        <w:t>any failure to include</w:t>
      </w:r>
      <w:r w:rsidR="00E4714D" w:rsidRPr="00E4714D">
        <w:t xml:space="preserve"> </w:t>
      </w:r>
      <w:r w:rsidR="00E4714D" w:rsidRPr="00D24B27">
        <w:t>provisions</w:t>
      </w:r>
      <w:r w:rsidR="00E4714D">
        <w:t xml:space="preserve"> in a </w:t>
      </w:r>
      <w:r w:rsidR="00024C00">
        <w:t>S</w:t>
      </w:r>
      <w:r w:rsidR="00E4714D">
        <w:t>ubcontract giv</w:t>
      </w:r>
      <w:r w:rsidR="00E51CC3">
        <w:t>ing</w:t>
      </w:r>
      <w:r w:rsidR="00E4714D">
        <w:t xml:space="preserve"> effect to </w:t>
      </w:r>
      <w:r w:rsidR="00956C42">
        <w:t>the Mandatory Government Policy Requirements</w:t>
      </w:r>
      <w:r w:rsidR="00E4714D">
        <w:t>;</w:t>
      </w:r>
    </w:p>
    <w:p w14:paraId="2833F74A" w14:textId="13E7BE1C" w:rsidR="00A779DE" w:rsidRDefault="00C077FB" w:rsidP="00A779DE">
      <w:pPr>
        <w:pStyle w:val="Heading4"/>
      </w:pPr>
      <w:r>
        <w:t xml:space="preserve">arising from or in connection with </w:t>
      </w:r>
      <w:r w:rsidR="00A779DE">
        <w:t xml:space="preserve">events or circumstances to the extent the Contractor </w:t>
      </w:r>
      <w:r w:rsidR="00A779DE" w:rsidRPr="00015330">
        <w:t>would be ent</w:t>
      </w:r>
      <w:r w:rsidR="00A779DE">
        <w:t xml:space="preserve">itled and able to recover insurance proceeds under insurance required by the Contract in relation to those events or circumstances, </w:t>
      </w:r>
      <w:r w:rsidR="00A779DE" w:rsidRPr="00015330">
        <w:t>or would have been so entitled and able</w:t>
      </w:r>
      <w:r w:rsidR="00A779DE">
        <w:t xml:space="preserve"> but for:</w:t>
      </w:r>
    </w:p>
    <w:p w14:paraId="6CA2AA5F" w14:textId="77777777" w:rsidR="00A779DE" w:rsidRDefault="00A779DE" w:rsidP="00A779DE">
      <w:pPr>
        <w:pStyle w:val="Heading5"/>
      </w:pPr>
      <w:r>
        <w:t>a failure of the Contractor to obtain or maintain the insurances for which it is responsible in accordance with the Contract;</w:t>
      </w:r>
    </w:p>
    <w:p w14:paraId="376EEC35" w14:textId="77777777" w:rsidR="00A779DE" w:rsidRDefault="00A779DE" w:rsidP="00A779DE">
      <w:pPr>
        <w:pStyle w:val="Heading5"/>
      </w:pPr>
      <w:r>
        <w:lastRenderedPageBreak/>
        <w:t>a failure by the Contractor to claim under the relevant insurances (or comply with the claim procedures under the relevant insurances);</w:t>
      </w:r>
    </w:p>
    <w:p w14:paraId="35688419" w14:textId="77777777" w:rsidR="00A779DE" w:rsidRDefault="00A779DE" w:rsidP="00A779DE">
      <w:pPr>
        <w:pStyle w:val="Heading5"/>
      </w:pPr>
      <w:r>
        <w:t>the Contractor not complying with any provision, obligation or duty owed under the relevant insurance policy (including the Contractor’s duty to disclose); or</w:t>
      </w:r>
    </w:p>
    <w:p w14:paraId="05A07A91" w14:textId="355C3E56" w:rsidR="00A779DE" w:rsidRDefault="00A779DE" w:rsidP="00A779DE">
      <w:pPr>
        <w:pStyle w:val="Heading5"/>
      </w:pPr>
      <w:r>
        <w:t xml:space="preserve">the inclusion of clause </w:t>
      </w:r>
      <w:r w:rsidR="005C6C46">
        <w:t>11.4(a)(i)</w:t>
      </w:r>
      <w:r>
        <w:t>;</w:t>
      </w:r>
    </w:p>
    <w:p w14:paraId="087E4962" w14:textId="761058AA" w:rsidR="00956C42" w:rsidRPr="008C071E" w:rsidRDefault="00CC2DCE" w:rsidP="00415200">
      <w:pPr>
        <w:pStyle w:val="Heading4"/>
        <w:rPr>
          <w:rFonts w:cs="Angsana New"/>
          <w:szCs w:val="20"/>
          <w:lang w:eastAsia="zh-CN" w:bidi="th-TH"/>
        </w:rPr>
      </w:pPr>
      <w:r>
        <w:t xml:space="preserve">to the extent that the </w:t>
      </w:r>
      <w:r w:rsidR="00956C42" w:rsidRPr="00210229">
        <w:t xml:space="preserve">Contractor recovers, or would have recovered but for an act or omission of the Contractor, </w:t>
      </w:r>
      <w:r>
        <w:t>an amount in respect of that liability</w:t>
      </w:r>
      <w:r w:rsidRPr="00210229">
        <w:t xml:space="preserve"> </w:t>
      </w:r>
      <w:r w:rsidR="00956C42" w:rsidRPr="00210229">
        <w:t>from a third party</w:t>
      </w:r>
      <w:r>
        <w:t xml:space="preserve"> </w:t>
      </w:r>
      <w:r w:rsidRPr="00CC2DCE">
        <w:t>arising from any Claim made in connection with the Contract</w:t>
      </w:r>
      <w:r>
        <w:t xml:space="preserve">; </w:t>
      </w:r>
    </w:p>
    <w:p w14:paraId="2CCA447A" w14:textId="77777777" w:rsidR="0095358B" w:rsidRPr="0069591C" w:rsidRDefault="00C077FB" w:rsidP="00415200">
      <w:pPr>
        <w:pStyle w:val="Heading4"/>
        <w:rPr>
          <w:rFonts w:cs="Angsana New"/>
          <w:szCs w:val="20"/>
          <w:lang w:eastAsia="zh-CN" w:bidi="th-TH"/>
        </w:rPr>
      </w:pPr>
      <w:r>
        <w:rPr>
          <w:rFonts w:cs="Angsana New"/>
          <w:szCs w:val="20"/>
          <w:lang w:eastAsia="zh-CN" w:bidi="th-TH"/>
        </w:rPr>
        <w:t xml:space="preserve">for </w:t>
      </w:r>
      <w:r w:rsidRPr="008972CA">
        <w:rPr>
          <w:rFonts w:cs="Angsana New"/>
          <w:szCs w:val="20"/>
          <w:lang w:eastAsia="zh-CN" w:bidi="th-TH"/>
        </w:rPr>
        <w:t>fine</w:t>
      </w:r>
      <w:r>
        <w:rPr>
          <w:rFonts w:cs="Angsana New"/>
          <w:szCs w:val="20"/>
          <w:lang w:eastAsia="zh-CN" w:bidi="th-TH"/>
        </w:rPr>
        <w:t>s</w:t>
      </w:r>
      <w:r w:rsidRPr="008972CA">
        <w:rPr>
          <w:rFonts w:cs="Angsana New"/>
          <w:szCs w:val="20"/>
          <w:lang w:eastAsia="zh-CN" w:bidi="th-TH"/>
        </w:rPr>
        <w:t xml:space="preserve"> or penalt</w:t>
      </w:r>
      <w:r>
        <w:rPr>
          <w:rFonts w:cs="Angsana New"/>
          <w:szCs w:val="20"/>
          <w:lang w:eastAsia="zh-CN" w:bidi="th-TH"/>
        </w:rPr>
        <w:t>ies</w:t>
      </w:r>
      <w:r w:rsidRPr="008972CA">
        <w:rPr>
          <w:rFonts w:cs="Angsana New"/>
          <w:szCs w:val="20"/>
          <w:lang w:eastAsia="zh-CN" w:bidi="th-TH"/>
        </w:rPr>
        <w:t xml:space="preserve"> </w:t>
      </w:r>
      <w:r w:rsidRPr="00C077FB">
        <w:rPr>
          <w:rFonts w:cs="Angsana New"/>
          <w:szCs w:val="20"/>
          <w:lang w:eastAsia="zh-CN" w:bidi="th-TH"/>
        </w:rPr>
        <w:t xml:space="preserve">incurred by the </w:t>
      </w:r>
      <w:r>
        <w:rPr>
          <w:rFonts w:cs="Angsana New"/>
          <w:szCs w:val="20"/>
          <w:lang w:eastAsia="zh-CN" w:bidi="th-TH"/>
        </w:rPr>
        <w:t xml:space="preserve">Principal </w:t>
      </w:r>
      <w:r w:rsidRPr="00C077FB">
        <w:rPr>
          <w:rFonts w:cs="Angsana New"/>
          <w:szCs w:val="20"/>
          <w:lang w:eastAsia="zh-CN" w:bidi="th-TH"/>
        </w:rPr>
        <w:t xml:space="preserve">arising from the Contractor’s </w:t>
      </w:r>
      <w:r>
        <w:t>Activities or the Works;</w:t>
      </w:r>
      <w:r w:rsidR="005C6C46">
        <w:t xml:space="preserve"> </w:t>
      </w:r>
    </w:p>
    <w:p w14:paraId="4417486F" w14:textId="77777777" w:rsidR="0095358B" w:rsidRPr="0069591C" w:rsidRDefault="0095358B">
      <w:pPr>
        <w:pStyle w:val="Heading4"/>
        <w:rPr>
          <w:rFonts w:cs="Angsana New"/>
          <w:szCs w:val="20"/>
          <w:lang w:eastAsia="zh-CN" w:bidi="th-TH"/>
        </w:rPr>
      </w:pPr>
      <w:r w:rsidRPr="0095358B">
        <w:t xml:space="preserve">which cannot be excluded or limited at Law; </w:t>
      </w:r>
    </w:p>
    <w:p w14:paraId="7BA8DC78" w14:textId="64D17C8F" w:rsidR="00C077FB" w:rsidRPr="0095358B" w:rsidRDefault="00AE6DEC">
      <w:pPr>
        <w:pStyle w:val="Heading4"/>
        <w:rPr>
          <w:rFonts w:cs="Angsana New"/>
          <w:szCs w:val="20"/>
          <w:lang w:eastAsia="zh-CN" w:bidi="th-TH"/>
        </w:rPr>
      </w:pPr>
      <w:r>
        <w:t xml:space="preserve">arising from or in connection with </w:t>
      </w:r>
      <w:r>
        <w:rPr>
          <w:rFonts w:cs="Angsana New"/>
          <w:szCs w:val="20"/>
          <w:lang w:eastAsia="zh-CN" w:bidi="th-TH"/>
        </w:rPr>
        <w:t xml:space="preserve">an </w:t>
      </w:r>
      <w:r w:rsidR="0095358B">
        <w:t xml:space="preserve">abandonment of the Contractor's Activities or the Works; </w:t>
      </w:r>
      <w:r w:rsidR="005C6C46">
        <w:t>or</w:t>
      </w:r>
    </w:p>
    <w:p w14:paraId="13E5DF4E" w14:textId="09713EE6" w:rsidR="00E81BA3" w:rsidRDefault="00B65EA6">
      <w:pPr>
        <w:pStyle w:val="Heading4"/>
        <w:rPr>
          <w:rFonts w:cs="Angsana New"/>
          <w:szCs w:val="20"/>
          <w:lang w:eastAsia="zh-CN" w:bidi="th-TH"/>
        </w:rPr>
      </w:pPr>
      <w:r w:rsidRPr="0069591C">
        <w:rPr>
          <w:b/>
          <w:bCs w:val="0"/>
          <w:i/>
          <w:iCs/>
          <w:highlight w:val="cyan"/>
        </w:rPr>
        <w:t>[</w:t>
      </w:r>
      <w:r w:rsidR="00E81BA3" w:rsidRPr="0069591C">
        <w:rPr>
          <w:b/>
          <w:bCs w:val="0"/>
          <w:i/>
          <w:iCs/>
          <w:highlight w:val="cyan"/>
        </w:rPr>
        <w:t>Guidance Note</w:t>
      </w:r>
      <w:r w:rsidRPr="0069591C">
        <w:rPr>
          <w:b/>
          <w:bCs w:val="0"/>
          <w:i/>
          <w:iCs/>
          <w:highlight w:val="cyan"/>
        </w:rPr>
        <w:t xml:space="preserve">: </w:t>
      </w:r>
      <w:r w:rsidR="00E81BA3" w:rsidRPr="0069591C">
        <w:rPr>
          <w:b/>
          <w:bCs w:val="0"/>
          <w:i/>
          <w:iCs/>
          <w:highlight w:val="cyan"/>
        </w:rPr>
        <w:t xml:space="preserve">Use this version of clause 11.4(b)(ix) </w:t>
      </w:r>
      <w:r w:rsidRPr="0069591C">
        <w:rPr>
          <w:b/>
          <w:bCs w:val="0"/>
          <w:i/>
          <w:iCs/>
          <w:highlight w:val="cyan"/>
        </w:rPr>
        <w:t xml:space="preserve">if the </w:t>
      </w:r>
      <w:r w:rsidR="00E81BA3" w:rsidRPr="0069591C">
        <w:rPr>
          <w:b/>
          <w:bCs w:val="0"/>
          <w:i/>
          <w:iCs/>
          <w:highlight w:val="cyan"/>
        </w:rPr>
        <w:t xml:space="preserve">Contractor's liability to pay </w:t>
      </w:r>
      <w:r w:rsidR="006E4DB1" w:rsidRPr="0069591C">
        <w:rPr>
          <w:b/>
          <w:bCs w:val="0"/>
          <w:i/>
          <w:iCs/>
          <w:highlight w:val="cyan"/>
        </w:rPr>
        <w:t>liquidated damages</w:t>
      </w:r>
      <w:r w:rsidR="00E81BA3" w:rsidRPr="0069591C">
        <w:rPr>
          <w:b/>
          <w:bCs w:val="0"/>
          <w:i/>
          <w:iCs/>
          <w:highlight w:val="cyan"/>
        </w:rPr>
        <w:t xml:space="preserve"> / damages </w:t>
      </w:r>
      <w:r w:rsidR="006E4DB1" w:rsidRPr="0069591C">
        <w:rPr>
          <w:b/>
          <w:bCs w:val="0"/>
          <w:i/>
          <w:iCs/>
          <w:highlight w:val="cyan"/>
        </w:rPr>
        <w:t>under clause 7.</w:t>
      </w:r>
      <w:r w:rsidR="00E81BA3" w:rsidRPr="0069591C">
        <w:rPr>
          <w:b/>
          <w:bCs w:val="0"/>
          <w:i/>
          <w:iCs/>
          <w:highlight w:val="cyan"/>
        </w:rPr>
        <w:t>4 is NOT INCLUDED in the Limitation of Liability.]</w:t>
      </w:r>
      <w:r w:rsidR="0047265B" w:rsidRPr="00B65EA6">
        <w:rPr>
          <w:rFonts w:cs="Angsana New"/>
          <w:szCs w:val="20"/>
          <w:lang w:eastAsia="zh-CN" w:bidi="th-TH"/>
        </w:rPr>
        <w:t>to pay liquidated damages or damages for delay in accordance with</w:t>
      </w:r>
      <w:r w:rsidR="00C077FB" w:rsidRPr="00B65EA6">
        <w:rPr>
          <w:rFonts w:cs="Angsana New"/>
          <w:szCs w:val="20"/>
          <w:lang w:eastAsia="zh-CN" w:bidi="th-TH"/>
        </w:rPr>
        <w:t xml:space="preserve"> clause 7.4</w:t>
      </w:r>
      <w:r w:rsidR="005C6C46" w:rsidRPr="00B65EA6">
        <w:rPr>
          <w:rFonts w:cs="Angsana New"/>
          <w:szCs w:val="20"/>
          <w:lang w:eastAsia="zh-CN" w:bidi="th-TH"/>
        </w:rPr>
        <w:t>.</w:t>
      </w:r>
    </w:p>
    <w:p w14:paraId="7E77E317" w14:textId="77777777" w:rsidR="00E81BA3" w:rsidRPr="00E81BA3" w:rsidRDefault="00E81BA3" w:rsidP="00E81BA3">
      <w:pPr>
        <w:pStyle w:val="Heading4"/>
        <w:numPr>
          <w:ilvl w:val="0"/>
          <w:numId w:val="0"/>
        </w:numPr>
        <w:ind w:left="2892"/>
        <w:rPr>
          <w:rFonts w:cs="Angsana New"/>
          <w:b/>
          <w:bCs w:val="0"/>
          <w:i/>
          <w:iCs/>
          <w:szCs w:val="20"/>
          <w:lang w:eastAsia="zh-CN" w:bidi="th-TH"/>
        </w:rPr>
      </w:pPr>
      <w:r w:rsidRPr="0069591C">
        <w:rPr>
          <w:rFonts w:cs="Angsana New"/>
          <w:b/>
          <w:bCs w:val="0"/>
          <w:i/>
          <w:iCs/>
          <w:szCs w:val="20"/>
          <w:highlight w:val="cyan"/>
          <w:lang w:eastAsia="zh-CN" w:bidi="th-TH"/>
        </w:rPr>
        <w:t>OR</w:t>
      </w:r>
    </w:p>
    <w:p w14:paraId="5B7FC7FA" w14:textId="60BCC4AD" w:rsidR="00E81BA3" w:rsidRDefault="00E81BA3" w:rsidP="00E81BA3">
      <w:pPr>
        <w:pStyle w:val="Heading4"/>
        <w:numPr>
          <w:ilvl w:val="0"/>
          <w:numId w:val="0"/>
        </w:numPr>
        <w:ind w:left="2892"/>
        <w:rPr>
          <w:rFonts w:cs="Angsana New"/>
          <w:szCs w:val="20"/>
          <w:lang w:eastAsia="zh-CN" w:bidi="th-TH"/>
        </w:rPr>
      </w:pPr>
      <w:r w:rsidRPr="0069591C">
        <w:rPr>
          <w:b/>
          <w:bCs w:val="0"/>
          <w:i/>
          <w:iCs/>
          <w:highlight w:val="cyan"/>
        </w:rPr>
        <w:t>[Guidance Note: Use this version of clause 11.4(b)(ix) if the Contractor's liability to pay liquidated damages / damages under clause 7.4 IS INCLUDED in the Limitation of Liability.]</w:t>
      </w:r>
      <w:r w:rsidRPr="008C071E">
        <w:rPr>
          <w:rFonts w:cs="Angsana New"/>
          <w:szCs w:val="20"/>
          <w:lang w:eastAsia="zh-CN" w:bidi="th-TH"/>
        </w:rPr>
        <w:t>in respect of clause 11.4(a)(ii) only,</w:t>
      </w:r>
      <w:r>
        <w:rPr>
          <w:rFonts w:cs="Angsana New"/>
          <w:szCs w:val="20"/>
          <w:lang w:eastAsia="zh-CN" w:bidi="th-TH"/>
        </w:rPr>
        <w:t xml:space="preserve"> </w:t>
      </w:r>
      <w:r w:rsidRPr="00E81BA3">
        <w:rPr>
          <w:rFonts w:cs="Angsana New"/>
          <w:szCs w:val="20"/>
          <w:lang w:eastAsia="zh-CN" w:bidi="th-TH"/>
        </w:rPr>
        <w:t>to pay liquidated damages or damages for delay in accordance with clause 7.4.</w:t>
      </w:r>
    </w:p>
    <w:bookmarkEnd w:id="13"/>
    <w:p w14:paraId="038BE504" w14:textId="243F6CEC" w:rsidR="00B34BBB" w:rsidRPr="005C6C46" w:rsidRDefault="005C6C46" w:rsidP="006B1CBE">
      <w:pPr>
        <w:pStyle w:val="Heading3"/>
        <w:numPr>
          <w:ilvl w:val="0"/>
          <w:numId w:val="0"/>
        </w:numPr>
        <w:ind w:left="964" w:hanging="964"/>
        <w:rPr>
          <w:bCs w:val="0"/>
        </w:rPr>
      </w:pPr>
      <w:r>
        <w:rPr>
          <w:rFonts w:cs="Angsana New"/>
          <w:szCs w:val="20"/>
          <w:lang w:eastAsia="zh-CN" w:bidi="th-TH"/>
        </w:rPr>
        <w:t>1.</w:t>
      </w:r>
      <w:r w:rsidR="006B1CBE">
        <w:rPr>
          <w:rFonts w:cs="Angsana New"/>
          <w:szCs w:val="20"/>
          <w:lang w:eastAsia="zh-CN" w:bidi="th-TH"/>
        </w:rPr>
        <w:t>3</w:t>
      </w:r>
      <w:r>
        <w:rPr>
          <w:rFonts w:cs="Angsana New"/>
          <w:szCs w:val="20"/>
          <w:lang w:eastAsia="zh-CN" w:bidi="th-TH"/>
        </w:rPr>
        <w:tab/>
      </w:r>
      <w:r w:rsidR="00AF7B9F">
        <w:rPr>
          <w:rFonts w:cs="Angsana New"/>
          <w:lang w:eastAsia="zh-CN" w:bidi="th-TH"/>
        </w:rPr>
        <w:t>Add</w:t>
      </w:r>
      <w:r w:rsidR="00B34BBB">
        <w:rPr>
          <w:rFonts w:cs="Angsana New"/>
          <w:lang w:eastAsia="zh-CN" w:bidi="th-TH"/>
        </w:rPr>
        <w:t xml:space="preserve"> the following new Item</w:t>
      </w:r>
      <w:r w:rsidR="0057206E">
        <w:rPr>
          <w:rFonts w:cs="Angsana New"/>
          <w:lang w:eastAsia="zh-CN" w:bidi="th-TH"/>
        </w:rPr>
        <w:t>s</w:t>
      </w:r>
      <w:r w:rsidR="00B34BBB">
        <w:rPr>
          <w:rFonts w:cs="Angsana New"/>
          <w:lang w:eastAsia="zh-CN" w:bidi="th-TH"/>
        </w:rPr>
        <w:t xml:space="preserve"> in the Contract Particulars (Schedule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5386"/>
      </w:tblGrid>
      <w:tr w:rsidR="00415200" w:rsidRPr="00AA1448" w14:paraId="4A9C78D4" w14:textId="77777777" w:rsidTr="001D64A0">
        <w:tc>
          <w:tcPr>
            <w:tcW w:w="993" w:type="dxa"/>
          </w:tcPr>
          <w:p w14:paraId="71D664D3" w14:textId="1C0B632D" w:rsidR="00415200" w:rsidRPr="00AA1448" w:rsidRDefault="0057206E"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Pr>
                <w:rFonts w:cs="Angsana New"/>
                <w:noProof/>
                <w:color w:val="000000"/>
                <w:spacing w:val="2"/>
                <w:sz w:val="18"/>
                <w:szCs w:val="18"/>
                <w:lang w:eastAsia="zh-CN" w:bidi="th-TH"/>
              </w:rPr>
              <w:t>49</w:t>
            </w:r>
          </w:p>
        </w:tc>
        <w:tc>
          <w:tcPr>
            <w:tcW w:w="3260" w:type="dxa"/>
            <w:shd w:val="clear" w:color="auto" w:fill="auto"/>
          </w:tcPr>
          <w:p w14:paraId="48E6E5BE" w14:textId="3A1B800F" w:rsidR="00415200" w:rsidRPr="00AA1448" w:rsidRDefault="00B34BBB"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ngsana New"/>
                <w:sz w:val="18"/>
                <w:szCs w:val="18"/>
                <w:lang w:eastAsia="zh-CN" w:bidi="th-TH"/>
              </w:rPr>
              <w:t>Maximum aggregate liability of the Contractor to the Principal:</w:t>
            </w:r>
            <w:r w:rsidRPr="00AA1448">
              <w:rPr>
                <w:rFonts w:cs="Angsana New"/>
                <w:sz w:val="18"/>
                <w:szCs w:val="18"/>
                <w:lang w:eastAsia="zh-CN" w:bidi="th-TH"/>
              </w:rPr>
              <w:br/>
              <w:t xml:space="preserve">(Clause </w:t>
            </w:r>
            <w:r w:rsidRPr="00AA1448">
              <w:rPr>
                <w:bCs/>
                <w:sz w:val="18"/>
                <w:szCs w:val="18"/>
              </w:rPr>
              <w:t>11.4(a)(i))</w:t>
            </w:r>
          </w:p>
        </w:tc>
        <w:tc>
          <w:tcPr>
            <w:tcW w:w="5386" w:type="dxa"/>
            <w:shd w:val="clear" w:color="auto" w:fill="auto"/>
          </w:tcPr>
          <w:p w14:paraId="7C4A5499" w14:textId="7143528D" w:rsidR="00415200" w:rsidRPr="00AA1448" w:rsidRDefault="00F22597" w:rsidP="00B34BBB">
            <w:pPr>
              <w:tabs>
                <w:tab w:val="left" w:pos="459"/>
                <w:tab w:val="left" w:pos="3969"/>
                <w:tab w:val="left" w:pos="4536"/>
                <w:tab w:val="right" w:leader="dot" w:pos="8505"/>
              </w:tabs>
              <w:spacing w:before="120" w:after="120"/>
              <w:ind w:right="-6"/>
              <w:rPr>
                <w:sz w:val="18"/>
                <w:szCs w:val="18"/>
              </w:rPr>
            </w:pPr>
            <w:r w:rsidRPr="00AA1448">
              <w:rPr>
                <w:sz w:val="18"/>
                <w:szCs w:val="18"/>
              </w:rPr>
              <w:t>100% of the Contract Sum</w:t>
            </w:r>
            <w:r w:rsidR="00B34BBB" w:rsidRPr="00AA1448">
              <w:rPr>
                <w:sz w:val="18"/>
                <w:szCs w:val="18"/>
              </w:rPr>
              <w:t xml:space="preserve"> </w:t>
            </w:r>
            <w:r w:rsidR="00B34BBB" w:rsidRPr="00AA1448">
              <w:rPr>
                <w:sz w:val="18"/>
                <w:szCs w:val="18"/>
                <w:shd w:val="clear" w:color="000000" w:fill="auto"/>
              </w:rPr>
              <w:t>[</w:t>
            </w:r>
            <w:r w:rsidR="00B34BBB" w:rsidRPr="0069591C">
              <w:rPr>
                <w:rFonts w:cs="Arial"/>
                <w:b/>
                <w:i/>
                <w:sz w:val="18"/>
                <w:szCs w:val="18"/>
                <w:highlight w:val="cyan"/>
              </w:rPr>
              <w:t xml:space="preserve">Guidance Note: </w:t>
            </w:r>
            <w:r w:rsidRPr="0069591C">
              <w:rPr>
                <w:rFonts w:cs="Arial"/>
                <w:b/>
                <w:i/>
                <w:sz w:val="18"/>
                <w:szCs w:val="18"/>
                <w:highlight w:val="cyan"/>
              </w:rPr>
              <w:t xml:space="preserve">this is the default position. </w:t>
            </w:r>
            <w:r w:rsidR="0057206E">
              <w:rPr>
                <w:rFonts w:cs="Arial"/>
                <w:b/>
                <w:i/>
                <w:sz w:val="18"/>
                <w:szCs w:val="18"/>
                <w:highlight w:val="cyan"/>
              </w:rPr>
              <w:t xml:space="preserve">A lesser </w:t>
            </w:r>
            <w:r w:rsidR="00E81BA3" w:rsidRPr="0069591C">
              <w:rPr>
                <w:rFonts w:cs="Arial"/>
                <w:b/>
                <w:i/>
                <w:sz w:val="18"/>
                <w:szCs w:val="18"/>
                <w:highlight w:val="cyan"/>
              </w:rPr>
              <w:t>percentage</w:t>
            </w:r>
            <w:r w:rsidRPr="0069591C">
              <w:rPr>
                <w:rFonts w:cs="Arial"/>
                <w:b/>
                <w:i/>
                <w:sz w:val="18"/>
                <w:szCs w:val="18"/>
                <w:highlight w:val="cyan"/>
              </w:rPr>
              <w:t xml:space="preserve"> or </w:t>
            </w:r>
            <w:r w:rsidR="0057206E">
              <w:rPr>
                <w:rFonts w:cs="Arial"/>
                <w:b/>
                <w:i/>
                <w:sz w:val="18"/>
                <w:szCs w:val="18"/>
                <w:highlight w:val="cyan"/>
              </w:rPr>
              <w:t>amount should not be agreed without legal advice</w:t>
            </w:r>
            <w:r w:rsidR="00B34BBB" w:rsidRPr="0069591C">
              <w:rPr>
                <w:rFonts w:cs="Arial"/>
                <w:b/>
                <w:i/>
                <w:sz w:val="18"/>
                <w:szCs w:val="18"/>
                <w:highlight w:val="cyan"/>
              </w:rPr>
              <w:t>.]</w:t>
            </w:r>
          </w:p>
        </w:tc>
      </w:tr>
      <w:tr w:rsidR="009541E9" w:rsidRPr="00AA1448" w14:paraId="170CCF90" w14:textId="77777777" w:rsidTr="001D64A0">
        <w:tc>
          <w:tcPr>
            <w:tcW w:w="993" w:type="dxa"/>
          </w:tcPr>
          <w:p w14:paraId="2BA6F198" w14:textId="3EC2D878" w:rsidR="009541E9" w:rsidRPr="00AA1448" w:rsidRDefault="009541E9"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Pr>
                <w:rFonts w:cs="Angsana New"/>
                <w:noProof/>
                <w:color w:val="000000"/>
                <w:spacing w:val="2"/>
                <w:sz w:val="18"/>
                <w:szCs w:val="18"/>
                <w:lang w:eastAsia="zh-CN" w:bidi="th-TH"/>
              </w:rPr>
              <w:t>5</w:t>
            </w:r>
            <w:r w:rsidR="0057206E">
              <w:rPr>
                <w:rFonts w:cs="Angsana New"/>
                <w:noProof/>
                <w:color w:val="000000"/>
                <w:spacing w:val="2"/>
                <w:sz w:val="18"/>
                <w:szCs w:val="18"/>
                <w:lang w:eastAsia="zh-CN" w:bidi="th-TH"/>
              </w:rPr>
              <w:t>0</w:t>
            </w:r>
          </w:p>
        </w:tc>
        <w:tc>
          <w:tcPr>
            <w:tcW w:w="3260" w:type="dxa"/>
            <w:shd w:val="clear" w:color="auto" w:fill="auto"/>
          </w:tcPr>
          <w:p w14:paraId="3E8F12B6" w14:textId="65EB7272" w:rsidR="009541E9" w:rsidRPr="00AA1448" w:rsidRDefault="009541E9" w:rsidP="00711AA3">
            <w:pPr>
              <w:tabs>
                <w:tab w:val="left" w:pos="459"/>
                <w:tab w:val="left" w:pos="3969"/>
                <w:tab w:val="left" w:pos="4536"/>
                <w:tab w:val="right" w:leader="dot" w:pos="8505"/>
              </w:tabs>
              <w:spacing w:before="120" w:after="120"/>
              <w:ind w:right="-6"/>
              <w:rPr>
                <w:rFonts w:cs="Angsana New"/>
                <w:sz w:val="18"/>
                <w:szCs w:val="18"/>
                <w:lang w:eastAsia="zh-CN" w:bidi="th-TH"/>
              </w:rPr>
            </w:pPr>
            <w:r>
              <w:rPr>
                <w:rFonts w:cs="Angsana New"/>
                <w:noProof/>
                <w:color w:val="000000"/>
                <w:spacing w:val="2"/>
                <w:sz w:val="18"/>
                <w:szCs w:val="18"/>
                <w:lang w:eastAsia="zh-CN" w:bidi="th-TH"/>
              </w:rPr>
              <w:t>Consequential Loss</w:t>
            </w:r>
            <w:r w:rsidR="00C2145C">
              <w:rPr>
                <w:rFonts w:cs="Angsana New"/>
                <w:noProof/>
                <w:color w:val="000000"/>
                <w:spacing w:val="2"/>
                <w:sz w:val="18"/>
                <w:szCs w:val="18"/>
                <w:lang w:eastAsia="zh-CN" w:bidi="th-TH"/>
              </w:rPr>
              <w:br/>
            </w:r>
            <w:r w:rsidR="00C2145C" w:rsidRPr="00AA1448">
              <w:rPr>
                <w:rFonts w:cs="Angsana New"/>
                <w:sz w:val="18"/>
                <w:szCs w:val="18"/>
                <w:lang w:eastAsia="zh-CN" w:bidi="th-TH"/>
              </w:rPr>
              <w:t>(Clause</w:t>
            </w:r>
            <w:r w:rsidR="00C2145C">
              <w:rPr>
                <w:rFonts w:cs="Angsana New"/>
                <w:sz w:val="18"/>
                <w:szCs w:val="18"/>
                <w:lang w:eastAsia="zh-CN" w:bidi="th-TH"/>
              </w:rPr>
              <w:t>s 1.1 and</w:t>
            </w:r>
            <w:r w:rsidR="00C2145C" w:rsidRPr="00AA1448">
              <w:rPr>
                <w:rFonts w:cs="Angsana New"/>
                <w:sz w:val="18"/>
                <w:szCs w:val="18"/>
                <w:lang w:eastAsia="zh-CN" w:bidi="th-TH"/>
              </w:rPr>
              <w:t xml:space="preserve"> </w:t>
            </w:r>
            <w:r w:rsidR="00C2145C" w:rsidRPr="00AA1448">
              <w:rPr>
                <w:bCs/>
                <w:sz w:val="18"/>
                <w:szCs w:val="18"/>
              </w:rPr>
              <w:t>11.4(a)(i</w:t>
            </w:r>
            <w:r w:rsidR="00C2145C">
              <w:rPr>
                <w:bCs/>
                <w:sz w:val="18"/>
                <w:szCs w:val="18"/>
              </w:rPr>
              <w:t>i</w:t>
            </w:r>
            <w:r w:rsidR="00C2145C" w:rsidRPr="00AA1448">
              <w:rPr>
                <w:bCs/>
                <w:sz w:val="18"/>
                <w:szCs w:val="18"/>
              </w:rPr>
              <w:t>))</w:t>
            </w:r>
          </w:p>
        </w:tc>
        <w:tc>
          <w:tcPr>
            <w:tcW w:w="5386" w:type="dxa"/>
            <w:shd w:val="clear" w:color="auto" w:fill="auto"/>
          </w:tcPr>
          <w:p w14:paraId="11CD9654" w14:textId="683E936F" w:rsidR="009541E9" w:rsidRPr="00AA1448" w:rsidRDefault="00D14278" w:rsidP="00B34BBB">
            <w:pPr>
              <w:tabs>
                <w:tab w:val="left" w:pos="459"/>
                <w:tab w:val="left" w:pos="3969"/>
                <w:tab w:val="left" w:pos="4536"/>
                <w:tab w:val="right" w:leader="dot" w:pos="8505"/>
              </w:tabs>
              <w:spacing w:before="120" w:after="120"/>
              <w:ind w:right="-6"/>
              <w:rPr>
                <w:sz w:val="18"/>
                <w:szCs w:val="18"/>
              </w:rPr>
            </w:pPr>
            <w:r>
              <w:rPr>
                <w:sz w:val="18"/>
                <w:szCs w:val="18"/>
                <w:shd w:val="clear" w:color="000000" w:fill="auto"/>
              </w:rPr>
              <w:t>[</w:t>
            </w:r>
            <w:r w:rsidRPr="001D0ACA">
              <w:rPr>
                <w:sz w:val="18"/>
                <w:szCs w:val="18"/>
                <w:highlight w:val="yellow"/>
                <w:shd w:val="clear" w:color="000000" w:fill="auto"/>
              </w:rPr>
              <w:t>Insert</w:t>
            </w:r>
            <w:r>
              <w:rPr>
                <w:sz w:val="18"/>
                <w:szCs w:val="18"/>
                <w:shd w:val="clear" w:color="000000" w:fill="auto"/>
              </w:rPr>
              <w:t>]</w:t>
            </w:r>
            <w:r w:rsidR="006E70CA">
              <w:rPr>
                <w:sz w:val="18"/>
                <w:szCs w:val="18"/>
                <w:shd w:val="clear" w:color="000000" w:fill="auto"/>
              </w:rPr>
              <w:t>……………………………………………………….</w:t>
            </w:r>
            <w:r w:rsidR="006E70CA">
              <w:rPr>
                <w:sz w:val="18"/>
                <w:szCs w:val="18"/>
                <w:shd w:val="clear" w:color="000000" w:fill="auto"/>
              </w:rPr>
              <w:br/>
            </w:r>
            <w:r w:rsidR="006E70CA" w:rsidRPr="001D0ACA">
              <w:rPr>
                <w:i/>
                <w:iCs/>
                <w:sz w:val="18"/>
                <w:szCs w:val="18"/>
                <w:shd w:val="clear" w:color="000000" w:fill="auto"/>
              </w:rPr>
              <w:t>(If nothing is stated, there are no additional exclusions)</w:t>
            </w:r>
            <w:r w:rsidR="006E70CA">
              <w:rPr>
                <w:sz w:val="18"/>
                <w:szCs w:val="18"/>
                <w:shd w:val="clear" w:color="000000" w:fill="auto"/>
              </w:rPr>
              <w:t xml:space="preserve"> </w:t>
            </w:r>
            <w:r w:rsidR="009541E9" w:rsidRPr="00AA1448">
              <w:rPr>
                <w:sz w:val="18"/>
                <w:szCs w:val="18"/>
                <w:shd w:val="clear" w:color="000000" w:fill="auto"/>
              </w:rPr>
              <w:t>[</w:t>
            </w:r>
            <w:r w:rsidR="009541E9" w:rsidRPr="0069591C">
              <w:rPr>
                <w:rFonts w:cs="Arial"/>
                <w:b/>
                <w:i/>
                <w:sz w:val="18"/>
                <w:szCs w:val="18"/>
                <w:highlight w:val="cyan"/>
              </w:rPr>
              <w:t>Guidance Note</w:t>
            </w:r>
            <w:r w:rsidR="009541E9">
              <w:rPr>
                <w:rFonts w:cs="Arial"/>
                <w:b/>
                <w:i/>
                <w:sz w:val="18"/>
                <w:szCs w:val="18"/>
                <w:highlight w:val="cyan"/>
              </w:rPr>
              <w:t>: Include any carve-outs to Consequential Loss.]</w:t>
            </w:r>
          </w:p>
        </w:tc>
      </w:tr>
    </w:tbl>
    <w:p w14:paraId="54464971" w14:textId="77777777" w:rsidR="00024C0E" w:rsidRDefault="00024C0E" w:rsidP="00712199">
      <w:pPr>
        <w:pStyle w:val="IndentParaLevel1"/>
        <w:numPr>
          <w:ilvl w:val="0"/>
          <w:numId w:val="0"/>
        </w:numPr>
        <w:spacing w:after="120"/>
        <w:rPr>
          <w:rFonts w:cs="Angsana New"/>
          <w:b/>
          <w:highlight w:val="yellow"/>
          <w:lang w:eastAsia="zh-CN" w:bidi="th-TH"/>
        </w:rPr>
      </w:pPr>
    </w:p>
    <w:tbl>
      <w:tblPr>
        <w:tblStyle w:val="TableGrid"/>
        <w:tblW w:w="9639" w:type="dxa"/>
        <w:tblInd w:w="-5" w:type="dxa"/>
        <w:shd w:val="clear" w:color="auto" w:fill="CFD7F1" w:themeFill="accent3" w:themeFillTint="33"/>
        <w:tblLook w:val="04A0" w:firstRow="1" w:lastRow="0" w:firstColumn="1" w:lastColumn="0" w:noHBand="0" w:noVBand="1"/>
      </w:tblPr>
      <w:tblGrid>
        <w:gridCol w:w="9639"/>
      </w:tblGrid>
      <w:tr w:rsidR="006F55A3" w14:paraId="6A895191" w14:textId="77777777" w:rsidTr="001D64A0">
        <w:tc>
          <w:tcPr>
            <w:tcW w:w="9639" w:type="dxa"/>
            <w:shd w:val="clear" w:color="auto" w:fill="CFD7F1" w:themeFill="accent3" w:themeFillTint="33"/>
            <w:vAlign w:val="center"/>
          </w:tcPr>
          <w:p w14:paraId="51EFACB6" w14:textId="279068DA" w:rsidR="00E81BA3" w:rsidRDefault="00E81BA3" w:rsidP="00773E15">
            <w:pPr>
              <w:pStyle w:val="Heading3"/>
              <w:numPr>
                <w:ilvl w:val="0"/>
                <w:numId w:val="0"/>
              </w:numPr>
              <w:rPr>
                <w:rFonts w:cs="Angsana New"/>
                <w:b/>
                <w:bCs w:val="0"/>
                <w:szCs w:val="20"/>
                <w:lang w:eastAsia="zh-CN" w:bidi="th-TH"/>
              </w:rPr>
            </w:pPr>
            <w:bookmarkStart w:id="14" w:name="_Hlk132294448"/>
            <w:r>
              <w:rPr>
                <w:rFonts w:cs="Angsana New"/>
                <w:b/>
                <w:bCs w:val="0"/>
                <w:szCs w:val="20"/>
                <w:lang w:eastAsia="zh-CN" w:bidi="th-TH"/>
              </w:rPr>
              <w:t>Option 2</w:t>
            </w:r>
          </w:p>
        </w:tc>
      </w:tr>
    </w:tbl>
    <w:bookmarkEnd w:id="14"/>
    <w:p w14:paraId="4DF32716" w14:textId="46E9F9C0" w:rsidR="00024C0E" w:rsidRDefault="00024C0E" w:rsidP="00024C0E">
      <w:pPr>
        <w:pStyle w:val="Heading3"/>
        <w:numPr>
          <w:ilvl w:val="0"/>
          <w:numId w:val="0"/>
        </w:numPr>
        <w:spacing w:before="240"/>
        <w:ind w:left="964" w:hanging="964"/>
        <w:rPr>
          <w:rFonts w:cs="Angsana New"/>
          <w:szCs w:val="20"/>
          <w:lang w:eastAsia="zh-CN" w:bidi="th-TH"/>
        </w:rPr>
      </w:pPr>
      <w:r>
        <w:rPr>
          <w:rFonts w:cs="Angsana New"/>
          <w:szCs w:val="20"/>
          <w:lang w:eastAsia="zh-CN" w:bidi="th-TH"/>
        </w:rPr>
        <w:t>1.1</w:t>
      </w:r>
      <w:r>
        <w:rPr>
          <w:rFonts w:cs="Angsana New"/>
          <w:szCs w:val="20"/>
          <w:lang w:eastAsia="zh-CN" w:bidi="th-TH"/>
        </w:rPr>
        <w:tab/>
        <w:t>Add the following definition in clause 1.1 of the MWC (in alphabetical order):</w:t>
      </w:r>
    </w:p>
    <w:p w14:paraId="26062F83" w14:textId="4C8599CD" w:rsidR="00024C0E" w:rsidRDefault="00024C0E" w:rsidP="00024C0E">
      <w:pPr>
        <w:pStyle w:val="IndentParaLevel1"/>
        <w:numPr>
          <w:ilvl w:val="0"/>
          <w:numId w:val="0"/>
        </w:numPr>
        <w:ind w:left="964"/>
        <w:rPr>
          <w:bCs/>
        </w:rPr>
      </w:pPr>
      <w:r>
        <w:rPr>
          <w:b/>
        </w:rPr>
        <w:t xml:space="preserve">Limitation of Liability </w:t>
      </w:r>
      <w:r w:rsidRPr="005C6C46">
        <w:rPr>
          <w:bCs/>
        </w:rPr>
        <w:t>has the meaning given in clause 11.4(a).</w:t>
      </w:r>
    </w:p>
    <w:p w14:paraId="56596930" w14:textId="77777777" w:rsidR="00024C0E" w:rsidRDefault="00024C0E" w:rsidP="003B3D56">
      <w:pPr>
        <w:pStyle w:val="Heading3"/>
        <w:keepNext/>
        <w:numPr>
          <w:ilvl w:val="0"/>
          <w:numId w:val="0"/>
        </w:numPr>
        <w:ind w:left="964" w:hanging="964"/>
        <w:rPr>
          <w:rFonts w:cs="Angsana New"/>
          <w:szCs w:val="20"/>
          <w:lang w:eastAsia="zh-CN" w:bidi="th-TH"/>
        </w:rPr>
      </w:pPr>
      <w:r>
        <w:rPr>
          <w:rFonts w:cs="Angsana New"/>
          <w:szCs w:val="20"/>
          <w:lang w:eastAsia="zh-CN" w:bidi="th-TH"/>
        </w:rPr>
        <w:lastRenderedPageBreak/>
        <w:t>1.2</w:t>
      </w:r>
      <w:r>
        <w:rPr>
          <w:rFonts w:cs="Angsana New"/>
          <w:szCs w:val="20"/>
          <w:lang w:eastAsia="zh-CN" w:bidi="th-TH"/>
        </w:rPr>
        <w:tab/>
        <w:t>Add a new clause 11.4 as follows:</w:t>
      </w:r>
    </w:p>
    <w:p w14:paraId="3F2543E8" w14:textId="5B749243" w:rsidR="00024C0E" w:rsidRPr="005C6C46" w:rsidRDefault="00024C0E" w:rsidP="003B3D56">
      <w:pPr>
        <w:pStyle w:val="Heading3"/>
        <w:keepNext/>
        <w:numPr>
          <w:ilvl w:val="0"/>
          <w:numId w:val="0"/>
        </w:numPr>
        <w:ind w:left="964"/>
        <w:rPr>
          <w:rFonts w:cs="Angsana New"/>
          <w:b/>
          <w:bCs w:val="0"/>
          <w:sz w:val="24"/>
          <w:szCs w:val="24"/>
          <w:lang w:eastAsia="zh-CN" w:bidi="th-TH"/>
        </w:rPr>
      </w:pPr>
      <w:r w:rsidRPr="005C6C46">
        <w:rPr>
          <w:rFonts w:cs="Angsana New"/>
          <w:b/>
          <w:bCs w:val="0"/>
          <w:sz w:val="24"/>
          <w:szCs w:val="24"/>
          <w:lang w:eastAsia="zh-CN" w:bidi="th-TH"/>
        </w:rPr>
        <w:t>11.4</w:t>
      </w:r>
      <w:r w:rsidRPr="005C6C46">
        <w:rPr>
          <w:rFonts w:cs="Angsana New"/>
          <w:b/>
          <w:bCs w:val="0"/>
          <w:sz w:val="24"/>
          <w:szCs w:val="24"/>
          <w:lang w:eastAsia="zh-CN" w:bidi="th-TH"/>
        </w:rPr>
        <w:tab/>
        <w:t xml:space="preserve">Limitation of liability </w:t>
      </w:r>
    </w:p>
    <w:p w14:paraId="22B53EFA" w14:textId="5070F7DC" w:rsidR="00024C0E" w:rsidRPr="00024C0E" w:rsidRDefault="00024C0E">
      <w:pPr>
        <w:pStyle w:val="Heading3"/>
        <w:numPr>
          <w:ilvl w:val="2"/>
          <w:numId w:val="37"/>
        </w:numPr>
        <w:rPr>
          <w:rFonts w:cs="Angsana New"/>
          <w:szCs w:val="20"/>
          <w:lang w:eastAsia="zh-CN" w:bidi="th-TH"/>
        </w:rPr>
      </w:pPr>
      <w:r w:rsidRPr="008C071E">
        <w:rPr>
          <w:rFonts w:cs="Angsana New"/>
          <w:szCs w:val="20"/>
          <w:lang w:eastAsia="zh-CN" w:bidi="th-TH"/>
        </w:rPr>
        <w:t>Subject to clause 11.4(b)</w:t>
      </w:r>
      <w:r w:rsidR="00066712">
        <w:rPr>
          <w:rFonts w:cs="Angsana New"/>
          <w:szCs w:val="20"/>
          <w:lang w:eastAsia="zh-CN" w:bidi="th-TH"/>
        </w:rPr>
        <w:t xml:space="preserve"> and</w:t>
      </w:r>
      <w:r w:rsidRPr="00024C0E">
        <w:rPr>
          <w:rFonts w:cs="Angsana New"/>
          <w:szCs w:val="20"/>
          <w:lang w:eastAsia="zh-CN" w:bidi="th-TH"/>
        </w:rPr>
        <w:t xml:space="preserve"> to the extent permitted by </w:t>
      </w:r>
      <w:r w:rsidR="00066712">
        <w:rPr>
          <w:rFonts w:cs="Angsana New"/>
          <w:szCs w:val="20"/>
          <w:lang w:eastAsia="zh-CN" w:bidi="th-TH"/>
        </w:rPr>
        <w:t>L</w:t>
      </w:r>
      <w:r w:rsidRPr="00024C0E">
        <w:rPr>
          <w:rFonts w:cs="Angsana New"/>
          <w:szCs w:val="20"/>
          <w:lang w:eastAsia="zh-CN" w:bidi="th-TH"/>
        </w:rPr>
        <w:t xml:space="preserve">aw, the maximum aggregate liability of the Contractor to the Principal arising out of or in connection with the Contract (whether arising in contract, in equity, tort (including negligence), by way of indemnity, under statute or otherwise at </w:t>
      </w:r>
      <w:r w:rsidR="00066712">
        <w:rPr>
          <w:rFonts w:cs="Angsana New"/>
          <w:szCs w:val="20"/>
          <w:lang w:eastAsia="zh-CN" w:bidi="th-TH"/>
        </w:rPr>
        <w:t>L</w:t>
      </w:r>
      <w:r w:rsidRPr="00024C0E">
        <w:rPr>
          <w:rFonts w:cs="Angsana New"/>
          <w:szCs w:val="20"/>
          <w:lang w:eastAsia="zh-CN" w:bidi="th-TH"/>
        </w:rPr>
        <w:t xml:space="preserve">aw) is limited to the amount specified in Item </w:t>
      </w:r>
      <w:r w:rsidR="00A44E91">
        <w:rPr>
          <w:rFonts w:cs="Angsana New"/>
          <w:szCs w:val="20"/>
          <w:lang w:eastAsia="zh-CN" w:bidi="th-TH"/>
        </w:rPr>
        <w:t>49</w:t>
      </w:r>
      <w:r w:rsidRPr="00024C0E">
        <w:rPr>
          <w:rFonts w:cs="Angsana New"/>
          <w:szCs w:val="20"/>
          <w:lang w:eastAsia="zh-CN" w:bidi="th-TH"/>
        </w:rPr>
        <w:t xml:space="preserve"> </w:t>
      </w:r>
      <w:r>
        <w:t>(</w:t>
      </w:r>
      <w:r w:rsidRPr="004C0913">
        <w:rPr>
          <w:b/>
        </w:rPr>
        <w:t>Limitation of Liability</w:t>
      </w:r>
      <w:r>
        <w:t>).</w:t>
      </w:r>
    </w:p>
    <w:p w14:paraId="4119B457" w14:textId="53E1D13B" w:rsidR="00024C0E" w:rsidRPr="008972CA" w:rsidRDefault="00024C0E" w:rsidP="00024C0E">
      <w:pPr>
        <w:pStyle w:val="Heading3"/>
        <w:rPr>
          <w:rFonts w:cs="Angsana New"/>
          <w:szCs w:val="20"/>
          <w:lang w:eastAsia="zh-CN" w:bidi="th-TH"/>
        </w:rPr>
      </w:pPr>
      <w:r>
        <w:rPr>
          <w:rFonts w:cs="Angsana New"/>
          <w:szCs w:val="20"/>
          <w:lang w:eastAsia="zh-CN" w:bidi="th-TH"/>
        </w:rPr>
        <w:t xml:space="preserve">Clause 11.4(a) does </w:t>
      </w:r>
      <w:r w:rsidRPr="008972CA">
        <w:rPr>
          <w:rFonts w:cs="Angsana New"/>
          <w:szCs w:val="20"/>
          <w:lang w:eastAsia="zh-CN" w:bidi="th-TH"/>
        </w:rPr>
        <w:t xml:space="preserve">not apply to </w:t>
      </w:r>
      <w:r>
        <w:rPr>
          <w:rFonts w:cs="Angsana New"/>
          <w:szCs w:val="20"/>
          <w:lang w:eastAsia="zh-CN" w:bidi="th-TH"/>
        </w:rPr>
        <w:t xml:space="preserve">a liability of </w:t>
      </w:r>
      <w:r w:rsidRPr="008972CA">
        <w:rPr>
          <w:rFonts w:cs="Angsana New"/>
          <w:szCs w:val="20"/>
          <w:lang w:eastAsia="zh-CN" w:bidi="th-TH"/>
        </w:rPr>
        <w:t>the Contractor</w:t>
      </w:r>
      <w:r w:rsidRPr="00024C00">
        <w:rPr>
          <w:rFonts w:cs="Angsana New"/>
          <w:szCs w:val="20"/>
          <w:lang w:eastAsia="zh-CN" w:bidi="th-TH"/>
        </w:rPr>
        <w:t>:</w:t>
      </w:r>
      <w:r w:rsidRPr="00024C00">
        <w:rPr>
          <w:b/>
          <w:bCs w:val="0"/>
          <w:i/>
          <w:iCs/>
        </w:rPr>
        <w:t xml:space="preserve"> </w:t>
      </w:r>
    </w:p>
    <w:p w14:paraId="1228443A" w14:textId="18E18D37" w:rsidR="00024C0E" w:rsidRPr="00024C00" w:rsidRDefault="00024C0E" w:rsidP="00024C0E">
      <w:pPr>
        <w:pStyle w:val="Heading4"/>
        <w:rPr>
          <w:b/>
          <w:bCs w:val="0"/>
          <w:i/>
          <w:iCs/>
        </w:rPr>
      </w:pPr>
      <w:r>
        <w:t xml:space="preserve">under </w:t>
      </w:r>
      <w:r w:rsidRPr="00910C08">
        <w:t>the indemnities in clause</w:t>
      </w:r>
      <w:r w:rsidR="00E81BA3">
        <w:t xml:space="preserve"> </w:t>
      </w:r>
      <w:r>
        <w:t>11.2(a)</w:t>
      </w:r>
      <w:r w:rsidR="00906868">
        <w:t xml:space="preserve"> (</w:t>
      </w:r>
      <w:r w:rsidR="00A44E91">
        <w:t>other than</w:t>
      </w:r>
      <w:r w:rsidR="00906868">
        <w:t xml:space="preserve"> clause 11.2(a)(i))</w:t>
      </w:r>
      <w:r w:rsidRPr="00024C00">
        <w:t>;</w:t>
      </w:r>
      <w:r>
        <w:rPr>
          <w:b/>
          <w:bCs w:val="0"/>
          <w:i/>
          <w:iCs/>
        </w:rPr>
        <w:t xml:space="preserve"> </w:t>
      </w:r>
    </w:p>
    <w:p w14:paraId="722E1519" w14:textId="072D5658" w:rsidR="00E81BA3" w:rsidRPr="00024C00" w:rsidRDefault="00E81BA3" w:rsidP="00E81BA3">
      <w:pPr>
        <w:pStyle w:val="Heading4"/>
        <w:numPr>
          <w:ilvl w:val="3"/>
          <w:numId w:val="11"/>
        </w:numPr>
        <w:rPr>
          <w:b/>
          <w:bCs w:val="0"/>
          <w:i/>
          <w:iCs/>
        </w:rPr>
      </w:pPr>
      <w:r>
        <w:t xml:space="preserve">under </w:t>
      </w:r>
      <w:r w:rsidR="00E51CC3">
        <w:t>any</w:t>
      </w:r>
      <w:r>
        <w:t xml:space="preserve"> indemnity </w:t>
      </w:r>
      <w:r w:rsidR="00E51CC3">
        <w:t xml:space="preserve">given </w:t>
      </w:r>
      <w:r>
        <w:t xml:space="preserve">in </w:t>
      </w:r>
      <w:r w:rsidR="00E51CC3">
        <w:t>accordance with</w:t>
      </w:r>
      <w:r>
        <w:t xml:space="preserve"> the Mandatory Government Policy Requirements; </w:t>
      </w:r>
      <w:r>
        <w:rPr>
          <w:b/>
          <w:bCs w:val="0"/>
          <w:i/>
          <w:iCs/>
        </w:rPr>
        <w:t xml:space="preserve"> </w:t>
      </w:r>
    </w:p>
    <w:p w14:paraId="2DCE17A6" w14:textId="4FC33AE5" w:rsidR="00024C0E" w:rsidRDefault="00C74ADE" w:rsidP="00024C0E">
      <w:pPr>
        <w:pStyle w:val="Heading4"/>
        <w:rPr>
          <w:rFonts w:cs="Angsana New"/>
          <w:szCs w:val="20"/>
          <w:lang w:eastAsia="zh-CN" w:bidi="th-TH"/>
        </w:rPr>
      </w:pPr>
      <w:r>
        <w:t xml:space="preserve">arising from or in connection with </w:t>
      </w:r>
      <w:r w:rsidR="00024C0E">
        <w:rPr>
          <w:rFonts w:cs="Angsana New"/>
          <w:szCs w:val="20"/>
          <w:lang w:eastAsia="zh-CN" w:bidi="th-TH"/>
        </w:rPr>
        <w:t>any failure to include</w:t>
      </w:r>
      <w:r w:rsidR="00024C0E" w:rsidRPr="00E4714D">
        <w:t xml:space="preserve"> </w:t>
      </w:r>
      <w:r w:rsidR="00024C0E" w:rsidRPr="00D24B27">
        <w:t>provisions</w:t>
      </w:r>
      <w:r w:rsidR="00024C0E">
        <w:t xml:space="preserve"> in a Subcontract giv</w:t>
      </w:r>
      <w:r w:rsidR="00E51CC3">
        <w:t>ing</w:t>
      </w:r>
      <w:r w:rsidR="00024C0E">
        <w:t xml:space="preserve"> effect to </w:t>
      </w:r>
      <w:r w:rsidR="00E81BA3">
        <w:t>the Mandatory Government Policy Requirements</w:t>
      </w:r>
      <w:r w:rsidR="00024C0E">
        <w:t>;</w:t>
      </w:r>
    </w:p>
    <w:p w14:paraId="55EC381B" w14:textId="77777777" w:rsidR="00024C0E" w:rsidRDefault="00024C0E" w:rsidP="00024C0E">
      <w:pPr>
        <w:pStyle w:val="Heading4"/>
      </w:pPr>
      <w:r>
        <w:t xml:space="preserve">arising from or in connection with events or circumstances to the extent the Contractor </w:t>
      </w:r>
      <w:r w:rsidRPr="00015330">
        <w:t>would be ent</w:t>
      </w:r>
      <w:r>
        <w:t xml:space="preserve">itled and able to recover insurance proceeds under insurance required by the Contract in relation to those events or circumstances, </w:t>
      </w:r>
      <w:r w:rsidRPr="00015330">
        <w:t>or would have been so entitled and able</w:t>
      </w:r>
      <w:r>
        <w:t xml:space="preserve"> but for:</w:t>
      </w:r>
    </w:p>
    <w:p w14:paraId="623153E6" w14:textId="77777777" w:rsidR="00024C0E" w:rsidRDefault="00024C0E" w:rsidP="00024C0E">
      <w:pPr>
        <w:pStyle w:val="Heading5"/>
      </w:pPr>
      <w:r>
        <w:t>a failure of the Contractor to obtain or maintain the insurances for which it is responsible in accordance with the Contract;</w:t>
      </w:r>
    </w:p>
    <w:p w14:paraId="196C9492" w14:textId="77777777" w:rsidR="00024C0E" w:rsidRDefault="00024C0E" w:rsidP="00024C0E">
      <w:pPr>
        <w:pStyle w:val="Heading5"/>
      </w:pPr>
      <w:r>
        <w:t>a failure by the Contractor to claim under the relevant insurances (or comply with the claim procedures under the relevant insurances);</w:t>
      </w:r>
    </w:p>
    <w:p w14:paraId="758C5BBC" w14:textId="77777777" w:rsidR="00024C0E" w:rsidRDefault="00024C0E" w:rsidP="00024C0E">
      <w:pPr>
        <w:pStyle w:val="Heading5"/>
      </w:pPr>
      <w:r>
        <w:t>the Contractor not complying with any provision, obligation or duty owed under the relevant insurance policy (including the Contractor’s duty to disclose); or</w:t>
      </w:r>
    </w:p>
    <w:p w14:paraId="24A82C11" w14:textId="137E9D87" w:rsidR="00024C0E" w:rsidRDefault="00024C0E" w:rsidP="00024C0E">
      <w:pPr>
        <w:pStyle w:val="Heading5"/>
      </w:pPr>
      <w:r>
        <w:t>the inclusion of clause 11.4(a);</w:t>
      </w:r>
    </w:p>
    <w:p w14:paraId="3CCBB482" w14:textId="77777777" w:rsidR="00E81BA3" w:rsidRPr="008C071E" w:rsidRDefault="00E81BA3" w:rsidP="00E81BA3">
      <w:pPr>
        <w:pStyle w:val="Heading4"/>
        <w:numPr>
          <w:ilvl w:val="3"/>
          <w:numId w:val="11"/>
        </w:numPr>
        <w:rPr>
          <w:rFonts w:cs="Angsana New"/>
          <w:szCs w:val="20"/>
          <w:lang w:eastAsia="zh-CN" w:bidi="th-TH"/>
        </w:rPr>
      </w:pPr>
      <w:r>
        <w:t xml:space="preserve">to the extent that the </w:t>
      </w:r>
      <w:r w:rsidRPr="00210229">
        <w:t xml:space="preserve">Contractor recovers, or would have recovered but for an act or omission of the Contractor, </w:t>
      </w:r>
      <w:r>
        <w:t>an amount in respect of that liability</w:t>
      </w:r>
      <w:r w:rsidRPr="00210229">
        <w:t xml:space="preserve"> from a third party</w:t>
      </w:r>
      <w:r>
        <w:t xml:space="preserve"> </w:t>
      </w:r>
      <w:r w:rsidRPr="00CC2DCE">
        <w:t>arising from any Claim made in connection with the Contract</w:t>
      </w:r>
      <w:r>
        <w:t xml:space="preserve">; </w:t>
      </w:r>
    </w:p>
    <w:p w14:paraId="62AF49E3" w14:textId="38DE65E7" w:rsidR="00024C0E" w:rsidRPr="0069591C" w:rsidRDefault="00024C0E" w:rsidP="00024C0E">
      <w:pPr>
        <w:pStyle w:val="Heading4"/>
        <w:rPr>
          <w:rFonts w:cs="Angsana New"/>
          <w:szCs w:val="20"/>
          <w:lang w:eastAsia="zh-CN" w:bidi="th-TH"/>
        </w:rPr>
      </w:pPr>
      <w:r>
        <w:rPr>
          <w:rFonts w:cs="Angsana New"/>
          <w:szCs w:val="20"/>
          <w:lang w:eastAsia="zh-CN" w:bidi="th-TH"/>
        </w:rPr>
        <w:t xml:space="preserve">for </w:t>
      </w:r>
      <w:r w:rsidRPr="008972CA">
        <w:rPr>
          <w:rFonts w:cs="Angsana New"/>
          <w:szCs w:val="20"/>
          <w:lang w:eastAsia="zh-CN" w:bidi="th-TH"/>
        </w:rPr>
        <w:t>fine</w:t>
      </w:r>
      <w:r>
        <w:rPr>
          <w:rFonts w:cs="Angsana New"/>
          <w:szCs w:val="20"/>
          <w:lang w:eastAsia="zh-CN" w:bidi="th-TH"/>
        </w:rPr>
        <w:t>s</w:t>
      </w:r>
      <w:r w:rsidRPr="008972CA">
        <w:rPr>
          <w:rFonts w:cs="Angsana New"/>
          <w:szCs w:val="20"/>
          <w:lang w:eastAsia="zh-CN" w:bidi="th-TH"/>
        </w:rPr>
        <w:t xml:space="preserve"> or penalt</w:t>
      </w:r>
      <w:r>
        <w:rPr>
          <w:rFonts w:cs="Angsana New"/>
          <w:szCs w:val="20"/>
          <w:lang w:eastAsia="zh-CN" w:bidi="th-TH"/>
        </w:rPr>
        <w:t>ies</w:t>
      </w:r>
      <w:r w:rsidRPr="008972CA">
        <w:rPr>
          <w:rFonts w:cs="Angsana New"/>
          <w:szCs w:val="20"/>
          <w:lang w:eastAsia="zh-CN" w:bidi="th-TH"/>
        </w:rPr>
        <w:t xml:space="preserve"> </w:t>
      </w:r>
      <w:r w:rsidRPr="00C077FB">
        <w:rPr>
          <w:rFonts w:cs="Angsana New"/>
          <w:szCs w:val="20"/>
          <w:lang w:eastAsia="zh-CN" w:bidi="th-TH"/>
        </w:rPr>
        <w:t xml:space="preserve">incurred by the </w:t>
      </w:r>
      <w:r>
        <w:rPr>
          <w:rFonts w:cs="Angsana New"/>
          <w:szCs w:val="20"/>
          <w:lang w:eastAsia="zh-CN" w:bidi="th-TH"/>
        </w:rPr>
        <w:t xml:space="preserve">Principal </w:t>
      </w:r>
      <w:r w:rsidRPr="00C077FB">
        <w:rPr>
          <w:rFonts w:cs="Angsana New"/>
          <w:szCs w:val="20"/>
          <w:lang w:eastAsia="zh-CN" w:bidi="th-TH"/>
        </w:rPr>
        <w:t xml:space="preserve">arising from the Contractor’s </w:t>
      </w:r>
      <w:r>
        <w:t xml:space="preserve">Activities or the Works; </w:t>
      </w:r>
    </w:p>
    <w:p w14:paraId="30CC2FF9" w14:textId="06A801DA" w:rsidR="00906868" w:rsidRPr="0069591C" w:rsidRDefault="00906868" w:rsidP="00024C0E">
      <w:pPr>
        <w:pStyle w:val="Heading4"/>
        <w:rPr>
          <w:rFonts w:cs="Angsana New"/>
          <w:szCs w:val="20"/>
          <w:lang w:eastAsia="zh-CN" w:bidi="th-TH"/>
        </w:rPr>
      </w:pPr>
      <w:r>
        <w:t>which cannot be excluded by Law;</w:t>
      </w:r>
    </w:p>
    <w:p w14:paraId="765BAB09" w14:textId="5863BB35" w:rsidR="00906868" w:rsidRDefault="00AE6DEC" w:rsidP="00024C0E">
      <w:pPr>
        <w:pStyle w:val="Heading4"/>
        <w:rPr>
          <w:rFonts w:cs="Angsana New"/>
          <w:szCs w:val="20"/>
          <w:lang w:eastAsia="zh-CN" w:bidi="th-TH"/>
        </w:rPr>
      </w:pPr>
      <w:r>
        <w:t xml:space="preserve">arising from or in connection with </w:t>
      </w:r>
      <w:r>
        <w:rPr>
          <w:rFonts w:cs="Angsana New"/>
          <w:szCs w:val="20"/>
          <w:lang w:eastAsia="zh-CN" w:bidi="th-TH"/>
        </w:rPr>
        <w:t xml:space="preserve">an </w:t>
      </w:r>
      <w:r w:rsidR="00906868">
        <w:t>abandonment of the Contractor's Activities or the Works; or</w:t>
      </w:r>
    </w:p>
    <w:p w14:paraId="79B26EC4" w14:textId="4C3B1C68" w:rsidR="00024C0E" w:rsidRPr="007C6325" w:rsidRDefault="00E81BA3" w:rsidP="00024C0E">
      <w:pPr>
        <w:pStyle w:val="Heading4"/>
        <w:rPr>
          <w:rFonts w:cs="Angsana New"/>
          <w:szCs w:val="20"/>
          <w:lang w:eastAsia="zh-CN" w:bidi="th-TH"/>
        </w:rPr>
      </w:pPr>
      <w:r w:rsidRPr="0069591C">
        <w:rPr>
          <w:b/>
          <w:bCs w:val="0"/>
          <w:i/>
          <w:iCs/>
          <w:highlight w:val="cyan"/>
        </w:rPr>
        <w:t>[Guidance Note: If the Contractor's liability to pay liquidated damages / damages under clause 7.4 IS INCLUDED in the Limitation of Liability</w:t>
      </w:r>
      <w:r w:rsidR="006E4DB1" w:rsidRPr="0069591C">
        <w:rPr>
          <w:b/>
          <w:bCs w:val="0"/>
          <w:i/>
          <w:iCs/>
          <w:highlight w:val="cyan"/>
        </w:rPr>
        <w:t xml:space="preserve">, delete this clause </w:t>
      </w:r>
      <w:r w:rsidR="00B65EA6" w:rsidRPr="0069591C">
        <w:rPr>
          <w:b/>
          <w:bCs w:val="0"/>
          <w:i/>
          <w:iCs/>
          <w:highlight w:val="cyan"/>
        </w:rPr>
        <w:t>11.4(b)(i</w:t>
      </w:r>
      <w:r w:rsidRPr="0069591C">
        <w:rPr>
          <w:b/>
          <w:bCs w:val="0"/>
          <w:i/>
          <w:iCs/>
          <w:highlight w:val="cyan"/>
        </w:rPr>
        <w:t>x</w:t>
      </w:r>
      <w:r w:rsidR="00B65EA6" w:rsidRPr="0069591C">
        <w:rPr>
          <w:b/>
          <w:bCs w:val="0"/>
          <w:i/>
          <w:iCs/>
          <w:highlight w:val="cyan"/>
        </w:rPr>
        <w:t>).]</w:t>
      </w:r>
      <w:r w:rsidR="00024C0E" w:rsidRPr="008972CA">
        <w:rPr>
          <w:rFonts w:cs="Angsana New"/>
          <w:szCs w:val="20"/>
          <w:lang w:eastAsia="zh-CN" w:bidi="th-TH"/>
        </w:rPr>
        <w:t>to pay liquidated damages or damages for delay in accordance with</w:t>
      </w:r>
      <w:r w:rsidR="00024C0E">
        <w:rPr>
          <w:rFonts w:cs="Angsana New"/>
          <w:szCs w:val="20"/>
          <w:lang w:eastAsia="zh-CN" w:bidi="th-TH"/>
        </w:rPr>
        <w:t xml:space="preserve"> clause 7.4.</w:t>
      </w:r>
      <w:r w:rsidR="00024C0E" w:rsidRPr="00C077FB">
        <w:rPr>
          <w:b/>
          <w:bCs w:val="0"/>
          <w:i/>
          <w:iCs/>
          <w:highlight w:val="yellow"/>
        </w:rPr>
        <w:t xml:space="preserve"> </w:t>
      </w:r>
    </w:p>
    <w:p w14:paraId="12BD8D76" w14:textId="351AE804" w:rsidR="007C6325" w:rsidRDefault="007C6325" w:rsidP="007C6325">
      <w:pPr>
        <w:pStyle w:val="Heading2"/>
        <w:numPr>
          <w:ilvl w:val="0"/>
          <w:numId w:val="0"/>
        </w:numPr>
        <w:ind w:left="964"/>
        <w:rPr>
          <w:lang w:bidi="th-TH"/>
        </w:rPr>
      </w:pPr>
    </w:p>
    <w:p w14:paraId="6443B73E" w14:textId="77777777" w:rsidR="007C6325" w:rsidRPr="007C6325" w:rsidRDefault="007C6325" w:rsidP="007C6325">
      <w:pPr>
        <w:pStyle w:val="IndentParaLevel1"/>
        <w:rPr>
          <w:lang w:bidi="th-TH"/>
        </w:rPr>
      </w:pPr>
    </w:p>
    <w:p w14:paraId="4D504538" w14:textId="77777777" w:rsidR="00024C0E" w:rsidRPr="005C6C46" w:rsidRDefault="00024C0E" w:rsidP="00024C0E">
      <w:pPr>
        <w:pStyle w:val="Heading3"/>
        <w:numPr>
          <w:ilvl w:val="0"/>
          <w:numId w:val="0"/>
        </w:numPr>
        <w:ind w:left="964" w:hanging="964"/>
        <w:rPr>
          <w:bCs w:val="0"/>
        </w:rPr>
      </w:pPr>
      <w:r>
        <w:rPr>
          <w:rFonts w:cs="Angsana New"/>
          <w:szCs w:val="20"/>
          <w:lang w:eastAsia="zh-CN" w:bidi="th-TH"/>
        </w:rPr>
        <w:lastRenderedPageBreak/>
        <w:t>1.3</w:t>
      </w:r>
      <w:r>
        <w:rPr>
          <w:rFonts w:cs="Angsana New"/>
          <w:szCs w:val="20"/>
          <w:lang w:eastAsia="zh-CN" w:bidi="th-TH"/>
        </w:rPr>
        <w:tab/>
      </w:r>
      <w:r>
        <w:rPr>
          <w:rFonts w:cs="Angsana New"/>
          <w:lang w:eastAsia="zh-CN" w:bidi="th-TH"/>
        </w:rPr>
        <w:t>Add the following new Item in the Contract Particulars (Schedule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5386"/>
      </w:tblGrid>
      <w:tr w:rsidR="00024C0E" w:rsidRPr="00AA1448" w14:paraId="1DDD791B" w14:textId="77777777" w:rsidTr="001D64A0">
        <w:tc>
          <w:tcPr>
            <w:tcW w:w="993" w:type="dxa"/>
          </w:tcPr>
          <w:p w14:paraId="1B7C6477" w14:textId="1FF325BD" w:rsidR="00024C0E" w:rsidRPr="00AA1448" w:rsidRDefault="0057206E">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Pr>
                <w:rFonts w:cs="Angsana New"/>
                <w:noProof/>
                <w:color w:val="000000"/>
                <w:spacing w:val="2"/>
                <w:sz w:val="18"/>
                <w:szCs w:val="18"/>
                <w:lang w:eastAsia="zh-CN" w:bidi="th-TH"/>
              </w:rPr>
              <w:t>49</w:t>
            </w:r>
          </w:p>
        </w:tc>
        <w:tc>
          <w:tcPr>
            <w:tcW w:w="3260" w:type="dxa"/>
            <w:shd w:val="clear" w:color="auto" w:fill="auto"/>
          </w:tcPr>
          <w:p w14:paraId="0E26EB05" w14:textId="144CD313" w:rsidR="00024C0E" w:rsidRPr="00AA1448" w:rsidRDefault="00024C0E">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ngsana New"/>
                <w:sz w:val="18"/>
                <w:szCs w:val="18"/>
                <w:lang w:eastAsia="zh-CN" w:bidi="th-TH"/>
              </w:rPr>
              <w:t>Maximum aggregate liability of the Contractor to the Principal:</w:t>
            </w:r>
            <w:r w:rsidRPr="00AA1448">
              <w:rPr>
                <w:rFonts w:cs="Angsana New"/>
                <w:sz w:val="18"/>
                <w:szCs w:val="18"/>
                <w:lang w:eastAsia="zh-CN" w:bidi="th-TH"/>
              </w:rPr>
              <w:br/>
              <w:t xml:space="preserve">(Clause </w:t>
            </w:r>
            <w:r w:rsidRPr="00AA1448">
              <w:rPr>
                <w:bCs/>
                <w:sz w:val="18"/>
                <w:szCs w:val="18"/>
              </w:rPr>
              <w:t>11.4(a))</w:t>
            </w:r>
          </w:p>
        </w:tc>
        <w:tc>
          <w:tcPr>
            <w:tcW w:w="5386" w:type="dxa"/>
            <w:shd w:val="clear" w:color="auto" w:fill="auto"/>
          </w:tcPr>
          <w:p w14:paraId="0612E4BA" w14:textId="4403B837" w:rsidR="00024C0E" w:rsidRPr="00AA1448" w:rsidRDefault="00024C0E">
            <w:pPr>
              <w:tabs>
                <w:tab w:val="left" w:pos="459"/>
                <w:tab w:val="left" w:pos="3969"/>
                <w:tab w:val="left" w:pos="4536"/>
                <w:tab w:val="right" w:leader="dot" w:pos="8505"/>
              </w:tabs>
              <w:spacing w:before="120" w:after="120"/>
              <w:ind w:right="-6"/>
              <w:rPr>
                <w:sz w:val="18"/>
                <w:szCs w:val="18"/>
              </w:rPr>
            </w:pPr>
            <w:r w:rsidRPr="00AA1448">
              <w:rPr>
                <w:sz w:val="18"/>
                <w:szCs w:val="18"/>
              </w:rPr>
              <w:t xml:space="preserve">100% of the Contract Sum </w:t>
            </w:r>
            <w:r w:rsidRPr="00AA1448">
              <w:rPr>
                <w:sz w:val="18"/>
                <w:szCs w:val="18"/>
                <w:shd w:val="clear" w:color="000000" w:fill="auto"/>
              </w:rPr>
              <w:t>[</w:t>
            </w:r>
            <w:r w:rsidRPr="0069591C">
              <w:rPr>
                <w:rFonts w:cs="Arial"/>
                <w:b/>
                <w:i/>
                <w:sz w:val="18"/>
                <w:szCs w:val="18"/>
                <w:highlight w:val="cyan"/>
              </w:rPr>
              <w:t xml:space="preserve">Guidance Note: this is the default position. </w:t>
            </w:r>
            <w:r w:rsidR="00A44E91">
              <w:rPr>
                <w:rFonts w:cs="Arial"/>
                <w:b/>
                <w:i/>
                <w:sz w:val="18"/>
                <w:szCs w:val="18"/>
                <w:highlight w:val="cyan"/>
              </w:rPr>
              <w:t>A lesser</w:t>
            </w:r>
            <w:r w:rsidR="00E81BA3" w:rsidRPr="0069591C">
              <w:rPr>
                <w:rFonts w:cs="Arial"/>
                <w:b/>
                <w:i/>
                <w:sz w:val="18"/>
                <w:szCs w:val="18"/>
                <w:highlight w:val="cyan"/>
              </w:rPr>
              <w:t xml:space="preserve"> percentage or amount</w:t>
            </w:r>
            <w:r w:rsidR="00A44E91">
              <w:rPr>
                <w:rFonts w:cs="Arial"/>
                <w:b/>
                <w:i/>
                <w:sz w:val="18"/>
                <w:szCs w:val="18"/>
                <w:highlight w:val="cyan"/>
              </w:rPr>
              <w:t xml:space="preserve"> should not be agreed without legal advice</w:t>
            </w:r>
            <w:r w:rsidR="00E81BA3" w:rsidRPr="0069591C">
              <w:rPr>
                <w:rFonts w:cs="Arial"/>
                <w:b/>
                <w:i/>
                <w:sz w:val="18"/>
                <w:szCs w:val="18"/>
                <w:highlight w:val="cyan"/>
              </w:rPr>
              <w:t>.</w:t>
            </w:r>
            <w:r w:rsidRPr="0069591C">
              <w:rPr>
                <w:rFonts w:cs="Arial"/>
                <w:b/>
                <w:i/>
                <w:sz w:val="18"/>
                <w:szCs w:val="18"/>
                <w:highlight w:val="cyan"/>
              </w:rPr>
              <w:t>]</w:t>
            </w:r>
          </w:p>
        </w:tc>
      </w:tr>
    </w:tbl>
    <w:p w14:paraId="20B32E11" w14:textId="28C1BCFD" w:rsidR="005A025E" w:rsidRDefault="005A025E" w:rsidP="008C071E">
      <w:pPr>
        <w:pStyle w:val="Heading3"/>
        <w:numPr>
          <w:ilvl w:val="0"/>
          <w:numId w:val="0"/>
        </w:numPr>
        <w:spacing w:after="0"/>
        <w:ind w:left="964" w:hanging="964"/>
        <w:rPr>
          <w:rFonts w:cs="Angsana New"/>
          <w:b/>
          <w:highlight w:val="green"/>
          <w:lang w:eastAsia="zh-CN" w:bidi="th-TH"/>
        </w:rPr>
      </w:pPr>
    </w:p>
    <w:tbl>
      <w:tblPr>
        <w:tblStyle w:val="TableGrid"/>
        <w:tblW w:w="9639" w:type="dxa"/>
        <w:tblInd w:w="-5" w:type="dxa"/>
        <w:shd w:val="clear" w:color="auto" w:fill="CFD7F1" w:themeFill="accent3" w:themeFillTint="33"/>
        <w:tblLook w:val="04A0" w:firstRow="1" w:lastRow="0" w:firstColumn="1" w:lastColumn="0" w:noHBand="0" w:noVBand="1"/>
      </w:tblPr>
      <w:tblGrid>
        <w:gridCol w:w="9639"/>
      </w:tblGrid>
      <w:tr w:rsidR="006F55A3" w14:paraId="314282C8" w14:textId="77777777" w:rsidTr="006F55A3">
        <w:tc>
          <w:tcPr>
            <w:tcW w:w="9639" w:type="dxa"/>
            <w:shd w:val="clear" w:color="auto" w:fill="CFD7F1" w:themeFill="accent3" w:themeFillTint="33"/>
            <w:vAlign w:val="center"/>
          </w:tcPr>
          <w:p w14:paraId="3033D1CC" w14:textId="3342DF78" w:rsidR="00E81BA3" w:rsidRDefault="00E81BA3" w:rsidP="00773E15">
            <w:pPr>
              <w:pStyle w:val="Heading3"/>
              <w:numPr>
                <w:ilvl w:val="0"/>
                <w:numId w:val="0"/>
              </w:numPr>
              <w:rPr>
                <w:rFonts w:cs="Angsana New"/>
                <w:b/>
                <w:bCs w:val="0"/>
                <w:szCs w:val="20"/>
                <w:lang w:eastAsia="zh-CN" w:bidi="th-TH"/>
              </w:rPr>
            </w:pPr>
            <w:r>
              <w:rPr>
                <w:rFonts w:cs="Angsana New"/>
                <w:b/>
                <w:bCs w:val="0"/>
                <w:szCs w:val="20"/>
                <w:lang w:eastAsia="zh-CN" w:bidi="th-TH"/>
              </w:rPr>
              <w:t>Option 3</w:t>
            </w:r>
          </w:p>
        </w:tc>
      </w:tr>
    </w:tbl>
    <w:p w14:paraId="2551A026" w14:textId="624A2BF5" w:rsidR="00024C0E" w:rsidRDefault="00024C0E" w:rsidP="00024C0E">
      <w:pPr>
        <w:pStyle w:val="Heading3"/>
        <w:numPr>
          <w:ilvl w:val="0"/>
          <w:numId w:val="0"/>
        </w:numPr>
        <w:spacing w:before="240"/>
        <w:ind w:left="964" w:hanging="964"/>
        <w:rPr>
          <w:rFonts w:cs="Angsana New"/>
          <w:szCs w:val="20"/>
          <w:lang w:eastAsia="zh-CN" w:bidi="th-TH"/>
        </w:rPr>
      </w:pPr>
      <w:r>
        <w:rPr>
          <w:rFonts w:cs="Angsana New"/>
          <w:szCs w:val="20"/>
          <w:lang w:eastAsia="zh-CN" w:bidi="th-TH"/>
        </w:rPr>
        <w:t>1.1</w:t>
      </w:r>
      <w:r>
        <w:rPr>
          <w:rFonts w:cs="Angsana New"/>
          <w:szCs w:val="20"/>
          <w:lang w:eastAsia="zh-CN" w:bidi="th-TH"/>
        </w:rPr>
        <w:tab/>
        <w:t>Add the following definition in clause 1.1 of the MWC (in alphabetical order):</w:t>
      </w:r>
    </w:p>
    <w:p w14:paraId="4779861B" w14:textId="5DBEF404" w:rsidR="00024C0E" w:rsidRDefault="00024C0E" w:rsidP="00024C0E">
      <w:pPr>
        <w:pStyle w:val="Definition"/>
      </w:pPr>
      <w:r w:rsidRPr="003C7922">
        <w:rPr>
          <w:b/>
        </w:rPr>
        <w:t>Consequential Loss</w:t>
      </w:r>
      <w:r>
        <w:t xml:space="preserve"> </w:t>
      </w:r>
      <w:r w:rsidRPr="00E259C9">
        <w:rPr>
          <w:szCs w:val="20"/>
        </w:rPr>
        <w:t>means</w:t>
      </w:r>
      <w:r>
        <w:rPr>
          <w:szCs w:val="20"/>
        </w:rPr>
        <w:t xml:space="preserve"> any </w:t>
      </w:r>
      <w:r w:rsidRPr="00E259C9">
        <w:t>loss of revenue, profi</w:t>
      </w:r>
      <w:r>
        <w:t>t</w:t>
      </w:r>
      <w:r w:rsidRPr="00E259C9">
        <w:t xml:space="preserve">, </w:t>
      </w:r>
      <w:r w:rsidRPr="00443B3D">
        <w:t>business opportunity, anticipated savings or goodwill</w:t>
      </w:r>
      <w:r w:rsidR="009541E9">
        <w:t xml:space="preserve">, but does not include any loss of the type referred to in Item </w:t>
      </w:r>
      <w:r w:rsidR="00A44E91">
        <w:t>49</w:t>
      </w:r>
      <w:r>
        <w:t>.</w:t>
      </w:r>
    </w:p>
    <w:p w14:paraId="4162E734" w14:textId="77777777" w:rsidR="00024C0E" w:rsidRDefault="00024C0E" w:rsidP="00024C0E">
      <w:pPr>
        <w:pStyle w:val="Heading3"/>
        <w:numPr>
          <w:ilvl w:val="0"/>
          <w:numId w:val="0"/>
        </w:numPr>
        <w:ind w:left="964" w:hanging="964"/>
        <w:rPr>
          <w:rFonts w:cs="Angsana New"/>
          <w:szCs w:val="20"/>
          <w:lang w:eastAsia="zh-CN" w:bidi="th-TH"/>
        </w:rPr>
      </w:pPr>
      <w:r>
        <w:rPr>
          <w:rFonts w:cs="Angsana New"/>
          <w:szCs w:val="20"/>
          <w:lang w:eastAsia="zh-CN" w:bidi="th-TH"/>
        </w:rPr>
        <w:t>1.2</w:t>
      </w:r>
      <w:r>
        <w:rPr>
          <w:rFonts w:cs="Angsana New"/>
          <w:szCs w:val="20"/>
          <w:lang w:eastAsia="zh-CN" w:bidi="th-TH"/>
        </w:rPr>
        <w:tab/>
        <w:t>Add a new clause 11.4 as follows:</w:t>
      </w:r>
    </w:p>
    <w:p w14:paraId="0A4C883E" w14:textId="6BC51E5B" w:rsidR="00024C0E" w:rsidRPr="005C6C46" w:rsidRDefault="00024C0E" w:rsidP="00024C0E">
      <w:pPr>
        <w:pStyle w:val="Heading3"/>
        <w:numPr>
          <w:ilvl w:val="0"/>
          <w:numId w:val="0"/>
        </w:numPr>
        <w:ind w:left="964"/>
        <w:rPr>
          <w:rFonts w:cs="Angsana New"/>
          <w:b/>
          <w:bCs w:val="0"/>
          <w:sz w:val="24"/>
          <w:szCs w:val="24"/>
          <w:lang w:eastAsia="zh-CN" w:bidi="th-TH"/>
        </w:rPr>
      </w:pPr>
      <w:r w:rsidRPr="005C6C46">
        <w:rPr>
          <w:rFonts w:cs="Angsana New"/>
          <w:b/>
          <w:bCs w:val="0"/>
          <w:sz w:val="24"/>
          <w:szCs w:val="24"/>
          <w:lang w:eastAsia="zh-CN" w:bidi="th-TH"/>
        </w:rPr>
        <w:t>11.4</w:t>
      </w:r>
      <w:r w:rsidRPr="005C6C46">
        <w:rPr>
          <w:rFonts w:cs="Angsana New"/>
          <w:b/>
          <w:bCs w:val="0"/>
          <w:sz w:val="24"/>
          <w:szCs w:val="24"/>
          <w:lang w:eastAsia="zh-CN" w:bidi="th-TH"/>
        </w:rPr>
        <w:tab/>
      </w:r>
      <w:r w:rsidR="00A558CB">
        <w:rPr>
          <w:rFonts w:cs="Angsana New"/>
          <w:b/>
          <w:bCs w:val="0"/>
          <w:sz w:val="24"/>
          <w:szCs w:val="24"/>
          <w:lang w:eastAsia="zh-CN" w:bidi="th-TH"/>
        </w:rPr>
        <w:t>C</w:t>
      </w:r>
      <w:r w:rsidRPr="005C6C46">
        <w:rPr>
          <w:rFonts w:cs="Angsana New"/>
          <w:b/>
          <w:bCs w:val="0"/>
          <w:sz w:val="24"/>
          <w:szCs w:val="24"/>
          <w:lang w:eastAsia="zh-CN" w:bidi="th-TH"/>
        </w:rPr>
        <w:t>onsequential Loss</w:t>
      </w:r>
      <w:r w:rsidR="00A558CB" w:rsidRPr="005C6C46">
        <w:rPr>
          <w:rFonts w:cs="Angsana New"/>
          <w:b/>
          <w:bCs w:val="0"/>
          <w:sz w:val="24"/>
          <w:szCs w:val="24"/>
          <w:lang w:eastAsia="zh-CN" w:bidi="th-TH"/>
        </w:rPr>
        <w:t xml:space="preserve"> exclusion</w:t>
      </w:r>
    </w:p>
    <w:p w14:paraId="3513578A" w14:textId="0F4F9D7D" w:rsidR="00024C0E" w:rsidRPr="00642F45" w:rsidRDefault="00024C0E">
      <w:pPr>
        <w:pStyle w:val="Heading3"/>
        <w:numPr>
          <w:ilvl w:val="2"/>
          <w:numId w:val="38"/>
        </w:numPr>
        <w:rPr>
          <w:rFonts w:cs="Angsana New"/>
          <w:szCs w:val="20"/>
          <w:lang w:eastAsia="zh-CN" w:bidi="th-TH"/>
        </w:rPr>
      </w:pPr>
      <w:r w:rsidRPr="00642F45">
        <w:rPr>
          <w:rFonts w:cs="Angsana New"/>
          <w:szCs w:val="20"/>
          <w:lang w:eastAsia="zh-CN" w:bidi="th-TH"/>
        </w:rPr>
        <w:t>Subject to clause 11.4(b)</w:t>
      </w:r>
      <w:r w:rsidR="00A558CB" w:rsidRPr="00642F45">
        <w:rPr>
          <w:rFonts w:cs="Angsana New"/>
          <w:szCs w:val="20"/>
          <w:lang w:eastAsia="zh-CN" w:bidi="th-TH"/>
        </w:rPr>
        <w:t>, neither the Principal nor the Contractor will be liable to the other for any Consequential Loss howsoever arising.</w:t>
      </w:r>
      <w:r w:rsidRPr="00642F45">
        <w:rPr>
          <w:rFonts w:cs="Angsana New"/>
          <w:szCs w:val="20"/>
          <w:lang w:eastAsia="zh-CN" w:bidi="th-TH"/>
        </w:rPr>
        <w:t xml:space="preserve"> </w:t>
      </w:r>
    </w:p>
    <w:p w14:paraId="1CB5C278" w14:textId="4EDDC1E8" w:rsidR="00024C0E" w:rsidRPr="008972CA" w:rsidRDefault="00024C0E" w:rsidP="00024C0E">
      <w:pPr>
        <w:pStyle w:val="Heading3"/>
        <w:rPr>
          <w:rFonts w:cs="Angsana New"/>
          <w:szCs w:val="20"/>
          <w:lang w:eastAsia="zh-CN" w:bidi="th-TH"/>
        </w:rPr>
      </w:pPr>
      <w:r>
        <w:rPr>
          <w:rFonts w:cs="Angsana New"/>
          <w:szCs w:val="20"/>
          <w:lang w:eastAsia="zh-CN" w:bidi="th-TH"/>
        </w:rPr>
        <w:t xml:space="preserve">Clause 11.4(a) does </w:t>
      </w:r>
      <w:r w:rsidRPr="008972CA">
        <w:rPr>
          <w:rFonts w:cs="Angsana New"/>
          <w:szCs w:val="20"/>
          <w:lang w:eastAsia="zh-CN" w:bidi="th-TH"/>
        </w:rPr>
        <w:t xml:space="preserve">not apply to </w:t>
      </w:r>
      <w:r>
        <w:rPr>
          <w:rFonts w:cs="Angsana New"/>
          <w:szCs w:val="20"/>
          <w:lang w:eastAsia="zh-CN" w:bidi="th-TH"/>
        </w:rPr>
        <w:t xml:space="preserve">a liability of </w:t>
      </w:r>
      <w:r w:rsidRPr="008972CA">
        <w:rPr>
          <w:rFonts w:cs="Angsana New"/>
          <w:szCs w:val="20"/>
          <w:lang w:eastAsia="zh-CN" w:bidi="th-TH"/>
        </w:rPr>
        <w:t>the Contractor</w:t>
      </w:r>
      <w:r w:rsidRPr="00024C00">
        <w:rPr>
          <w:rFonts w:cs="Angsana New"/>
          <w:szCs w:val="20"/>
          <w:lang w:eastAsia="zh-CN" w:bidi="th-TH"/>
        </w:rPr>
        <w:t>:</w:t>
      </w:r>
      <w:r w:rsidRPr="00024C00">
        <w:rPr>
          <w:b/>
          <w:bCs w:val="0"/>
          <w:i/>
          <w:iCs/>
        </w:rPr>
        <w:t xml:space="preserve"> </w:t>
      </w:r>
    </w:p>
    <w:p w14:paraId="03F2367C" w14:textId="6BE1F48D" w:rsidR="00024C0E" w:rsidRPr="00024C00" w:rsidRDefault="00024C0E" w:rsidP="00024C0E">
      <w:pPr>
        <w:pStyle w:val="Heading4"/>
        <w:rPr>
          <w:b/>
          <w:bCs w:val="0"/>
          <w:i/>
          <w:iCs/>
        </w:rPr>
      </w:pPr>
      <w:r>
        <w:t xml:space="preserve">under </w:t>
      </w:r>
      <w:r w:rsidRPr="00910C08">
        <w:t>the indemnities in clause</w:t>
      </w:r>
      <w:r w:rsidR="00E81BA3">
        <w:t xml:space="preserve"> </w:t>
      </w:r>
      <w:r>
        <w:t>11.2(a)</w:t>
      </w:r>
      <w:r w:rsidRPr="00024C00">
        <w:t>;</w:t>
      </w:r>
      <w:r>
        <w:rPr>
          <w:b/>
          <w:bCs w:val="0"/>
          <w:i/>
          <w:iCs/>
        </w:rPr>
        <w:t xml:space="preserve"> </w:t>
      </w:r>
    </w:p>
    <w:p w14:paraId="7492DC81" w14:textId="005FEB99" w:rsidR="00E81BA3" w:rsidRPr="00024C00" w:rsidRDefault="00E81BA3" w:rsidP="00E81BA3">
      <w:pPr>
        <w:pStyle w:val="Heading4"/>
        <w:numPr>
          <w:ilvl w:val="3"/>
          <w:numId w:val="11"/>
        </w:numPr>
        <w:rPr>
          <w:b/>
          <w:bCs w:val="0"/>
          <w:i/>
          <w:iCs/>
        </w:rPr>
      </w:pPr>
      <w:r>
        <w:t xml:space="preserve">under </w:t>
      </w:r>
      <w:r w:rsidR="00C408AA">
        <w:t>any</w:t>
      </w:r>
      <w:r>
        <w:t xml:space="preserve"> indemnity </w:t>
      </w:r>
      <w:r w:rsidR="00C408AA">
        <w:t xml:space="preserve">given </w:t>
      </w:r>
      <w:r>
        <w:t xml:space="preserve">in </w:t>
      </w:r>
      <w:r w:rsidR="00C408AA">
        <w:t>accordance with</w:t>
      </w:r>
      <w:r>
        <w:t xml:space="preserve"> the Mandatory Government Policy Requirements; </w:t>
      </w:r>
      <w:r>
        <w:rPr>
          <w:b/>
          <w:bCs w:val="0"/>
          <w:i/>
          <w:iCs/>
        </w:rPr>
        <w:t xml:space="preserve"> </w:t>
      </w:r>
    </w:p>
    <w:p w14:paraId="7E20F20F" w14:textId="691B0BA5" w:rsidR="00024C0E" w:rsidRDefault="00C74ADE" w:rsidP="00024C0E">
      <w:pPr>
        <w:pStyle w:val="Heading4"/>
        <w:rPr>
          <w:rFonts w:cs="Angsana New"/>
          <w:szCs w:val="20"/>
          <w:lang w:eastAsia="zh-CN" w:bidi="th-TH"/>
        </w:rPr>
      </w:pPr>
      <w:r>
        <w:t xml:space="preserve">arising from or in connection with </w:t>
      </w:r>
      <w:r w:rsidR="00024C0E">
        <w:rPr>
          <w:rFonts w:cs="Angsana New"/>
          <w:szCs w:val="20"/>
          <w:lang w:eastAsia="zh-CN" w:bidi="th-TH"/>
        </w:rPr>
        <w:t>any failure to include</w:t>
      </w:r>
      <w:r w:rsidR="00024C0E" w:rsidRPr="00E4714D">
        <w:t xml:space="preserve"> </w:t>
      </w:r>
      <w:r w:rsidR="00024C0E" w:rsidRPr="00D24B27">
        <w:t>provisions</w:t>
      </w:r>
      <w:r w:rsidR="00024C0E">
        <w:t xml:space="preserve"> in a Subcontract giv</w:t>
      </w:r>
      <w:r w:rsidR="00C408AA">
        <w:t>ing</w:t>
      </w:r>
      <w:r w:rsidR="00024C0E">
        <w:t xml:space="preserve"> effect to </w:t>
      </w:r>
      <w:r w:rsidR="00E81BA3">
        <w:t>the Mandatory Government Policy Requirements</w:t>
      </w:r>
      <w:r w:rsidR="00024C0E">
        <w:t>;</w:t>
      </w:r>
    </w:p>
    <w:p w14:paraId="1A302D40" w14:textId="77777777" w:rsidR="00024C0E" w:rsidRDefault="00024C0E" w:rsidP="00024C0E">
      <w:pPr>
        <w:pStyle w:val="Heading4"/>
      </w:pPr>
      <w:r>
        <w:t xml:space="preserve">arising from or in connection with events or circumstances to the extent the Contractor </w:t>
      </w:r>
      <w:r w:rsidRPr="00015330">
        <w:t>would be ent</w:t>
      </w:r>
      <w:r>
        <w:t xml:space="preserve">itled and able to recover insurance proceeds under insurance required by the Contract in relation to those events or circumstances, </w:t>
      </w:r>
      <w:r w:rsidRPr="00015330">
        <w:t>or would have been so entitled and able</w:t>
      </w:r>
      <w:r>
        <w:t xml:space="preserve"> but for:</w:t>
      </w:r>
    </w:p>
    <w:p w14:paraId="4544AB71" w14:textId="77777777" w:rsidR="00024C0E" w:rsidRDefault="00024C0E" w:rsidP="00024C0E">
      <w:pPr>
        <w:pStyle w:val="Heading5"/>
      </w:pPr>
      <w:r>
        <w:t>a failure of the Contractor to obtain or maintain the insurances for which it is responsible in accordance with the Contract;</w:t>
      </w:r>
    </w:p>
    <w:p w14:paraId="7671FAEB" w14:textId="77777777" w:rsidR="00024C0E" w:rsidRDefault="00024C0E" w:rsidP="00024C0E">
      <w:pPr>
        <w:pStyle w:val="Heading5"/>
      </w:pPr>
      <w:r>
        <w:t>a failure by the Contractor to claim under the relevant insurances (or comply with the claim procedures under the relevant insurances);</w:t>
      </w:r>
    </w:p>
    <w:p w14:paraId="0DB406A8" w14:textId="77777777" w:rsidR="00024C0E" w:rsidRDefault="00024C0E" w:rsidP="00024C0E">
      <w:pPr>
        <w:pStyle w:val="Heading5"/>
      </w:pPr>
      <w:r>
        <w:t>the Contractor not complying with any provision, obligation or duty owed under the relevant insurance policy (including the Contractor’s duty to disclose); or</w:t>
      </w:r>
    </w:p>
    <w:p w14:paraId="4E70031E" w14:textId="327BE35F" w:rsidR="00024C0E" w:rsidRDefault="00024C0E" w:rsidP="00024C0E">
      <w:pPr>
        <w:pStyle w:val="Heading5"/>
      </w:pPr>
      <w:r>
        <w:t>the inclusion of clause 11.4(a);</w:t>
      </w:r>
    </w:p>
    <w:p w14:paraId="070E125D" w14:textId="77777777" w:rsidR="006F55A3" w:rsidRPr="008C071E" w:rsidRDefault="006F55A3" w:rsidP="00024C0E">
      <w:pPr>
        <w:pStyle w:val="Heading4"/>
        <w:rPr>
          <w:rFonts w:cs="Angsana New"/>
          <w:szCs w:val="20"/>
          <w:lang w:eastAsia="zh-CN" w:bidi="th-TH"/>
        </w:rPr>
      </w:pPr>
      <w:r>
        <w:t xml:space="preserve">to the extent that the </w:t>
      </w:r>
      <w:r w:rsidRPr="00210229">
        <w:t xml:space="preserve">Contractor recovers, or would have recovered but for an act or omission of the Contractor, </w:t>
      </w:r>
      <w:r>
        <w:t>an amount in respect of that liability</w:t>
      </w:r>
      <w:r w:rsidRPr="00210229">
        <w:t xml:space="preserve"> from a third party</w:t>
      </w:r>
      <w:r>
        <w:t xml:space="preserve"> </w:t>
      </w:r>
      <w:r w:rsidRPr="00CC2DCE">
        <w:t>arising from any Claim made in connection with the Contract</w:t>
      </w:r>
      <w:r>
        <w:t>;</w:t>
      </w:r>
    </w:p>
    <w:p w14:paraId="7A38D0FA" w14:textId="77777777" w:rsidR="00C408AA" w:rsidRPr="00522345" w:rsidRDefault="00024C0E" w:rsidP="00024C0E">
      <w:pPr>
        <w:pStyle w:val="Heading4"/>
        <w:rPr>
          <w:rFonts w:cs="Angsana New"/>
          <w:szCs w:val="20"/>
          <w:lang w:eastAsia="zh-CN" w:bidi="th-TH"/>
        </w:rPr>
      </w:pPr>
      <w:r>
        <w:rPr>
          <w:rFonts w:cs="Angsana New"/>
          <w:szCs w:val="20"/>
          <w:lang w:eastAsia="zh-CN" w:bidi="th-TH"/>
        </w:rPr>
        <w:t xml:space="preserve">for </w:t>
      </w:r>
      <w:r w:rsidRPr="008972CA">
        <w:rPr>
          <w:rFonts w:cs="Angsana New"/>
          <w:szCs w:val="20"/>
          <w:lang w:eastAsia="zh-CN" w:bidi="th-TH"/>
        </w:rPr>
        <w:t>fine</w:t>
      </w:r>
      <w:r>
        <w:rPr>
          <w:rFonts w:cs="Angsana New"/>
          <w:szCs w:val="20"/>
          <w:lang w:eastAsia="zh-CN" w:bidi="th-TH"/>
        </w:rPr>
        <w:t>s</w:t>
      </w:r>
      <w:r w:rsidRPr="008972CA">
        <w:rPr>
          <w:rFonts w:cs="Angsana New"/>
          <w:szCs w:val="20"/>
          <w:lang w:eastAsia="zh-CN" w:bidi="th-TH"/>
        </w:rPr>
        <w:t xml:space="preserve"> or penalt</w:t>
      </w:r>
      <w:r>
        <w:rPr>
          <w:rFonts w:cs="Angsana New"/>
          <w:szCs w:val="20"/>
          <w:lang w:eastAsia="zh-CN" w:bidi="th-TH"/>
        </w:rPr>
        <w:t>ies</w:t>
      </w:r>
      <w:r w:rsidRPr="008972CA">
        <w:rPr>
          <w:rFonts w:cs="Angsana New"/>
          <w:szCs w:val="20"/>
          <w:lang w:eastAsia="zh-CN" w:bidi="th-TH"/>
        </w:rPr>
        <w:t xml:space="preserve"> </w:t>
      </w:r>
      <w:r w:rsidRPr="00C077FB">
        <w:rPr>
          <w:rFonts w:cs="Angsana New"/>
          <w:szCs w:val="20"/>
          <w:lang w:eastAsia="zh-CN" w:bidi="th-TH"/>
        </w:rPr>
        <w:t xml:space="preserve">incurred by the </w:t>
      </w:r>
      <w:r>
        <w:rPr>
          <w:rFonts w:cs="Angsana New"/>
          <w:szCs w:val="20"/>
          <w:lang w:eastAsia="zh-CN" w:bidi="th-TH"/>
        </w:rPr>
        <w:t xml:space="preserve">Principal </w:t>
      </w:r>
      <w:r w:rsidRPr="00C077FB">
        <w:rPr>
          <w:rFonts w:cs="Angsana New"/>
          <w:szCs w:val="20"/>
          <w:lang w:eastAsia="zh-CN" w:bidi="th-TH"/>
        </w:rPr>
        <w:t xml:space="preserve">arising from the Contractor’s </w:t>
      </w:r>
      <w:r>
        <w:t xml:space="preserve">Activities or the Works; </w:t>
      </w:r>
    </w:p>
    <w:p w14:paraId="4BA1362D" w14:textId="77777777" w:rsidR="00C408AA" w:rsidRPr="0069591C" w:rsidRDefault="00C408AA" w:rsidP="00C408AA">
      <w:pPr>
        <w:pStyle w:val="Heading4"/>
        <w:numPr>
          <w:ilvl w:val="3"/>
          <w:numId w:val="11"/>
        </w:numPr>
        <w:rPr>
          <w:rFonts w:cs="Angsana New"/>
          <w:szCs w:val="20"/>
          <w:lang w:eastAsia="zh-CN" w:bidi="th-TH"/>
        </w:rPr>
      </w:pPr>
      <w:r w:rsidRPr="0095358B">
        <w:t xml:space="preserve">which cannot be excluded or limited at Law; </w:t>
      </w:r>
    </w:p>
    <w:p w14:paraId="3A34768E" w14:textId="71E0E1D2" w:rsidR="00024C0E" w:rsidRDefault="00AE6DEC" w:rsidP="00C408AA">
      <w:pPr>
        <w:pStyle w:val="Heading4"/>
        <w:rPr>
          <w:rFonts w:cs="Angsana New"/>
          <w:szCs w:val="20"/>
          <w:lang w:eastAsia="zh-CN" w:bidi="th-TH"/>
        </w:rPr>
      </w:pPr>
      <w:r>
        <w:lastRenderedPageBreak/>
        <w:t xml:space="preserve">arising from or in connection with </w:t>
      </w:r>
      <w:r>
        <w:rPr>
          <w:rFonts w:cs="Angsana New"/>
          <w:szCs w:val="20"/>
          <w:lang w:eastAsia="zh-CN" w:bidi="th-TH"/>
        </w:rPr>
        <w:t xml:space="preserve">an </w:t>
      </w:r>
      <w:r w:rsidR="00C408AA">
        <w:t xml:space="preserve">abandonment of the Contractor's Activities or the Works; </w:t>
      </w:r>
      <w:r w:rsidR="00024C0E">
        <w:t>or</w:t>
      </w:r>
    </w:p>
    <w:p w14:paraId="09B50B91" w14:textId="776F12F0" w:rsidR="00024C0E" w:rsidRDefault="00024C0E" w:rsidP="00024C0E">
      <w:pPr>
        <w:pStyle w:val="Heading4"/>
        <w:rPr>
          <w:rFonts w:cs="Angsana New"/>
          <w:szCs w:val="20"/>
          <w:lang w:eastAsia="zh-CN" w:bidi="th-TH"/>
        </w:rPr>
      </w:pPr>
      <w:r w:rsidRPr="008972CA">
        <w:rPr>
          <w:rFonts w:cs="Angsana New"/>
          <w:szCs w:val="20"/>
          <w:lang w:eastAsia="zh-CN" w:bidi="th-TH"/>
        </w:rPr>
        <w:t>to pay liquidated damages or damages for delay in accordance with</w:t>
      </w:r>
      <w:r>
        <w:rPr>
          <w:rFonts w:cs="Angsana New"/>
          <w:szCs w:val="20"/>
          <w:lang w:eastAsia="zh-CN" w:bidi="th-TH"/>
        </w:rPr>
        <w:t xml:space="preserve"> clause 7.4.</w:t>
      </w:r>
    </w:p>
    <w:p w14:paraId="06A5EAE4" w14:textId="77777777" w:rsidR="009541E9" w:rsidRPr="005C6C46" w:rsidRDefault="009541E9" w:rsidP="009541E9">
      <w:pPr>
        <w:pStyle w:val="Heading3"/>
        <w:numPr>
          <w:ilvl w:val="0"/>
          <w:numId w:val="0"/>
        </w:numPr>
        <w:ind w:left="964" w:hanging="964"/>
        <w:rPr>
          <w:bCs w:val="0"/>
        </w:rPr>
      </w:pPr>
      <w:r>
        <w:rPr>
          <w:rFonts w:cs="Angsana New"/>
          <w:szCs w:val="20"/>
          <w:lang w:eastAsia="zh-CN" w:bidi="th-TH"/>
        </w:rPr>
        <w:t>1.3</w:t>
      </w:r>
      <w:r>
        <w:rPr>
          <w:rFonts w:cs="Angsana New"/>
          <w:szCs w:val="20"/>
          <w:lang w:eastAsia="zh-CN" w:bidi="th-TH"/>
        </w:rPr>
        <w:tab/>
      </w:r>
      <w:r>
        <w:rPr>
          <w:rFonts w:cs="Angsana New"/>
          <w:lang w:eastAsia="zh-CN" w:bidi="th-TH"/>
        </w:rPr>
        <w:t>Add the following new Item in the Contract Particulars (Schedule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5386"/>
      </w:tblGrid>
      <w:tr w:rsidR="009541E9" w:rsidRPr="00AA1448" w14:paraId="24FE7944" w14:textId="77777777" w:rsidTr="00B54DEA">
        <w:tc>
          <w:tcPr>
            <w:tcW w:w="993" w:type="dxa"/>
          </w:tcPr>
          <w:p w14:paraId="109A7FF7" w14:textId="01A415B9" w:rsidR="009541E9" w:rsidRPr="00AA1448" w:rsidRDefault="0057206E" w:rsidP="00B54DEA">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Pr>
                <w:rFonts w:cs="Angsana New"/>
                <w:noProof/>
                <w:color w:val="000000"/>
                <w:spacing w:val="2"/>
                <w:sz w:val="18"/>
                <w:szCs w:val="18"/>
                <w:lang w:eastAsia="zh-CN" w:bidi="th-TH"/>
              </w:rPr>
              <w:t>49</w:t>
            </w:r>
          </w:p>
        </w:tc>
        <w:tc>
          <w:tcPr>
            <w:tcW w:w="3260" w:type="dxa"/>
            <w:shd w:val="clear" w:color="auto" w:fill="auto"/>
          </w:tcPr>
          <w:p w14:paraId="122BF1A9" w14:textId="0222BF50" w:rsidR="009541E9" w:rsidRPr="00AA1448" w:rsidRDefault="009541E9" w:rsidP="00B54DEA">
            <w:pPr>
              <w:tabs>
                <w:tab w:val="left" w:pos="459"/>
                <w:tab w:val="left" w:pos="3969"/>
                <w:tab w:val="left" w:pos="4536"/>
                <w:tab w:val="right" w:leader="dot" w:pos="8505"/>
              </w:tabs>
              <w:spacing w:before="120" w:after="120"/>
              <w:ind w:right="-6"/>
              <w:rPr>
                <w:rFonts w:cs="Angsana New"/>
                <w:sz w:val="18"/>
                <w:szCs w:val="18"/>
                <w:lang w:eastAsia="zh-CN" w:bidi="th-TH"/>
              </w:rPr>
            </w:pPr>
            <w:r>
              <w:rPr>
                <w:rFonts w:cs="Angsana New"/>
                <w:noProof/>
                <w:color w:val="000000"/>
                <w:spacing w:val="2"/>
                <w:sz w:val="18"/>
                <w:szCs w:val="18"/>
                <w:lang w:eastAsia="zh-CN" w:bidi="th-TH"/>
              </w:rPr>
              <w:t>Consequential Loss</w:t>
            </w:r>
            <w:r w:rsidR="00C2145C">
              <w:rPr>
                <w:rFonts w:cs="Angsana New"/>
                <w:noProof/>
                <w:color w:val="000000"/>
                <w:spacing w:val="2"/>
                <w:sz w:val="18"/>
                <w:szCs w:val="18"/>
                <w:lang w:eastAsia="zh-CN" w:bidi="th-TH"/>
              </w:rPr>
              <w:br/>
            </w:r>
            <w:r w:rsidR="00C2145C" w:rsidRPr="00AA1448">
              <w:rPr>
                <w:rFonts w:cs="Angsana New"/>
                <w:sz w:val="18"/>
                <w:szCs w:val="18"/>
                <w:lang w:eastAsia="zh-CN" w:bidi="th-TH"/>
              </w:rPr>
              <w:t>(Clause</w:t>
            </w:r>
            <w:r w:rsidR="00C2145C">
              <w:rPr>
                <w:rFonts w:cs="Angsana New"/>
                <w:sz w:val="18"/>
                <w:szCs w:val="18"/>
                <w:lang w:eastAsia="zh-CN" w:bidi="th-TH"/>
              </w:rPr>
              <w:t>s 1.1 and</w:t>
            </w:r>
            <w:r w:rsidR="00C2145C" w:rsidRPr="00AA1448">
              <w:rPr>
                <w:rFonts w:cs="Angsana New"/>
                <w:sz w:val="18"/>
                <w:szCs w:val="18"/>
                <w:lang w:eastAsia="zh-CN" w:bidi="th-TH"/>
              </w:rPr>
              <w:t xml:space="preserve"> </w:t>
            </w:r>
            <w:r w:rsidR="00C2145C" w:rsidRPr="00AA1448">
              <w:rPr>
                <w:bCs/>
                <w:sz w:val="18"/>
                <w:szCs w:val="18"/>
              </w:rPr>
              <w:t>11.4(a))</w:t>
            </w:r>
          </w:p>
        </w:tc>
        <w:tc>
          <w:tcPr>
            <w:tcW w:w="5386" w:type="dxa"/>
            <w:shd w:val="clear" w:color="auto" w:fill="auto"/>
          </w:tcPr>
          <w:p w14:paraId="3AE2AC73" w14:textId="43AAE663" w:rsidR="009541E9" w:rsidRPr="00AA1448" w:rsidRDefault="00D14278" w:rsidP="00B54DEA">
            <w:pPr>
              <w:tabs>
                <w:tab w:val="left" w:pos="459"/>
                <w:tab w:val="left" w:pos="3969"/>
                <w:tab w:val="left" w:pos="4536"/>
                <w:tab w:val="right" w:leader="dot" w:pos="8505"/>
              </w:tabs>
              <w:spacing w:before="120" w:after="120"/>
              <w:ind w:right="-6"/>
              <w:rPr>
                <w:sz w:val="18"/>
                <w:szCs w:val="18"/>
              </w:rPr>
            </w:pPr>
            <w:r>
              <w:rPr>
                <w:sz w:val="18"/>
                <w:szCs w:val="18"/>
                <w:shd w:val="clear" w:color="000000" w:fill="auto"/>
              </w:rPr>
              <w:t>[</w:t>
            </w:r>
            <w:r w:rsidRPr="005D5BCB">
              <w:rPr>
                <w:sz w:val="18"/>
                <w:szCs w:val="18"/>
                <w:highlight w:val="yellow"/>
                <w:shd w:val="clear" w:color="000000" w:fill="auto"/>
              </w:rPr>
              <w:t>Insert</w:t>
            </w:r>
            <w:r>
              <w:rPr>
                <w:sz w:val="18"/>
                <w:szCs w:val="18"/>
                <w:shd w:val="clear" w:color="000000" w:fill="auto"/>
              </w:rPr>
              <w:t>]……………………………………………………….</w:t>
            </w:r>
            <w:r>
              <w:rPr>
                <w:sz w:val="18"/>
                <w:szCs w:val="18"/>
                <w:shd w:val="clear" w:color="000000" w:fill="auto"/>
              </w:rPr>
              <w:br/>
            </w:r>
            <w:r w:rsidR="006E70CA" w:rsidRPr="00CD150B">
              <w:rPr>
                <w:i/>
                <w:iCs/>
                <w:sz w:val="18"/>
                <w:szCs w:val="18"/>
                <w:shd w:val="clear" w:color="000000" w:fill="auto"/>
              </w:rPr>
              <w:t>(If nothing is stated, there are no additional exclusions)</w:t>
            </w:r>
            <w:r w:rsidR="006E70CA">
              <w:rPr>
                <w:sz w:val="18"/>
                <w:szCs w:val="18"/>
                <w:shd w:val="clear" w:color="000000" w:fill="auto"/>
              </w:rPr>
              <w:t xml:space="preserve"> </w:t>
            </w:r>
            <w:r w:rsidR="009541E9" w:rsidRPr="00AA1448">
              <w:rPr>
                <w:sz w:val="18"/>
                <w:szCs w:val="18"/>
                <w:shd w:val="clear" w:color="000000" w:fill="auto"/>
              </w:rPr>
              <w:t>[</w:t>
            </w:r>
            <w:r w:rsidR="009541E9" w:rsidRPr="0069591C">
              <w:rPr>
                <w:rFonts w:cs="Arial"/>
                <w:b/>
                <w:i/>
                <w:sz w:val="18"/>
                <w:szCs w:val="18"/>
                <w:highlight w:val="cyan"/>
              </w:rPr>
              <w:t>Guidance Note</w:t>
            </w:r>
            <w:r w:rsidR="009541E9">
              <w:rPr>
                <w:rFonts w:cs="Arial"/>
                <w:b/>
                <w:i/>
                <w:sz w:val="18"/>
                <w:szCs w:val="18"/>
                <w:highlight w:val="cyan"/>
              </w:rPr>
              <w:t>: Include any carve-outs to Consequential Loss.]</w:t>
            </w:r>
          </w:p>
        </w:tc>
      </w:tr>
    </w:tbl>
    <w:p w14:paraId="7B367A91" w14:textId="77777777" w:rsidR="009541E9" w:rsidRPr="008972CA" w:rsidRDefault="009541E9" w:rsidP="009541E9">
      <w:pPr>
        <w:pStyle w:val="Heading4"/>
        <w:numPr>
          <w:ilvl w:val="0"/>
          <w:numId w:val="0"/>
        </w:numPr>
        <w:ind w:left="2892" w:hanging="964"/>
        <w:rPr>
          <w:rFonts w:cs="Angsana New"/>
          <w:szCs w:val="20"/>
          <w:lang w:eastAsia="zh-CN" w:bidi="th-TH"/>
        </w:rPr>
      </w:pPr>
    </w:p>
    <w:p w14:paraId="7590E823" w14:textId="19F4D357" w:rsidR="00772360" w:rsidRDefault="00772360" w:rsidP="00497861">
      <w:pPr>
        <w:pStyle w:val="Heading1"/>
        <w:numPr>
          <w:ilvl w:val="0"/>
          <w:numId w:val="11"/>
        </w:numPr>
      </w:pPr>
      <w:bookmarkStart w:id="15" w:name="_Toc143702851"/>
      <w:r>
        <w:t>Liquidated damages</w:t>
      </w:r>
      <w:bookmarkEnd w:id="15"/>
    </w:p>
    <w:tbl>
      <w:tblPr>
        <w:tblStyle w:val="TableGrid"/>
        <w:tblW w:w="0" w:type="auto"/>
        <w:tblInd w:w="-5" w:type="dxa"/>
        <w:shd w:val="clear" w:color="auto" w:fill="CFD7F1" w:themeFill="accent3" w:themeFillTint="33"/>
        <w:tblLook w:val="04A0" w:firstRow="1" w:lastRow="0" w:firstColumn="1" w:lastColumn="0" w:noHBand="0" w:noVBand="1"/>
      </w:tblPr>
      <w:tblGrid>
        <w:gridCol w:w="9349"/>
      </w:tblGrid>
      <w:tr w:rsidR="001060EB" w:rsidRPr="00D2609B" w14:paraId="0D4CF531" w14:textId="77777777" w:rsidTr="008E7979">
        <w:tc>
          <w:tcPr>
            <w:tcW w:w="9349" w:type="dxa"/>
            <w:shd w:val="clear" w:color="auto" w:fill="CFD7F1" w:themeFill="accent3" w:themeFillTint="33"/>
          </w:tcPr>
          <w:p w14:paraId="747855BC" w14:textId="513FBC6A" w:rsidR="00493F65" w:rsidRDefault="00054B06" w:rsidP="00054B06">
            <w:pPr>
              <w:pStyle w:val="IndentParaLevel1"/>
              <w:spacing w:before="60" w:after="60"/>
              <w:ind w:left="0"/>
              <w:rPr>
                <w:sz w:val="18"/>
                <w:szCs w:val="18"/>
              </w:rPr>
            </w:pPr>
            <w:bookmarkStart w:id="16" w:name="_Hlk122362735"/>
            <w:r w:rsidRPr="00D2609B">
              <w:rPr>
                <w:b/>
                <w:bCs/>
                <w:sz w:val="18"/>
                <w:szCs w:val="18"/>
              </w:rPr>
              <w:t>Guidance Note</w:t>
            </w:r>
            <w:bookmarkStart w:id="17" w:name="_Hlk137734679"/>
            <w:r w:rsidRPr="00D2609B">
              <w:rPr>
                <w:b/>
                <w:bCs/>
                <w:sz w:val="18"/>
                <w:szCs w:val="18"/>
              </w:rPr>
              <w:t>:</w:t>
            </w:r>
            <w:r w:rsidRPr="00D2609B">
              <w:rPr>
                <w:sz w:val="18"/>
                <w:szCs w:val="18"/>
              </w:rPr>
              <w:t xml:space="preserve"> </w:t>
            </w:r>
            <w:r>
              <w:rPr>
                <w:sz w:val="18"/>
                <w:szCs w:val="18"/>
              </w:rPr>
              <w:t>Liquidated damages are</w:t>
            </w:r>
            <w:r w:rsidRPr="00773E15">
              <w:rPr>
                <w:sz w:val="18"/>
                <w:szCs w:val="18"/>
              </w:rPr>
              <w:t xml:space="preserve"> </w:t>
            </w:r>
            <w:r w:rsidR="008C071E" w:rsidRPr="00773E15">
              <w:rPr>
                <w:sz w:val="18"/>
                <w:szCs w:val="18"/>
              </w:rPr>
              <w:t xml:space="preserve">a predetermined amount of money (specific to each project or each Separable Portion, as the case may be) which the parties agree will be paid by the Contractor to the Principal for each calendar day that the Contractor is late in achieving Practical Completion beyond the Date for Practical Completion. </w:t>
            </w:r>
          </w:p>
          <w:p w14:paraId="34F3888A" w14:textId="1044243A" w:rsidR="00066712" w:rsidRDefault="008C071E" w:rsidP="00773E15">
            <w:pPr>
              <w:pStyle w:val="IndentParaLevel1"/>
              <w:spacing w:before="60" w:after="60"/>
              <w:ind w:left="0"/>
              <w:rPr>
                <w:sz w:val="18"/>
                <w:szCs w:val="18"/>
              </w:rPr>
            </w:pPr>
            <w:r w:rsidRPr="00773E15">
              <w:rPr>
                <w:sz w:val="18"/>
                <w:szCs w:val="18"/>
              </w:rPr>
              <w:t xml:space="preserve">There are a number of advantages to specifying liquidated damages, including that it removes the need for a Principal to prove or quantify the amount of actual loss that it suffers in the event of late completion. However, the amount specified by way of liquidated damages will not be enforced by a court if it is a 'penalty'. To avoid </w:t>
            </w:r>
            <w:r w:rsidR="004E484A">
              <w:rPr>
                <w:sz w:val="18"/>
                <w:szCs w:val="18"/>
              </w:rPr>
              <w:t xml:space="preserve">liquidated damages </w:t>
            </w:r>
            <w:r w:rsidRPr="00773E15">
              <w:rPr>
                <w:sz w:val="18"/>
                <w:szCs w:val="18"/>
              </w:rPr>
              <w:t xml:space="preserve">being void on this basis, the amount specified must be a pre-estimate </w:t>
            </w:r>
            <w:r w:rsidR="00066712">
              <w:rPr>
                <w:sz w:val="18"/>
                <w:szCs w:val="18"/>
              </w:rPr>
              <w:t>-</w:t>
            </w:r>
            <w:r w:rsidRPr="00773E15">
              <w:rPr>
                <w:sz w:val="18"/>
                <w:szCs w:val="18"/>
              </w:rPr>
              <w:t xml:space="preserve"> genuinely made at the time of contract award</w:t>
            </w:r>
            <w:r w:rsidR="00066712">
              <w:rPr>
                <w:sz w:val="18"/>
                <w:szCs w:val="18"/>
              </w:rPr>
              <w:t xml:space="preserve"> -</w:t>
            </w:r>
            <w:r w:rsidRPr="00773E15">
              <w:rPr>
                <w:sz w:val="18"/>
                <w:szCs w:val="18"/>
              </w:rPr>
              <w:t xml:space="preserve"> of the loss the Principal will suffer if Practical Completion is not achieved by the Date for Practical Completion. </w:t>
            </w:r>
          </w:p>
          <w:p w14:paraId="091ECBA7" w14:textId="59E616CD" w:rsidR="00493F65" w:rsidRPr="00493F65" w:rsidRDefault="008C071E" w:rsidP="00773E15">
            <w:pPr>
              <w:pStyle w:val="IndentParaLevel1"/>
              <w:spacing w:before="60" w:after="60"/>
              <w:ind w:left="0"/>
              <w:rPr>
                <w:sz w:val="18"/>
                <w:szCs w:val="18"/>
              </w:rPr>
            </w:pPr>
            <w:r w:rsidRPr="00773E15">
              <w:rPr>
                <w:sz w:val="18"/>
                <w:szCs w:val="18"/>
              </w:rPr>
              <w:t xml:space="preserve">The sorts of losses that should be considered for this purpose include the additional costs of project staff (retained over the extended construction period), external project managers/advisers/consultants, amounts payable to third parties with which the agency has agreed the project will be complete and ready for use by a certain date, any </w:t>
            </w:r>
            <w:r w:rsidRPr="00493F65">
              <w:rPr>
                <w:sz w:val="18"/>
                <w:szCs w:val="18"/>
              </w:rPr>
              <w:t>loss of revenue</w:t>
            </w:r>
            <w:r w:rsidR="008E7979">
              <w:rPr>
                <w:sz w:val="18"/>
                <w:szCs w:val="18"/>
              </w:rPr>
              <w:t xml:space="preserve">, any </w:t>
            </w:r>
            <w:r w:rsidR="008E7979" w:rsidRPr="00493F65">
              <w:rPr>
                <w:sz w:val="18"/>
                <w:szCs w:val="18"/>
              </w:rPr>
              <w:t>increase</w:t>
            </w:r>
            <w:r w:rsidR="008E7979">
              <w:rPr>
                <w:sz w:val="18"/>
                <w:szCs w:val="18"/>
              </w:rPr>
              <w:t xml:space="preserve">s in the </w:t>
            </w:r>
            <w:r w:rsidR="008E7979" w:rsidRPr="00493F65">
              <w:rPr>
                <w:sz w:val="18"/>
                <w:szCs w:val="18"/>
              </w:rPr>
              <w:t>cost of maint</w:t>
            </w:r>
            <w:r w:rsidR="008E7979">
              <w:rPr>
                <w:sz w:val="18"/>
                <w:szCs w:val="18"/>
              </w:rPr>
              <w:t>aining</w:t>
            </w:r>
            <w:r w:rsidR="008E7979" w:rsidRPr="00493F65">
              <w:rPr>
                <w:sz w:val="18"/>
                <w:szCs w:val="18"/>
              </w:rPr>
              <w:t xml:space="preserve"> existing infrastructure</w:t>
            </w:r>
            <w:r w:rsidR="008E7979">
              <w:rPr>
                <w:sz w:val="18"/>
                <w:szCs w:val="18"/>
              </w:rPr>
              <w:t xml:space="preserve">, and any </w:t>
            </w:r>
            <w:r w:rsidR="008E7979" w:rsidRPr="00493F65">
              <w:rPr>
                <w:sz w:val="18"/>
                <w:szCs w:val="18"/>
              </w:rPr>
              <w:t>diversion of resources</w:t>
            </w:r>
            <w:r w:rsidR="008E7979">
              <w:rPr>
                <w:sz w:val="18"/>
                <w:szCs w:val="18"/>
              </w:rPr>
              <w:t>.</w:t>
            </w:r>
            <w:r w:rsidR="0020372F" w:rsidRPr="005961F8">
              <w:t xml:space="preserve"> </w:t>
            </w:r>
            <w:r w:rsidR="0020372F" w:rsidRPr="001D0ACA">
              <w:rPr>
                <w:sz w:val="18"/>
                <w:szCs w:val="18"/>
              </w:rPr>
              <w:t>Liquidated damages cannot be excessive, punitive or used as a penalty for breach of contract</w:t>
            </w:r>
            <w:r w:rsidR="0020372F">
              <w:rPr>
                <w:sz w:val="18"/>
                <w:szCs w:val="18"/>
              </w:rPr>
              <w:t>.</w:t>
            </w:r>
          </w:p>
          <w:p w14:paraId="58C80BAF" w14:textId="7226FA77" w:rsidR="008C071E" w:rsidRPr="00B006C7" w:rsidRDefault="00054B06" w:rsidP="008E7979">
            <w:pPr>
              <w:pStyle w:val="IndentParaLevel1"/>
              <w:spacing w:before="60" w:after="60"/>
              <w:ind w:left="0"/>
              <w:rPr>
                <w:sz w:val="18"/>
                <w:szCs w:val="18"/>
              </w:rPr>
            </w:pPr>
            <w:r>
              <w:rPr>
                <w:sz w:val="18"/>
                <w:szCs w:val="18"/>
              </w:rPr>
              <w:t>Depending on the project</w:t>
            </w:r>
            <w:r w:rsidR="008E7979">
              <w:rPr>
                <w:sz w:val="18"/>
                <w:szCs w:val="18"/>
              </w:rPr>
              <w:t>,</w:t>
            </w:r>
            <w:r w:rsidR="00493F65">
              <w:rPr>
                <w:sz w:val="18"/>
                <w:szCs w:val="18"/>
              </w:rPr>
              <w:t xml:space="preserve"> if requested by a tenderer in n</w:t>
            </w:r>
            <w:r w:rsidR="004864EB">
              <w:rPr>
                <w:sz w:val="18"/>
                <w:szCs w:val="18"/>
              </w:rPr>
              <w:t>egotiation</w:t>
            </w:r>
            <w:r w:rsidR="00493F65">
              <w:rPr>
                <w:sz w:val="18"/>
                <w:szCs w:val="18"/>
              </w:rPr>
              <w:t xml:space="preserve"> or by way of tender departure, </w:t>
            </w:r>
            <w:r>
              <w:rPr>
                <w:sz w:val="18"/>
                <w:szCs w:val="18"/>
              </w:rPr>
              <w:t xml:space="preserve">it </w:t>
            </w:r>
            <w:r w:rsidRPr="00773E15">
              <w:rPr>
                <w:i/>
                <w:iCs/>
                <w:sz w:val="18"/>
                <w:szCs w:val="18"/>
              </w:rPr>
              <w:t>may</w:t>
            </w:r>
            <w:r>
              <w:rPr>
                <w:sz w:val="18"/>
                <w:szCs w:val="18"/>
              </w:rPr>
              <w:t xml:space="preserve"> </w:t>
            </w:r>
            <w:r w:rsidR="008E7979">
              <w:rPr>
                <w:sz w:val="18"/>
                <w:szCs w:val="18"/>
              </w:rPr>
              <w:t xml:space="preserve">be acceptable </w:t>
            </w:r>
            <w:r>
              <w:rPr>
                <w:sz w:val="18"/>
                <w:szCs w:val="18"/>
              </w:rPr>
              <w:t xml:space="preserve">to </w:t>
            </w:r>
            <w:r w:rsidR="00493F65">
              <w:rPr>
                <w:sz w:val="18"/>
                <w:szCs w:val="18"/>
              </w:rPr>
              <w:t xml:space="preserve">agree to </w:t>
            </w:r>
            <w:r>
              <w:rPr>
                <w:sz w:val="18"/>
                <w:szCs w:val="18"/>
              </w:rPr>
              <w:t xml:space="preserve">cap the </w:t>
            </w:r>
            <w:r w:rsidR="008E7979">
              <w:rPr>
                <w:sz w:val="18"/>
                <w:szCs w:val="18"/>
              </w:rPr>
              <w:t>aggregate</w:t>
            </w:r>
            <w:r w:rsidR="00493F65">
              <w:rPr>
                <w:sz w:val="18"/>
                <w:szCs w:val="18"/>
              </w:rPr>
              <w:t xml:space="preserve"> </w:t>
            </w:r>
            <w:r>
              <w:rPr>
                <w:sz w:val="18"/>
                <w:szCs w:val="18"/>
              </w:rPr>
              <w:t xml:space="preserve">amount of liquidated damages </w:t>
            </w:r>
            <w:r w:rsidR="00493F65">
              <w:rPr>
                <w:sz w:val="18"/>
                <w:szCs w:val="18"/>
              </w:rPr>
              <w:t>payable</w:t>
            </w:r>
            <w:r w:rsidR="008E7979">
              <w:rPr>
                <w:sz w:val="18"/>
                <w:szCs w:val="18"/>
              </w:rPr>
              <w:t xml:space="preserve"> by the Contractor, although this concession should be avoided if possible</w:t>
            </w:r>
            <w:r w:rsidR="00493F65">
              <w:rPr>
                <w:sz w:val="18"/>
                <w:szCs w:val="18"/>
              </w:rPr>
              <w:t xml:space="preserve">. </w:t>
            </w:r>
            <w:r w:rsidR="0020372F" w:rsidRPr="001D0ACA">
              <w:rPr>
                <w:sz w:val="18"/>
                <w:szCs w:val="18"/>
              </w:rPr>
              <w:t xml:space="preserve">(In particular, it should be avoided if the complexity of the project heightens the risk of project delays). </w:t>
            </w:r>
            <w:r w:rsidR="00493F65">
              <w:rPr>
                <w:sz w:val="18"/>
                <w:szCs w:val="18"/>
              </w:rPr>
              <w:t>This clause provides for such a cap.</w:t>
            </w:r>
            <w:bookmarkEnd w:id="17"/>
          </w:p>
        </w:tc>
      </w:tr>
      <w:bookmarkEnd w:id="16"/>
    </w:tbl>
    <w:p w14:paraId="00CB56EE" w14:textId="0C909D19" w:rsidR="00054B06" w:rsidRDefault="00054B06" w:rsidP="00493F65">
      <w:pPr>
        <w:pStyle w:val="Heading3"/>
        <w:numPr>
          <w:ilvl w:val="0"/>
          <w:numId w:val="0"/>
        </w:numPr>
        <w:spacing w:after="0"/>
        <w:rPr>
          <w:rFonts w:cs="Times New Roman"/>
          <w:szCs w:val="20"/>
          <w:lang w:eastAsia="en-US"/>
        </w:rPr>
      </w:pPr>
    </w:p>
    <w:p w14:paraId="365EFCA8" w14:textId="52B83B64" w:rsidR="009473F9" w:rsidRPr="005C6C46" w:rsidRDefault="005C6C46" w:rsidP="005C6C46">
      <w:pPr>
        <w:pStyle w:val="Heading3"/>
        <w:numPr>
          <w:ilvl w:val="0"/>
          <w:numId w:val="0"/>
        </w:numPr>
        <w:ind w:left="964" w:hanging="964"/>
        <w:rPr>
          <w:rFonts w:cs="Angsana New"/>
          <w:szCs w:val="20"/>
          <w:lang w:eastAsia="zh-CN" w:bidi="th-TH"/>
        </w:rPr>
      </w:pPr>
      <w:r>
        <w:rPr>
          <w:rFonts w:cs="Times New Roman"/>
          <w:szCs w:val="20"/>
          <w:lang w:eastAsia="en-US"/>
        </w:rPr>
        <w:t>2.1</w:t>
      </w:r>
      <w:r>
        <w:rPr>
          <w:rFonts w:cs="Times New Roman"/>
          <w:szCs w:val="20"/>
          <w:lang w:eastAsia="en-US"/>
        </w:rPr>
        <w:tab/>
      </w:r>
      <w:r w:rsidR="009473F9">
        <w:rPr>
          <w:rFonts w:cs="Times New Roman"/>
          <w:szCs w:val="20"/>
          <w:lang w:eastAsia="en-US"/>
        </w:rPr>
        <w:t xml:space="preserve">Amend </w:t>
      </w:r>
      <w:r w:rsidR="009473F9">
        <w:t xml:space="preserve">clause 7.4(a) of the MWC to replace “If the </w:t>
      </w:r>
      <w:r w:rsidR="009473F9" w:rsidRPr="00D964FC">
        <w:t>Contractor</w:t>
      </w:r>
      <w:r w:rsidR="009473F9">
        <w:t xml:space="preserve"> does not” with “</w:t>
      </w:r>
      <w:r w:rsidR="009473F9" w:rsidRPr="005C6C46">
        <w:rPr>
          <w:rFonts w:cs="Angsana New"/>
          <w:szCs w:val="20"/>
          <w:lang w:eastAsia="zh-CN" w:bidi="th-TH"/>
        </w:rPr>
        <w:t>Subject to clause 7.4(d), if the Contractor does not”.</w:t>
      </w:r>
    </w:p>
    <w:p w14:paraId="23225023" w14:textId="269546DC" w:rsidR="009473F9" w:rsidRPr="005C6C46" w:rsidRDefault="005C6C46" w:rsidP="005C6C46">
      <w:pPr>
        <w:pStyle w:val="Heading3"/>
        <w:numPr>
          <w:ilvl w:val="0"/>
          <w:numId w:val="0"/>
        </w:numPr>
        <w:ind w:left="964" w:hanging="964"/>
        <w:rPr>
          <w:rFonts w:cs="Angsana New"/>
          <w:szCs w:val="20"/>
          <w:lang w:eastAsia="zh-CN" w:bidi="th-TH"/>
        </w:rPr>
      </w:pPr>
      <w:r>
        <w:rPr>
          <w:rFonts w:cs="Angsana New"/>
          <w:szCs w:val="20"/>
          <w:lang w:eastAsia="zh-CN" w:bidi="th-TH"/>
        </w:rPr>
        <w:t>2.2</w:t>
      </w:r>
      <w:r>
        <w:rPr>
          <w:rFonts w:cs="Angsana New"/>
          <w:szCs w:val="20"/>
          <w:lang w:eastAsia="zh-CN" w:bidi="th-TH"/>
        </w:rPr>
        <w:tab/>
      </w:r>
      <w:r w:rsidR="009473F9" w:rsidRPr="005C6C46">
        <w:rPr>
          <w:rFonts w:cs="Angsana New"/>
          <w:szCs w:val="20"/>
          <w:lang w:eastAsia="zh-CN" w:bidi="th-TH"/>
        </w:rPr>
        <w:t>Insert a new clause 7.4(d) in the MWC as follows:</w:t>
      </w:r>
    </w:p>
    <w:p w14:paraId="4FBB3E8E" w14:textId="0599BDCF" w:rsidR="00F32217" w:rsidRPr="005C6C46" w:rsidRDefault="009473F9" w:rsidP="006B1CBE">
      <w:pPr>
        <w:pStyle w:val="Heading3"/>
        <w:numPr>
          <w:ilvl w:val="0"/>
          <w:numId w:val="0"/>
        </w:numPr>
        <w:ind w:left="1560" w:hanging="596"/>
        <w:rPr>
          <w:rFonts w:cs="Angsana New"/>
          <w:szCs w:val="20"/>
          <w:lang w:eastAsia="zh-CN" w:bidi="th-TH"/>
        </w:rPr>
      </w:pPr>
      <w:r w:rsidRPr="005C6C46">
        <w:rPr>
          <w:rFonts w:cs="Angsana New"/>
          <w:szCs w:val="20"/>
          <w:lang w:eastAsia="zh-CN" w:bidi="th-TH"/>
        </w:rPr>
        <w:t>“</w:t>
      </w:r>
      <w:r w:rsidR="006B1CBE">
        <w:rPr>
          <w:rFonts w:cs="Angsana New"/>
          <w:szCs w:val="20"/>
          <w:lang w:eastAsia="zh-CN" w:bidi="th-TH"/>
        </w:rPr>
        <w:t>(d)</w:t>
      </w:r>
      <w:r w:rsidR="006B1CBE">
        <w:rPr>
          <w:rFonts w:cs="Angsana New"/>
          <w:szCs w:val="20"/>
          <w:lang w:eastAsia="zh-CN" w:bidi="th-TH"/>
        </w:rPr>
        <w:tab/>
      </w:r>
      <w:r w:rsidRPr="005C6C46">
        <w:rPr>
          <w:rFonts w:cs="Angsana New"/>
          <w:szCs w:val="20"/>
          <w:lang w:eastAsia="zh-CN" w:bidi="th-TH"/>
        </w:rPr>
        <w:t>The amount of liquidated damages payable by the Contractor to the Principal under clause</w:t>
      </w:r>
      <w:r w:rsidR="00F32217" w:rsidRPr="005C6C46">
        <w:rPr>
          <w:rFonts w:cs="Angsana New"/>
          <w:szCs w:val="20"/>
          <w:lang w:eastAsia="zh-CN" w:bidi="th-TH"/>
        </w:rPr>
        <w:t xml:space="preserve"> 7.4(a)</w:t>
      </w:r>
      <w:r w:rsidRPr="005C6C46">
        <w:rPr>
          <w:rFonts w:cs="Angsana New"/>
          <w:szCs w:val="20"/>
          <w:lang w:eastAsia="zh-CN" w:bidi="th-TH"/>
        </w:rPr>
        <w:t xml:space="preserve"> </w:t>
      </w:r>
      <w:r w:rsidR="00CE6F5F">
        <w:rPr>
          <w:rFonts w:cs="Angsana New"/>
          <w:szCs w:val="20"/>
          <w:lang w:eastAsia="zh-CN" w:bidi="th-TH"/>
        </w:rPr>
        <w:t xml:space="preserve">for the whole of the Works </w:t>
      </w:r>
      <w:r w:rsidRPr="005C6C46">
        <w:rPr>
          <w:rFonts w:cs="Angsana New"/>
          <w:szCs w:val="20"/>
          <w:lang w:eastAsia="zh-CN" w:bidi="th-TH"/>
        </w:rPr>
        <w:t>will be capped at the amount s</w:t>
      </w:r>
      <w:r w:rsidR="00F32217" w:rsidRPr="005C6C46">
        <w:rPr>
          <w:rFonts w:cs="Angsana New"/>
          <w:szCs w:val="20"/>
          <w:lang w:eastAsia="zh-CN" w:bidi="th-TH"/>
        </w:rPr>
        <w:t xml:space="preserve">pecified </w:t>
      </w:r>
      <w:r w:rsidRPr="005C6C46">
        <w:rPr>
          <w:rFonts w:cs="Angsana New"/>
          <w:szCs w:val="20"/>
          <w:lang w:eastAsia="zh-CN" w:bidi="th-TH"/>
        </w:rPr>
        <w:t xml:space="preserve">in Item </w:t>
      </w:r>
      <w:r w:rsidR="00F32217" w:rsidRPr="005C6C46">
        <w:rPr>
          <w:rFonts w:cs="Angsana New"/>
          <w:szCs w:val="20"/>
          <w:lang w:eastAsia="zh-CN" w:bidi="th-TH"/>
        </w:rPr>
        <w:t>2</w:t>
      </w:r>
      <w:r w:rsidR="00A04EEF">
        <w:rPr>
          <w:rFonts w:cs="Angsana New"/>
          <w:szCs w:val="20"/>
          <w:lang w:eastAsia="zh-CN" w:bidi="th-TH"/>
        </w:rPr>
        <w:t>7</w:t>
      </w:r>
      <w:r w:rsidR="00F32217" w:rsidRPr="005C6C46">
        <w:rPr>
          <w:rFonts w:cs="Angsana New"/>
          <w:szCs w:val="20"/>
          <w:lang w:eastAsia="zh-CN" w:bidi="th-TH"/>
        </w:rPr>
        <w:t>”</w:t>
      </w:r>
      <w:r w:rsidRPr="005C6C46">
        <w:rPr>
          <w:rFonts w:cs="Angsana New"/>
          <w:szCs w:val="20"/>
          <w:lang w:eastAsia="zh-CN" w:bidi="th-TH"/>
        </w:rPr>
        <w:t xml:space="preserve">. </w:t>
      </w:r>
    </w:p>
    <w:p w14:paraId="4F1AE549" w14:textId="53F0AB1F" w:rsidR="009473F9" w:rsidRPr="009473F9" w:rsidRDefault="005C6C46" w:rsidP="005C6C46">
      <w:pPr>
        <w:pStyle w:val="Heading3"/>
        <w:numPr>
          <w:ilvl w:val="0"/>
          <w:numId w:val="0"/>
        </w:numPr>
        <w:tabs>
          <w:tab w:val="num" w:pos="1928"/>
        </w:tabs>
        <w:ind w:left="964" w:hanging="964"/>
        <w:rPr>
          <w:rFonts w:cs="Times New Roman"/>
          <w:szCs w:val="20"/>
          <w:lang w:eastAsia="en-US"/>
        </w:rPr>
      </w:pPr>
      <w:r>
        <w:rPr>
          <w:rFonts w:cs="Angsana New"/>
          <w:szCs w:val="20"/>
          <w:lang w:eastAsia="zh-CN" w:bidi="th-TH"/>
        </w:rPr>
        <w:t>2.3</w:t>
      </w:r>
      <w:r>
        <w:rPr>
          <w:rFonts w:cs="Angsana New"/>
          <w:szCs w:val="20"/>
          <w:lang w:eastAsia="zh-CN" w:bidi="th-TH"/>
        </w:rPr>
        <w:tab/>
      </w:r>
      <w:r w:rsidR="00F32217" w:rsidRPr="005C6C46">
        <w:rPr>
          <w:rFonts w:cs="Angsana New"/>
          <w:szCs w:val="20"/>
          <w:lang w:eastAsia="zh-CN" w:bidi="th-TH"/>
        </w:rPr>
        <w:t>Amend</w:t>
      </w:r>
      <w:r w:rsidR="00F32217">
        <w:t xml:space="preserve"> Item </w:t>
      </w:r>
      <w:r w:rsidR="00A04EEF">
        <w:t xml:space="preserve">27 </w:t>
      </w:r>
      <w:r w:rsidR="004C3F0C">
        <w:t xml:space="preserve">of Schedule 1 (Contract Particulars) </w:t>
      </w:r>
      <w:r w:rsidR="00F32217">
        <w:t>to read as follows</w:t>
      </w:r>
      <w:r w:rsidR="00002058">
        <w:t>:</w:t>
      </w:r>
      <w:r w:rsidR="009473F9" w:rsidRPr="009473F9">
        <w:rPr>
          <w:rFonts w:cs="Times New Roman"/>
          <w:szCs w:val="20"/>
          <w:lang w:eastAsia="en-US"/>
        </w:rPr>
        <w:t xml:space="preserve"> </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5528"/>
      </w:tblGrid>
      <w:tr w:rsidR="00F32217" w:rsidRPr="00AA1448" w14:paraId="7BB12B40" w14:textId="77777777" w:rsidTr="00522345">
        <w:tc>
          <w:tcPr>
            <w:tcW w:w="567" w:type="dxa"/>
          </w:tcPr>
          <w:p w14:paraId="51FE2370" w14:textId="2AEEC6E2" w:rsidR="00F32217" w:rsidRPr="00AA1448" w:rsidRDefault="00F32217"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ngsana New"/>
                <w:noProof/>
                <w:color w:val="000000"/>
                <w:spacing w:val="2"/>
                <w:sz w:val="18"/>
                <w:szCs w:val="18"/>
                <w:lang w:eastAsia="zh-CN" w:bidi="th-TH"/>
              </w:rPr>
              <w:t>2</w:t>
            </w:r>
            <w:r w:rsidR="00A04EEF">
              <w:rPr>
                <w:rFonts w:cs="Angsana New"/>
                <w:noProof/>
                <w:color w:val="000000"/>
                <w:spacing w:val="2"/>
                <w:sz w:val="18"/>
                <w:szCs w:val="18"/>
                <w:lang w:eastAsia="zh-CN" w:bidi="th-TH"/>
              </w:rPr>
              <w:t>7</w:t>
            </w:r>
          </w:p>
        </w:tc>
        <w:tc>
          <w:tcPr>
            <w:tcW w:w="2268" w:type="dxa"/>
            <w:shd w:val="clear" w:color="auto" w:fill="auto"/>
          </w:tcPr>
          <w:p w14:paraId="4B855A21" w14:textId="6E1DD5FE" w:rsidR="00F32217" w:rsidRPr="00AA1448" w:rsidRDefault="00F32217"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rial"/>
                <w:sz w:val="18"/>
                <w:szCs w:val="18"/>
              </w:rPr>
              <w:t>Liquidated damages rate and cap:</w:t>
            </w:r>
            <w:r w:rsidRPr="00AA1448">
              <w:rPr>
                <w:rFonts w:cs="Arial"/>
                <w:sz w:val="18"/>
                <w:szCs w:val="18"/>
              </w:rPr>
              <w:br/>
              <w:t>(Clauses 7.4(a) and (d))</w:t>
            </w:r>
            <w:r w:rsidRPr="00AA1448">
              <w:rPr>
                <w:rFonts w:cs="Angsana New"/>
                <w:noProof/>
                <w:color w:val="000000"/>
                <w:spacing w:val="2"/>
                <w:sz w:val="18"/>
                <w:szCs w:val="18"/>
                <w:lang w:eastAsia="zh-CN" w:bidi="th-TH"/>
              </w:rPr>
              <w:t xml:space="preserve"> </w:t>
            </w:r>
          </w:p>
        </w:tc>
        <w:tc>
          <w:tcPr>
            <w:tcW w:w="5528" w:type="dxa"/>
            <w:shd w:val="clear" w:color="auto" w:fill="auto"/>
          </w:tcPr>
          <w:p w14:paraId="69498CF1" w14:textId="77777777" w:rsidR="004C3F0C" w:rsidRPr="000B535D" w:rsidRDefault="00F32217" w:rsidP="001D64A0">
            <w:pPr>
              <w:tabs>
                <w:tab w:val="left" w:pos="459"/>
                <w:tab w:val="left" w:pos="3969"/>
                <w:tab w:val="left" w:pos="4536"/>
                <w:tab w:val="right" w:leader="dot" w:pos="8505"/>
              </w:tabs>
              <w:spacing w:before="120" w:after="120"/>
              <w:ind w:right="-6"/>
              <w:rPr>
                <w:b/>
                <w:bCs/>
                <w:sz w:val="18"/>
                <w:szCs w:val="18"/>
              </w:rPr>
            </w:pPr>
            <w:r w:rsidRPr="000B535D">
              <w:rPr>
                <w:b/>
                <w:bCs/>
                <w:sz w:val="18"/>
                <w:szCs w:val="18"/>
              </w:rPr>
              <w:t>Rate:</w:t>
            </w:r>
            <w:r w:rsidR="004C3F0C" w:rsidRPr="000B535D">
              <w:rPr>
                <w:b/>
                <w:bCs/>
                <w:sz w:val="18"/>
                <w:szCs w:val="18"/>
              </w:rPr>
              <w:t xml:space="preserve"> </w:t>
            </w:r>
          </w:p>
          <w:p w14:paraId="6BC91132" w14:textId="0F5D20AE" w:rsidR="00002058" w:rsidRDefault="00F32217" w:rsidP="00CE6F5F">
            <w:pPr>
              <w:tabs>
                <w:tab w:val="left" w:pos="459"/>
                <w:tab w:val="left" w:pos="3969"/>
                <w:tab w:val="left" w:pos="4536"/>
                <w:tab w:val="right" w:leader="dot" w:pos="8505"/>
              </w:tabs>
              <w:spacing w:before="120" w:after="120"/>
              <w:ind w:right="-6"/>
              <w:rPr>
                <w:rFonts w:cs="Arial"/>
                <w:sz w:val="18"/>
                <w:szCs w:val="18"/>
              </w:rPr>
            </w:pPr>
            <w:r w:rsidRPr="00AA1448">
              <w:rPr>
                <w:sz w:val="18"/>
                <w:szCs w:val="18"/>
              </w:rPr>
              <w:t xml:space="preserve">$ </w:t>
            </w:r>
            <w:r w:rsidR="003C2121" w:rsidRPr="003C2121">
              <w:rPr>
                <w:sz w:val="18"/>
                <w:szCs w:val="18"/>
              </w:rPr>
              <w:t>[</w:t>
            </w:r>
            <w:r w:rsidR="003C2121" w:rsidRPr="00002058">
              <w:rPr>
                <w:rFonts w:cs="Arial"/>
                <w:sz w:val="18"/>
                <w:szCs w:val="18"/>
                <w:highlight w:val="green"/>
              </w:rPr>
              <w:t>## insert</w:t>
            </w:r>
            <w:r w:rsidR="003C2121" w:rsidRPr="00AA1448">
              <w:rPr>
                <w:sz w:val="18"/>
                <w:szCs w:val="18"/>
              </w:rPr>
              <w:t>]</w:t>
            </w:r>
            <w:r w:rsidRPr="00AA1448">
              <w:rPr>
                <w:sz w:val="18"/>
                <w:szCs w:val="18"/>
              </w:rPr>
              <w:t xml:space="preserve"> per day</w:t>
            </w:r>
            <w:r w:rsidR="00CE6F5F">
              <w:rPr>
                <w:sz w:val="18"/>
                <w:szCs w:val="18"/>
              </w:rPr>
              <w:br/>
            </w:r>
            <w:r w:rsidR="001D64A0">
              <w:rPr>
                <w:rFonts w:cs="Arial"/>
                <w:b/>
                <w:bCs/>
                <w:sz w:val="18"/>
                <w:szCs w:val="18"/>
              </w:rPr>
              <w:br/>
            </w:r>
            <w:r w:rsidR="00002058" w:rsidRPr="00EF206C">
              <w:rPr>
                <w:rFonts w:cs="Arial"/>
                <w:b/>
                <w:bCs/>
                <w:sz w:val="18"/>
                <w:szCs w:val="18"/>
              </w:rPr>
              <w:t>OR</w:t>
            </w:r>
            <w:r w:rsidR="00002058" w:rsidRPr="00EF206C">
              <w:rPr>
                <w:rFonts w:cs="Arial"/>
                <w:sz w:val="18"/>
                <w:szCs w:val="18"/>
              </w:rPr>
              <w:t>, if Separable Portions apply, see the Separable Portions</w:t>
            </w:r>
            <w:r w:rsidR="00002058">
              <w:rPr>
                <w:rFonts w:cs="Arial"/>
                <w:sz w:val="18"/>
                <w:szCs w:val="18"/>
              </w:rPr>
              <w:t xml:space="preserve"> Particulars</w:t>
            </w:r>
            <w:r w:rsidR="00002058" w:rsidRPr="00EF206C">
              <w:rPr>
                <w:rFonts w:cs="Arial"/>
                <w:sz w:val="18"/>
                <w:szCs w:val="18"/>
              </w:rPr>
              <w:t>.</w:t>
            </w:r>
          </w:p>
          <w:p w14:paraId="09FB9884" w14:textId="043512A6" w:rsidR="00AA1448" w:rsidRDefault="00CE6F5F" w:rsidP="001D64A0">
            <w:pPr>
              <w:pStyle w:val="TableText"/>
              <w:spacing w:before="120" w:after="120"/>
              <w:rPr>
                <w:sz w:val="18"/>
                <w:szCs w:val="18"/>
              </w:rPr>
            </w:pPr>
            <w:r w:rsidRPr="000B535D">
              <w:rPr>
                <w:b/>
                <w:bCs/>
                <w:sz w:val="18"/>
                <w:szCs w:val="18"/>
              </w:rPr>
              <w:t>Aggregate cap:</w:t>
            </w:r>
            <w:r>
              <w:rPr>
                <w:b/>
                <w:bCs/>
                <w:sz w:val="18"/>
                <w:szCs w:val="18"/>
              </w:rPr>
              <w:br/>
            </w:r>
            <w:r w:rsidR="001D64A0">
              <w:rPr>
                <w:sz w:val="18"/>
                <w:szCs w:val="18"/>
              </w:rPr>
              <w:br/>
            </w:r>
            <w:r w:rsidR="004C3F0C" w:rsidRPr="00AA1448">
              <w:rPr>
                <w:sz w:val="18"/>
                <w:szCs w:val="18"/>
              </w:rPr>
              <w:t>T</w:t>
            </w:r>
            <w:r w:rsidR="00F32217" w:rsidRPr="00AA1448">
              <w:rPr>
                <w:sz w:val="18"/>
                <w:szCs w:val="18"/>
              </w:rPr>
              <w:t xml:space="preserve">he </w:t>
            </w:r>
            <w:r w:rsidR="00002058">
              <w:rPr>
                <w:sz w:val="18"/>
                <w:szCs w:val="18"/>
              </w:rPr>
              <w:t xml:space="preserve">aggregate </w:t>
            </w:r>
            <w:r w:rsidR="00F32217" w:rsidRPr="00AA1448">
              <w:rPr>
                <w:sz w:val="18"/>
                <w:szCs w:val="18"/>
              </w:rPr>
              <w:t xml:space="preserve">liquidated damages payable by the Contractor </w:t>
            </w:r>
            <w:r w:rsidR="00AE6DEC">
              <w:rPr>
                <w:sz w:val="18"/>
                <w:szCs w:val="18"/>
              </w:rPr>
              <w:t xml:space="preserve">for the whole of the Works </w:t>
            </w:r>
            <w:r w:rsidR="00F32217" w:rsidRPr="00AA1448">
              <w:rPr>
                <w:sz w:val="18"/>
                <w:szCs w:val="18"/>
              </w:rPr>
              <w:t>is capped at</w:t>
            </w:r>
            <w:r w:rsidR="004C3F0C" w:rsidRPr="00AA1448">
              <w:rPr>
                <w:sz w:val="18"/>
                <w:szCs w:val="18"/>
              </w:rPr>
              <w:t xml:space="preserve">: </w:t>
            </w:r>
          </w:p>
          <w:p w14:paraId="439D2BFA" w14:textId="77777777" w:rsidR="00002058" w:rsidRDefault="004C3F0C" w:rsidP="001D64A0">
            <w:pPr>
              <w:pStyle w:val="TableText"/>
              <w:spacing w:before="120" w:after="120"/>
              <w:rPr>
                <w:rFonts w:cs="Arial"/>
                <w:sz w:val="18"/>
                <w:szCs w:val="18"/>
              </w:rPr>
            </w:pPr>
            <w:r w:rsidRPr="00AA1448">
              <w:rPr>
                <w:sz w:val="18"/>
                <w:szCs w:val="18"/>
                <w:highlight w:val="yellow"/>
              </w:rPr>
              <w:t>[</w:t>
            </w:r>
            <w:r w:rsidRPr="00002058">
              <w:rPr>
                <w:rFonts w:cs="Arial"/>
                <w:sz w:val="18"/>
                <w:szCs w:val="18"/>
                <w:highlight w:val="yellow"/>
              </w:rPr>
              <w:t>## insert</w:t>
            </w:r>
            <w:r w:rsidRPr="00AA1448">
              <w:rPr>
                <w:sz w:val="18"/>
                <w:szCs w:val="18"/>
              </w:rPr>
              <w:t xml:space="preserve">] </w:t>
            </w:r>
            <w:r w:rsidR="00B34BBB" w:rsidRPr="00AA1448">
              <w:rPr>
                <w:sz w:val="18"/>
                <w:szCs w:val="18"/>
              </w:rPr>
              <w:t xml:space="preserve">% </w:t>
            </w:r>
            <w:r w:rsidRPr="00AA1448">
              <w:rPr>
                <w:rFonts w:cs="Arial"/>
                <w:sz w:val="18"/>
                <w:szCs w:val="18"/>
              </w:rPr>
              <w:t>of the Contract Sum</w:t>
            </w:r>
          </w:p>
          <w:p w14:paraId="55DF89AA" w14:textId="223FA94A" w:rsidR="00066712" w:rsidRPr="00002058" w:rsidRDefault="00066712" w:rsidP="001D64A0">
            <w:pPr>
              <w:pStyle w:val="TableText"/>
              <w:spacing w:before="120" w:after="120"/>
              <w:rPr>
                <w:rFonts w:cs="Arial"/>
                <w:sz w:val="18"/>
                <w:szCs w:val="18"/>
              </w:rPr>
            </w:pPr>
            <w:r w:rsidRPr="00AA1448">
              <w:rPr>
                <w:sz w:val="18"/>
                <w:szCs w:val="18"/>
                <w:shd w:val="clear" w:color="000000" w:fill="auto"/>
              </w:rPr>
              <w:lastRenderedPageBreak/>
              <w:t>[</w:t>
            </w:r>
            <w:r w:rsidRPr="0069591C">
              <w:rPr>
                <w:rFonts w:cs="Arial"/>
                <w:b/>
                <w:i/>
                <w:sz w:val="18"/>
                <w:szCs w:val="18"/>
                <w:highlight w:val="cyan"/>
              </w:rPr>
              <w:t>Guidance Note: Note that this is an AGGREGATE cap for the liquidated damages payable for a project, that is, should cover all Separable Portions (where Separable Portions apply).]</w:t>
            </w:r>
          </w:p>
        </w:tc>
      </w:tr>
    </w:tbl>
    <w:p w14:paraId="2B1B92EC" w14:textId="2781D6EE" w:rsidR="00B8536F" w:rsidRPr="009473F9" w:rsidRDefault="00B8536F" w:rsidP="000B535D">
      <w:pPr>
        <w:pStyle w:val="Heading3"/>
        <w:numPr>
          <w:ilvl w:val="0"/>
          <w:numId w:val="0"/>
        </w:numPr>
        <w:tabs>
          <w:tab w:val="num" w:pos="1928"/>
        </w:tabs>
        <w:spacing w:before="240" w:after="0"/>
        <w:rPr>
          <w:rFonts w:cs="Times New Roman"/>
          <w:szCs w:val="20"/>
          <w:lang w:eastAsia="en-US"/>
        </w:rPr>
      </w:pPr>
    </w:p>
    <w:p w14:paraId="6F310340" w14:textId="4B5282E6" w:rsidR="00772360" w:rsidRDefault="00B8536F" w:rsidP="00497861">
      <w:pPr>
        <w:pStyle w:val="Heading1"/>
        <w:numPr>
          <w:ilvl w:val="0"/>
          <w:numId w:val="11"/>
        </w:numPr>
      </w:pPr>
      <w:bookmarkStart w:id="18" w:name="_Ref132622111"/>
      <w:bookmarkStart w:id="19" w:name="_Toc143702852"/>
      <w:r>
        <w:t>P</w:t>
      </w:r>
      <w:r w:rsidR="00772360">
        <w:t>andemic</w:t>
      </w:r>
      <w:bookmarkEnd w:id="18"/>
      <w:r>
        <w:t>s</w:t>
      </w:r>
      <w:bookmarkEnd w:id="19"/>
      <w:r w:rsidR="00EF451E">
        <w:t xml:space="preserve"> </w:t>
      </w:r>
    </w:p>
    <w:tbl>
      <w:tblPr>
        <w:tblStyle w:val="TableGrid"/>
        <w:tblW w:w="0" w:type="auto"/>
        <w:tblInd w:w="964" w:type="dxa"/>
        <w:shd w:val="clear" w:color="auto" w:fill="CFD7F1" w:themeFill="accent3" w:themeFillTint="33"/>
        <w:tblLook w:val="04A0" w:firstRow="1" w:lastRow="0" w:firstColumn="1" w:lastColumn="0" w:noHBand="0" w:noVBand="1"/>
      </w:tblPr>
      <w:tblGrid>
        <w:gridCol w:w="8380"/>
      </w:tblGrid>
      <w:tr w:rsidR="001060EB" w:rsidRPr="00D2609B" w14:paraId="0392F887" w14:textId="77777777">
        <w:tc>
          <w:tcPr>
            <w:tcW w:w="8380" w:type="dxa"/>
            <w:shd w:val="clear" w:color="auto" w:fill="CFD7F1" w:themeFill="accent3" w:themeFillTint="33"/>
          </w:tcPr>
          <w:p w14:paraId="57F6254D" w14:textId="25FCFF1E" w:rsidR="00D14278" w:rsidRPr="001D0ACA" w:rsidRDefault="00BA104D" w:rsidP="001D0ACA">
            <w:pPr>
              <w:pStyle w:val="IndentParaLevel1"/>
              <w:spacing w:before="60" w:after="60"/>
              <w:ind w:left="0"/>
              <w:rPr>
                <w:sz w:val="18"/>
                <w:szCs w:val="18"/>
              </w:rPr>
            </w:pPr>
            <w:r w:rsidRPr="00D14278">
              <w:rPr>
                <w:b/>
                <w:bCs/>
                <w:sz w:val="18"/>
                <w:szCs w:val="18"/>
              </w:rPr>
              <w:t>Guidance Note:</w:t>
            </w:r>
            <w:r w:rsidRPr="00D14278">
              <w:rPr>
                <w:sz w:val="18"/>
                <w:szCs w:val="18"/>
              </w:rPr>
              <w:t xml:space="preserve"> </w:t>
            </w:r>
            <w:r w:rsidR="00D14278" w:rsidRPr="00D14278">
              <w:rPr>
                <w:sz w:val="18"/>
                <w:szCs w:val="18"/>
              </w:rPr>
              <w:t xml:space="preserve">This </w:t>
            </w:r>
            <w:r w:rsidR="00D14278">
              <w:rPr>
                <w:sz w:val="18"/>
                <w:szCs w:val="18"/>
              </w:rPr>
              <w:t>m</w:t>
            </w:r>
            <w:r w:rsidR="00D14278" w:rsidRPr="001D0ACA">
              <w:rPr>
                <w:sz w:val="18"/>
                <w:szCs w:val="18"/>
              </w:rPr>
              <w:t>odel clause 3 affords the Contractor time relief for pandemic related statutory changes. It covers COVID and any other infectious disease declared by the World Health Organisation to be a pandemic.</w:t>
            </w:r>
          </w:p>
          <w:p w14:paraId="7C4F7472" w14:textId="73AFB62F" w:rsidR="00BA104D" w:rsidRPr="004864EB" w:rsidRDefault="004864EB">
            <w:pPr>
              <w:pStyle w:val="IndentParaLevel1"/>
              <w:spacing w:before="60" w:after="60"/>
              <w:ind w:left="0"/>
              <w:rPr>
                <w:sz w:val="18"/>
                <w:szCs w:val="18"/>
              </w:rPr>
            </w:pPr>
            <w:r>
              <w:rPr>
                <w:sz w:val="18"/>
                <w:szCs w:val="18"/>
              </w:rPr>
              <w:t>T</w:t>
            </w:r>
            <w:r w:rsidR="00BA104D">
              <w:rPr>
                <w:sz w:val="18"/>
                <w:szCs w:val="18"/>
              </w:rPr>
              <w:t xml:space="preserve">he entitlement to </w:t>
            </w:r>
            <w:r w:rsidR="00D14278" w:rsidRPr="005D5BCB">
              <w:rPr>
                <w:sz w:val="18"/>
                <w:szCs w:val="18"/>
              </w:rPr>
              <w:t xml:space="preserve">claim an extension of time </w:t>
            </w:r>
            <w:r w:rsidR="00BA104D">
              <w:rPr>
                <w:sz w:val="18"/>
                <w:szCs w:val="18"/>
              </w:rPr>
              <w:t xml:space="preserve">is limited to </w:t>
            </w:r>
            <w:r>
              <w:rPr>
                <w:sz w:val="18"/>
                <w:szCs w:val="18"/>
              </w:rPr>
              <w:t>the introduction of</w:t>
            </w:r>
            <w:r w:rsidR="007F2D05">
              <w:rPr>
                <w:sz w:val="18"/>
                <w:szCs w:val="18"/>
              </w:rPr>
              <w:t>,</w:t>
            </w:r>
            <w:r>
              <w:rPr>
                <w:sz w:val="18"/>
                <w:szCs w:val="18"/>
              </w:rPr>
              <w:t xml:space="preserve"> or </w:t>
            </w:r>
            <w:r w:rsidR="00BA104D">
              <w:rPr>
                <w:sz w:val="18"/>
                <w:szCs w:val="18"/>
              </w:rPr>
              <w:t>changes in</w:t>
            </w:r>
            <w:r w:rsidR="007F2D05">
              <w:rPr>
                <w:sz w:val="18"/>
                <w:szCs w:val="18"/>
              </w:rPr>
              <w:t>,</w:t>
            </w:r>
            <w:r w:rsidR="00BA104D">
              <w:rPr>
                <w:sz w:val="18"/>
                <w:szCs w:val="18"/>
              </w:rPr>
              <w:t xml:space="preserve"> </w:t>
            </w:r>
            <w:r>
              <w:rPr>
                <w:sz w:val="18"/>
                <w:szCs w:val="18"/>
              </w:rPr>
              <w:t xml:space="preserve">pandemic specific </w:t>
            </w:r>
            <w:r w:rsidR="00BA104D">
              <w:rPr>
                <w:sz w:val="18"/>
                <w:szCs w:val="18"/>
              </w:rPr>
              <w:t>statuto</w:t>
            </w:r>
            <w:r>
              <w:rPr>
                <w:sz w:val="18"/>
                <w:szCs w:val="18"/>
              </w:rPr>
              <w:t xml:space="preserve">ry requirements. </w:t>
            </w:r>
            <w:r w:rsidR="00D14278" w:rsidRPr="005D5BCB">
              <w:rPr>
                <w:sz w:val="18"/>
                <w:szCs w:val="18"/>
              </w:rPr>
              <w:t>The available relief is to time only (not direct or delay costs). And,</w:t>
            </w:r>
            <w:r w:rsidR="00D14278">
              <w:rPr>
                <w:sz w:val="18"/>
                <w:szCs w:val="18"/>
              </w:rPr>
              <w:t xml:space="preserve"> i</w:t>
            </w:r>
            <w:r>
              <w:rPr>
                <w:sz w:val="18"/>
                <w:szCs w:val="18"/>
              </w:rPr>
              <w:t>t does not extend relief for other pandemic impacts such as supply chain issues or labour shortages.</w:t>
            </w:r>
          </w:p>
        </w:tc>
      </w:tr>
    </w:tbl>
    <w:p w14:paraId="42A64F30" w14:textId="77777777" w:rsidR="00BA104D" w:rsidRDefault="00BA104D" w:rsidP="004864EB">
      <w:pPr>
        <w:pStyle w:val="Heading3"/>
        <w:numPr>
          <w:ilvl w:val="0"/>
          <w:numId w:val="0"/>
        </w:numPr>
        <w:spacing w:after="0"/>
        <w:ind w:left="964" w:hanging="964"/>
      </w:pPr>
    </w:p>
    <w:p w14:paraId="68043EDE" w14:textId="4EA8F405" w:rsidR="00AF7B9F" w:rsidRDefault="00B92275" w:rsidP="00B92275">
      <w:pPr>
        <w:pStyle w:val="Heading3"/>
        <w:numPr>
          <w:ilvl w:val="0"/>
          <w:numId w:val="0"/>
        </w:numPr>
        <w:ind w:left="964" w:hanging="964"/>
      </w:pPr>
      <w:r>
        <w:t>3.1</w:t>
      </w:r>
      <w:r>
        <w:tab/>
      </w:r>
      <w:r w:rsidR="00AF7B9F">
        <w:rPr>
          <w:rFonts w:cs="Angsana New"/>
          <w:szCs w:val="20"/>
          <w:lang w:eastAsia="zh-CN" w:bidi="th-TH"/>
        </w:rPr>
        <w:t>Add the following definitions in clause 1.1 of the MWC (in alphabetical order):</w:t>
      </w:r>
    </w:p>
    <w:p w14:paraId="5AF9FAA6" w14:textId="77777777" w:rsidR="007F2D05" w:rsidRDefault="000C334E" w:rsidP="00711AA3">
      <w:pPr>
        <w:pStyle w:val="IndentParaLevel1"/>
        <w:numPr>
          <w:ilvl w:val="0"/>
          <w:numId w:val="0"/>
        </w:numPr>
        <w:ind w:left="964"/>
      </w:pPr>
      <w:r w:rsidRPr="000C334E">
        <w:rPr>
          <w:b/>
          <w:bCs/>
        </w:rPr>
        <w:t>Pandemic</w:t>
      </w:r>
      <w:r>
        <w:rPr>
          <w:b/>
          <w:bCs/>
        </w:rPr>
        <w:t xml:space="preserve"> </w:t>
      </w:r>
      <w:r>
        <w:t>means</w:t>
      </w:r>
      <w:r w:rsidR="007F2D05">
        <w:t>:</w:t>
      </w:r>
      <w:r>
        <w:t xml:space="preserve"> </w:t>
      </w:r>
    </w:p>
    <w:p w14:paraId="1517240B" w14:textId="77777777" w:rsidR="007F2D05" w:rsidRDefault="000C334E" w:rsidP="001D0ACA">
      <w:pPr>
        <w:pStyle w:val="Heading3"/>
      </w:pPr>
      <w:r>
        <w:t>t</w:t>
      </w:r>
      <w:r w:rsidRPr="001D502C">
        <w:t>he disease known as Coronavirus (COVID-19) which was characterised to be a pandemic by the World Health Organisation on 11 March 2020</w:t>
      </w:r>
      <w:r w:rsidR="007F2D05">
        <w:t>; and</w:t>
      </w:r>
    </w:p>
    <w:p w14:paraId="4C730CA4" w14:textId="70420173" w:rsidR="000C334E" w:rsidRPr="001D0ACA" w:rsidRDefault="007F2D05" w:rsidP="001D0ACA">
      <w:pPr>
        <w:pStyle w:val="Heading3"/>
      </w:pPr>
      <w:bookmarkStart w:id="20" w:name="_BPDC_LN_INS_2773"/>
      <w:bookmarkStart w:id="21" w:name="_BPDC_PR_INS_2774"/>
      <w:bookmarkEnd w:id="20"/>
      <w:bookmarkEnd w:id="21"/>
      <w:r>
        <w:t xml:space="preserve">any other </w:t>
      </w:r>
      <w:bookmarkStart w:id="22" w:name="_Hlk137738355"/>
      <w:r>
        <w:t>infectious disease that is declared as a pandemic by the World Health Organisation a</w:t>
      </w:r>
      <w:bookmarkEnd w:id="22"/>
      <w:r>
        <w:t>fter the Contract Date</w:t>
      </w:r>
      <w:r w:rsidR="000C334E" w:rsidRPr="001D502C">
        <w:t xml:space="preserve">. </w:t>
      </w:r>
    </w:p>
    <w:p w14:paraId="573AF15E" w14:textId="3960CE06" w:rsidR="000C334E" w:rsidRDefault="000C334E" w:rsidP="000C334E">
      <w:pPr>
        <w:pStyle w:val="IndentParaLevel1"/>
      </w:pPr>
      <w:r w:rsidRPr="00E267D3">
        <w:rPr>
          <w:b/>
          <w:bCs/>
        </w:rPr>
        <w:t>Pandemic Adjustment Event</w:t>
      </w:r>
      <w:r>
        <w:t xml:space="preserve"> means, after the Contract Date, a change in an existing, or the introduction of a new, Pandemic Statutory Requirement which impacts the performance or progress of the Contractor's Activities or the Works. </w:t>
      </w:r>
    </w:p>
    <w:p w14:paraId="500CB778" w14:textId="5A7E3917" w:rsidR="00AF7B9F" w:rsidRDefault="00AF7B9F" w:rsidP="00AF7B9F">
      <w:pPr>
        <w:pStyle w:val="IndentParaLevel1"/>
      </w:pPr>
      <w:r w:rsidRPr="00AF7B9F">
        <w:rPr>
          <w:b/>
          <w:bCs/>
        </w:rPr>
        <w:t>Pandemic Statutory Requirement</w:t>
      </w:r>
      <w:r w:rsidRPr="00FB0C36">
        <w:t xml:space="preserve"> </w:t>
      </w:r>
      <w:r>
        <w:t xml:space="preserve">means: </w:t>
      </w:r>
    </w:p>
    <w:p w14:paraId="12E76365" w14:textId="0B54FF45" w:rsidR="00AF7B9F" w:rsidRPr="007F2D05" w:rsidRDefault="00806541" w:rsidP="001D0ACA">
      <w:pPr>
        <w:pStyle w:val="Heading3"/>
        <w:numPr>
          <w:ilvl w:val="2"/>
          <w:numId w:val="44"/>
        </w:numPr>
        <w:rPr>
          <w:rFonts w:cs="Angsana New"/>
          <w:szCs w:val="20"/>
          <w:lang w:eastAsia="zh-CN" w:bidi="th-TH"/>
        </w:rPr>
      </w:pPr>
      <w:bookmarkStart w:id="23" w:name="_Ref66459956"/>
      <w:r w:rsidRPr="005D2C6B">
        <w:t xml:space="preserve">any </w:t>
      </w:r>
      <w:r w:rsidR="00066712">
        <w:t>L</w:t>
      </w:r>
      <w:r w:rsidRPr="005D2C6B">
        <w:t xml:space="preserve">aw applicable to the </w:t>
      </w:r>
      <w:r w:rsidRPr="00E2361C">
        <w:t>Contractor's Activities</w:t>
      </w:r>
      <w:r>
        <w:t xml:space="preserve"> or the </w:t>
      </w:r>
      <w:r w:rsidRPr="00E2361C">
        <w:t>Works</w:t>
      </w:r>
      <w:r w:rsidR="00AF7B9F" w:rsidRPr="007F2D05">
        <w:rPr>
          <w:rFonts w:cs="Angsana New"/>
          <w:szCs w:val="20"/>
          <w:lang w:eastAsia="zh-CN" w:bidi="th-TH"/>
        </w:rPr>
        <w:t>;</w:t>
      </w:r>
      <w:bookmarkEnd w:id="23"/>
      <w:r w:rsidRPr="007F2D05">
        <w:rPr>
          <w:rFonts w:cs="Angsana New"/>
          <w:szCs w:val="20"/>
          <w:lang w:eastAsia="zh-CN" w:bidi="th-TH"/>
        </w:rPr>
        <w:t xml:space="preserve"> and</w:t>
      </w:r>
    </w:p>
    <w:p w14:paraId="2D70C912" w14:textId="559F88D8" w:rsidR="00AF7B9F" w:rsidRDefault="00AF7B9F" w:rsidP="00806541">
      <w:pPr>
        <w:pStyle w:val="Heading3"/>
      </w:pPr>
      <w:r w:rsidRPr="00806541">
        <w:rPr>
          <w:rFonts w:cs="Angsana New"/>
          <w:szCs w:val="20"/>
          <w:lang w:eastAsia="zh-CN" w:bidi="th-TH"/>
        </w:rPr>
        <w:t>directions</w:t>
      </w:r>
      <w:r>
        <w:t xml:space="preserve"> affecting the </w:t>
      </w:r>
      <w:r w:rsidR="00806541" w:rsidRPr="00E2361C">
        <w:t>Contractor's Activities</w:t>
      </w:r>
      <w:r w:rsidR="00806541">
        <w:t xml:space="preserve"> or the </w:t>
      </w:r>
      <w:r w:rsidR="00806541" w:rsidRPr="00E2361C">
        <w:t>Works</w:t>
      </w:r>
      <w:r w:rsidR="00806541">
        <w:t xml:space="preserve"> </w:t>
      </w:r>
      <w:r>
        <w:t xml:space="preserve">given by </w:t>
      </w:r>
      <w:r w:rsidR="00D251C8">
        <w:t>an Authority</w:t>
      </w:r>
      <w:r>
        <w:t xml:space="preserve">, </w:t>
      </w:r>
    </w:p>
    <w:p w14:paraId="5ADE7AAC" w14:textId="7E7ED458" w:rsidR="00AF7B9F" w:rsidRPr="009A2A1F" w:rsidRDefault="00AF7B9F" w:rsidP="00AF7B9F">
      <w:pPr>
        <w:pStyle w:val="IndentParaLevel1"/>
        <w:rPr>
          <w:b/>
        </w:rPr>
      </w:pPr>
      <w:r>
        <w:t>which</w:t>
      </w:r>
      <w:r w:rsidR="000C334E">
        <w:t xml:space="preserve"> the Principal considers</w:t>
      </w:r>
      <w:r>
        <w:t xml:space="preserve"> is enacted or occurs as a direct result of the Pandemic.</w:t>
      </w:r>
      <w:r w:rsidRPr="00F61034">
        <w:t xml:space="preserve"> </w:t>
      </w:r>
    </w:p>
    <w:p w14:paraId="0C35F036" w14:textId="4E27A603" w:rsidR="000C334E" w:rsidRDefault="000C334E" w:rsidP="000C334E">
      <w:pPr>
        <w:pStyle w:val="Heading3"/>
        <w:numPr>
          <w:ilvl w:val="0"/>
          <w:numId w:val="0"/>
        </w:numPr>
        <w:ind w:left="964" w:hanging="964"/>
      </w:pPr>
      <w:r>
        <w:t>3.2</w:t>
      </w:r>
      <w:r>
        <w:tab/>
        <w:t xml:space="preserve">Amend the definition of “Force Majeure Event” in clause 1.1 to </w:t>
      </w:r>
      <w:r w:rsidR="00CE6F5F">
        <w:t>capitalise the word "pandemics" where it appears</w:t>
      </w:r>
      <w:r>
        <w:t xml:space="preserve"> after </w:t>
      </w:r>
      <w:r w:rsidR="00CE6F5F">
        <w:t xml:space="preserve">the words </w:t>
      </w:r>
      <w:r>
        <w:t>“</w:t>
      </w:r>
      <w:r w:rsidRPr="00327375">
        <w:t>but excludes</w:t>
      </w:r>
      <w:r>
        <w:t>”.</w:t>
      </w:r>
    </w:p>
    <w:p w14:paraId="596B5437" w14:textId="0F4C5CCF" w:rsidR="00B92275" w:rsidRDefault="00AF7B9F" w:rsidP="00B92275">
      <w:pPr>
        <w:pStyle w:val="Heading3"/>
        <w:numPr>
          <w:ilvl w:val="0"/>
          <w:numId w:val="0"/>
        </w:numPr>
        <w:ind w:left="964" w:hanging="964"/>
      </w:pPr>
      <w:r>
        <w:t>3.</w:t>
      </w:r>
      <w:r w:rsidR="000C334E">
        <w:t>3</w:t>
      </w:r>
      <w:r>
        <w:tab/>
      </w:r>
      <w:r w:rsidR="00B92275">
        <w:t>Add a new clause 6.</w:t>
      </w:r>
      <w:r w:rsidR="00002058">
        <w:t>7</w:t>
      </w:r>
      <w:r w:rsidR="00B92275">
        <w:t xml:space="preserve"> as follows:</w:t>
      </w:r>
    </w:p>
    <w:p w14:paraId="581F372E" w14:textId="7F912353" w:rsidR="00B92275" w:rsidRDefault="00B92275" w:rsidP="00B92275">
      <w:pPr>
        <w:pStyle w:val="Heading3"/>
        <w:numPr>
          <w:ilvl w:val="0"/>
          <w:numId w:val="0"/>
        </w:numPr>
        <w:ind w:left="964"/>
        <w:rPr>
          <w:rFonts w:cs="Angsana New"/>
          <w:b/>
          <w:bCs w:val="0"/>
          <w:sz w:val="24"/>
          <w:szCs w:val="24"/>
          <w:lang w:eastAsia="zh-CN" w:bidi="th-TH"/>
        </w:rPr>
      </w:pPr>
      <w:r>
        <w:rPr>
          <w:rFonts w:cs="Angsana New"/>
          <w:b/>
          <w:bCs w:val="0"/>
          <w:sz w:val="24"/>
          <w:szCs w:val="24"/>
          <w:lang w:eastAsia="zh-CN" w:bidi="th-TH"/>
        </w:rPr>
        <w:t>6.</w:t>
      </w:r>
      <w:r w:rsidR="00002058">
        <w:rPr>
          <w:rFonts w:cs="Angsana New"/>
          <w:b/>
          <w:bCs w:val="0"/>
          <w:sz w:val="24"/>
          <w:szCs w:val="24"/>
          <w:lang w:eastAsia="zh-CN" w:bidi="th-TH"/>
        </w:rPr>
        <w:t>7</w:t>
      </w:r>
      <w:r w:rsidRPr="005C6C46">
        <w:rPr>
          <w:rFonts w:cs="Angsana New"/>
          <w:b/>
          <w:bCs w:val="0"/>
          <w:sz w:val="24"/>
          <w:szCs w:val="24"/>
          <w:lang w:eastAsia="zh-CN" w:bidi="th-TH"/>
        </w:rPr>
        <w:tab/>
      </w:r>
      <w:r>
        <w:rPr>
          <w:rFonts w:cs="Angsana New"/>
          <w:b/>
          <w:bCs w:val="0"/>
          <w:sz w:val="24"/>
          <w:szCs w:val="24"/>
          <w:lang w:eastAsia="zh-CN" w:bidi="th-TH"/>
        </w:rPr>
        <w:t xml:space="preserve">Pandemic </w:t>
      </w:r>
      <w:r w:rsidR="009F61EA">
        <w:rPr>
          <w:rFonts w:cs="Angsana New"/>
          <w:b/>
          <w:bCs w:val="0"/>
          <w:sz w:val="24"/>
          <w:szCs w:val="24"/>
          <w:lang w:eastAsia="zh-CN" w:bidi="th-TH"/>
        </w:rPr>
        <w:t>acknowledgement and obligations</w:t>
      </w:r>
    </w:p>
    <w:p w14:paraId="46B5BC9D" w14:textId="632EE104" w:rsidR="00B92275" w:rsidRPr="000C334E" w:rsidRDefault="00B92275" w:rsidP="00710987">
      <w:pPr>
        <w:pStyle w:val="Heading3"/>
        <w:numPr>
          <w:ilvl w:val="2"/>
          <w:numId w:val="30"/>
        </w:numPr>
        <w:rPr>
          <w:rFonts w:cs="Angsana New"/>
          <w:szCs w:val="20"/>
          <w:lang w:eastAsia="zh-CN" w:bidi="th-TH"/>
        </w:rPr>
      </w:pPr>
      <w:r w:rsidRPr="000C334E">
        <w:rPr>
          <w:rFonts w:cs="Angsana New"/>
          <w:szCs w:val="20"/>
          <w:lang w:eastAsia="zh-CN" w:bidi="th-TH"/>
        </w:rPr>
        <w:t>The Contractor acknowledges and agrees that</w:t>
      </w:r>
      <w:r w:rsidR="007F2D05" w:rsidRPr="007F2D05">
        <w:rPr>
          <w:rFonts w:cs="Angsana New"/>
          <w:szCs w:val="22"/>
          <w:lang w:bidi="th-TH"/>
        </w:rPr>
        <w:t xml:space="preserve"> </w:t>
      </w:r>
      <w:r w:rsidR="007F2D05">
        <w:rPr>
          <w:rFonts w:cs="Angsana New"/>
          <w:szCs w:val="22"/>
          <w:lang w:bidi="th-TH"/>
        </w:rPr>
        <w:t xml:space="preserve">it </w:t>
      </w:r>
      <w:r w:rsidR="007F2D05" w:rsidRPr="00DF372E">
        <w:rPr>
          <w:rFonts w:cs="Angsana New"/>
          <w:szCs w:val="22"/>
          <w:lang w:bidi="th-TH"/>
        </w:rPr>
        <w:t xml:space="preserve">has taken into account the risks arising out of or </w:t>
      </w:r>
      <w:r w:rsidR="007F2D05" w:rsidRPr="00B92275">
        <w:rPr>
          <w:lang w:bidi="th-TH"/>
        </w:rPr>
        <w:t xml:space="preserve">in connection with </w:t>
      </w:r>
      <w:r w:rsidR="007F2D05">
        <w:rPr>
          <w:rFonts w:cs="Angsana New"/>
          <w:szCs w:val="22"/>
          <w:lang w:bidi="th-TH"/>
        </w:rPr>
        <w:t>P</w:t>
      </w:r>
      <w:r w:rsidR="007F2D05" w:rsidRPr="00DF372E">
        <w:rPr>
          <w:rFonts w:cs="Angsana New"/>
          <w:szCs w:val="22"/>
          <w:lang w:bidi="th-TH"/>
        </w:rPr>
        <w:t>andemic</w:t>
      </w:r>
      <w:r w:rsidR="007F2D05">
        <w:rPr>
          <w:rFonts w:cs="Angsana New"/>
          <w:szCs w:val="22"/>
          <w:lang w:bidi="th-TH"/>
        </w:rPr>
        <w:t>s,</w:t>
      </w:r>
      <w:r w:rsidR="007F2D05" w:rsidRPr="00DF372E">
        <w:rPr>
          <w:rFonts w:cs="Angsana New"/>
          <w:szCs w:val="22"/>
          <w:lang w:bidi="th-TH"/>
        </w:rPr>
        <w:t xml:space="preserve"> including</w:t>
      </w:r>
      <w:r w:rsidRPr="000C334E">
        <w:rPr>
          <w:rFonts w:cs="Angsana New"/>
          <w:szCs w:val="20"/>
          <w:lang w:eastAsia="zh-CN" w:bidi="th-TH"/>
        </w:rPr>
        <w:t>:</w:t>
      </w:r>
    </w:p>
    <w:p w14:paraId="18498086" w14:textId="3762ACE7" w:rsidR="00BA4189" w:rsidRPr="007F2D05" w:rsidRDefault="00740AC2" w:rsidP="001D0ACA">
      <w:pPr>
        <w:pStyle w:val="Heading4"/>
        <w:rPr>
          <w:rFonts w:cs="Angsana New"/>
          <w:szCs w:val="22"/>
          <w:lang w:bidi="th-TH"/>
        </w:rPr>
      </w:pPr>
      <w:r w:rsidRPr="00DF372E">
        <w:rPr>
          <w:rFonts w:cs="Angsana New"/>
          <w:szCs w:val="22"/>
          <w:lang w:bidi="th-TH"/>
        </w:rPr>
        <w:t xml:space="preserve">local or </w:t>
      </w:r>
      <w:r w:rsidRPr="00B92275">
        <w:rPr>
          <w:lang w:bidi="th-TH"/>
        </w:rPr>
        <w:t xml:space="preserve">foreign government actions taken in response to </w:t>
      </w:r>
      <w:r w:rsidRPr="007F2D05">
        <w:rPr>
          <w:rFonts w:cs="Angsana New"/>
          <w:szCs w:val="22"/>
          <w:lang w:bidi="th-TH"/>
        </w:rPr>
        <w:t>Pandemic</w:t>
      </w:r>
      <w:r w:rsidR="007F2D05" w:rsidRPr="007F2D05">
        <w:rPr>
          <w:rFonts w:cs="Angsana New"/>
          <w:szCs w:val="22"/>
          <w:lang w:bidi="th-TH"/>
        </w:rPr>
        <w:t>s</w:t>
      </w:r>
      <w:r w:rsidR="00BA4189" w:rsidRPr="007F2D05">
        <w:rPr>
          <w:rFonts w:cs="Angsana New"/>
          <w:szCs w:val="22"/>
          <w:lang w:bidi="th-TH"/>
        </w:rPr>
        <w:t xml:space="preserve"> (including change</w:t>
      </w:r>
      <w:r w:rsidR="007F2D05" w:rsidRPr="007F2D05">
        <w:rPr>
          <w:rFonts w:cs="Angsana New"/>
          <w:szCs w:val="22"/>
          <w:lang w:bidi="th-TH"/>
        </w:rPr>
        <w:t>s</w:t>
      </w:r>
      <w:r w:rsidR="00BA4189" w:rsidRPr="007F2D05">
        <w:rPr>
          <w:rFonts w:cs="Angsana New"/>
          <w:szCs w:val="22"/>
          <w:lang w:bidi="th-TH"/>
        </w:rPr>
        <w:t xml:space="preserve"> in border requirements or quarantine requirements);</w:t>
      </w:r>
    </w:p>
    <w:p w14:paraId="5881B4A8" w14:textId="21AA8C49" w:rsidR="00740AC2" w:rsidRPr="007F2D05" w:rsidRDefault="00740AC2" w:rsidP="001D0ACA">
      <w:pPr>
        <w:pStyle w:val="Heading4"/>
        <w:rPr>
          <w:rFonts w:cs="Angsana New"/>
          <w:szCs w:val="22"/>
          <w:lang w:bidi="th-TH"/>
        </w:rPr>
      </w:pPr>
      <w:r w:rsidRPr="007F2D05">
        <w:rPr>
          <w:rFonts w:cs="Angsana New"/>
          <w:szCs w:val="22"/>
          <w:lang w:bidi="th-TH"/>
        </w:rPr>
        <w:t>delays, restrictions or shortages in the supply</w:t>
      </w:r>
      <w:r w:rsidR="00BA4189" w:rsidRPr="007F2D05">
        <w:rPr>
          <w:rFonts w:cs="Angsana New"/>
          <w:szCs w:val="22"/>
          <w:lang w:bidi="th-TH"/>
        </w:rPr>
        <w:t xml:space="preserve"> or transport </w:t>
      </w:r>
      <w:r w:rsidRPr="007F2D05">
        <w:rPr>
          <w:rFonts w:cs="Angsana New"/>
          <w:szCs w:val="22"/>
          <w:lang w:bidi="th-TH"/>
        </w:rPr>
        <w:t>of materials</w:t>
      </w:r>
      <w:r w:rsidR="00BA4189" w:rsidRPr="007F2D05">
        <w:rPr>
          <w:rFonts w:cs="Angsana New"/>
          <w:szCs w:val="22"/>
          <w:lang w:bidi="th-TH"/>
        </w:rPr>
        <w:t xml:space="preserve"> or </w:t>
      </w:r>
      <w:r w:rsidRPr="007F2D05">
        <w:rPr>
          <w:rFonts w:cs="Angsana New"/>
          <w:szCs w:val="22"/>
          <w:lang w:bidi="th-TH"/>
        </w:rPr>
        <w:t xml:space="preserve">parts or </w:t>
      </w:r>
      <w:r w:rsidR="00BA4189" w:rsidRPr="007F2D05">
        <w:rPr>
          <w:rFonts w:cs="Angsana New"/>
          <w:szCs w:val="22"/>
          <w:lang w:bidi="th-TH"/>
        </w:rPr>
        <w:t xml:space="preserve">the availability of local </w:t>
      </w:r>
      <w:r w:rsidRPr="007F2D05">
        <w:rPr>
          <w:rFonts w:cs="Angsana New"/>
          <w:szCs w:val="22"/>
          <w:lang w:bidi="th-TH"/>
        </w:rPr>
        <w:t xml:space="preserve">labour; </w:t>
      </w:r>
    </w:p>
    <w:p w14:paraId="26D48983" w14:textId="577A5390" w:rsidR="00BA4189" w:rsidRPr="007F2D05" w:rsidRDefault="00BA4189" w:rsidP="001D0ACA">
      <w:pPr>
        <w:pStyle w:val="Heading4"/>
        <w:rPr>
          <w:rFonts w:cs="Angsana New"/>
          <w:szCs w:val="22"/>
          <w:lang w:bidi="th-TH"/>
        </w:rPr>
      </w:pPr>
      <w:r w:rsidRPr="007F2D05">
        <w:rPr>
          <w:rFonts w:cs="Angsana New"/>
          <w:szCs w:val="22"/>
          <w:lang w:bidi="th-TH"/>
        </w:rPr>
        <w:t>the closure (or reopening) of a Subcontractor’s facility or other locations where subcontracted activities are being carried out in respect of goods or materials required for the Works; and</w:t>
      </w:r>
    </w:p>
    <w:p w14:paraId="02FC6AA6" w14:textId="00F82B4A" w:rsidR="00740AC2" w:rsidRPr="00DF372E" w:rsidRDefault="00740AC2" w:rsidP="001D0ACA">
      <w:pPr>
        <w:pStyle w:val="Heading4"/>
        <w:rPr>
          <w:rFonts w:cs="Angsana New"/>
          <w:szCs w:val="22"/>
          <w:lang w:bidi="th-TH"/>
        </w:rPr>
      </w:pPr>
      <w:r w:rsidRPr="007F2D05">
        <w:rPr>
          <w:rFonts w:cs="Angsana New"/>
          <w:szCs w:val="22"/>
          <w:lang w:bidi="th-TH"/>
        </w:rPr>
        <w:lastRenderedPageBreak/>
        <w:t>delays</w:t>
      </w:r>
      <w:r w:rsidRPr="00B92275">
        <w:rPr>
          <w:lang w:bidi="th-TH"/>
        </w:rPr>
        <w:t xml:space="preserve"> in transport, quarantine or customs clearances of any item intended to be used in performing</w:t>
      </w:r>
      <w:r w:rsidRPr="00DF372E">
        <w:rPr>
          <w:rFonts w:cs="Angsana New"/>
          <w:szCs w:val="22"/>
          <w:lang w:bidi="th-TH"/>
        </w:rPr>
        <w:t xml:space="preserve"> </w:t>
      </w:r>
      <w:r w:rsidR="00B92275">
        <w:rPr>
          <w:rFonts w:cs="Angsana New"/>
          <w:szCs w:val="22"/>
          <w:lang w:bidi="th-TH"/>
        </w:rPr>
        <w:t xml:space="preserve">the </w:t>
      </w:r>
      <w:r w:rsidR="00B92275">
        <w:rPr>
          <w:lang w:bidi="th-TH"/>
        </w:rPr>
        <w:t xml:space="preserve">Contractor’s Activities </w:t>
      </w:r>
      <w:r w:rsidRPr="00DF372E">
        <w:rPr>
          <w:rFonts w:cs="Angsana New"/>
          <w:szCs w:val="22"/>
          <w:lang w:bidi="th-TH"/>
        </w:rPr>
        <w:t>or incorporated into the Works</w:t>
      </w:r>
      <w:r w:rsidR="00BA4189">
        <w:rPr>
          <w:rFonts w:cs="Angsana New"/>
          <w:szCs w:val="22"/>
          <w:lang w:bidi="th-TH"/>
        </w:rPr>
        <w:t>.</w:t>
      </w:r>
    </w:p>
    <w:p w14:paraId="28941F13" w14:textId="04DB9B66" w:rsidR="00740AC2" w:rsidRPr="00DF372E" w:rsidRDefault="00BA4189" w:rsidP="00BA4189">
      <w:pPr>
        <w:pStyle w:val="Heading3"/>
        <w:rPr>
          <w:rFonts w:cs="Angsana New"/>
          <w:szCs w:val="22"/>
          <w:lang w:bidi="th-TH"/>
        </w:rPr>
      </w:pPr>
      <w:r>
        <w:rPr>
          <w:rFonts w:cs="Angsana New"/>
          <w:szCs w:val="22"/>
          <w:lang w:bidi="th-TH"/>
        </w:rPr>
        <w:t>T</w:t>
      </w:r>
      <w:r w:rsidR="00740AC2" w:rsidRPr="00DF372E">
        <w:rPr>
          <w:rFonts w:cs="Angsana New"/>
          <w:szCs w:val="22"/>
          <w:lang w:bidi="th-TH"/>
        </w:rPr>
        <w:t xml:space="preserve">he </w:t>
      </w:r>
      <w:r w:rsidR="00740AC2" w:rsidRPr="00BA4189">
        <w:rPr>
          <w:rFonts w:cs="Angsana New"/>
          <w:szCs w:val="20"/>
          <w:lang w:eastAsia="zh-CN" w:bidi="th-TH"/>
        </w:rPr>
        <w:t>Contractor</w:t>
      </w:r>
      <w:r w:rsidR="00740AC2" w:rsidRPr="00DF372E">
        <w:rPr>
          <w:rFonts w:cs="Angsana New"/>
          <w:szCs w:val="22"/>
          <w:lang w:bidi="th-TH"/>
        </w:rPr>
        <w:t xml:space="preserve"> must: </w:t>
      </w:r>
    </w:p>
    <w:p w14:paraId="5578DB4B" w14:textId="5F8FFDA6" w:rsidR="00740AC2" w:rsidRPr="00BA4189" w:rsidRDefault="00740AC2" w:rsidP="00BA4189">
      <w:pPr>
        <w:pStyle w:val="Heading4"/>
        <w:rPr>
          <w:lang w:bidi="th-TH"/>
        </w:rPr>
      </w:pPr>
      <w:r w:rsidRPr="00BA4189">
        <w:rPr>
          <w:lang w:bidi="th-TH"/>
        </w:rPr>
        <w:t xml:space="preserve">proactively monitor the potential impacts of </w:t>
      </w:r>
      <w:r w:rsidR="007F2D05">
        <w:rPr>
          <w:lang w:bidi="th-TH"/>
        </w:rPr>
        <w:t>any</w:t>
      </w:r>
      <w:r w:rsidRPr="00BA4189">
        <w:rPr>
          <w:lang w:bidi="th-TH"/>
        </w:rPr>
        <w:t xml:space="preserve"> Pandemic on the </w:t>
      </w:r>
      <w:r w:rsidR="00BA4189">
        <w:rPr>
          <w:lang w:bidi="th-TH"/>
        </w:rPr>
        <w:t xml:space="preserve">Contractor’s Activities and the </w:t>
      </w:r>
      <w:r w:rsidRPr="00BA4189">
        <w:rPr>
          <w:lang w:bidi="th-TH"/>
        </w:rPr>
        <w:t>Works;</w:t>
      </w:r>
    </w:p>
    <w:p w14:paraId="1881B05A" w14:textId="3202A58B" w:rsidR="00740AC2" w:rsidRPr="00BA4189" w:rsidRDefault="00740AC2" w:rsidP="00BA4189">
      <w:pPr>
        <w:pStyle w:val="Heading4"/>
        <w:rPr>
          <w:lang w:bidi="th-TH"/>
        </w:rPr>
      </w:pPr>
      <w:r w:rsidRPr="00BA4189">
        <w:rPr>
          <w:lang w:bidi="th-TH"/>
        </w:rPr>
        <w:t>without limiting its other obligations under th</w:t>
      </w:r>
      <w:r w:rsidR="00066712">
        <w:rPr>
          <w:lang w:bidi="th-TH"/>
        </w:rPr>
        <w:t>e</w:t>
      </w:r>
      <w:r w:rsidRPr="00BA4189">
        <w:rPr>
          <w:lang w:bidi="th-TH"/>
        </w:rPr>
        <w:t xml:space="preserve"> Contract, </w:t>
      </w:r>
      <w:r w:rsidR="00BA4189">
        <w:rPr>
          <w:lang w:bidi="th-TH"/>
        </w:rPr>
        <w:t xml:space="preserve">promptly </w:t>
      </w:r>
      <w:r w:rsidRPr="00BA4189">
        <w:rPr>
          <w:lang w:bidi="th-TH"/>
        </w:rPr>
        <w:t xml:space="preserve">advise the Principal if </w:t>
      </w:r>
      <w:r w:rsidR="009F61EA">
        <w:rPr>
          <w:lang w:bidi="th-TH"/>
        </w:rPr>
        <w:t xml:space="preserve">it </w:t>
      </w:r>
      <w:r w:rsidRPr="00BA4189">
        <w:rPr>
          <w:lang w:bidi="th-TH"/>
        </w:rPr>
        <w:t xml:space="preserve">becomes aware </w:t>
      </w:r>
      <w:r w:rsidR="009F61EA">
        <w:rPr>
          <w:lang w:bidi="th-TH"/>
        </w:rPr>
        <w:t xml:space="preserve">of any impact that </w:t>
      </w:r>
      <w:r w:rsidR="007F2D05">
        <w:rPr>
          <w:lang w:bidi="th-TH"/>
        </w:rPr>
        <w:t>a</w:t>
      </w:r>
      <w:r w:rsidRPr="00BA4189">
        <w:rPr>
          <w:lang w:bidi="th-TH"/>
        </w:rPr>
        <w:t xml:space="preserve"> </w:t>
      </w:r>
      <w:r w:rsidR="009F61EA">
        <w:rPr>
          <w:lang w:bidi="th-TH"/>
        </w:rPr>
        <w:t xml:space="preserve">Pandemic has had or may have on the Contractor’s Activities or the </w:t>
      </w:r>
      <w:r w:rsidR="009F61EA" w:rsidRPr="00BA4189">
        <w:rPr>
          <w:lang w:bidi="th-TH"/>
        </w:rPr>
        <w:t xml:space="preserve">Works </w:t>
      </w:r>
      <w:r w:rsidR="009F61EA">
        <w:rPr>
          <w:lang w:bidi="th-TH"/>
        </w:rPr>
        <w:t xml:space="preserve">and thereafter </w:t>
      </w:r>
      <w:r w:rsidR="009F61EA" w:rsidRPr="00BA4189">
        <w:rPr>
          <w:lang w:bidi="th-TH"/>
        </w:rPr>
        <w:t xml:space="preserve">consult with </w:t>
      </w:r>
      <w:r w:rsidR="009F61EA">
        <w:rPr>
          <w:lang w:bidi="th-TH"/>
        </w:rPr>
        <w:t>the Principal in relation to that impact;</w:t>
      </w:r>
      <w:r w:rsidRPr="00BA4189">
        <w:rPr>
          <w:lang w:bidi="th-TH"/>
        </w:rPr>
        <w:t xml:space="preserve"> </w:t>
      </w:r>
    </w:p>
    <w:p w14:paraId="425739F2" w14:textId="2A958FFA" w:rsidR="00740AC2" w:rsidRPr="00BA4189" w:rsidRDefault="00740AC2" w:rsidP="00BA4189">
      <w:pPr>
        <w:pStyle w:val="Heading4"/>
        <w:rPr>
          <w:lang w:bidi="th-TH"/>
        </w:rPr>
      </w:pPr>
      <w:r w:rsidRPr="00BA4189">
        <w:rPr>
          <w:lang w:bidi="th-TH"/>
        </w:rPr>
        <w:t xml:space="preserve">implement all necessary measures to </w:t>
      </w:r>
      <w:r w:rsidR="009F61EA">
        <w:rPr>
          <w:lang w:bidi="th-TH"/>
        </w:rPr>
        <w:t xml:space="preserve">avoid, or if avoidance is not possible, </w:t>
      </w:r>
      <w:r w:rsidRPr="00BA4189">
        <w:rPr>
          <w:lang w:bidi="th-TH"/>
        </w:rPr>
        <w:t xml:space="preserve">minimise </w:t>
      </w:r>
      <w:r w:rsidR="009F61EA">
        <w:rPr>
          <w:lang w:bidi="th-TH"/>
        </w:rPr>
        <w:t xml:space="preserve">and </w:t>
      </w:r>
      <w:r w:rsidR="009F61EA" w:rsidRPr="00BA4189">
        <w:rPr>
          <w:lang w:bidi="th-TH"/>
        </w:rPr>
        <w:t>mitigat</w:t>
      </w:r>
      <w:r w:rsidR="009F61EA">
        <w:rPr>
          <w:lang w:bidi="th-TH"/>
        </w:rPr>
        <w:t>e</w:t>
      </w:r>
      <w:r w:rsidR="009F61EA" w:rsidRPr="00BA4189">
        <w:rPr>
          <w:lang w:bidi="th-TH"/>
        </w:rPr>
        <w:t xml:space="preserve"> </w:t>
      </w:r>
      <w:r w:rsidR="009F61EA">
        <w:rPr>
          <w:lang w:bidi="th-TH"/>
        </w:rPr>
        <w:t>a</w:t>
      </w:r>
      <w:r w:rsidRPr="00BA4189">
        <w:rPr>
          <w:lang w:bidi="th-TH"/>
        </w:rPr>
        <w:t xml:space="preserve">ny potential </w:t>
      </w:r>
      <w:r w:rsidR="009F61EA">
        <w:rPr>
          <w:lang w:bidi="th-TH"/>
        </w:rPr>
        <w:t xml:space="preserve">or actual </w:t>
      </w:r>
      <w:r w:rsidRPr="00BA4189">
        <w:rPr>
          <w:lang w:bidi="th-TH"/>
        </w:rPr>
        <w:t>impact</w:t>
      </w:r>
      <w:r w:rsidR="007F2D05">
        <w:rPr>
          <w:lang w:bidi="th-TH"/>
        </w:rPr>
        <w:t>s</w:t>
      </w:r>
      <w:r w:rsidRPr="00BA4189">
        <w:rPr>
          <w:lang w:bidi="th-TH"/>
        </w:rPr>
        <w:t xml:space="preserve"> of </w:t>
      </w:r>
      <w:r w:rsidR="007F2D05">
        <w:rPr>
          <w:lang w:bidi="th-TH"/>
        </w:rPr>
        <w:t>a</w:t>
      </w:r>
      <w:r w:rsidR="009F61EA">
        <w:rPr>
          <w:lang w:bidi="th-TH"/>
        </w:rPr>
        <w:t xml:space="preserve"> </w:t>
      </w:r>
      <w:r w:rsidRPr="00BA4189">
        <w:rPr>
          <w:lang w:bidi="th-TH"/>
        </w:rPr>
        <w:t xml:space="preserve">Pandemic on </w:t>
      </w:r>
      <w:r w:rsidR="009F61EA">
        <w:rPr>
          <w:lang w:bidi="th-TH"/>
        </w:rPr>
        <w:t xml:space="preserve">the Contractor’s Activities or </w:t>
      </w:r>
      <w:r w:rsidRPr="00BA4189">
        <w:rPr>
          <w:lang w:bidi="th-TH"/>
        </w:rPr>
        <w:t>the Works; and</w:t>
      </w:r>
    </w:p>
    <w:p w14:paraId="2756DD2C" w14:textId="46C1326D" w:rsidR="00740AC2" w:rsidRDefault="00740AC2" w:rsidP="00BA4189">
      <w:pPr>
        <w:pStyle w:val="Heading4"/>
        <w:rPr>
          <w:rFonts w:cs="Angsana New"/>
          <w:szCs w:val="22"/>
          <w:lang w:bidi="th-TH"/>
        </w:rPr>
      </w:pPr>
      <w:r w:rsidRPr="00BA4189">
        <w:rPr>
          <w:lang w:bidi="th-TH"/>
        </w:rPr>
        <w:t>sequence</w:t>
      </w:r>
      <w:r w:rsidRPr="00DF372E">
        <w:rPr>
          <w:rFonts w:cs="Angsana New"/>
          <w:szCs w:val="22"/>
          <w:lang w:bidi="th-TH"/>
        </w:rPr>
        <w:t xml:space="preserve"> the </w:t>
      </w:r>
      <w:r w:rsidR="009F61EA">
        <w:rPr>
          <w:lang w:bidi="th-TH"/>
        </w:rPr>
        <w:t>Contractor’s Activities and the W</w:t>
      </w:r>
      <w:r w:rsidRPr="00DF372E">
        <w:rPr>
          <w:rFonts w:cs="Angsana New"/>
          <w:szCs w:val="22"/>
          <w:lang w:bidi="th-TH"/>
        </w:rPr>
        <w:t>orks and employ construction methodologies and practices</w:t>
      </w:r>
      <w:r w:rsidR="009F61EA">
        <w:rPr>
          <w:rFonts w:cs="Angsana New"/>
          <w:szCs w:val="22"/>
          <w:lang w:bidi="th-TH"/>
        </w:rPr>
        <w:t xml:space="preserve"> that </w:t>
      </w:r>
      <w:r w:rsidRPr="00DF372E">
        <w:rPr>
          <w:rFonts w:cs="Angsana New"/>
          <w:szCs w:val="22"/>
          <w:lang w:bidi="th-TH"/>
        </w:rPr>
        <w:t xml:space="preserve">minimise the impacts of </w:t>
      </w:r>
      <w:r w:rsidR="007F2D05">
        <w:rPr>
          <w:rFonts w:cs="Angsana New"/>
          <w:szCs w:val="22"/>
          <w:lang w:bidi="th-TH"/>
        </w:rPr>
        <w:t xml:space="preserve">any </w:t>
      </w:r>
      <w:r w:rsidRPr="00DF372E">
        <w:rPr>
          <w:rFonts w:cs="Angsana New"/>
          <w:szCs w:val="22"/>
          <w:lang w:bidi="th-TH"/>
        </w:rPr>
        <w:t xml:space="preserve">Pandemic on the </w:t>
      </w:r>
      <w:r w:rsidR="009F61EA">
        <w:rPr>
          <w:rFonts w:cs="Angsana New"/>
          <w:szCs w:val="22"/>
          <w:lang w:bidi="th-TH"/>
        </w:rPr>
        <w:t xml:space="preserve">Contractor’s Activities and the </w:t>
      </w:r>
      <w:r w:rsidRPr="00DF372E">
        <w:rPr>
          <w:rFonts w:cs="Angsana New"/>
          <w:szCs w:val="22"/>
          <w:lang w:bidi="th-TH"/>
        </w:rPr>
        <w:t>Works</w:t>
      </w:r>
      <w:r w:rsidR="009F61EA">
        <w:rPr>
          <w:rFonts w:cs="Angsana New"/>
          <w:szCs w:val="22"/>
          <w:lang w:bidi="th-TH"/>
        </w:rPr>
        <w:t>.</w:t>
      </w:r>
    </w:p>
    <w:p w14:paraId="4040C0F2" w14:textId="23FD9FAD" w:rsidR="00EF451E" w:rsidRDefault="00EF451E" w:rsidP="00EF451E">
      <w:pPr>
        <w:pStyle w:val="Heading3"/>
        <w:numPr>
          <w:ilvl w:val="0"/>
          <w:numId w:val="0"/>
        </w:numPr>
        <w:ind w:left="964" w:hanging="964"/>
      </w:pPr>
      <w:r>
        <w:t>3.</w:t>
      </w:r>
      <w:r w:rsidR="000C334E">
        <w:t>4</w:t>
      </w:r>
      <w:r>
        <w:tab/>
        <w:t>Add a new clause 9.</w:t>
      </w:r>
      <w:r w:rsidR="008D7436">
        <w:t>7</w:t>
      </w:r>
      <w:r>
        <w:t xml:space="preserve"> as follows:</w:t>
      </w:r>
    </w:p>
    <w:p w14:paraId="7D9BCDFF" w14:textId="53E37767" w:rsidR="0078569B" w:rsidRPr="00EF451E" w:rsidRDefault="00EF451E" w:rsidP="00EF451E">
      <w:pPr>
        <w:pStyle w:val="Heading3"/>
        <w:numPr>
          <w:ilvl w:val="0"/>
          <w:numId w:val="0"/>
        </w:numPr>
        <w:ind w:left="964"/>
        <w:rPr>
          <w:rFonts w:cs="Angsana New"/>
          <w:b/>
          <w:bCs w:val="0"/>
          <w:sz w:val="24"/>
          <w:szCs w:val="24"/>
          <w:lang w:eastAsia="zh-CN" w:bidi="th-TH"/>
        </w:rPr>
      </w:pPr>
      <w:r w:rsidRPr="00EF451E">
        <w:rPr>
          <w:rFonts w:cs="Angsana New"/>
          <w:b/>
          <w:bCs w:val="0"/>
          <w:sz w:val="24"/>
          <w:szCs w:val="24"/>
          <w:lang w:eastAsia="zh-CN" w:bidi="th-TH"/>
        </w:rPr>
        <w:t>9.</w:t>
      </w:r>
      <w:r w:rsidR="008D7436">
        <w:rPr>
          <w:rFonts w:cs="Angsana New"/>
          <w:b/>
          <w:bCs w:val="0"/>
          <w:sz w:val="24"/>
          <w:szCs w:val="24"/>
          <w:lang w:eastAsia="zh-CN" w:bidi="th-TH"/>
        </w:rPr>
        <w:t>7</w:t>
      </w:r>
      <w:r w:rsidRPr="00EF451E">
        <w:rPr>
          <w:rFonts w:cs="Angsana New"/>
          <w:b/>
          <w:bCs w:val="0"/>
          <w:sz w:val="24"/>
          <w:szCs w:val="24"/>
          <w:lang w:eastAsia="zh-CN" w:bidi="th-TH"/>
        </w:rPr>
        <w:tab/>
        <w:t>Pandemic Adjustment Event</w:t>
      </w:r>
    </w:p>
    <w:p w14:paraId="48287EBD" w14:textId="76DD4FE9" w:rsidR="007E1E70" w:rsidRPr="001F443F" w:rsidRDefault="00EF451E" w:rsidP="00710987">
      <w:pPr>
        <w:pStyle w:val="Heading3"/>
        <w:numPr>
          <w:ilvl w:val="2"/>
          <w:numId w:val="29"/>
        </w:numPr>
        <w:rPr>
          <w:rFonts w:cs="Angsana New"/>
          <w:szCs w:val="20"/>
          <w:lang w:eastAsia="zh-CN" w:bidi="th-TH"/>
        </w:rPr>
      </w:pPr>
      <w:r w:rsidRPr="00BC4498">
        <w:t xml:space="preserve">If the Contractor considers that </w:t>
      </w:r>
      <w:r>
        <w:t>a</w:t>
      </w:r>
      <w:r w:rsidRPr="00EF451E">
        <w:rPr>
          <w:rFonts w:cs="Angsana New"/>
          <w:szCs w:val="20"/>
          <w:lang w:eastAsia="zh-CN" w:bidi="th-TH"/>
        </w:rPr>
        <w:t xml:space="preserve"> Pandemic Adjustment Event</w:t>
      </w:r>
      <w:r w:rsidRPr="00BC4498">
        <w:t xml:space="preserve"> has </w:t>
      </w:r>
      <w:r>
        <w:t>occurred</w:t>
      </w:r>
      <w:r w:rsidRPr="00BC4498">
        <w:t xml:space="preserve"> it must give written notice to the Principal's Representative no later than </w:t>
      </w:r>
      <w:r w:rsidR="004864EB" w:rsidRPr="001F443F">
        <w:rPr>
          <w:lang w:eastAsia="zh-CN"/>
        </w:rPr>
        <w:t>5</w:t>
      </w:r>
      <w:r w:rsidRPr="001F443F">
        <w:t xml:space="preserve"> Business Days after becoming aware of its occurrence,</w:t>
      </w:r>
      <w:r w:rsidR="007E1E70" w:rsidRPr="001F443F">
        <w:rPr>
          <w:rFonts w:cs="Angsana New"/>
          <w:szCs w:val="20"/>
          <w:lang w:eastAsia="zh-CN" w:bidi="th-TH"/>
        </w:rPr>
        <w:t xml:space="preserve"> together with particulars of the Pandemic Adjustment Event.</w:t>
      </w:r>
    </w:p>
    <w:p w14:paraId="59D56BC4" w14:textId="6447E7C5" w:rsidR="00176EC7" w:rsidRPr="00EF451E" w:rsidRDefault="00EF451E" w:rsidP="00EF451E">
      <w:pPr>
        <w:pStyle w:val="Heading3"/>
        <w:rPr>
          <w:rFonts w:cs="Angsana New"/>
          <w:szCs w:val="20"/>
          <w:lang w:eastAsia="zh-CN" w:bidi="th-TH"/>
        </w:rPr>
      </w:pPr>
      <w:r w:rsidRPr="001F443F">
        <w:t xml:space="preserve">Within </w:t>
      </w:r>
      <w:r w:rsidR="004864EB" w:rsidRPr="001F443F">
        <w:t>10</w:t>
      </w:r>
      <w:r w:rsidRPr="001F443F">
        <w:t xml:space="preserve"> Business Days after receipt of a notice under clause</w:t>
      </w:r>
      <w:r>
        <w:t xml:space="preserve"> 9.</w:t>
      </w:r>
      <w:r w:rsidR="008D7436">
        <w:t>7</w:t>
      </w:r>
      <w:r>
        <w:t>(a), the Principal's Representative</w:t>
      </w:r>
      <w:r w:rsidR="00176EC7" w:rsidRPr="00EF451E">
        <w:rPr>
          <w:rFonts w:cs="Angsana New"/>
          <w:szCs w:val="20"/>
          <w:lang w:eastAsia="zh-CN" w:bidi="th-TH"/>
        </w:rPr>
        <w:t>:</w:t>
      </w:r>
      <w:r w:rsidR="007E1E70" w:rsidRPr="00EF451E">
        <w:rPr>
          <w:rFonts w:cs="Angsana New"/>
          <w:szCs w:val="20"/>
          <w:lang w:eastAsia="zh-CN" w:bidi="th-TH"/>
        </w:rPr>
        <w:t xml:space="preserve"> </w:t>
      </w:r>
    </w:p>
    <w:p w14:paraId="59512B8E" w14:textId="359354BF" w:rsidR="00EF451E" w:rsidRPr="00EF451E" w:rsidRDefault="00EF451E" w:rsidP="006304FC">
      <w:pPr>
        <w:pStyle w:val="Heading4"/>
        <w:rPr>
          <w:lang w:bidi="th-TH"/>
        </w:rPr>
      </w:pPr>
      <w:r>
        <w:rPr>
          <w:rFonts w:cs="Angsana New"/>
          <w:lang w:eastAsia="zh-CN" w:bidi="th-TH"/>
        </w:rPr>
        <w:t xml:space="preserve">will </w:t>
      </w:r>
      <w:r w:rsidRPr="006304FC">
        <w:rPr>
          <w:lang w:bidi="th-TH"/>
        </w:rPr>
        <w:t xml:space="preserve">notify the Contractor </w:t>
      </w:r>
      <w:r w:rsidR="001F443F">
        <w:rPr>
          <w:lang w:bidi="th-TH"/>
        </w:rPr>
        <w:t>if it agrees</w:t>
      </w:r>
      <w:r w:rsidRPr="006304FC">
        <w:rPr>
          <w:lang w:bidi="th-TH"/>
        </w:rPr>
        <w:t xml:space="preserve"> </w:t>
      </w:r>
      <w:r w:rsidR="001F443F">
        <w:rPr>
          <w:lang w:bidi="th-TH"/>
        </w:rPr>
        <w:t xml:space="preserve">that </w:t>
      </w:r>
      <w:r w:rsidRPr="006304FC">
        <w:rPr>
          <w:lang w:bidi="th-TH"/>
        </w:rPr>
        <w:t>a Pandemic Adjustment Event has occurred; and</w:t>
      </w:r>
    </w:p>
    <w:p w14:paraId="4A0494CE" w14:textId="70999B84" w:rsidR="0078569B" w:rsidRDefault="00EF451E" w:rsidP="006304FC">
      <w:pPr>
        <w:pStyle w:val="Heading4"/>
      </w:pPr>
      <w:r w:rsidRPr="006304FC">
        <w:rPr>
          <w:lang w:bidi="th-TH"/>
        </w:rPr>
        <w:t xml:space="preserve">may, if it </w:t>
      </w:r>
      <w:r w:rsidR="001F443F">
        <w:rPr>
          <w:lang w:bidi="th-TH"/>
        </w:rPr>
        <w:t>agrees</w:t>
      </w:r>
      <w:r w:rsidR="006304FC" w:rsidRPr="006304FC">
        <w:rPr>
          <w:lang w:bidi="th-TH"/>
        </w:rPr>
        <w:t xml:space="preserve"> that </w:t>
      </w:r>
      <w:r w:rsidRPr="006304FC">
        <w:rPr>
          <w:lang w:bidi="th-TH"/>
        </w:rPr>
        <w:t>a Pandemic Adjustment Event has occurred</w:t>
      </w:r>
      <w:r w:rsidR="006304FC" w:rsidRPr="006304FC">
        <w:rPr>
          <w:lang w:bidi="th-TH"/>
        </w:rPr>
        <w:t>,</w:t>
      </w:r>
      <w:r w:rsidRPr="006304FC">
        <w:rPr>
          <w:lang w:bidi="th-TH"/>
        </w:rPr>
        <w:t xml:space="preserve"> </w:t>
      </w:r>
      <w:r w:rsidR="00E267D3">
        <w:rPr>
          <w:lang w:bidi="th-TH"/>
        </w:rPr>
        <w:t>direct the Contractor</w:t>
      </w:r>
      <w:r w:rsidR="00E267D3">
        <w:t xml:space="preserve"> as to how it is to proceed insofar as the Contractor’s Activities or the Works are affected</w:t>
      </w:r>
      <w:r w:rsidR="007E1E70" w:rsidRPr="007E1E70">
        <w:t xml:space="preserve"> </w:t>
      </w:r>
      <w:r w:rsidR="007E1E70">
        <w:t xml:space="preserve">by </w:t>
      </w:r>
      <w:r w:rsidR="007F2D05">
        <w:t xml:space="preserve">the </w:t>
      </w:r>
      <w:r w:rsidR="007E1E70">
        <w:t>Pandemic Adjustment Event</w:t>
      </w:r>
      <w:r w:rsidR="00E267D3">
        <w:t>.</w:t>
      </w:r>
    </w:p>
    <w:p w14:paraId="47DE1E29" w14:textId="797AAD8C" w:rsidR="003A5843" w:rsidRDefault="006304FC" w:rsidP="00711AA3">
      <w:pPr>
        <w:pStyle w:val="Heading3"/>
        <w:numPr>
          <w:ilvl w:val="2"/>
          <w:numId w:val="11"/>
        </w:numPr>
      </w:pPr>
      <w:r w:rsidRPr="006304FC">
        <w:rPr>
          <w:rFonts w:cs="Times New Roman"/>
          <w:lang w:bidi="th-TH"/>
        </w:rPr>
        <w:t xml:space="preserve">If </w:t>
      </w:r>
      <w:r>
        <w:t>the Principal's Representative gives notice under clause 9.</w:t>
      </w:r>
      <w:r w:rsidR="008D7436">
        <w:t>7</w:t>
      </w:r>
      <w:r>
        <w:t xml:space="preserve">(b)(i) </w:t>
      </w:r>
      <w:r w:rsidR="001F443F">
        <w:t xml:space="preserve">agreeing </w:t>
      </w:r>
      <w:r w:rsidRPr="006304FC">
        <w:rPr>
          <w:rFonts w:cs="Times New Roman"/>
          <w:lang w:bidi="th-TH"/>
        </w:rPr>
        <w:t xml:space="preserve">that </w:t>
      </w:r>
      <w:r w:rsidRPr="006304FC">
        <w:rPr>
          <w:rFonts w:cs="Times New Roman"/>
          <w:szCs w:val="28"/>
          <w:lang w:bidi="th-TH"/>
        </w:rPr>
        <w:t>a Pandemic Adjustment Event has occurred</w:t>
      </w:r>
      <w:r>
        <w:rPr>
          <w:rFonts w:cs="Times New Roman"/>
          <w:szCs w:val="28"/>
          <w:lang w:bidi="th-TH"/>
        </w:rPr>
        <w:t>,</w:t>
      </w:r>
      <w:r w:rsidRPr="003C250E">
        <w:t xml:space="preserve"> </w:t>
      </w:r>
      <w:r>
        <w:t>t</w:t>
      </w:r>
      <w:r w:rsidR="00E267D3" w:rsidRPr="003C250E">
        <w:t xml:space="preserve">he Contractor may submit an Adjustment Notice in respect of </w:t>
      </w:r>
      <w:r>
        <w:t xml:space="preserve">that </w:t>
      </w:r>
      <w:r w:rsidR="00176EC7">
        <w:t>Pandemic Adjustment Event</w:t>
      </w:r>
      <w:r w:rsidR="00176EC7" w:rsidRPr="003C250E">
        <w:t xml:space="preserve"> </w:t>
      </w:r>
      <w:r w:rsidR="009F796B">
        <w:t xml:space="preserve">(and any direction given under clause 9.7(b)(ii)) </w:t>
      </w:r>
      <w:r w:rsidR="00E267D3" w:rsidRPr="003C250E">
        <w:rPr>
          <w:lang w:eastAsia="zh-CN"/>
        </w:rPr>
        <w:t xml:space="preserve">no </w:t>
      </w:r>
      <w:r w:rsidR="00E267D3" w:rsidRPr="003C250E">
        <w:t>later</w:t>
      </w:r>
      <w:r w:rsidR="00E267D3" w:rsidRPr="003C250E">
        <w:rPr>
          <w:lang w:eastAsia="zh-CN"/>
        </w:rPr>
        <w:t xml:space="preserve"> </w:t>
      </w:r>
      <w:r w:rsidR="00E267D3" w:rsidRPr="003C250E">
        <w:t>than</w:t>
      </w:r>
      <w:r w:rsidR="00E267D3" w:rsidRPr="003C250E">
        <w:rPr>
          <w:lang w:eastAsia="zh-CN"/>
        </w:rPr>
        <w:t xml:space="preserve"> </w:t>
      </w:r>
      <w:r w:rsidR="00E267D3">
        <w:rPr>
          <w:lang w:eastAsia="zh-CN"/>
        </w:rPr>
        <w:t>the date for submission specified in the Adjustment Event Table</w:t>
      </w:r>
      <w:r w:rsidR="003A5843">
        <w:rPr>
          <w:lang w:eastAsia="zh-CN"/>
        </w:rPr>
        <w:t>.</w:t>
      </w:r>
    </w:p>
    <w:p w14:paraId="26E678E5" w14:textId="129F47E0" w:rsidR="00641363" w:rsidRDefault="00641363" w:rsidP="000C334E">
      <w:pPr>
        <w:pStyle w:val="Heading3"/>
        <w:numPr>
          <w:ilvl w:val="0"/>
          <w:numId w:val="0"/>
        </w:numPr>
        <w:ind w:left="964" w:hanging="964"/>
      </w:pPr>
      <w:r>
        <w:t>3.</w:t>
      </w:r>
      <w:r w:rsidR="000C334E">
        <w:t>5</w:t>
      </w:r>
      <w:r>
        <w:tab/>
        <w:t xml:space="preserve">Insert a new row in the </w:t>
      </w:r>
      <w:r w:rsidRPr="008D492A">
        <w:t>Adjustment Event Table</w:t>
      </w:r>
      <w:r>
        <w:t xml:space="preserve"> in clause 10.1(</w:t>
      </w:r>
      <w:r w:rsidR="008D7436">
        <w:t>f</w:t>
      </w:r>
      <w:r>
        <w:t xml:space="preserve">) as follows (placed immediately after existing row </w:t>
      </w:r>
      <w:r w:rsidR="0084307D">
        <w:t>10</w:t>
      </w:r>
      <w:r>
        <w:t xml:space="preserve"> (Force Majeure Event</w:t>
      </w:r>
      <w:r w:rsidR="007865AE">
        <w:t>)</w:t>
      </w:r>
      <w:r>
        <w:t>, with the remaining rows renumbered accordingly):</w:t>
      </w:r>
    </w:p>
    <w:tbl>
      <w:tblPr>
        <w:tblStyle w:val="TableGrid"/>
        <w:tblW w:w="0" w:type="auto"/>
        <w:tblInd w:w="1101" w:type="dxa"/>
        <w:tblLook w:val="04A0" w:firstRow="1" w:lastRow="0" w:firstColumn="1" w:lastColumn="0" w:noHBand="0" w:noVBand="1"/>
      </w:tblPr>
      <w:tblGrid>
        <w:gridCol w:w="565"/>
        <w:gridCol w:w="1834"/>
        <w:gridCol w:w="3499"/>
        <w:gridCol w:w="781"/>
        <w:gridCol w:w="782"/>
        <w:gridCol w:w="782"/>
      </w:tblGrid>
      <w:tr w:rsidR="005F796F" w14:paraId="3C122C25" w14:textId="77777777" w:rsidTr="007C6325">
        <w:tc>
          <w:tcPr>
            <w:tcW w:w="567" w:type="dxa"/>
            <w:shd w:val="clear" w:color="auto" w:fill="CFC9C8" w:themeFill="background2" w:themeFillTint="66"/>
          </w:tcPr>
          <w:p w14:paraId="4AF69F53" w14:textId="777B4C39" w:rsidR="005F796F" w:rsidRDefault="005F796F" w:rsidP="00641363">
            <w:pPr>
              <w:pStyle w:val="IndentParaLevel1"/>
              <w:numPr>
                <w:ilvl w:val="0"/>
                <w:numId w:val="0"/>
              </w:numPr>
            </w:pPr>
            <w:r>
              <w:t>11.</w:t>
            </w:r>
          </w:p>
        </w:tc>
        <w:tc>
          <w:tcPr>
            <w:tcW w:w="1843" w:type="dxa"/>
          </w:tcPr>
          <w:p w14:paraId="724B21D2" w14:textId="44EECB06" w:rsidR="005F796F" w:rsidRDefault="005F796F" w:rsidP="00641363">
            <w:pPr>
              <w:pStyle w:val="IndentParaLevel1"/>
              <w:numPr>
                <w:ilvl w:val="0"/>
                <w:numId w:val="0"/>
              </w:numPr>
            </w:pPr>
            <w:r w:rsidRPr="00AA1448">
              <w:rPr>
                <w:rFonts w:cs="Arial"/>
                <w:sz w:val="18"/>
                <w:szCs w:val="18"/>
              </w:rPr>
              <w:t>(</w:t>
            </w:r>
            <w:r w:rsidRPr="00AA1448">
              <w:rPr>
                <w:rFonts w:cs="Arial"/>
                <w:b/>
                <w:bCs/>
                <w:sz w:val="18"/>
                <w:szCs w:val="18"/>
              </w:rPr>
              <w:t>Pandemic Adjustment Event</w:t>
            </w:r>
            <w:r w:rsidRPr="00AA1448">
              <w:rPr>
                <w:rFonts w:cs="Arial"/>
                <w:sz w:val="18"/>
                <w:szCs w:val="18"/>
              </w:rPr>
              <w:t xml:space="preserve">) </w:t>
            </w:r>
            <w:r w:rsidRPr="003936CF">
              <w:rPr>
                <w:rFonts w:cs="Arial"/>
                <w:sz w:val="18"/>
                <w:szCs w:val="18"/>
              </w:rPr>
              <w:t xml:space="preserve">Principal's Representative has given notice under </w:t>
            </w:r>
            <w:r w:rsidRPr="001D0ACA">
              <w:rPr>
                <w:rFonts w:cs="Arial"/>
                <w:sz w:val="18"/>
                <w:szCs w:val="18"/>
              </w:rPr>
              <w:t>9.7(b)(i) agreeing that a Pandemic Adjustment Event has occurred</w:t>
            </w:r>
          </w:p>
        </w:tc>
        <w:tc>
          <w:tcPr>
            <w:tcW w:w="3544" w:type="dxa"/>
            <w:shd w:val="clear" w:color="auto" w:fill="CFC9C8" w:themeFill="background2" w:themeFillTint="66"/>
          </w:tcPr>
          <w:p w14:paraId="475D59FE" w14:textId="6CDB252A" w:rsidR="005F796F" w:rsidRDefault="005F796F" w:rsidP="00641363">
            <w:pPr>
              <w:pStyle w:val="IndentParaLevel1"/>
              <w:numPr>
                <w:ilvl w:val="0"/>
                <w:numId w:val="0"/>
              </w:numPr>
            </w:pPr>
            <w:r w:rsidRPr="00AA1448">
              <w:rPr>
                <w:rFonts w:cs="Arial"/>
                <w:sz w:val="18"/>
                <w:szCs w:val="18"/>
              </w:rPr>
              <w:t xml:space="preserve">Within 10 Business Days after the </w:t>
            </w:r>
            <w:r w:rsidRPr="00AA1448">
              <w:rPr>
                <w:sz w:val="18"/>
                <w:szCs w:val="18"/>
                <w:lang w:eastAsia="zh-CN"/>
              </w:rPr>
              <w:t>date on which t</w:t>
            </w:r>
            <w:r w:rsidRPr="00AA1448">
              <w:rPr>
                <w:sz w:val="18"/>
                <w:szCs w:val="18"/>
              </w:rPr>
              <w:t xml:space="preserve">he Principal’s Representative </w:t>
            </w:r>
            <w:r>
              <w:rPr>
                <w:sz w:val="18"/>
                <w:szCs w:val="18"/>
              </w:rPr>
              <w:t xml:space="preserve">gives notice </w:t>
            </w:r>
            <w:r w:rsidRPr="00AA1448">
              <w:rPr>
                <w:sz w:val="18"/>
                <w:szCs w:val="18"/>
              </w:rPr>
              <w:t xml:space="preserve">under clause </w:t>
            </w:r>
            <w:r>
              <w:rPr>
                <w:sz w:val="18"/>
                <w:szCs w:val="18"/>
              </w:rPr>
              <w:t xml:space="preserve">9.7(b)(i) </w:t>
            </w:r>
            <w:r w:rsidRPr="001D0ACA">
              <w:rPr>
                <w:rFonts w:cs="Arial"/>
                <w:sz w:val="18"/>
                <w:szCs w:val="18"/>
              </w:rPr>
              <w:t>agreeing that a Pandemic Adjustment Event has occurred</w:t>
            </w:r>
          </w:p>
        </w:tc>
        <w:tc>
          <w:tcPr>
            <w:tcW w:w="791" w:type="dxa"/>
            <w:vAlign w:val="center"/>
          </w:tcPr>
          <w:p w14:paraId="635243E8" w14:textId="0BDB1D0C" w:rsidR="005F796F" w:rsidRDefault="005F796F" w:rsidP="007C6325">
            <w:pPr>
              <w:pStyle w:val="IndentParaLevel1"/>
              <w:numPr>
                <w:ilvl w:val="0"/>
                <w:numId w:val="0"/>
              </w:numPr>
              <w:jc w:val="center"/>
            </w:pPr>
            <w:r w:rsidRPr="00AA1448">
              <w:rPr>
                <w:rFonts w:cs="Arial"/>
                <w:sz w:val="18"/>
                <w:szCs w:val="18"/>
                <w:lang w:eastAsia="en-AU"/>
              </w:rPr>
              <w:sym w:font="Wingdings" w:char="F0FB"/>
            </w:r>
          </w:p>
        </w:tc>
        <w:tc>
          <w:tcPr>
            <w:tcW w:w="791" w:type="dxa"/>
            <w:vAlign w:val="center"/>
          </w:tcPr>
          <w:p w14:paraId="660404EE" w14:textId="36C865F4" w:rsidR="005F796F" w:rsidRDefault="005F796F" w:rsidP="007C6325">
            <w:pPr>
              <w:pStyle w:val="IndentParaLevel1"/>
              <w:numPr>
                <w:ilvl w:val="0"/>
                <w:numId w:val="0"/>
              </w:numPr>
              <w:jc w:val="center"/>
            </w:pPr>
            <w:r w:rsidRPr="00AA1448">
              <w:rPr>
                <w:rFonts w:cs="Arial"/>
                <w:sz w:val="18"/>
                <w:szCs w:val="18"/>
                <w:lang w:eastAsia="en-AU"/>
              </w:rPr>
              <w:sym w:font="Wingdings" w:char="F0FC"/>
            </w:r>
          </w:p>
        </w:tc>
        <w:tc>
          <w:tcPr>
            <w:tcW w:w="792" w:type="dxa"/>
            <w:vAlign w:val="center"/>
          </w:tcPr>
          <w:p w14:paraId="433DFCA5" w14:textId="241AD7F9" w:rsidR="005F796F" w:rsidRDefault="005F796F" w:rsidP="007C6325">
            <w:pPr>
              <w:pStyle w:val="IndentParaLevel1"/>
              <w:numPr>
                <w:ilvl w:val="0"/>
                <w:numId w:val="0"/>
              </w:numPr>
              <w:jc w:val="center"/>
            </w:pPr>
            <w:r w:rsidRPr="00AA1448">
              <w:rPr>
                <w:rFonts w:cs="Arial"/>
                <w:sz w:val="18"/>
                <w:szCs w:val="18"/>
                <w:lang w:eastAsia="en-AU"/>
              </w:rPr>
              <w:sym w:font="Wingdings" w:char="F0FB"/>
            </w:r>
          </w:p>
        </w:tc>
      </w:tr>
    </w:tbl>
    <w:p w14:paraId="17DAE700" w14:textId="18D484E9" w:rsidR="00772360" w:rsidRDefault="00772360" w:rsidP="00497861">
      <w:pPr>
        <w:pStyle w:val="Heading1"/>
        <w:numPr>
          <w:ilvl w:val="0"/>
          <w:numId w:val="11"/>
        </w:numPr>
      </w:pPr>
      <w:bookmarkStart w:id="24" w:name="_Ref132622081"/>
      <w:bookmarkStart w:id="25" w:name="_Ref132622089"/>
      <w:bookmarkStart w:id="26" w:name="_Toc143702853"/>
      <w:r>
        <w:lastRenderedPageBreak/>
        <w:t>A</w:t>
      </w:r>
      <w:r w:rsidR="00ED1016">
        <w:t>pprovals</w:t>
      </w:r>
      <w:r>
        <w:t xml:space="preserve"> delays</w:t>
      </w:r>
      <w:bookmarkEnd w:id="24"/>
      <w:bookmarkEnd w:id="25"/>
      <w:bookmarkEnd w:id="26"/>
    </w:p>
    <w:tbl>
      <w:tblPr>
        <w:tblStyle w:val="TableGrid"/>
        <w:tblW w:w="9356" w:type="dxa"/>
        <w:tblInd w:w="-5" w:type="dxa"/>
        <w:shd w:val="clear" w:color="auto" w:fill="CFD7F1" w:themeFill="accent3" w:themeFillTint="33"/>
        <w:tblLook w:val="04A0" w:firstRow="1" w:lastRow="0" w:firstColumn="1" w:lastColumn="0" w:noHBand="0" w:noVBand="1"/>
      </w:tblPr>
      <w:tblGrid>
        <w:gridCol w:w="9356"/>
      </w:tblGrid>
      <w:tr w:rsidR="00946E15" w:rsidRPr="00D2609B" w14:paraId="512CD6F9" w14:textId="77777777" w:rsidTr="001D64A0">
        <w:tc>
          <w:tcPr>
            <w:tcW w:w="9356" w:type="dxa"/>
            <w:shd w:val="clear" w:color="auto" w:fill="CFD7F1" w:themeFill="accent3" w:themeFillTint="33"/>
          </w:tcPr>
          <w:p w14:paraId="662F3850" w14:textId="66F65785" w:rsidR="003705BC" w:rsidRDefault="00946E15">
            <w:pPr>
              <w:pStyle w:val="IndentParaLevel1"/>
              <w:spacing w:before="60" w:after="60"/>
              <w:ind w:left="0"/>
              <w:rPr>
                <w:sz w:val="18"/>
                <w:szCs w:val="18"/>
              </w:rPr>
            </w:pPr>
            <w:r w:rsidRPr="00D2609B">
              <w:rPr>
                <w:b/>
                <w:bCs/>
                <w:sz w:val="18"/>
                <w:szCs w:val="18"/>
              </w:rPr>
              <w:t>Guidance Note:</w:t>
            </w:r>
            <w:r w:rsidRPr="00D2609B">
              <w:rPr>
                <w:sz w:val="18"/>
                <w:szCs w:val="18"/>
              </w:rPr>
              <w:t xml:space="preserve"> </w:t>
            </w:r>
            <w:r w:rsidR="003705BC">
              <w:rPr>
                <w:sz w:val="18"/>
                <w:szCs w:val="18"/>
              </w:rPr>
              <w:t>T</w:t>
            </w:r>
            <w:r w:rsidR="003705BC" w:rsidRPr="003705BC">
              <w:rPr>
                <w:sz w:val="18"/>
                <w:szCs w:val="18"/>
              </w:rPr>
              <w:t xml:space="preserve">his </w:t>
            </w:r>
            <w:r w:rsidR="002E238C">
              <w:rPr>
                <w:sz w:val="18"/>
                <w:szCs w:val="18"/>
              </w:rPr>
              <w:t>c</w:t>
            </w:r>
            <w:r w:rsidR="003705BC" w:rsidRPr="003705BC">
              <w:rPr>
                <w:sz w:val="18"/>
                <w:szCs w:val="18"/>
              </w:rPr>
              <w:t xml:space="preserve">lause </w:t>
            </w:r>
            <w:r w:rsidR="004E484A">
              <w:rPr>
                <w:sz w:val="18"/>
                <w:szCs w:val="18"/>
              </w:rPr>
              <w:t>gives</w:t>
            </w:r>
            <w:r w:rsidR="002E238C">
              <w:rPr>
                <w:sz w:val="18"/>
                <w:szCs w:val="18"/>
              </w:rPr>
              <w:t xml:space="preserve"> the Contractor time relief for </w:t>
            </w:r>
            <w:r w:rsidR="003705BC" w:rsidRPr="003705BC">
              <w:rPr>
                <w:sz w:val="18"/>
                <w:szCs w:val="18"/>
              </w:rPr>
              <w:t>delay</w:t>
            </w:r>
            <w:r w:rsidR="002E238C">
              <w:rPr>
                <w:sz w:val="18"/>
                <w:szCs w:val="18"/>
              </w:rPr>
              <w:t xml:space="preserve"> caused by </w:t>
            </w:r>
            <w:r w:rsidR="003705BC" w:rsidRPr="003705BC">
              <w:rPr>
                <w:sz w:val="18"/>
                <w:szCs w:val="18"/>
              </w:rPr>
              <w:t xml:space="preserve">Authorities in </w:t>
            </w:r>
            <w:r w:rsidR="002E238C">
              <w:rPr>
                <w:sz w:val="18"/>
                <w:szCs w:val="18"/>
              </w:rPr>
              <w:t>issuing</w:t>
            </w:r>
            <w:r w:rsidR="003705BC" w:rsidRPr="003705BC">
              <w:rPr>
                <w:sz w:val="18"/>
                <w:szCs w:val="18"/>
              </w:rPr>
              <w:t xml:space="preserve"> Approvals. </w:t>
            </w:r>
            <w:r w:rsidR="00987082">
              <w:rPr>
                <w:sz w:val="18"/>
                <w:szCs w:val="18"/>
              </w:rPr>
              <w:t xml:space="preserve">Tenderers </w:t>
            </w:r>
            <w:r w:rsidR="002E238C">
              <w:rPr>
                <w:sz w:val="18"/>
                <w:szCs w:val="18"/>
              </w:rPr>
              <w:t>commonly request</w:t>
            </w:r>
            <w:r w:rsidR="00987082">
              <w:rPr>
                <w:sz w:val="18"/>
                <w:szCs w:val="18"/>
              </w:rPr>
              <w:t xml:space="preserve"> this </w:t>
            </w:r>
            <w:r w:rsidR="002E238C">
              <w:rPr>
                <w:sz w:val="18"/>
                <w:szCs w:val="18"/>
              </w:rPr>
              <w:t>by way of departure.</w:t>
            </w:r>
            <w:r w:rsidR="00987082">
              <w:rPr>
                <w:sz w:val="18"/>
                <w:szCs w:val="18"/>
              </w:rPr>
              <w:t xml:space="preserve"> Th</w:t>
            </w:r>
            <w:r w:rsidR="0066662A">
              <w:rPr>
                <w:sz w:val="18"/>
                <w:szCs w:val="18"/>
              </w:rPr>
              <w:t>is</w:t>
            </w:r>
            <w:r w:rsidR="00987082">
              <w:rPr>
                <w:sz w:val="18"/>
                <w:szCs w:val="18"/>
              </w:rPr>
              <w:t xml:space="preserve"> clause does </w:t>
            </w:r>
            <w:r w:rsidR="003705BC" w:rsidRPr="003705BC">
              <w:rPr>
                <w:sz w:val="18"/>
                <w:szCs w:val="18"/>
              </w:rPr>
              <w:t>not</w:t>
            </w:r>
            <w:r w:rsidR="002E238C">
              <w:rPr>
                <w:sz w:val="18"/>
                <w:szCs w:val="18"/>
              </w:rPr>
              <w:t xml:space="preserve">, however, </w:t>
            </w:r>
            <w:r w:rsidR="003705BC" w:rsidRPr="003705BC">
              <w:rPr>
                <w:sz w:val="18"/>
                <w:szCs w:val="18"/>
              </w:rPr>
              <w:t xml:space="preserve">provide </w:t>
            </w:r>
            <w:r w:rsidR="00875CC1">
              <w:rPr>
                <w:sz w:val="18"/>
                <w:szCs w:val="18"/>
              </w:rPr>
              <w:t xml:space="preserve">time </w:t>
            </w:r>
            <w:r w:rsidR="003705BC" w:rsidRPr="003705BC">
              <w:rPr>
                <w:sz w:val="18"/>
                <w:szCs w:val="18"/>
              </w:rPr>
              <w:t xml:space="preserve">relief more generally for </w:t>
            </w:r>
            <w:r w:rsidR="00065D36">
              <w:rPr>
                <w:sz w:val="18"/>
                <w:szCs w:val="18"/>
              </w:rPr>
              <w:t xml:space="preserve">the impacts of </w:t>
            </w:r>
            <w:r w:rsidR="003705BC" w:rsidRPr="003705BC">
              <w:rPr>
                <w:sz w:val="18"/>
                <w:szCs w:val="18"/>
              </w:rPr>
              <w:t>comply</w:t>
            </w:r>
            <w:r w:rsidR="00065D36">
              <w:rPr>
                <w:sz w:val="18"/>
                <w:szCs w:val="18"/>
              </w:rPr>
              <w:t>ing</w:t>
            </w:r>
            <w:r w:rsidR="003705BC" w:rsidRPr="003705BC">
              <w:rPr>
                <w:sz w:val="18"/>
                <w:szCs w:val="18"/>
              </w:rPr>
              <w:t xml:space="preserve"> with directions or requirements of Authorities. </w:t>
            </w:r>
          </w:p>
          <w:p w14:paraId="365C9AD3" w14:textId="6EC6D634" w:rsidR="00946E15" w:rsidRDefault="00C0469D">
            <w:pPr>
              <w:pStyle w:val="IndentParaLevel1"/>
              <w:spacing w:before="60" w:after="60"/>
              <w:ind w:left="0"/>
              <w:rPr>
                <w:sz w:val="18"/>
                <w:szCs w:val="18"/>
              </w:rPr>
            </w:pPr>
            <w:r>
              <w:rPr>
                <w:sz w:val="18"/>
                <w:szCs w:val="18"/>
              </w:rPr>
              <w:t xml:space="preserve">Whether </w:t>
            </w:r>
            <w:r w:rsidR="00065D36">
              <w:rPr>
                <w:sz w:val="18"/>
                <w:szCs w:val="18"/>
              </w:rPr>
              <w:t xml:space="preserve">it is reasonable to </w:t>
            </w:r>
            <w:r w:rsidR="002E238C">
              <w:rPr>
                <w:sz w:val="18"/>
                <w:szCs w:val="18"/>
              </w:rPr>
              <w:t xml:space="preserve">allow time </w:t>
            </w:r>
            <w:r>
              <w:rPr>
                <w:sz w:val="18"/>
                <w:szCs w:val="18"/>
              </w:rPr>
              <w:t xml:space="preserve">relief for </w:t>
            </w:r>
            <w:r w:rsidR="002E238C">
              <w:rPr>
                <w:sz w:val="18"/>
                <w:szCs w:val="18"/>
              </w:rPr>
              <w:t>A</w:t>
            </w:r>
            <w:r>
              <w:rPr>
                <w:sz w:val="18"/>
                <w:szCs w:val="18"/>
              </w:rPr>
              <w:t xml:space="preserve">uthority delays </w:t>
            </w:r>
            <w:r w:rsidR="00065D36">
              <w:rPr>
                <w:sz w:val="18"/>
                <w:szCs w:val="18"/>
              </w:rPr>
              <w:t>in issuing Approvals</w:t>
            </w:r>
            <w:r w:rsidR="00F738A4">
              <w:rPr>
                <w:sz w:val="18"/>
                <w:szCs w:val="18"/>
              </w:rPr>
              <w:t xml:space="preserve"> is a matter that </w:t>
            </w:r>
            <w:r w:rsidR="00065D36">
              <w:rPr>
                <w:sz w:val="18"/>
                <w:szCs w:val="18"/>
              </w:rPr>
              <w:t>will need to be assessed by agencies</w:t>
            </w:r>
            <w:r w:rsidR="00ED3F10">
              <w:rPr>
                <w:sz w:val="18"/>
                <w:szCs w:val="18"/>
              </w:rPr>
              <w:t xml:space="preserve"> on a case</w:t>
            </w:r>
            <w:r w:rsidR="000D4922">
              <w:rPr>
                <w:sz w:val="18"/>
                <w:szCs w:val="18"/>
              </w:rPr>
              <w:t>-</w:t>
            </w:r>
            <w:r w:rsidR="00ED3F10">
              <w:rPr>
                <w:sz w:val="18"/>
                <w:szCs w:val="18"/>
              </w:rPr>
              <w:t>by</w:t>
            </w:r>
            <w:r w:rsidR="000D4922">
              <w:rPr>
                <w:sz w:val="18"/>
                <w:szCs w:val="18"/>
              </w:rPr>
              <w:t>-</w:t>
            </w:r>
            <w:r w:rsidR="00ED3F10">
              <w:rPr>
                <w:sz w:val="18"/>
                <w:szCs w:val="18"/>
              </w:rPr>
              <w:t xml:space="preserve">case basis. Agencies should consider the nature of the project, the </w:t>
            </w:r>
            <w:r w:rsidR="00066712">
              <w:rPr>
                <w:sz w:val="18"/>
                <w:szCs w:val="18"/>
              </w:rPr>
              <w:t>A</w:t>
            </w:r>
            <w:r w:rsidR="00ED3F10">
              <w:rPr>
                <w:sz w:val="18"/>
                <w:szCs w:val="18"/>
              </w:rPr>
              <w:t>pproval</w:t>
            </w:r>
            <w:r w:rsidR="00875CC1">
              <w:rPr>
                <w:sz w:val="18"/>
                <w:szCs w:val="18"/>
              </w:rPr>
              <w:t xml:space="preserve">s that will need to be </w:t>
            </w:r>
            <w:r w:rsidR="00ED3F10">
              <w:rPr>
                <w:sz w:val="18"/>
                <w:szCs w:val="18"/>
              </w:rPr>
              <w:t>obtained</w:t>
            </w:r>
            <w:r w:rsidR="00066712">
              <w:rPr>
                <w:sz w:val="18"/>
                <w:szCs w:val="18"/>
              </w:rPr>
              <w:t>,</w:t>
            </w:r>
            <w:r w:rsidR="00ED3F10">
              <w:rPr>
                <w:sz w:val="18"/>
                <w:szCs w:val="18"/>
              </w:rPr>
              <w:t xml:space="preserve"> and any potential difficulties (and therefore possible delays) in procuring those </w:t>
            </w:r>
            <w:r w:rsidR="00066712">
              <w:rPr>
                <w:sz w:val="18"/>
                <w:szCs w:val="18"/>
              </w:rPr>
              <w:t>A</w:t>
            </w:r>
            <w:r w:rsidR="00ED3F10">
              <w:rPr>
                <w:sz w:val="18"/>
                <w:szCs w:val="18"/>
              </w:rPr>
              <w:t>pprovals</w:t>
            </w:r>
            <w:r w:rsidR="0066662A">
              <w:rPr>
                <w:sz w:val="18"/>
                <w:szCs w:val="18"/>
              </w:rPr>
              <w:t xml:space="preserve"> (</w:t>
            </w:r>
            <w:bookmarkStart w:id="27" w:name="_Hlk137738835"/>
            <w:r w:rsidR="0066662A">
              <w:rPr>
                <w:sz w:val="18"/>
                <w:szCs w:val="18"/>
              </w:rPr>
              <w:t>and, whether the agency is assuming responsibility for obtaining any key Approvals</w:t>
            </w:r>
            <w:bookmarkEnd w:id="27"/>
            <w:r w:rsidR="0066662A">
              <w:rPr>
                <w:sz w:val="18"/>
                <w:szCs w:val="18"/>
              </w:rPr>
              <w:t>)</w:t>
            </w:r>
            <w:r w:rsidR="00ED3F10">
              <w:rPr>
                <w:sz w:val="18"/>
                <w:szCs w:val="18"/>
              </w:rPr>
              <w:t>.</w:t>
            </w:r>
          </w:p>
          <w:p w14:paraId="5A80A830" w14:textId="79057557" w:rsidR="00875CC1" w:rsidRDefault="00ED3F10">
            <w:pPr>
              <w:pStyle w:val="IndentParaLevel1"/>
              <w:spacing w:before="60" w:after="60"/>
              <w:ind w:left="0"/>
              <w:rPr>
                <w:sz w:val="18"/>
                <w:szCs w:val="18"/>
              </w:rPr>
            </w:pPr>
            <w:r w:rsidRPr="008C071E">
              <w:rPr>
                <w:sz w:val="18"/>
                <w:szCs w:val="18"/>
              </w:rPr>
              <w:t>Note there</w:t>
            </w:r>
            <w:r>
              <w:rPr>
                <w:sz w:val="18"/>
                <w:szCs w:val="18"/>
              </w:rPr>
              <w:t xml:space="preserve"> is </w:t>
            </w:r>
            <w:r w:rsidRPr="00773E15">
              <w:rPr>
                <w:b/>
                <w:bCs/>
                <w:sz w:val="18"/>
                <w:szCs w:val="18"/>
              </w:rPr>
              <w:t>optional drafting</w:t>
            </w:r>
            <w:r>
              <w:rPr>
                <w:sz w:val="18"/>
                <w:szCs w:val="18"/>
              </w:rPr>
              <w:t xml:space="preserve"> in paragraphs (c) and (d) of </w:t>
            </w:r>
            <w:r w:rsidR="00875CC1">
              <w:rPr>
                <w:sz w:val="18"/>
                <w:szCs w:val="18"/>
              </w:rPr>
              <w:t>the definition of "A</w:t>
            </w:r>
            <w:r w:rsidR="007456BA">
              <w:rPr>
                <w:sz w:val="18"/>
                <w:szCs w:val="18"/>
              </w:rPr>
              <w:t>pprovals Delay</w:t>
            </w:r>
            <w:r w:rsidR="007456BA" w:rsidDel="007456BA">
              <w:rPr>
                <w:sz w:val="18"/>
                <w:szCs w:val="18"/>
              </w:rPr>
              <w:t xml:space="preserve"> </w:t>
            </w:r>
            <w:r w:rsidR="00875CC1">
              <w:rPr>
                <w:sz w:val="18"/>
                <w:szCs w:val="18"/>
              </w:rPr>
              <w:t xml:space="preserve">" </w:t>
            </w:r>
            <w:r>
              <w:rPr>
                <w:sz w:val="18"/>
                <w:szCs w:val="18"/>
              </w:rPr>
              <w:t xml:space="preserve">that needs to be addressed if </w:t>
            </w:r>
            <w:r w:rsidR="00875CC1">
              <w:rPr>
                <w:sz w:val="18"/>
                <w:szCs w:val="18"/>
              </w:rPr>
              <w:t xml:space="preserve">this </w:t>
            </w:r>
            <w:r w:rsidR="00066712">
              <w:rPr>
                <w:sz w:val="18"/>
                <w:szCs w:val="18"/>
              </w:rPr>
              <w:t xml:space="preserve">model </w:t>
            </w:r>
            <w:r w:rsidR="00875CC1">
              <w:rPr>
                <w:sz w:val="18"/>
                <w:szCs w:val="18"/>
              </w:rPr>
              <w:t xml:space="preserve">clause </w:t>
            </w:r>
            <w:r w:rsidR="00875CC1">
              <w:rPr>
                <w:sz w:val="18"/>
                <w:szCs w:val="18"/>
              </w:rPr>
              <w:fldChar w:fldCharType="begin"/>
            </w:r>
            <w:r w:rsidR="00875CC1">
              <w:rPr>
                <w:sz w:val="18"/>
                <w:szCs w:val="18"/>
              </w:rPr>
              <w:instrText xml:space="preserve"> REF _Ref132622081 \w \h  \* MERGEFORMAT </w:instrText>
            </w:r>
            <w:r w:rsidR="00875CC1">
              <w:rPr>
                <w:sz w:val="18"/>
                <w:szCs w:val="18"/>
              </w:rPr>
            </w:r>
            <w:r w:rsidR="00875CC1">
              <w:rPr>
                <w:sz w:val="18"/>
                <w:szCs w:val="18"/>
              </w:rPr>
              <w:fldChar w:fldCharType="separate"/>
            </w:r>
            <w:r w:rsidR="001A253E">
              <w:rPr>
                <w:sz w:val="18"/>
                <w:szCs w:val="18"/>
              </w:rPr>
              <w:t>4</w:t>
            </w:r>
            <w:r w:rsidR="00875CC1">
              <w:rPr>
                <w:sz w:val="18"/>
                <w:szCs w:val="18"/>
              </w:rPr>
              <w:fldChar w:fldCharType="end"/>
            </w:r>
            <w:r w:rsidR="00875CC1">
              <w:rPr>
                <w:sz w:val="18"/>
                <w:szCs w:val="18"/>
              </w:rPr>
              <w:t xml:space="preserve"> is used. </w:t>
            </w:r>
            <w:r>
              <w:rPr>
                <w:sz w:val="18"/>
                <w:szCs w:val="18"/>
              </w:rPr>
              <w:t xml:space="preserve">If both this </w:t>
            </w:r>
            <w:r w:rsidR="00066712">
              <w:rPr>
                <w:sz w:val="18"/>
                <w:szCs w:val="18"/>
              </w:rPr>
              <w:t xml:space="preserve">model </w:t>
            </w:r>
            <w:r>
              <w:rPr>
                <w:sz w:val="18"/>
                <w:szCs w:val="18"/>
              </w:rPr>
              <w:t xml:space="preserve">clause </w:t>
            </w:r>
            <w:r w:rsidR="00875CC1">
              <w:rPr>
                <w:sz w:val="18"/>
                <w:szCs w:val="18"/>
              </w:rPr>
              <w:fldChar w:fldCharType="begin"/>
            </w:r>
            <w:r w:rsidR="00875CC1">
              <w:rPr>
                <w:sz w:val="18"/>
                <w:szCs w:val="18"/>
              </w:rPr>
              <w:instrText xml:space="preserve"> REF _Ref132622089 \w \h  \* MERGEFORMAT </w:instrText>
            </w:r>
            <w:r w:rsidR="00875CC1">
              <w:rPr>
                <w:sz w:val="18"/>
                <w:szCs w:val="18"/>
              </w:rPr>
            </w:r>
            <w:r w:rsidR="00875CC1">
              <w:rPr>
                <w:sz w:val="18"/>
                <w:szCs w:val="18"/>
              </w:rPr>
              <w:fldChar w:fldCharType="separate"/>
            </w:r>
            <w:r w:rsidR="001A253E">
              <w:rPr>
                <w:sz w:val="18"/>
                <w:szCs w:val="18"/>
              </w:rPr>
              <w:t>4</w:t>
            </w:r>
            <w:r w:rsidR="00875CC1">
              <w:rPr>
                <w:sz w:val="18"/>
                <w:szCs w:val="18"/>
              </w:rPr>
              <w:fldChar w:fldCharType="end"/>
            </w:r>
            <w:r w:rsidR="00875CC1">
              <w:rPr>
                <w:sz w:val="18"/>
                <w:szCs w:val="18"/>
              </w:rPr>
              <w:t xml:space="preserve"> </w:t>
            </w:r>
            <w:r w:rsidRPr="001D0ACA">
              <w:rPr>
                <w:b/>
                <w:bCs/>
                <w:sz w:val="18"/>
                <w:szCs w:val="18"/>
              </w:rPr>
              <w:t>AND</w:t>
            </w:r>
            <w:r>
              <w:rPr>
                <w:sz w:val="18"/>
                <w:szCs w:val="18"/>
              </w:rPr>
              <w:t xml:space="preserve"> </w:t>
            </w:r>
            <w:r w:rsidR="00875CC1">
              <w:rPr>
                <w:sz w:val="18"/>
                <w:szCs w:val="18"/>
              </w:rPr>
              <w:t>m</w:t>
            </w:r>
            <w:r>
              <w:rPr>
                <w:sz w:val="18"/>
                <w:szCs w:val="18"/>
              </w:rPr>
              <w:t xml:space="preserve">odel </w:t>
            </w:r>
            <w:r w:rsidR="00875CC1">
              <w:rPr>
                <w:sz w:val="18"/>
                <w:szCs w:val="18"/>
              </w:rPr>
              <w:t>c</w:t>
            </w:r>
            <w:r>
              <w:rPr>
                <w:sz w:val="18"/>
                <w:szCs w:val="18"/>
              </w:rPr>
              <w:t xml:space="preserve">lause </w:t>
            </w:r>
            <w:r w:rsidR="00875CC1">
              <w:rPr>
                <w:sz w:val="18"/>
                <w:szCs w:val="18"/>
              </w:rPr>
              <w:fldChar w:fldCharType="begin"/>
            </w:r>
            <w:r w:rsidR="00875CC1">
              <w:rPr>
                <w:sz w:val="18"/>
                <w:szCs w:val="18"/>
              </w:rPr>
              <w:instrText xml:space="preserve"> REF _Ref132622111 \w \h  \* MERGEFORMAT </w:instrText>
            </w:r>
            <w:r w:rsidR="00875CC1">
              <w:rPr>
                <w:sz w:val="18"/>
                <w:szCs w:val="18"/>
              </w:rPr>
            </w:r>
            <w:r w:rsidR="00875CC1">
              <w:rPr>
                <w:sz w:val="18"/>
                <w:szCs w:val="18"/>
              </w:rPr>
              <w:fldChar w:fldCharType="separate"/>
            </w:r>
            <w:r w:rsidR="001A253E">
              <w:rPr>
                <w:sz w:val="18"/>
                <w:szCs w:val="18"/>
              </w:rPr>
              <w:t>3</w:t>
            </w:r>
            <w:r w:rsidR="00875CC1">
              <w:rPr>
                <w:sz w:val="18"/>
                <w:szCs w:val="18"/>
              </w:rPr>
              <w:fldChar w:fldCharType="end"/>
            </w:r>
            <w:r w:rsidR="00875CC1">
              <w:rPr>
                <w:sz w:val="18"/>
                <w:szCs w:val="18"/>
              </w:rPr>
              <w:t xml:space="preserve"> (P</w:t>
            </w:r>
            <w:r>
              <w:rPr>
                <w:sz w:val="18"/>
                <w:szCs w:val="18"/>
              </w:rPr>
              <w:t>andemic relief</w:t>
            </w:r>
            <w:r w:rsidR="00875CC1">
              <w:rPr>
                <w:sz w:val="18"/>
                <w:szCs w:val="18"/>
              </w:rPr>
              <w:t>)</w:t>
            </w:r>
            <w:r>
              <w:rPr>
                <w:sz w:val="18"/>
                <w:szCs w:val="18"/>
              </w:rPr>
              <w:t xml:space="preserve"> are </w:t>
            </w:r>
            <w:r w:rsidR="00875CC1">
              <w:rPr>
                <w:sz w:val="18"/>
                <w:szCs w:val="18"/>
              </w:rPr>
              <w:t>incorporated</w:t>
            </w:r>
            <w:r>
              <w:rPr>
                <w:sz w:val="18"/>
                <w:szCs w:val="18"/>
              </w:rPr>
              <w:t xml:space="preserve"> in </w:t>
            </w:r>
            <w:r w:rsidR="00875CC1">
              <w:rPr>
                <w:sz w:val="18"/>
                <w:szCs w:val="18"/>
              </w:rPr>
              <w:t>an agency's</w:t>
            </w:r>
            <w:r>
              <w:rPr>
                <w:sz w:val="18"/>
                <w:szCs w:val="18"/>
              </w:rPr>
              <w:t xml:space="preserve"> MWC, then</w:t>
            </w:r>
            <w:r w:rsidR="00875CC1">
              <w:rPr>
                <w:sz w:val="18"/>
                <w:szCs w:val="18"/>
              </w:rPr>
              <w:t>:</w:t>
            </w:r>
          </w:p>
          <w:p w14:paraId="4790B0DF" w14:textId="77777777" w:rsidR="00875CC1" w:rsidRDefault="00875CC1">
            <w:pPr>
              <w:pStyle w:val="IndentParaLevel1"/>
              <w:numPr>
                <w:ilvl w:val="0"/>
                <w:numId w:val="40"/>
              </w:numPr>
              <w:spacing w:before="60" w:after="60"/>
              <w:ind w:left="341" w:hanging="341"/>
              <w:rPr>
                <w:sz w:val="18"/>
                <w:szCs w:val="18"/>
              </w:rPr>
            </w:pPr>
            <w:r>
              <w:rPr>
                <w:sz w:val="18"/>
                <w:szCs w:val="18"/>
              </w:rPr>
              <w:t xml:space="preserve">include </w:t>
            </w:r>
            <w:r w:rsidR="00ED3F10">
              <w:rPr>
                <w:sz w:val="18"/>
                <w:szCs w:val="18"/>
              </w:rPr>
              <w:t>paragraph (d)</w:t>
            </w:r>
            <w:r>
              <w:rPr>
                <w:sz w:val="18"/>
                <w:szCs w:val="18"/>
              </w:rPr>
              <w:t>; and</w:t>
            </w:r>
          </w:p>
          <w:p w14:paraId="5FC90D27" w14:textId="77777777" w:rsidR="00875CC1" w:rsidRDefault="00875CC1">
            <w:pPr>
              <w:pStyle w:val="IndentParaLevel1"/>
              <w:numPr>
                <w:ilvl w:val="0"/>
                <w:numId w:val="40"/>
              </w:numPr>
              <w:spacing w:before="60" w:after="60"/>
              <w:ind w:left="341" w:hanging="341"/>
              <w:rPr>
                <w:sz w:val="18"/>
                <w:szCs w:val="18"/>
              </w:rPr>
            </w:pPr>
            <w:r>
              <w:rPr>
                <w:sz w:val="18"/>
                <w:szCs w:val="18"/>
              </w:rPr>
              <w:t xml:space="preserve">amend </w:t>
            </w:r>
            <w:r w:rsidR="00ED3F10">
              <w:rPr>
                <w:sz w:val="18"/>
                <w:szCs w:val="18"/>
              </w:rPr>
              <w:t xml:space="preserve">paragraph (c) as indicated </w:t>
            </w:r>
            <w:r>
              <w:rPr>
                <w:sz w:val="18"/>
                <w:szCs w:val="18"/>
              </w:rPr>
              <w:t>below</w:t>
            </w:r>
            <w:r w:rsidR="00ED3F10">
              <w:rPr>
                <w:sz w:val="18"/>
                <w:szCs w:val="18"/>
              </w:rPr>
              <w:t xml:space="preserve">. </w:t>
            </w:r>
          </w:p>
          <w:p w14:paraId="2A351329" w14:textId="4E29270E" w:rsidR="00ED3F10" w:rsidRPr="00ED3F10" w:rsidRDefault="00ED3F10">
            <w:pPr>
              <w:pStyle w:val="IndentParaLevel1"/>
              <w:spacing w:before="60" w:after="60"/>
              <w:ind w:left="0"/>
              <w:rPr>
                <w:sz w:val="18"/>
                <w:szCs w:val="18"/>
              </w:rPr>
            </w:pPr>
            <w:r>
              <w:rPr>
                <w:sz w:val="18"/>
                <w:szCs w:val="18"/>
              </w:rPr>
              <w:t xml:space="preserve">This is to ensure that there is no potential duplication or inconsistency in terms of the heads of relief available to the </w:t>
            </w:r>
            <w:r w:rsidR="00875CC1">
              <w:rPr>
                <w:sz w:val="18"/>
                <w:szCs w:val="18"/>
              </w:rPr>
              <w:t>C</w:t>
            </w:r>
            <w:r>
              <w:rPr>
                <w:sz w:val="18"/>
                <w:szCs w:val="18"/>
              </w:rPr>
              <w:t xml:space="preserve">ontractor.   </w:t>
            </w:r>
          </w:p>
        </w:tc>
      </w:tr>
    </w:tbl>
    <w:p w14:paraId="1BA1D355" w14:textId="77777777" w:rsidR="00946E15" w:rsidRDefault="00946E15" w:rsidP="008C071E">
      <w:pPr>
        <w:pStyle w:val="Heading3"/>
        <w:numPr>
          <w:ilvl w:val="0"/>
          <w:numId w:val="0"/>
        </w:numPr>
        <w:spacing w:after="0"/>
        <w:ind w:left="964" w:hanging="964"/>
      </w:pPr>
    </w:p>
    <w:p w14:paraId="49AA6EF6" w14:textId="792BAD3C" w:rsidR="007865AE" w:rsidRDefault="007865AE" w:rsidP="007865AE">
      <w:pPr>
        <w:pStyle w:val="Heading3"/>
        <w:numPr>
          <w:ilvl w:val="0"/>
          <w:numId w:val="0"/>
        </w:numPr>
        <w:ind w:left="964" w:hanging="964"/>
      </w:pPr>
      <w:r>
        <w:t>4.1</w:t>
      </w:r>
      <w:r>
        <w:tab/>
      </w:r>
      <w:r>
        <w:rPr>
          <w:rFonts w:cs="Angsana New"/>
          <w:szCs w:val="20"/>
          <w:lang w:eastAsia="zh-CN" w:bidi="th-TH"/>
        </w:rPr>
        <w:t>Add the following definition in clause 1.1 of the MWC (in alphabetical order):</w:t>
      </w:r>
    </w:p>
    <w:p w14:paraId="5F991519" w14:textId="69EF3F75" w:rsidR="00AE6EFC" w:rsidRPr="00A705A9" w:rsidRDefault="00AE6EFC" w:rsidP="00711AA3">
      <w:pPr>
        <w:pStyle w:val="IndentParaLevel1"/>
      </w:pPr>
      <w:r w:rsidRPr="008D25FC">
        <w:rPr>
          <w:b/>
          <w:bCs/>
        </w:rPr>
        <w:t>A</w:t>
      </w:r>
      <w:r w:rsidR="007456BA">
        <w:rPr>
          <w:b/>
          <w:bCs/>
        </w:rPr>
        <w:t>pprovals Delay</w:t>
      </w:r>
      <w:r>
        <w:t xml:space="preserve"> means</w:t>
      </w:r>
      <w:r w:rsidR="007456BA">
        <w:t xml:space="preserve"> a delay to the performance of the Contractor's Activities or the Works as a direct result of </w:t>
      </w:r>
      <w:r w:rsidR="00066712">
        <w:t xml:space="preserve">the time taken </w:t>
      </w:r>
      <w:r>
        <w:t xml:space="preserve">by </w:t>
      </w:r>
      <w:r w:rsidR="007865AE">
        <w:t xml:space="preserve">the relevant </w:t>
      </w:r>
      <w:r w:rsidRPr="00A705A9">
        <w:t xml:space="preserve">Authority </w:t>
      </w:r>
      <w:r w:rsidR="00066712" w:rsidRPr="00A705A9">
        <w:t xml:space="preserve">to issue </w:t>
      </w:r>
      <w:r w:rsidR="003645D8" w:rsidRPr="00A705A9">
        <w:t xml:space="preserve">an </w:t>
      </w:r>
      <w:r w:rsidRPr="00A705A9">
        <w:t xml:space="preserve">Approval, </w:t>
      </w:r>
      <w:r w:rsidR="00B42704" w:rsidRPr="00A705A9">
        <w:t>except</w:t>
      </w:r>
      <w:r w:rsidR="007456BA" w:rsidRPr="00A705A9">
        <w:t xml:space="preserve"> where</w:t>
      </w:r>
      <w:r w:rsidRPr="00A705A9">
        <w:t xml:space="preserve">: </w:t>
      </w:r>
    </w:p>
    <w:p w14:paraId="51E39A69" w14:textId="78B40731" w:rsidR="008D25FC" w:rsidRPr="00A705A9" w:rsidRDefault="00AE6EFC" w:rsidP="008D25FC">
      <w:pPr>
        <w:pStyle w:val="Heading3"/>
        <w:numPr>
          <w:ilvl w:val="2"/>
          <w:numId w:val="11"/>
        </w:numPr>
        <w:rPr>
          <w:lang w:eastAsia="zh-CN"/>
        </w:rPr>
      </w:pPr>
      <w:r w:rsidRPr="00A705A9">
        <w:t xml:space="preserve">the </w:t>
      </w:r>
      <w:r w:rsidR="008D25FC" w:rsidRPr="00A705A9">
        <w:rPr>
          <w:lang w:eastAsia="zh-CN"/>
        </w:rPr>
        <w:t xml:space="preserve">Contractor </w:t>
      </w:r>
      <w:r w:rsidR="00B42704" w:rsidRPr="00A705A9">
        <w:rPr>
          <w:lang w:eastAsia="zh-CN"/>
        </w:rPr>
        <w:t xml:space="preserve">or a Contractor Associate </w:t>
      </w:r>
      <w:r w:rsidR="008D25FC" w:rsidRPr="00A705A9">
        <w:rPr>
          <w:lang w:eastAsia="zh-CN"/>
        </w:rPr>
        <w:t xml:space="preserve">caused or contributed to the Authority delay; </w:t>
      </w:r>
      <w:r w:rsidR="00B42704" w:rsidRPr="00A705A9">
        <w:rPr>
          <w:lang w:eastAsia="zh-CN"/>
        </w:rPr>
        <w:t>or</w:t>
      </w:r>
      <w:r w:rsidR="008D25FC" w:rsidRPr="00A705A9">
        <w:rPr>
          <w:lang w:eastAsia="zh-CN"/>
        </w:rPr>
        <w:t xml:space="preserve"> </w:t>
      </w:r>
    </w:p>
    <w:p w14:paraId="5D7695CF" w14:textId="6D605027" w:rsidR="005D7F05" w:rsidRPr="00A705A9" w:rsidRDefault="008D25FC" w:rsidP="008D25FC">
      <w:pPr>
        <w:pStyle w:val="Heading3"/>
        <w:numPr>
          <w:ilvl w:val="2"/>
          <w:numId w:val="11"/>
        </w:numPr>
      </w:pPr>
      <w:r w:rsidRPr="00A705A9">
        <w:t>the Authority has</w:t>
      </w:r>
      <w:r w:rsidR="005D7F05" w:rsidRPr="00A705A9">
        <w:t>:</w:t>
      </w:r>
    </w:p>
    <w:p w14:paraId="7C810B27" w14:textId="22EFD737" w:rsidR="00291AFA" w:rsidRPr="00A705A9" w:rsidRDefault="00224E2C" w:rsidP="001D64A0">
      <w:pPr>
        <w:pStyle w:val="Heading4"/>
      </w:pPr>
      <w:r w:rsidRPr="00A705A9">
        <w:t xml:space="preserve">complied with </w:t>
      </w:r>
      <w:r w:rsidR="007865AE" w:rsidRPr="00A705A9">
        <w:t xml:space="preserve">any </w:t>
      </w:r>
      <w:r w:rsidR="008D25FC" w:rsidRPr="00A705A9">
        <w:t>time</w:t>
      </w:r>
      <w:r w:rsidR="00F71F6D" w:rsidRPr="00A705A9">
        <w:t>frames</w:t>
      </w:r>
      <w:r w:rsidR="005D7F05" w:rsidRPr="00A705A9">
        <w:t xml:space="preserve"> relating to the issue of the Approval</w:t>
      </w:r>
      <w:r w:rsidR="005F796F" w:rsidRPr="00A705A9">
        <w:t xml:space="preserve"> prescribed by Legislation or published by the Authority before the Contract Date; or</w:t>
      </w:r>
      <w:r w:rsidR="008D25FC" w:rsidRPr="00A705A9">
        <w:t xml:space="preserve"> </w:t>
      </w:r>
    </w:p>
    <w:p w14:paraId="7500740C" w14:textId="5A156D52" w:rsidR="008D25FC" w:rsidRPr="00A705A9" w:rsidRDefault="005D7F05" w:rsidP="005D7F05">
      <w:pPr>
        <w:pStyle w:val="Heading4"/>
      </w:pPr>
      <w:r w:rsidRPr="00A705A9">
        <w:t>acted within a reasonable time</w:t>
      </w:r>
      <w:r w:rsidR="008D25FC" w:rsidRPr="00A705A9">
        <w:t>,</w:t>
      </w:r>
      <w:r w:rsidR="005F796F" w:rsidRPr="00A705A9">
        <w:t xml:space="preserve"> including any timeframe of which a Competent Contractor could reasonably have been aware before the Contract Date,</w:t>
      </w:r>
    </w:p>
    <w:p w14:paraId="19C97776" w14:textId="6D4B1E9D" w:rsidR="008D25FC" w:rsidRDefault="00F71F6D" w:rsidP="000C334E">
      <w:pPr>
        <w:pStyle w:val="IndentParaLevel1"/>
      </w:pPr>
      <w:r>
        <w:t>and</w:t>
      </w:r>
      <w:r w:rsidR="008D25FC">
        <w:t xml:space="preserve"> does not include:</w:t>
      </w:r>
    </w:p>
    <w:p w14:paraId="36820545" w14:textId="465232D2" w:rsidR="00D251C8" w:rsidRPr="005D7F05" w:rsidRDefault="00D251C8" w:rsidP="00D251C8">
      <w:pPr>
        <w:pStyle w:val="Heading3"/>
        <w:numPr>
          <w:ilvl w:val="2"/>
          <w:numId w:val="11"/>
        </w:numPr>
        <w:rPr>
          <w:szCs w:val="20"/>
        </w:rPr>
      </w:pPr>
      <w:r w:rsidRPr="006447C2">
        <w:t xml:space="preserve">requirements </w:t>
      </w:r>
      <w:r w:rsidR="005D7F05">
        <w:t xml:space="preserve">or directions </w:t>
      </w:r>
      <w:r w:rsidRPr="006447C2">
        <w:t>of an Authority</w:t>
      </w:r>
      <w:r>
        <w:t xml:space="preserve"> with which the Contractor must comply in accordance with the Contract </w:t>
      </w:r>
      <w:r w:rsidRPr="008C071E">
        <w:rPr>
          <w:highlight w:val="green"/>
        </w:rPr>
        <w:t xml:space="preserve">##&lt;insert a full stop if (d) is not used </w:t>
      </w:r>
      <w:r w:rsidR="005D7F05" w:rsidRPr="005D7F05">
        <w:rPr>
          <w:b/>
          <w:bCs w:val="0"/>
          <w:highlight w:val="green"/>
        </w:rPr>
        <w:t>OR</w:t>
      </w:r>
      <w:r w:rsidRPr="008C071E">
        <w:rPr>
          <w:highlight w:val="green"/>
        </w:rPr>
        <w:t xml:space="preserve"> </w:t>
      </w:r>
      <w:r w:rsidR="005D7F05">
        <w:rPr>
          <w:highlight w:val="green"/>
        </w:rPr>
        <w:t xml:space="preserve">insert </w:t>
      </w:r>
      <w:r w:rsidRPr="008C071E">
        <w:rPr>
          <w:highlight w:val="green"/>
        </w:rPr>
        <w:t xml:space="preserve">“; </w:t>
      </w:r>
      <w:r w:rsidR="00B42704">
        <w:rPr>
          <w:highlight w:val="green"/>
        </w:rPr>
        <w:t>and</w:t>
      </w:r>
      <w:r w:rsidRPr="008C071E">
        <w:rPr>
          <w:highlight w:val="green"/>
        </w:rPr>
        <w:t>” if (d) is used&gt;</w:t>
      </w:r>
    </w:p>
    <w:p w14:paraId="660DD53F" w14:textId="28677B89" w:rsidR="00D251C8" w:rsidRDefault="00D251C8" w:rsidP="00D251C8">
      <w:pPr>
        <w:pStyle w:val="Heading3"/>
        <w:numPr>
          <w:ilvl w:val="2"/>
          <w:numId w:val="11"/>
        </w:numPr>
      </w:pPr>
      <w:r w:rsidRPr="005D7F05">
        <w:rPr>
          <w:szCs w:val="20"/>
          <w:highlight w:val="green"/>
        </w:rPr>
        <w:t xml:space="preserve">##&lt;include </w:t>
      </w:r>
      <w:r w:rsidR="0006796E" w:rsidRPr="005D7F05">
        <w:rPr>
          <w:b/>
          <w:bCs w:val="0"/>
          <w:szCs w:val="20"/>
          <w:highlight w:val="green"/>
        </w:rPr>
        <w:t>ONLY</w:t>
      </w:r>
      <w:r w:rsidR="0006796E" w:rsidRPr="005D7F05">
        <w:rPr>
          <w:szCs w:val="20"/>
          <w:highlight w:val="green"/>
        </w:rPr>
        <w:t xml:space="preserve"> </w:t>
      </w:r>
      <w:r w:rsidR="0006796E" w:rsidRPr="005D7F05">
        <w:rPr>
          <w:b/>
          <w:bCs w:val="0"/>
          <w:szCs w:val="20"/>
          <w:highlight w:val="green"/>
        </w:rPr>
        <w:t>IF</w:t>
      </w:r>
      <w:r w:rsidRPr="005D7F05">
        <w:rPr>
          <w:szCs w:val="20"/>
          <w:highlight w:val="green"/>
        </w:rPr>
        <w:t xml:space="preserve"> the Covid-19 pandemic </w:t>
      </w:r>
      <w:r w:rsidR="005D7F05" w:rsidRPr="005D7F05">
        <w:rPr>
          <w:szCs w:val="20"/>
          <w:highlight w:val="green"/>
        </w:rPr>
        <w:t xml:space="preserve">model </w:t>
      </w:r>
      <w:r w:rsidRPr="005D7F05">
        <w:rPr>
          <w:szCs w:val="20"/>
          <w:highlight w:val="green"/>
        </w:rPr>
        <w:t xml:space="preserve">clause </w:t>
      </w:r>
      <w:r w:rsidR="005D7F05" w:rsidRPr="001D64A0">
        <w:rPr>
          <w:szCs w:val="20"/>
          <w:highlight w:val="green"/>
        </w:rPr>
        <w:fldChar w:fldCharType="begin"/>
      </w:r>
      <w:r w:rsidR="005D7F05" w:rsidRPr="001D64A0">
        <w:rPr>
          <w:szCs w:val="20"/>
          <w:highlight w:val="green"/>
        </w:rPr>
        <w:instrText xml:space="preserve"> REF _Ref132622111 \w \h  \* MERGEFORMAT </w:instrText>
      </w:r>
      <w:r w:rsidR="005D7F05" w:rsidRPr="001D64A0">
        <w:rPr>
          <w:szCs w:val="20"/>
          <w:highlight w:val="green"/>
        </w:rPr>
      </w:r>
      <w:r w:rsidR="005D7F05" w:rsidRPr="001D64A0">
        <w:rPr>
          <w:szCs w:val="20"/>
          <w:highlight w:val="green"/>
        </w:rPr>
        <w:fldChar w:fldCharType="separate"/>
      </w:r>
      <w:r w:rsidR="001A253E">
        <w:rPr>
          <w:szCs w:val="20"/>
          <w:highlight w:val="green"/>
        </w:rPr>
        <w:t>3</w:t>
      </w:r>
      <w:r w:rsidR="005D7F05" w:rsidRPr="001D64A0">
        <w:rPr>
          <w:szCs w:val="20"/>
          <w:highlight w:val="green"/>
        </w:rPr>
        <w:fldChar w:fldCharType="end"/>
      </w:r>
      <w:r w:rsidR="005D7F05" w:rsidRPr="001D64A0">
        <w:rPr>
          <w:szCs w:val="20"/>
          <w:highlight w:val="green"/>
        </w:rPr>
        <w:t xml:space="preserve"> </w:t>
      </w:r>
      <w:r w:rsidRPr="005D7F05">
        <w:rPr>
          <w:szCs w:val="20"/>
          <w:highlight w:val="green"/>
        </w:rPr>
        <w:t>is used&gt;</w:t>
      </w:r>
      <w:r w:rsidRPr="005D7F05">
        <w:rPr>
          <w:szCs w:val="20"/>
        </w:rPr>
        <w:t>any</w:t>
      </w:r>
      <w:r>
        <w:t xml:space="preserve"> Pandemic Statutory Requirement.</w:t>
      </w:r>
    </w:p>
    <w:p w14:paraId="2BF3C351" w14:textId="6198F5B5" w:rsidR="00770D44" w:rsidRDefault="007865AE" w:rsidP="008D4E00">
      <w:pPr>
        <w:pStyle w:val="Heading3"/>
        <w:numPr>
          <w:ilvl w:val="0"/>
          <w:numId w:val="0"/>
        </w:numPr>
        <w:spacing w:after="0"/>
        <w:ind w:left="964" w:hanging="964"/>
      </w:pPr>
      <w:r>
        <w:t>4.2</w:t>
      </w:r>
      <w:r>
        <w:tab/>
        <w:t xml:space="preserve">Insert a new row in the </w:t>
      </w:r>
      <w:r w:rsidRPr="008D492A">
        <w:t>Adjustment Event Table</w:t>
      </w:r>
      <w:r>
        <w:t xml:space="preserve"> in clause 10.1(</w:t>
      </w:r>
      <w:r w:rsidR="008D7436">
        <w:t>f</w:t>
      </w:r>
      <w:r>
        <w:t>) as follows (placed immediately before existing row 1</w:t>
      </w:r>
      <w:r w:rsidR="00B42704">
        <w:t>3</w:t>
      </w:r>
      <w:r>
        <w:t xml:space="preserve"> (Delay Events), with the remaining rows renumbered accordingly):</w:t>
      </w:r>
    </w:p>
    <w:p w14:paraId="41895657" w14:textId="00EDF9CE" w:rsidR="00770D44" w:rsidRDefault="00770D44" w:rsidP="00C87D0A">
      <w:pPr>
        <w:pStyle w:val="Heading3"/>
        <w:numPr>
          <w:ilvl w:val="0"/>
          <w:numId w:val="0"/>
        </w:numPr>
        <w:spacing w:after="0"/>
      </w:pPr>
    </w:p>
    <w:tbl>
      <w:tblPr>
        <w:tblStyle w:val="TableGrid"/>
        <w:tblpPr w:leftFromText="180" w:rightFromText="180" w:vertAnchor="text" w:horzAnchor="margin" w:tblpXSpec="right" w:tblpY="-21"/>
        <w:tblOverlap w:val="never"/>
        <w:tblW w:w="8506" w:type="dxa"/>
        <w:tblLayout w:type="fixed"/>
        <w:tblLook w:val="04A0" w:firstRow="1" w:lastRow="0" w:firstColumn="1" w:lastColumn="0" w:noHBand="0" w:noVBand="1"/>
      </w:tblPr>
      <w:tblGrid>
        <w:gridCol w:w="534"/>
        <w:gridCol w:w="2175"/>
        <w:gridCol w:w="3333"/>
        <w:gridCol w:w="821"/>
        <w:gridCol w:w="821"/>
        <w:gridCol w:w="822"/>
      </w:tblGrid>
      <w:tr w:rsidR="00770D44" w:rsidRPr="00AA1448" w14:paraId="2089850C" w14:textId="77777777" w:rsidTr="007C6325">
        <w:tc>
          <w:tcPr>
            <w:tcW w:w="534" w:type="dxa"/>
            <w:shd w:val="clear" w:color="auto" w:fill="CFC9C8" w:themeFill="background2" w:themeFillTint="66"/>
          </w:tcPr>
          <w:p w14:paraId="6122E51E" w14:textId="408E9DE3" w:rsidR="00770D44" w:rsidRPr="00AA1448" w:rsidRDefault="00770D44" w:rsidP="00770D44">
            <w:pPr>
              <w:rPr>
                <w:rFonts w:cs="Arial"/>
                <w:sz w:val="18"/>
                <w:szCs w:val="18"/>
              </w:rPr>
            </w:pPr>
            <w:r w:rsidRPr="00AA1448">
              <w:rPr>
                <w:rFonts w:cs="Arial"/>
                <w:sz w:val="18"/>
                <w:szCs w:val="18"/>
              </w:rPr>
              <w:t>1</w:t>
            </w:r>
            <w:r w:rsidR="00B42704">
              <w:rPr>
                <w:rFonts w:cs="Arial"/>
                <w:sz w:val="18"/>
                <w:szCs w:val="18"/>
              </w:rPr>
              <w:t>3</w:t>
            </w:r>
            <w:r w:rsidRPr="00AA1448">
              <w:rPr>
                <w:rFonts w:cs="Arial"/>
                <w:sz w:val="18"/>
                <w:szCs w:val="18"/>
              </w:rPr>
              <w:t>.</w:t>
            </w:r>
          </w:p>
        </w:tc>
        <w:tc>
          <w:tcPr>
            <w:tcW w:w="2175" w:type="dxa"/>
          </w:tcPr>
          <w:p w14:paraId="12BCACF5" w14:textId="49D85BD9" w:rsidR="00770D44" w:rsidRPr="00AA1448" w:rsidRDefault="00770D44" w:rsidP="00770D44">
            <w:pPr>
              <w:rPr>
                <w:rFonts w:cs="Arial"/>
                <w:sz w:val="18"/>
                <w:szCs w:val="18"/>
              </w:rPr>
            </w:pPr>
            <w:r w:rsidRPr="00AA1448">
              <w:rPr>
                <w:rFonts w:cs="Arial"/>
                <w:sz w:val="18"/>
                <w:szCs w:val="18"/>
              </w:rPr>
              <w:t>(</w:t>
            </w:r>
            <w:r w:rsidRPr="00AA1448">
              <w:rPr>
                <w:rFonts w:cs="Arial"/>
                <w:b/>
                <w:bCs/>
                <w:sz w:val="18"/>
                <w:szCs w:val="18"/>
              </w:rPr>
              <w:t>A</w:t>
            </w:r>
            <w:r w:rsidR="007456BA">
              <w:rPr>
                <w:rFonts w:cs="Arial"/>
                <w:b/>
                <w:bCs/>
                <w:sz w:val="18"/>
                <w:szCs w:val="18"/>
              </w:rPr>
              <w:t>pprovals Delay</w:t>
            </w:r>
            <w:r w:rsidRPr="00AA1448">
              <w:rPr>
                <w:rFonts w:cs="Arial"/>
                <w:sz w:val="18"/>
                <w:szCs w:val="18"/>
              </w:rPr>
              <w:t xml:space="preserve">) </w:t>
            </w:r>
            <w:r>
              <w:rPr>
                <w:rFonts w:cs="Arial"/>
                <w:sz w:val="18"/>
                <w:szCs w:val="18"/>
              </w:rPr>
              <w:t>A</w:t>
            </w:r>
            <w:r w:rsidRPr="00AA1448">
              <w:rPr>
                <w:rFonts w:cs="Arial"/>
                <w:sz w:val="18"/>
                <w:szCs w:val="18"/>
              </w:rPr>
              <w:t>n</w:t>
            </w:r>
            <w:r w:rsidRPr="00AA1448">
              <w:rPr>
                <w:rFonts w:cs="Arial"/>
                <w:b/>
                <w:bCs/>
                <w:sz w:val="18"/>
                <w:szCs w:val="18"/>
              </w:rPr>
              <w:t xml:space="preserve"> </w:t>
            </w:r>
            <w:r w:rsidRPr="00AA1448">
              <w:rPr>
                <w:rFonts w:cs="Arial"/>
                <w:sz w:val="18"/>
                <w:szCs w:val="18"/>
              </w:rPr>
              <w:t>A</w:t>
            </w:r>
            <w:r w:rsidR="007456BA">
              <w:rPr>
                <w:rFonts w:cs="Arial"/>
                <w:sz w:val="18"/>
                <w:szCs w:val="18"/>
              </w:rPr>
              <w:t>pprovals Delay</w:t>
            </w:r>
            <w:r w:rsidRPr="00AA1448">
              <w:rPr>
                <w:rFonts w:cs="Arial"/>
                <w:sz w:val="18"/>
                <w:szCs w:val="18"/>
              </w:rPr>
              <w:t xml:space="preserve"> </w:t>
            </w:r>
            <w:r>
              <w:rPr>
                <w:rFonts w:cs="Arial"/>
                <w:sz w:val="18"/>
                <w:szCs w:val="18"/>
              </w:rPr>
              <w:t>occurs</w:t>
            </w:r>
          </w:p>
        </w:tc>
        <w:tc>
          <w:tcPr>
            <w:tcW w:w="3333" w:type="dxa"/>
            <w:shd w:val="clear" w:color="auto" w:fill="CCCCCC" w:themeFill="accent1" w:themeFillTint="33"/>
          </w:tcPr>
          <w:p w14:paraId="6B43EC8C" w14:textId="7D82B638" w:rsidR="00770D44" w:rsidRPr="00AA1448" w:rsidRDefault="00770D44" w:rsidP="00770D44">
            <w:pPr>
              <w:rPr>
                <w:rFonts w:cs="Arial"/>
                <w:sz w:val="18"/>
                <w:szCs w:val="18"/>
              </w:rPr>
            </w:pPr>
            <w:r w:rsidRPr="00AA1448">
              <w:rPr>
                <w:rFonts w:cs="Arial"/>
                <w:sz w:val="18"/>
                <w:szCs w:val="18"/>
              </w:rPr>
              <w:t xml:space="preserve">Within 10 Business Days after the </w:t>
            </w:r>
            <w:r w:rsidRPr="00AA1448">
              <w:rPr>
                <w:sz w:val="18"/>
                <w:szCs w:val="18"/>
              </w:rPr>
              <w:t>date on which the Contractor first became aware of the</w:t>
            </w:r>
            <w:r w:rsidRPr="00AA1448">
              <w:rPr>
                <w:rFonts w:cs="Arial"/>
                <w:sz w:val="18"/>
                <w:szCs w:val="18"/>
              </w:rPr>
              <w:t xml:space="preserve"> A</w:t>
            </w:r>
            <w:r w:rsidR="007456BA">
              <w:rPr>
                <w:rFonts w:cs="Arial"/>
                <w:sz w:val="18"/>
                <w:szCs w:val="18"/>
              </w:rPr>
              <w:t>pprovals Delay</w:t>
            </w:r>
            <w:r w:rsidRPr="00AA1448">
              <w:rPr>
                <w:rFonts w:cs="Arial"/>
                <w:sz w:val="18"/>
                <w:szCs w:val="18"/>
              </w:rPr>
              <w:t xml:space="preserve"> </w:t>
            </w:r>
            <w:r w:rsidRPr="00AA1448">
              <w:rPr>
                <w:sz w:val="18"/>
                <w:szCs w:val="18"/>
                <w:lang w:eastAsia="zh-CN"/>
              </w:rPr>
              <w:t xml:space="preserve">(or </w:t>
            </w:r>
            <w:r w:rsidRPr="00AA1448">
              <w:rPr>
                <w:sz w:val="18"/>
                <w:szCs w:val="18"/>
              </w:rPr>
              <w:t xml:space="preserve">the date on which </w:t>
            </w:r>
            <w:r w:rsidRPr="00AA1448">
              <w:rPr>
                <w:sz w:val="18"/>
                <w:szCs w:val="18"/>
                <w:lang w:eastAsia="zh-CN"/>
              </w:rPr>
              <w:t>a Competent Contractor could reasonably have first become aware of the</w:t>
            </w:r>
            <w:r w:rsidRPr="00AA1448">
              <w:rPr>
                <w:rFonts w:cs="Arial"/>
                <w:sz w:val="18"/>
                <w:szCs w:val="18"/>
              </w:rPr>
              <w:t xml:space="preserve"> A</w:t>
            </w:r>
            <w:r w:rsidR="007456BA">
              <w:rPr>
                <w:rFonts w:cs="Arial"/>
                <w:sz w:val="18"/>
                <w:szCs w:val="18"/>
              </w:rPr>
              <w:t>pprovals Delay</w:t>
            </w:r>
            <w:r w:rsidRPr="00AA1448">
              <w:rPr>
                <w:sz w:val="18"/>
                <w:szCs w:val="18"/>
                <w:lang w:eastAsia="zh-CN"/>
              </w:rPr>
              <w:t>, whichever is earlier)</w:t>
            </w:r>
          </w:p>
        </w:tc>
        <w:tc>
          <w:tcPr>
            <w:tcW w:w="821" w:type="dxa"/>
            <w:vAlign w:val="center"/>
          </w:tcPr>
          <w:p w14:paraId="27D6A3E2" w14:textId="77777777" w:rsidR="00770D44" w:rsidRPr="00AA1448" w:rsidRDefault="00770D44" w:rsidP="00770D44">
            <w:pPr>
              <w:jc w:val="center"/>
              <w:rPr>
                <w:rFonts w:cs="Arial"/>
                <w:sz w:val="18"/>
                <w:szCs w:val="18"/>
              </w:rPr>
            </w:pPr>
            <w:r w:rsidRPr="00AA1448">
              <w:rPr>
                <w:rFonts w:cs="Arial"/>
                <w:sz w:val="18"/>
                <w:szCs w:val="18"/>
                <w:lang w:eastAsia="en-AU"/>
              </w:rPr>
              <w:sym w:font="Wingdings" w:char="F0FB"/>
            </w:r>
          </w:p>
        </w:tc>
        <w:tc>
          <w:tcPr>
            <w:tcW w:w="821" w:type="dxa"/>
            <w:vAlign w:val="center"/>
          </w:tcPr>
          <w:p w14:paraId="7059D3AA" w14:textId="77777777" w:rsidR="00770D44" w:rsidRPr="00AA1448" w:rsidRDefault="00770D44" w:rsidP="00770D44">
            <w:pPr>
              <w:jc w:val="center"/>
              <w:rPr>
                <w:rFonts w:cs="Arial"/>
                <w:sz w:val="18"/>
                <w:szCs w:val="18"/>
              </w:rPr>
            </w:pPr>
            <w:r w:rsidRPr="00AA1448">
              <w:rPr>
                <w:rFonts w:cs="Arial"/>
                <w:sz w:val="18"/>
                <w:szCs w:val="18"/>
                <w:lang w:eastAsia="en-AU"/>
              </w:rPr>
              <w:sym w:font="Wingdings" w:char="F0FC"/>
            </w:r>
          </w:p>
        </w:tc>
        <w:tc>
          <w:tcPr>
            <w:tcW w:w="822" w:type="dxa"/>
            <w:vAlign w:val="center"/>
          </w:tcPr>
          <w:p w14:paraId="411A144C" w14:textId="77777777" w:rsidR="00770D44" w:rsidRPr="00AA1448" w:rsidRDefault="00770D44" w:rsidP="00770D44">
            <w:pPr>
              <w:jc w:val="center"/>
              <w:rPr>
                <w:rFonts w:cs="Arial"/>
                <w:sz w:val="18"/>
                <w:szCs w:val="18"/>
              </w:rPr>
            </w:pPr>
            <w:r w:rsidRPr="00AA1448">
              <w:rPr>
                <w:rFonts w:cs="Arial"/>
                <w:sz w:val="18"/>
                <w:szCs w:val="18"/>
                <w:lang w:eastAsia="en-AU"/>
              </w:rPr>
              <w:sym w:font="Wingdings" w:char="F0FB"/>
            </w:r>
          </w:p>
        </w:tc>
      </w:tr>
    </w:tbl>
    <w:p w14:paraId="479392E2" w14:textId="7FBA6335" w:rsidR="00770D44" w:rsidRDefault="00770D44" w:rsidP="007865AE">
      <w:pPr>
        <w:pStyle w:val="Heading3"/>
        <w:numPr>
          <w:ilvl w:val="0"/>
          <w:numId w:val="0"/>
        </w:numPr>
        <w:ind w:left="964" w:hanging="964"/>
      </w:pPr>
    </w:p>
    <w:p w14:paraId="2C7CEE74" w14:textId="3BEDD7AF" w:rsidR="00770D44" w:rsidRDefault="00770D44" w:rsidP="007865AE">
      <w:pPr>
        <w:pStyle w:val="Heading3"/>
        <w:numPr>
          <w:ilvl w:val="0"/>
          <w:numId w:val="0"/>
        </w:numPr>
        <w:ind w:left="964" w:hanging="964"/>
      </w:pPr>
    </w:p>
    <w:p w14:paraId="2E78219A" w14:textId="565139D7" w:rsidR="00770D44" w:rsidRDefault="00770D44" w:rsidP="007865AE">
      <w:pPr>
        <w:pStyle w:val="Heading3"/>
        <w:numPr>
          <w:ilvl w:val="0"/>
          <w:numId w:val="0"/>
        </w:numPr>
        <w:ind w:left="964" w:hanging="964"/>
      </w:pPr>
    </w:p>
    <w:p w14:paraId="0524BFFB" w14:textId="71E97DCD" w:rsidR="00770D44" w:rsidRDefault="00770D44" w:rsidP="007865AE">
      <w:pPr>
        <w:pStyle w:val="Heading3"/>
        <w:numPr>
          <w:ilvl w:val="0"/>
          <w:numId w:val="0"/>
        </w:numPr>
        <w:ind w:left="964" w:hanging="964"/>
      </w:pPr>
    </w:p>
    <w:p w14:paraId="4A44C663" w14:textId="7C13A5E7" w:rsidR="008D25FC" w:rsidRDefault="008D25FC" w:rsidP="00C87D0A">
      <w:pPr>
        <w:pStyle w:val="IndentParaLevel1"/>
        <w:numPr>
          <w:ilvl w:val="0"/>
          <w:numId w:val="0"/>
        </w:numPr>
        <w:spacing w:after="0"/>
      </w:pPr>
    </w:p>
    <w:p w14:paraId="4AA9E548" w14:textId="7AEF64D2" w:rsidR="00772360" w:rsidRDefault="00772360" w:rsidP="00497861">
      <w:pPr>
        <w:pStyle w:val="Heading1"/>
        <w:numPr>
          <w:ilvl w:val="0"/>
          <w:numId w:val="11"/>
        </w:numPr>
      </w:pPr>
      <w:bookmarkStart w:id="28" w:name="_Ref141683479"/>
      <w:bookmarkStart w:id="29" w:name="_Ref141683493"/>
      <w:bookmarkStart w:id="30" w:name="_Toc143702854"/>
      <w:r>
        <w:lastRenderedPageBreak/>
        <w:t>Delay costs</w:t>
      </w:r>
      <w:r w:rsidR="00D25216">
        <w:t xml:space="preserve"> (aggregate cap)</w:t>
      </w:r>
      <w:bookmarkEnd w:id="28"/>
      <w:bookmarkEnd w:id="29"/>
      <w:bookmarkEnd w:id="30"/>
    </w:p>
    <w:tbl>
      <w:tblPr>
        <w:tblStyle w:val="TableGrid"/>
        <w:tblW w:w="0" w:type="auto"/>
        <w:tblInd w:w="964" w:type="dxa"/>
        <w:shd w:val="clear" w:color="auto" w:fill="CFD7F1" w:themeFill="accent3" w:themeFillTint="33"/>
        <w:tblLook w:val="04A0" w:firstRow="1" w:lastRow="0" w:firstColumn="1" w:lastColumn="0" w:noHBand="0" w:noVBand="1"/>
      </w:tblPr>
      <w:tblGrid>
        <w:gridCol w:w="8380"/>
      </w:tblGrid>
      <w:tr w:rsidR="001060EB" w:rsidRPr="00D2609B" w14:paraId="3ACBA717" w14:textId="77777777">
        <w:tc>
          <w:tcPr>
            <w:tcW w:w="8380" w:type="dxa"/>
            <w:shd w:val="clear" w:color="auto" w:fill="CFD7F1" w:themeFill="accent3" w:themeFillTint="33"/>
          </w:tcPr>
          <w:p w14:paraId="27D2F39A" w14:textId="0CFCC879" w:rsidR="003705BC" w:rsidRPr="00902280" w:rsidRDefault="003705BC" w:rsidP="0006796E">
            <w:pPr>
              <w:pStyle w:val="IndentParaLevel1"/>
              <w:spacing w:before="60" w:after="60"/>
              <w:ind w:left="0"/>
              <w:rPr>
                <w:sz w:val="18"/>
                <w:szCs w:val="18"/>
              </w:rPr>
            </w:pPr>
            <w:bookmarkStart w:id="31" w:name="_Hlk137899573"/>
            <w:r w:rsidRPr="00D2609B">
              <w:rPr>
                <w:b/>
                <w:bCs/>
                <w:sz w:val="18"/>
                <w:szCs w:val="18"/>
              </w:rPr>
              <w:t>Guidance Note:</w:t>
            </w:r>
            <w:r w:rsidRPr="00D2609B">
              <w:rPr>
                <w:sz w:val="18"/>
                <w:szCs w:val="18"/>
              </w:rPr>
              <w:t xml:space="preserve"> </w:t>
            </w:r>
            <w:r>
              <w:rPr>
                <w:sz w:val="18"/>
                <w:szCs w:val="18"/>
              </w:rPr>
              <w:t>Under the MWC,</w:t>
            </w:r>
            <w:r w:rsidR="00902280">
              <w:rPr>
                <w:sz w:val="18"/>
                <w:szCs w:val="18"/>
              </w:rPr>
              <w:t xml:space="preserve"> the Contractor is entitled to be paid a pre-agreed amount per Working Day where it is granted an extension of time for certain events of delay</w:t>
            </w:r>
            <w:r w:rsidR="005D7F05">
              <w:rPr>
                <w:sz w:val="18"/>
                <w:szCs w:val="18"/>
              </w:rPr>
              <w:t xml:space="preserve"> (that is, Compensable Delay Events)</w:t>
            </w:r>
            <w:r w:rsidR="00902280">
              <w:rPr>
                <w:sz w:val="18"/>
                <w:szCs w:val="18"/>
              </w:rPr>
              <w:t>. In addition to capping the amount</w:t>
            </w:r>
            <w:r w:rsidR="005D7F05">
              <w:rPr>
                <w:sz w:val="18"/>
                <w:szCs w:val="18"/>
              </w:rPr>
              <w:t xml:space="preserve"> per Working Day</w:t>
            </w:r>
            <w:r w:rsidR="00902280">
              <w:rPr>
                <w:sz w:val="18"/>
                <w:szCs w:val="18"/>
              </w:rPr>
              <w:t>, agencies may wish to cap the aggregate amount payable by way of delay damages</w:t>
            </w:r>
            <w:r w:rsidR="005D7F05">
              <w:rPr>
                <w:sz w:val="18"/>
                <w:szCs w:val="18"/>
              </w:rPr>
              <w:t xml:space="preserve"> </w:t>
            </w:r>
            <w:r w:rsidR="0006796E">
              <w:rPr>
                <w:sz w:val="18"/>
                <w:szCs w:val="18"/>
              </w:rPr>
              <w:t xml:space="preserve">(although this </w:t>
            </w:r>
            <w:r w:rsidR="005D7F05">
              <w:rPr>
                <w:sz w:val="18"/>
                <w:szCs w:val="18"/>
              </w:rPr>
              <w:t xml:space="preserve">is not </w:t>
            </w:r>
            <w:r w:rsidR="0006796E">
              <w:rPr>
                <w:sz w:val="18"/>
                <w:szCs w:val="18"/>
              </w:rPr>
              <w:t xml:space="preserve">usual). Before including this </w:t>
            </w:r>
            <w:r w:rsidR="005D7F05">
              <w:rPr>
                <w:sz w:val="18"/>
                <w:szCs w:val="18"/>
              </w:rPr>
              <w:t xml:space="preserve">model </w:t>
            </w:r>
            <w:r w:rsidR="0006796E">
              <w:rPr>
                <w:sz w:val="18"/>
                <w:szCs w:val="18"/>
              </w:rPr>
              <w:t>clause, agencies should consider</w:t>
            </w:r>
            <w:r w:rsidR="00902280">
              <w:rPr>
                <w:sz w:val="18"/>
                <w:szCs w:val="18"/>
              </w:rPr>
              <w:t xml:space="preserve"> the complexity of the project and the potential for extended periods of delay.</w:t>
            </w:r>
            <w:r w:rsidR="0006796E">
              <w:rPr>
                <w:sz w:val="18"/>
                <w:szCs w:val="18"/>
              </w:rPr>
              <w:t xml:space="preserve"> </w:t>
            </w:r>
            <w:r w:rsidR="00B23110">
              <w:rPr>
                <w:sz w:val="18"/>
                <w:szCs w:val="18"/>
              </w:rPr>
              <w:t xml:space="preserve">Note that if such a cap is </w:t>
            </w:r>
            <w:r w:rsidR="00902280">
              <w:rPr>
                <w:sz w:val="18"/>
                <w:szCs w:val="18"/>
              </w:rPr>
              <w:t xml:space="preserve">imposed, Contractors </w:t>
            </w:r>
            <w:r w:rsidR="00B23110">
              <w:rPr>
                <w:sz w:val="18"/>
                <w:szCs w:val="18"/>
              </w:rPr>
              <w:t>are likely to</w:t>
            </w:r>
            <w:r w:rsidR="00902280">
              <w:rPr>
                <w:sz w:val="18"/>
                <w:szCs w:val="18"/>
              </w:rPr>
              <w:t xml:space="preserve"> seek a reciprocal aggregate cap on the amount of liquidated damages payable to the agency.</w:t>
            </w:r>
            <w:r w:rsidRPr="00902280">
              <w:rPr>
                <w:sz w:val="18"/>
                <w:szCs w:val="18"/>
              </w:rPr>
              <w:t xml:space="preserve"> </w:t>
            </w:r>
          </w:p>
        </w:tc>
      </w:tr>
      <w:bookmarkEnd w:id="31"/>
    </w:tbl>
    <w:p w14:paraId="3B15A3D7" w14:textId="77777777" w:rsidR="003705BC" w:rsidRDefault="003705BC" w:rsidP="008C071E">
      <w:pPr>
        <w:pStyle w:val="Heading3"/>
        <w:numPr>
          <w:ilvl w:val="0"/>
          <w:numId w:val="0"/>
        </w:numPr>
        <w:spacing w:after="0"/>
        <w:ind w:left="964" w:hanging="964"/>
      </w:pPr>
    </w:p>
    <w:p w14:paraId="54B66AFC" w14:textId="052D6F5B" w:rsidR="00D25216" w:rsidRPr="00D25216" w:rsidRDefault="00D25216" w:rsidP="00D25216">
      <w:pPr>
        <w:pStyle w:val="Heading3"/>
        <w:numPr>
          <w:ilvl w:val="0"/>
          <w:numId w:val="0"/>
        </w:numPr>
        <w:ind w:left="964" w:hanging="964"/>
      </w:pPr>
      <w:r>
        <w:t>5.1</w:t>
      </w:r>
      <w:r>
        <w:tab/>
        <w:t>Amend clause 10.4(a)(iii) to read as follows:</w:t>
      </w:r>
    </w:p>
    <w:p w14:paraId="48489A38" w14:textId="50FF9AA3" w:rsidR="00D25216" w:rsidRDefault="00D25216" w:rsidP="00D25216">
      <w:pPr>
        <w:pStyle w:val="Heading4"/>
        <w:numPr>
          <w:ilvl w:val="0"/>
          <w:numId w:val="0"/>
        </w:numPr>
        <w:ind w:left="1928" w:hanging="964"/>
        <w:rPr>
          <w:lang w:eastAsia="zh-CN"/>
        </w:rPr>
      </w:pPr>
      <w:r>
        <w:rPr>
          <w:lang w:eastAsia="zh-CN"/>
        </w:rPr>
        <w:t>“(iii)</w:t>
      </w:r>
      <w:r>
        <w:rPr>
          <w:lang w:eastAsia="zh-CN"/>
        </w:rPr>
        <w:tab/>
        <w:t xml:space="preserve">exceed: </w:t>
      </w:r>
    </w:p>
    <w:p w14:paraId="62B22234" w14:textId="1C64BF7A" w:rsidR="00D25216" w:rsidRDefault="00D25216" w:rsidP="00710987">
      <w:pPr>
        <w:pStyle w:val="Heading4"/>
        <w:numPr>
          <w:ilvl w:val="0"/>
          <w:numId w:val="31"/>
        </w:numPr>
        <w:rPr>
          <w:lang w:eastAsia="zh-CN"/>
        </w:rPr>
      </w:pPr>
      <w:r>
        <w:rPr>
          <w:lang w:eastAsia="zh-CN"/>
        </w:rPr>
        <w:t xml:space="preserve">the Delay Cost Cap per Working Day; </w:t>
      </w:r>
      <w:r w:rsidR="00FC5ADD">
        <w:rPr>
          <w:lang w:eastAsia="zh-CN"/>
        </w:rPr>
        <w:t>or</w:t>
      </w:r>
    </w:p>
    <w:p w14:paraId="79350D8A" w14:textId="216739B7" w:rsidR="00D25216" w:rsidRDefault="00D25216" w:rsidP="00710987">
      <w:pPr>
        <w:pStyle w:val="Heading4"/>
        <w:numPr>
          <w:ilvl w:val="0"/>
          <w:numId w:val="31"/>
        </w:numPr>
        <w:rPr>
          <w:lang w:eastAsia="zh-CN"/>
        </w:rPr>
      </w:pPr>
      <w:r>
        <w:rPr>
          <w:lang w:eastAsia="zh-CN"/>
        </w:rPr>
        <w:t xml:space="preserve">the </w:t>
      </w:r>
      <w:r w:rsidRPr="00AD1D59">
        <w:rPr>
          <w:rFonts w:cs="Angsana New"/>
          <w:szCs w:val="20"/>
          <w:lang w:eastAsia="zh-CN" w:bidi="th-TH"/>
        </w:rPr>
        <w:t xml:space="preserve">maximum aggregate liability </w:t>
      </w:r>
      <w:r>
        <w:rPr>
          <w:rFonts w:cs="Angsana New"/>
          <w:szCs w:val="20"/>
          <w:lang w:eastAsia="zh-CN" w:bidi="th-TH"/>
        </w:rPr>
        <w:t xml:space="preserve">of the Principal to the Contractor </w:t>
      </w:r>
      <w:r w:rsidRPr="00D25216">
        <w:rPr>
          <w:rFonts w:cs="Angsana New"/>
          <w:szCs w:val="20"/>
          <w:lang w:eastAsia="zh-CN" w:bidi="th-TH"/>
        </w:rPr>
        <w:t xml:space="preserve">for </w:t>
      </w:r>
      <w:r w:rsidR="008D4E00">
        <w:rPr>
          <w:rFonts w:cs="Angsana New"/>
          <w:szCs w:val="20"/>
          <w:lang w:eastAsia="zh-CN" w:bidi="th-TH"/>
        </w:rPr>
        <w:t>costs under this clause 10.4</w:t>
      </w:r>
      <w:r w:rsidR="00AA1448">
        <w:rPr>
          <w:rFonts w:cs="Angsana New"/>
          <w:szCs w:val="20"/>
          <w:lang w:eastAsia="zh-CN" w:bidi="th-TH"/>
        </w:rPr>
        <w:t>, being the</w:t>
      </w:r>
      <w:r w:rsidR="00AA1448" w:rsidRPr="00AA1448">
        <w:rPr>
          <w:rFonts w:cs="Angsana New"/>
          <w:szCs w:val="20"/>
          <w:lang w:eastAsia="zh-CN" w:bidi="th-TH"/>
        </w:rPr>
        <w:t xml:space="preserve"> </w:t>
      </w:r>
      <w:r w:rsidR="00AA1448" w:rsidRPr="00AD1D59">
        <w:rPr>
          <w:rFonts w:cs="Angsana New"/>
          <w:szCs w:val="20"/>
          <w:lang w:eastAsia="zh-CN" w:bidi="th-TH"/>
        </w:rPr>
        <w:t>amount specified in</w:t>
      </w:r>
      <w:r w:rsidR="00AA1448">
        <w:rPr>
          <w:rFonts w:cs="Angsana New"/>
          <w:szCs w:val="20"/>
          <w:lang w:eastAsia="zh-CN" w:bidi="th-TH"/>
        </w:rPr>
        <w:t xml:space="preserve"> Item </w:t>
      </w:r>
      <w:r w:rsidR="008D4E00">
        <w:rPr>
          <w:rFonts w:cs="Angsana New"/>
          <w:szCs w:val="20"/>
          <w:lang w:eastAsia="zh-CN" w:bidi="th-TH"/>
        </w:rPr>
        <w:t>38</w:t>
      </w:r>
      <w:r w:rsidR="00AA1448">
        <w:rPr>
          <w:rFonts w:cs="Angsana New"/>
          <w:szCs w:val="20"/>
          <w:lang w:eastAsia="zh-CN" w:bidi="th-TH"/>
        </w:rPr>
        <w:t>.</w:t>
      </w:r>
    </w:p>
    <w:p w14:paraId="0EC31C4D" w14:textId="6576960B" w:rsidR="00AA1448" w:rsidRDefault="00AA1448" w:rsidP="008D4E00">
      <w:pPr>
        <w:pStyle w:val="Heading3"/>
        <w:numPr>
          <w:ilvl w:val="0"/>
          <w:numId w:val="0"/>
        </w:numPr>
        <w:ind w:left="964" w:hanging="964"/>
        <w:jc w:val="center"/>
      </w:pPr>
      <w:r>
        <w:t>5.2</w:t>
      </w:r>
      <w:r>
        <w:tab/>
        <w:t xml:space="preserve">Amend Item </w:t>
      </w:r>
      <w:r w:rsidR="008D4E00">
        <w:t>38</w:t>
      </w:r>
      <w:r>
        <w:t xml:space="preserve"> in the Contract Particulars (Schedule 1) to read as follows:</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4678"/>
      </w:tblGrid>
      <w:tr w:rsidR="00AA1448" w:rsidRPr="00AA1448" w14:paraId="35FF520A" w14:textId="77777777" w:rsidTr="00711AA3">
        <w:tc>
          <w:tcPr>
            <w:tcW w:w="567" w:type="dxa"/>
          </w:tcPr>
          <w:p w14:paraId="31B9FA83" w14:textId="1167051B" w:rsidR="00AA1448" w:rsidRPr="00AA1448" w:rsidRDefault="00AA1448" w:rsidP="00711AA3">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ngsana New"/>
                <w:noProof/>
                <w:color w:val="000000"/>
                <w:spacing w:val="2"/>
                <w:sz w:val="18"/>
                <w:szCs w:val="18"/>
                <w:lang w:eastAsia="zh-CN" w:bidi="th-TH"/>
              </w:rPr>
              <w:t>3</w:t>
            </w:r>
            <w:r w:rsidR="008D4E00">
              <w:rPr>
                <w:rFonts w:cs="Angsana New"/>
                <w:noProof/>
                <w:color w:val="000000"/>
                <w:spacing w:val="2"/>
                <w:sz w:val="18"/>
                <w:szCs w:val="18"/>
                <w:lang w:eastAsia="zh-CN" w:bidi="th-TH"/>
              </w:rPr>
              <w:t>8</w:t>
            </w:r>
          </w:p>
        </w:tc>
        <w:tc>
          <w:tcPr>
            <w:tcW w:w="3260" w:type="dxa"/>
            <w:shd w:val="clear" w:color="auto" w:fill="auto"/>
          </w:tcPr>
          <w:p w14:paraId="46CC3574" w14:textId="4AE4B3C7" w:rsidR="00AA1448" w:rsidRPr="00AA1448" w:rsidRDefault="00AA1448" w:rsidP="00AA1448">
            <w:pPr>
              <w:tabs>
                <w:tab w:val="left" w:pos="459"/>
                <w:tab w:val="left" w:pos="3969"/>
                <w:tab w:val="left" w:pos="4536"/>
                <w:tab w:val="right" w:leader="dot" w:pos="8505"/>
              </w:tabs>
              <w:spacing w:before="120" w:after="120"/>
              <w:ind w:right="-6"/>
              <w:rPr>
                <w:rFonts w:cs="Angsana New"/>
                <w:noProof/>
                <w:color w:val="000000"/>
                <w:spacing w:val="2"/>
                <w:sz w:val="18"/>
                <w:szCs w:val="18"/>
                <w:lang w:eastAsia="zh-CN" w:bidi="th-TH"/>
              </w:rPr>
            </w:pPr>
            <w:r w:rsidRPr="00AA1448">
              <w:rPr>
                <w:rFonts w:cs="Arial"/>
                <w:sz w:val="18"/>
                <w:szCs w:val="18"/>
              </w:rPr>
              <w:t>Delay Cost Cap and maximum aggregate liability:</w:t>
            </w:r>
            <w:r w:rsidRPr="00AA1448">
              <w:rPr>
                <w:rFonts w:cs="Arial"/>
                <w:sz w:val="18"/>
                <w:szCs w:val="18"/>
              </w:rPr>
              <w:br/>
              <w:t>(Clauses 1.1 and 10.4)</w:t>
            </w:r>
            <w:r w:rsidRPr="00AA1448">
              <w:rPr>
                <w:rFonts w:cs="Angsana New"/>
                <w:noProof/>
                <w:color w:val="000000"/>
                <w:spacing w:val="2"/>
                <w:sz w:val="18"/>
                <w:szCs w:val="18"/>
                <w:lang w:eastAsia="zh-CN" w:bidi="th-TH"/>
              </w:rPr>
              <w:t xml:space="preserve"> </w:t>
            </w:r>
          </w:p>
        </w:tc>
        <w:tc>
          <w:tcPr>
            <w:tcW w:w="4678" w:type="dxa"/>
            <w:shd w:val="clear" w:color="auto" w:fill="auto"/>
          </w:tcPr>
          <w:p w14:paraId="4FE53C97" w14:textId="64D09F1D" w:rsidR="00AA1448" w:rsidRDefault="00AA1448" w:rsidP="00AA1448">
            <w:pPr>
              <w:pStyle w:val="IndentParaLevel1"/>
              <w:spacing w:before="120" w:after="120"/>
              <w:ind w:left="0"/>
              <w:rPr>
                <w:rFonts w:cs="Arial"/>
                <w:sz w:val="18"/>
                <w:szCs w:val="18"/>
              </w:rPr>
            </w:pPr>
            <w:r w:rsidRPr="00AA1448">
              <w:rPr>
                <w:rFonts w:cs="Arial"/>
                <w:sz w:val="18"/>
                <w:szCs w:val="18"/>
                <w:u w:val="single"/>
              </w:rPr>
              <w:t>Delay Cost Cap</w:t>
            </w:r>
            <w:r>
              <w:rPr>
                <w:rFonts w:cs="Arial"/>
                <w:sz w:val="18"/>
                <w:szCs w:val="18"/>
              </w:rPr>
              <w:t>:</w:t>
            </w:r>
            <w:r w:rsidRPr="00AA1448">
              <w:rPr>
                <w:rFonts w:cs="Arial"/>
                <w:sz w:val="18"/>
                <w:szCs w:val="18"/>
              </w:rPr>
              <w:t xml:space="preserve"> </w:t>
            </w:r>
            <w:r>
              <w:rPr>
                <w:rFonts w:cs="Arial"/>
                <w:sz w:val="18"/>
                <w:szCs w:val="18"/>
              </w:rPr>
              <w:br/>
            </w:r>
            <w:r>
              <w:rPr>
                <w:rFonts w:cs="Arial"/>
                <w:sz w:val="18"/>
                <w:szCs w:val="18"/>
              </w:rPr>
              <w:br/>
            </w:r>
            <w:r w:rsidR="008D7436">
              <w:rPr>
                <w:sz w:val="18"/>
                <w:szCs w:val="18"/>
                <w:shd w:val="clear" w:color="000000" w:fill="auto"/>
              </w:rPr>
              <w:t xml:space="preserve">$ </w:t>
            </w:r>
            <w:r w:rsidR="008D7436" w:rsidRPr="00014538">
              <w:rPr>
                <w:sz w:val="18"/>
                <w:szCs w:val="18"/>
                <w:shd w:val="clear" w:color="000000" w:fill="auto"/>
              </w:rPr>
              <w:t>[</w:t>
            </w:r>
            <w:r w:rsidR="008D7436" w:rsidRPr="008D492A">
              <w:rPr>
                <w:rFonts w:cs="Arial"/>
                <w:i/>
                <w:sz w:val="18"/>
                <w:szCs w:val="18"/>
                <w:highlight w:val="yellow"/>
              </w:rPr>
              <w:t>insert</w:t>
            </w:r>
            <w:r w:rsidR="008D7436">
              <w:rPr>
                <w:rFonts w:cs="Arial"/>
                <w:sz w:val="18"/>
                <w:szCs w:val="18"/>
              </w:rPr>
              <w:t>]</w:t>
            </w:r>
            <w:r w:rsidR="008D7436" w:rsidRPr="008D5465">
              <w:rPr>
                <w:rFonts w:cs="Arial"/>
                <w:sz w:val="18"/>
                <w:szCs w:val="18"/>
              </w:rPr>
              <w:t xml:space="preserve"> </w:t>
            </w:r>
            <w:r w:rsidRPr="00AA1448">
              <w:rPr>
                <w:rFonts w:cs="Arial"/>
                <w:sz w:val="18"/>
                <w:szCs w:val="18"/>
              </w:rPr>
              <w:t>per Working Day</w:t>
            </w:r>
          </w:p>
          <w:p w14:paraId="56B27990" w14:textId="708419E3" w:rsidR="008D7436" w:rsidRPr="00AA1448" w:rsidRDefault="008D7436" w:rsidP="00AA1448">
            <w:pPr>
              <w:pStyle w:val="IndentParaLevel1"/>
              <w:spacing w:before="120" w:after="120"/>
              <w:ind w:left="0"/>
              <w:rPr>
                <w:rFonts w:cs="Arial"/>
                <w:sz w:val="18"/>
                <w:szCs w:val="18"/>
              </w:rPr>
            </w:pPr>
            <w:r w:rsidRPr="00EF206C">
              <w:rPr>
                <w:rFonts w:cs="Arial"/>
                <w:b/>
                <w:bCs/>
                <w:sz w:val="18"/>
                <w:szCs w:val="18"/>
              </w:rPr>
              <w:t>OR</w:t>
            </w:r>
            <w:r w:rsidRPr="00EF206C">
              <w:rPr>
                <w:rFonts w:cs="Arial"/>
                <w:sz w:val="18"/>
                <w:szCs w:val="18"/>
              </w:rPr>
              <w:t xml:space="preserve">, if Separable Portions apply, see the Separable Portions </w:t>
            </w:r>
            <w:r>
              <w:rPr>
                <w:rFonts w:cs="Arial"/>
                <w:sz w:val="18"/>
                <w:szCs w:val="18"/>
              </w:rPr>
              <w:t>Particulars</w:t>
            </w:r>
            <w:r w:rsidRPr="00EF206C">
              <w:rPr>
                <w:rFonts w:cs="Arial"/>
                <w:sz w:val="18"/>
                <w:szCs w:val="18"/>
              </w:rPr>
              <w:t>.</w:t>
            </w:r>
          </w:p>
          <w:p w14:paraId="4953670A" w14:textId="32750FC0" w:rsidR="00AA1448" w:rsidRPr="00AA1448" w:rsidRDefault="00AA1448" w:rsidP="00AA1448">
            <w:pPr>
              <w:tabs>
                <w:tab w:val="left" w:pos="459"/>
                <w:tab w:val="left" w:pos="3969"/>
                <w:tab w:val="left" w:pos="4536"/>
                <w:tab w:val="right" w:leader="dot" w:pos="8505"/>
              </w:tabs>
              <w:spacing w:before="120" w:after="120"/>
              <w:ind w:right="-6"/>
              <w:rPr>
                <w:sz w:val="18"/>
                <w:szCs w:val="18"/>
              </w:rPr>
            </w:pPr>
            <w:r w:rsidRPr="00AA1448">
              <w:rPr>
                <w:sz w:val="18"/>
                <w:szCs w:val="18"/>
                <w:shd w:val="clear" w:color="000000" w:fill="auto"/>
              </w:rPr>
              <w:t>[</w:t>
            </w:r>
            <w:r w:rsidRPr="0069591C">
              <w:rPr>
                <w:rFonts w:cs="Arial"/>
                <w:b/>
                <w:i/>
                <w:sz w:val="18"/>
                <w:szCs w:val="18"/>
                <w:highlight w:val="cyan"/>
              </w:rPr>
              <w:t xml:space="preserve">Guidance Note: this </w:t>
            </w:r>
            <w:r w:rsidR="00902280" w:rsidRPr="0069591C">
              <w:rPr>
                <w:rFonts w:cs="Arial"/>
                <w:b/>
                <w:i/>
                <w:sz w:val="18"/>
                <w:szCs w:val="18"/>
                <w:highlight w:val="cyan"/>
              </w:rPr>
              <w:t>should</w:t>
            </w:r>
            <w:r w:rsidRPr="0069591C">
              <w:rPr>
                <w:rFonts w:cs="Arial"/>
                <w:b/>
                <w:i/>
                <w:sz w:val="18"/>
                <w:szCs w:val="18"/>
                <w:highlight w:val="cyan"/>
              </w:rPr>
              <w:t xml:space="preserve"> </w:t>
            </w:r>
            <w:r w:rsidR="00902280" w:rsidRPr="0069591C">
              <w:rPr>
                <w:rFonts w:cs="Arial"/>
                <w:b/>
                <w:i/>
                <w:sz w:val="18"/>
                <w:szCs w:val="18"/>
                <w:highlight w:val="cyan"/>
              </w:rPr>
              <w:t xml:space="preserve">be </w:t>
            </w:r>
            <w:r w:rsidRPr="0069591C">
              <w:rPr>
                <w:rFonts w:cs="Arial"/>
                <w:b/>
                <w:i/>
                <w:sz w:val="18"/>
                <w:szCs w:val="18"/>
                <w:highlight w:val="cyan"/>
              </w:rPr>
              <w:t>a bid back item.</w:t>
            </w:r>
            <w:r w:rsidRPr="0069591C">
              <w:rPr>
                <w:rFonts w:cs="Arial"/>
                <w:sz w:val="18"/>
                <w:szCs w:val="18"/>
                <w:highlight w:val="cyan"/>
              </w:rPr>
              <w:t>]</w:t>
            </w:r>
          </w:p>
          <w:p w14:paraId="3C42207D" w14:textId="7D30EA53" w:rsidR="00AA1448" w:rsidRPr="00AA1448" w:rsidRDefault="00AA1448" w:rsidP="00711AA3">
            <w:pPr>
              <w:tabs>
                <w:tab w:val="left" w:pos="459"/>
                <w:tab w:val="left" w:pos="3969"/>
                <w:tab w:val="left" w:pos="4536"/>
                <w:tab w:val="right" w:leader="dot" w:pos="8505"/>
              </w:tabs>
              <w:spacing w:before="120" w:after="120"/>
              <w:ind w:right="-6"/>
              <w:rPr>
                <w:sz w:val="18"/>
                <w:szCs w:val="18"/>
              </w:rPr>
            </w:pPr>
            <w:r w:rsidRPr="00AA1448">
              <w:rPr>
                <w:rFonts w:cs="Arial"/>
                <w:sz w:val="18"/>
                <w:szCs w:val="18"/>
                <w:u w:val="single"/>
              </w:rPr>
              <w:t>Maximum aggregate liability</w:t>
            </w:r>
            <w:r>
              <w:rPr>
                <w:rFonts w:cs="Arial"/>
                <w:sz w:val="18"/>
                <w:szCs w:val="18"/>
              </w:rPr>
              <w:t>:</w:t>
            </w:r>
          </w:p>
          <w:p w14:paraId="6821D9C6" w14:textId="3B1B88AA" w:rsidR="000C55D4" w:rsidRDefault="000C55D4" w:rsidP="00711AA3">
            <w:pPr>
              <w:pStyle w:val="IndentParaLevel1"/>
              <w:spacing w:before="120" w:after="120"/>
              <w:ind w:left="0"/>
              <w:rPr>
                <w:rFonts w:cs="Arial"/>
                <w:sz w:val="18"/>
                <w:szCs w:val="18"/>
              </w:rPr>
            </w:pPr>
            <w:r>
              <w:rPr>
                <w:sz w:val="18"/>
                <w:szCs w:val="18"/>
              </w:rPr>
              <w:t>10</w:t>
            </w:r>
            <w:r w:rsidR="00AA1448" w:rsidRPr="00AA1448">
              <w:rPr>
                <w:sz w:val="18"/>
                <w:szCs w:val="18"/>
              </w:rPr>
              <w:t xml:space="preserve">% </w:t>
            </w:r>
            <w:r w:rsidR="00AA1448" w:rsidRPr="00AA1448">
              <w:rPr>
                <w:rFonts w:cs="Arial"/>
                <w:sz w:val="18"/>
                <w:szCs w:val="18"/>
              </w:rPr>
              <w:t>of the Contract Sum</w:t>
            </w:r>
            <w:r>
              <w:rPr>
                <w:rFonts w:cs="Arial"/>
                <w:sz w:val="18"/>
                <w:szCs w:val="18"/>
              </w:rPr>
              <w:t xml:space="preserve"> </w:t>
            </w:r>
          </w:p>
          <w:p w14:paraId="1CE5C690" w14:textId="18CC5211" w:rsidR="00AA1448" w:rsidRPr="00AA1448" w:rsidRDefault="000C55D4" w:rsidP="00711AA3">
            <w:pPr>
              <w:pStyle w:val="IndentParaLevel1"/>
              <w:spacing w:before="120" w:after="120"/>
              <w:ind w:left="0"/>
              <w:rPr>
                <w:rFonts w:cs="Arial"/>
                <w:sz w:val="18"/>
                <w:szCs w:val="18"/>
              </w:rPr>
            </w:pPr>
            <w:r w:rsidRPr="00AA1448">
              <w:rPr>
                <w:sz w:val="18"/>
                <w:szCs w:val="18"/>
                <w:shd w:val="clear" w:color="000000" w:fill="auto"/>
              </w:rPr>
              <w:t>[</w:t>
            </w:r>
            <w:r w:rsidRPr="0069591C">
              <w:rPr>
                <w:rFonts w:cs="Arial"/>
                <w:b/>
                <w:i/>
                <w:sz w:val="18"/>
                <w:szCs w:val="18"/>
                <w:highlight w:val="cyan"/>
              </w:rPr>
              <w:t xml:space="preserve">Guidance Note: 10% is the default position. Alter only if required as a result of </w:t>
            </w:r>
            <w:r w:rsidR="00902280" w:rsidRPr="0069591C">
              <w:rPr>
                <w:rFonts w:cs="Arial"/>
                <w:b/>
                <w:i/>
                <w:sz w:val="18"/>
                <w:szCs w:val="18"/>
                <w:highlight w:val="cyan"/>
              </w:rPr>
              <w:t xml:space="preserve">tender </w:t>
            </w:r>
            <w:r w:rsidRPr="0069591C">
              <w:rPr>
                <w:rFonts w:cs="Arial"/>
                <w:b/>
                <w:i/>
                <w:sz w:val="18"/>
                <w:szCs w:val="18"/>
                <w:highlight w:val="cyan"/>
              </w:rPr>
              <w:t>negotiation.</w:t>
            </w:r>
            <w:r w:rsidRPr="0069591C">
              <w:rPr>
                <w:rFonts w:cs="Arial"/>
                <w:sz w:val="18"/>
                <w:szCs w:val="18"/>
                <w:highlight w:val="cyan"/>
              </w:rPr>
              <w:t>]</w:t>
            </w:r>
          </w:p>
        </w:tc>
      </w:tr>
    </w:tbl>
    <w:p w14:paraId="78D6EC33" w14:textId="77777777" w:rsidR="009B6244" w:rsidRPr="009B6244" w:rsidRDefault="009B6244" w:rsidP="009B6244">
      <w:pPr>
        <w:pStyle w:val="IndentParaLevel1"/>
      </w:pPr>
    </w:p>
    <w:p w14:paraId="6C112322" w14:textId="3556B1C1" w:rsidR="00772360" w:rsidRDefault="00772360" w:rsidP="00497861">
      <w:pPr>
        <w:pStyle w:val="Heading1"/>
        <w:numPr>
          <w:ilvl w:val="0"/>
          <w:numId w:val="11"/>
        </w:numPr>
      </w:pPr>
      <w:bookmarkStart w:id="32" w:name="_Ref141683487"/>
      <w:bookmarkStart w:id="33" w:name="_Ref141683498"/>
      <w:bookmarkStart w:id="34" w:name="_Toc143702855"/>
      <w:r>
        <w:t>Intellectual Property – Ownership</w:t>
      </w:r>
      <w:bookmarkEnd w:id="32"/>
      <w:bookmarkEnd w:id="33"/>
      <w:bookmarkEnd w:id="34"/>
    </w:p>
    <w:tbl>
      <w:tblPr>
        <w:tblStyle w:val="TableGrid"/>
        <w:tblW w:w="0" w:type="auto"/>
        <w:tblInd w:w="964" w:type="dxa"/>
        <w:shd w:val="clear" w:color="auto" w:fill="CFD7F1" w:themeFill="accent3" w:themeFillTint="33"/>
        <w:tblLook w:val="04A0" w:firstRow="1" w:lastRow="0" w:firstColumn="1" w:lastColumn="0" w:noHBand="0" w:noVBand="1"/>
      </w:tblPr>
      <w:tblGrid>
        <w:gridCol w:w="8380"/>
      </w:tblGrid>
      <w:tr w:rsidR="00D14278" w:rsidRPr="00D2609B" w14:paraId="7F204F30" w14:textId="77777777" w:rsidTr="005D5BCB">
        <w:tc>
          <w:tcPr>
            <w:tcW w:w="8380" w:type="dxa"/>
            <w:shd w:val="clear" w:color="auto" w:fill="CFD7F1" w:themeFill="accent3" w:themeFillTint="33"/>
          </w:tcPr>
          <w:p w14:paraId="4628C0E7" w14:textId="6270F74A" w:rsidR="00D14278" w:rsidRPr="00D14278" w:rsidRDefault="00D14278" w:rsidP="001D0ACA">
            <w:pPr>
              <w:pStyle w:val="IndentParaLevel1"/>
              <w:spacing w:before="60" w:after="60"/>
              <w:ind w:left="0"/>
              <w:rPr>
                <w:sz w:val="18"/>
                <w:szCs w:val="18"/>
              </w:rPr>
            </w:pPr>
            <w:r w:rsidRPr="00D14278">
              <w:rPr>
                <w:b/>
                <w:bCs/>
                <w:sz w:val="18"/>
                <w:szCs w:val="18"/>
              </w:rPr>
              <w:t>Guidance Note:</w:t>
            </w:r>
            <w:r w:rsidRPr="00D14278">
              <w:rPr>
                <w:sz w:val="18"/>
                <w:szCs w:val="18"/>
              </w:rPr>
              <w:t xml:space="preserve"> Under clause 15.2 of the M</w:t>
            </w:r>
            <w:r w:rsidR="00960213">
              <w:rPr>
                <w:sz w:val="18"/>
                <w:szCs w:val="18"/>
              </w:rPr>
              <w:t>WC</w:t>
            </w:r>
            <w:r w:rsidRPr="00D14278">
              <w:rPr>
                <w:sz w:val="18"/>
                <w:szCs w:val="18"/>
              </w:rPr>
              <w:t xml:space="preserve">, the Contractor grants to the Principal a licence to exercise certain Intellectual Property Rights in the Project Material and its Background IP. Ownership of the </w:t>
            </w:r>
            <w:r w:rsidR="008D4E00">
              <w:rPr>
                <w:sz w:val="18"/>
                <w:szCs w:val="18"/>
              </w:rPr>
              <w:t>Project</w:t>
            </w:r>
            <w:r w:rsidRPr="00D14278">
              <w:rPr>
                <w:sz w:val="18"/>
                <w:szCs w:val="18"/>
              </w:rPr>
              <w:t xml:space="preserve"> Material does not transfer to the Principal. Project Material refers to any designs, materials and documents provided by the Contractor.</w:t>
            </w:r>
          </w:p>
          <w:p w14:paraId="247D42C6" w14:textId="77777777" w:rsidR="00D14278" w:rsidRPr="00D14278" w:rsidRDefault="00D14278" w:rsidP="001D0ACA">
            <w:pPr>
              <w:pStyle w:val="IndentParaLevel1"/>
              <w:spacing w:before="60" w:after="60"/>
              <w:ind w:left="0"/>
              <w:rPr>
                <w:sz w:val="18"/>
                <w:szCs w:val="18"/>
              </w:rPr>
            </w:pPr>
            <w:r w:rsidRPr="00D14278">
              <w:rPr>
                <w:sz w:val="18"/>
                <w:szCs w:val="18"/>
              </w:rPr>
              <w:t>That position is consistent with the Whole of Victorian Government Intellectual Property Policy (IP Policy). It relevantly provides that where a State procurement may result in intellectual property being generated, the contract for that procurement should, in relation to rights in the intellectual property generated (and in any pre-existing intellectual property), secure a licence to the intellectual property, and only to the extent necessary to achieve the purposes of the procurement.</w:t>
            </w:r>
          </w:p>
          <w:p w14:paraId="74776C22" w14:textId="77777777" w:rsidR="00D14278" w:rsidRPr="00D14278" w:rsidRDefault="00D14278" w:rsidP="001D0ACA">
            <w:pPr>
              <w:pStyle w:val="IndentParaLevel1"/>
              <w:spacing w:before="60" w:after="60"/>
              <w:ind w:left="0"/>
              <w:rPr>
                <w:sz w:val="18"/>
                <w:szCs w:val="18"/>
              </w:rPr>
            </w:pPr>
            <w:r w:rsidRPr="00D14278">
              <w:rPr>
                <w:sz w:val="18"/>
                <w:szCs w:val="18"/>
              </w:rPr>
              <w:t xml:space="preserve">The IP Policy also states, at Principle 9(c), that ownership of intellectual property can be acquired but only if a licence is not adequate in the circumstances. </w:t>
            </w:r>
          </w:p>
          <w:p w14:paraId="247C5C20" w14:textId="77777777" w:rsidR="00D14278" w:rsidRPr="00D14278" w:rsidRDefault="00D14278" w:rsidP="001D0ACA">
            <w:pPr>
              <w:pStyle w:val="IndentParaLevel1"/>
              <w:spacing w:before="60" w:after="60"/>
              <w:ind w:left="0"/>
              <w:rPr>
                <w:sz w:val="18"/>
                <w:szCs w:val="18"/>
              </w:rPr>
            </w:pPr>
            <w:r w:rsidRPr="00D14278">
              <w:rPr>
                <w:sz w:val="18"/>
                <w:szCs w:val="18"/>
              </w:rPr>
              <w:t>As to when those circumstances might arise, section 6.4 of DTF's Intellectual Property Guidelines states:</w:t>
            </w:r>
          </w:p>
          <w:p w14:paraId="51E6F032" w14:textId="77777777" w:rsidR="00D14278" w:rsidRPr="001D0ACA" w:rsidRDefault="00D14278" w:rsidP="001D0ACA">
            <w:pPr>
              <w:pStyle w:val="IndentParaLevel1"/>
              <w:ind w:left="458"/>
              <w:rPr>
                <w:i/>
                <w:iCs/>
                <w:sz w:val="16"/>
                <w:szCs w:val="16"/>
              </w:rPr>
            </w:pPr>
            <w:r w:rsidRPr="001D0ACA">
              <w:rPr>
                <w:i/>
                <w:iCs/>
                <w:sz w:val="16"/>
                <w:szCs w:val="16"/>
              </w:rPr>
              <w:t xml:space="preserve">Acquiring ownership of IP under a procurement agreement is discouraged under the IP Policy. It is normally inconsistent with the Policy Intent of the IP Policy to maximise the value of IP to the community. It can also make negotiations with contractors more complex and result in a higher purchase price. </w:t>
            </w:r>
          </w:p>
          <w:p w14:paraId="23998D53" w14:textId="77777777" w:rsidR="00D14278" w:rsidRPr="001D0ACA" w:rsidRDefault="00D14278" w:rsidP="001D0ACA">
            <w:pPr>
              <w:pStyle w:val="IndentParaLevel1"/>
              <w:ind w:left="458"/>
              <w:rPr>
                <w:i/>
                <w:iCs/>
                <w:sz w:val="16"/>
                <w:szCs w:val="16"/>
              </w:rPr>
            </w:pPr>
            <w:r w:rsidRPr="001D0ACA">
              <w:rPr>
                <w:i/>
                <w:iCs/>
                <w:sz w:val="16"/>
                <w:szCs w:val="16"/>
              </w:rPr>
              <w:t xml:space="preserve">The State may only acquire ownership of IP under a procurement agreement where the agency has a specific purpose for use of the IP that cannot be achieved under a licence. This is unlikely to be the case in most circumstances. However, ownership of IP may be required in some cases, including: </w:t>
            </w:r>
          </w:p>
          <w:p w14:paraId="54CF76DA" w14:textId="77777777" w:rsidR="00D14278" w:rsidRPr="001D0ACA" w:rsidRDefault="00D14278" w:rsidP="001D0ACA">
            <w:pPr>
              <w:pStyle w:val="IndentParaLevel1"/>
              <w:numPr>
                <w:ilvl w:val="0"/>
                <w:numId w:val="73"/>
              </w:numPr>
              <w:ind w:left="741" w:hanging="283"/>
              <w:rPr>
                <w:i/>
                <w:iCs/>
                <w:sz w:val="16"/>
                <w:szCs w:val="16"/>
              </w:rPr>
            </w:pPr>
            <w:r w:rsidRPr="001D0ACA">
              <w:rPr>
                <w:i/>
                <w:iCs/>
                <w:sz w:val="16"/>
                <w:szCs w:val="16"/>
              </w:rPr>
              <w:t xml:space="preserve">where development of the IP is the purpose of the contract (for example, where a contractor is engaged to develop enhancements to the agency’s IP); </w:t>
            </w:r>
          </w:p>
          <w:p w14:paraId="360F70E6" w14:textId="77777777" w:rsidR="00D14278" w:rsidRPr="001D0ACA" w:rsidRDefault="00D14278" w:rsidP="001D0ACA">
            <w:pPr>
              <w:pStyle w:val="IndentParaLevel1"/>
              <w:numPr>
                <w:ilvl w:val="0"/>
                <w:numId w:val="73"/>
              </w:numPr>
              <w:ind w:left="741" w:hanging="283"/>
              <w:rPr>
                <w:i/>
                <w:iCs/>
                <w:sz w:val="16"/>
                <w:szCs w:val="16"/>
              </w:rPr>
            </w:pPr>
            <w:r w:rsidRPr="001D0ACA">
              <w:rPr>
                <w:i/>
                <w:iCs/>
                <w:sz w:val="16"/>
                <w:szCs w:val="16"/>
              </w:rPr>
              <w:lastRenderedPageBreak/>
              <w:t>where the IP is an essential part of delivering a core State service;</w:t>
            </w:r>
          </w:p>
          <w:p w14:paraId="096AEA05" w14:textId="77777777" w:rsidR="00D14278" w:rsidRPr="001D0ACA" w:rsidRDefault="00D14278" w:rsidP="001D0ACA">
            <w:pPr>
              <w:pStyle w:val="IndentParaLevel1"/>
              <w:numPr>
                <w:ilvl w:val="0"/>
                <w:numId w:val="73"/>
              </w:numPr>
              <w:ind w:left="741" w:hanging="283"/>
              <w:rPr>
                <w:i/>
                <w:iCs/>
                <w:sz w:val="16"/>
                <w:szCs w:val="16"/>
              </w:rPr>
            </w:pPr>
            <w:r w:rsidRPr="001D0ACA">
              <w:rPr>
                <w:i/>
                <w:iCs/>
                <w:sz w:val="16"/>
                <w:szCs w:val="16"/>
              </w:rPr>
              <w:t>where an existing agreement requires the State to retain ownership;</w:t>
            </w:r>
          </w:p>
          <w:p w14:paraId="65A079B6" w14:textId="77777777" w:rsidR="00D14278" w:rsidRPr="001D0ACA" w:rsidRDefault="00D14278" w:rsidP="001D0ACA">
            <w:pPr>
              <w:pStyle w:val="IndentParaLevel1"/>
              <w:numPr>
                <w:ilvl w:val="0"/>
                <w:numId w:val="73"/>
              </w:numPr>
              <w:ind w:left="741" w:hanging="283"/>
              <w:rPr>
                <w:i/>
                <w:iCs/>
                <w:sz w:val="16"/>
                <w:szCs w:val="16"/>
              </w:rPr>
            </w:pPr>
            <w:r w:rsidRPr="001D0ACA">
              <w:rPr>
                <w:i/>
                <w:iCs/>
                <w:sz w:val="16"/>
                <w:szCs w:val="16"/>
              </w:rPr>
              <w:t>for reasons of privacy, public safety, security and law enforcement, public health, commercialisation and compliance with the law; and</w:t>
            </w:r>
          </w:p>
          <w:p w14:paraId="586A2849" w14:textId="77777777" w:rsidR="00D14278" w:rsidRPr="001D0ACA" w:rsidRDefault="00D14278" w:rsidP="001D0ACA">
            <w:pPr>
              <w:pStyle w:val="IndentParaLevel1"/>
              <w:numPr>
                <w:ilvl w:val="0"/>
                <w:numId w:val="73"/>
              </w:numPr>
              <w:ind w:left="741" w:hanging="283"/>
              <w:rPr>
                <w:i/>
                <w:iCs/>
                <w:sz w:val="16"/>
                <w:szCs w:val="16"/>
              </w:rPr>
            </w:pPr>
            <w:r w:rsidRPr="001D0ACA">
              <w:rPr>
                <w:i/>
                <w:iCs/>
                <w:sz w:val="16"/>
                <w:szCs w:val="16"/>
              </w:rPr>
              <w:t>where it is the best way to maximise the impact, value, accessibility and benefit of the IP consistent with the public interest (for example, where the State retains ownership of copyright material produced during procurement to ensure public accessibility, but only where this could not be achieved through licence).</w:t>
            </w:r>
          </w:p>
          <w:p w14:paraId="7B986B4E" w14:textId="77777777" w:rsidR="00D14278" w:rsidRPr="00D14278" w:rsidRDefault="00D14278" w:rsidP="001D0ACA">
            <w:pPr>
              <w:pStyle w:val="IndentParaLevel1"/>
              <w:spacing w:before="60" w:after="60"/>
              <w:ind w:left="0"/>
              <w:rPr>
                <w:sz w:val="18"/>
                <w:szCs w:val="18"/>
              </w:rPr>
            </w:pPr>
            <w:r w:rsidRPr="00D14278">
              <w:rPr>
                <w:sz w:val="18"/>
                <w:szCs w:val="18"/>
              </w:rPr>
              <w:t>Model clause 6 provides for the above exception, that is, it effects a transfer of ownership in the Project Material to the Principal. The Principal then grants the Contractor a licence to use the Project Material solely for the purpose of performing the Contractor's obligations under the Contract. The Principal is still granted a licence in respect of any pre-existing intellectual property of the Contractor that is used in the Project Material.</w:t>
            </w:r>
          </w:p>
          <w:p w14:paraId="0860A82C" w14:textId="09D17038" w:rsidR="00D14278" w:rsidRPr="00D14278" w:rsidRDefault="00D14278" w:rsidP="00D14278">
            <w:pPr>
              <w:pStyle w:val="IndentParaLevel1"/>
              <w:spacing w:before="60" w:after="60"/>
              <w:ind w:left="0"/>
              <w:rPr>
                <w:sz w:val="18"/>
                <w:szCs w:val="18"/>
              </w:rPr>
            </w:pPr>
            <w:r w:rsidRPr="00D14278">
              <w:rPr>
                <w:sz w:val="18"/>
                <w:szCs w:val="18"/>
              </w:rPr>
              <w:t>Legal advice should be sought before an agency uses this model clause</w:t>
            </w:r>
            <w:r w:rsidR="0028413D">
              <w:rPr>
                <w:sz w:val="18"/>
                <w:szCs w:val="18"/>
              </w:rPr>
              <w:t>,</w:t>
            </w:r>
            <w:r w:rsidRPr="00D14278">
              <w:rPr>
                <w:sz w:val="18"/>
                <w:szCs w:val="18"/>
              </w:rPr>
              <w:t xml:space="preserve"> to ensure acquisition of ownership is appropriate in the circumstances and therefore consistent with the IP Policy. </w:t>
            </w:r>
          </w:p>
        </w:tc>
      </w:tr>
    </w:tbl>
    <w:p w14:paraId="2274EBA5" w14:textId="32102CE4" w:rsidR="00BC5D78" w:rsidRDefault="00BE3330" w:rsidP="0028413D">
      <w:pPr>
        <w:pStyle w:val="Heading3"/>
        <w:numPr>
          <w:ilvl w:val="0"/>
          <w:numId w:val="0"/>
        </w:numPr>
        <w:spacing w:before="240"/>
        <w:ind w:left="964" w:hanging="964"/>
      </w:pPr>
      <w:r>
        <w:lastRenderedPageBreak/>
        <w:t>6.</w:t>
      </w:r>
      <w:r w:rsidR="00555EDE">
        <w:t>1</w:t>
      </w:r>
      <w:r>
        <w:tab/>
      </w:r>
      <w:r w:rsidR="00555EDE">
        <w:t>Amend</w:t>
      </w:r>
      <w:r w:rsidR="002A4E77">
        <w:t xml:space="preserve"> the existing </w:t>
      </w:r>
      <w:r w:rsidR="00BC5D78">
        <w:t>clause 15.1</w:t>
      </w:r>
      <w:r w:rsidR="00555EDE">
        <w:t>(b)</w:t>
      </w:r>
      <w:r w:rsidR="00BC5D78">
        <w:t xml:space="preserve"> </w:t>
      </w:r>
      <w:r w:rsidR="00555EDE">
        <w:t>by deleting the words "</w:t>
      </w:r>
      <w:r w:rsidR="00555EDE" w:rsidRPr="00555EDE">
        <w:t>or, to the extent that it does not, is entitled to grant the licence under clause 15.2</w:t>
      </w:r>
      <w:r w:rsidR="00555EDE">
        <w:t>."</w:t>
      </w:r>
    </w:p>
    <w:p w14:paraId="6E2A0B06" w14:textId="723BA943" w:rsidR="000C55D4" w:rsidRDefault="00BC5D78" w:rsidP="000C55D4">
      <w:pPr>
        <w:pStyle w:val="Heading3"/>
        <w:numPr>
          <w:ilvl w:val="0"/>
          <w:numId w:val="0"/>
        </w:numPr>
        <w:ind w:left="964" w:hanging="964"/>
      </w:pPr>
      <w:r>
        <w:t>6.</w:t>
      </w:r>
      <w:r w:rsidR="00555EDE">
        <w:t>2</w:t>
      </w:r>
      <w:r>
        <w:tab/>
      </w:r>
      <w:r w:rsidR="000C55D4">
        <w:t>Delete the existing clause 15.2 and substitute the following:</w:t>
      </w:r>
    </w:p>
    <w:p w14:paraId="6E494945" w14:textId="09AD0539" w:rsidR="000C55D4" w:rsidRPr="00EF451E" w:rsidRDefault="000C55D4" w:rsidP="000C55D4">
      <w:pPr>
        <w:pStyle w:val="Heading3"/>
        <w:numPr>
          <w:ilvl w:val="0"/>
          <w:numId w:val="0"/>
        </w:numPr>
        <w:ind w:left="964"/>
        <w:rPr>
          <w:rFonts w:cs="Angsana New"/>
          <w:b/>
          <w:bCs w:val="0"/>
          <w:sz w:val="24"/>
          <w:szCs w:val="24"/>
          <w:lang w:eastAsia="zh-CN" w:bidi="th-TH"/>
        </w:rPr>
      </w:pPr>
      <w:r>
        <w:rPr>
          <w:rFonts w:cs="Angsana New"/>
          <w:b/>
          <w:bCs w:val="0"/>
          <w:sz w:val="24"/>
          <w:szCs w:val="24"/>
          <w:lang w:eastAsia="zh-CN" w:bidi="th-TH"/>
        </w:rPr>
        <w:t>15</w:t>
      </w:r>
      <w:r w:rsidRPr="00EF451E">
        <w:rPr>
          <w:rFonts w:cs="Angsana New"/>
          <w:b/>
          <w:bCs w:val="0"/>
          <w:sz w:val="24"/>
          <w:szCs w:val="24"/>
          <w:lang w:eastAsia="zh-CN" w:bidi="th-TH"/>
        </w:rPr>
        <w:t>.</w:t>
      </w:r>
      <w:r>
        <w:rPr>
          <w:rFonts w:cs="Angsana New"/>
          <w:b/>
          <w:bCs w:val="0"/>
          <w:sz w:val="24"/>
          <w:szCs w:val="24"/>
          <w:lang w:eastAsia="zh-CN" w:bidi="th-TH"/>
        </w:rPr>
        <w:t>2</w:t>
      </w:r>
      <w:r w:rsidRPr="00EF451E">
        <w:rPr>
          <w:rFonts w:cs="Angsana New"/>
          <w:b/>
          <w:bCs w:val="0"/>
          <w:sz w:val="24"/>
          <w:szCs w:val="24"/>
          <w:lang w:eastAsia="zh-CN" w:bidi="th-TH"/>
        </w:rPr>
        <w:tab/>
      </w:r>
      <w:r w:rsidR="004D3674">
        <w:rPr>
          <w:rFonts w:cs="Angsana New"/>
          <w:b/>
          <w:bCs w:val="0"/>
          <w:sz w:val="24"/>
          <w:szCs w:val="24"/>
          <w:lang w:eastAsia="zh-CN" w:bidi="th-TH"/>
        </w:rPr>
        <w:t>Ownership</w:t>
      </w:r>
      <w:r w:rsidR="00955AB1">
        <w:rPr>
          <w:rFonts w:cs="Angsana New"/>
          <w:b/>
          <w:bCs w:val="0"/>
          <w:sz w:val="24"/>
          <w:szCs w:val="24"/>
          <w:lang w:eastAsia="zh-CN" w:bidi="th-TH"/>
        </w:rPr>
        <w:t xml:space="preserve"> and licenc</w:t>
      </w:r>
      <w:r w:rsidR="0069591C">
        <w:rPr>
          <w:rFonts w:cs="Angsana New"/>
          <w:b/>
          <w:bCs w:val="0"/>
          <w:sz w:val="24"/>
          <w:szCs w:val="24"/>
          <w:lang w:eastAsia="zh-CN" w:bidi="th-TH"/>
        </w:rPr>
        <w:t>ing</w:t>
      </w:r>
      <w:r w:rsidR="004D3674">
        <w:rPr>
          <w:rFonts w:cs="Angsana New"/>
          <w:b/>
          <w:bCs w:val="0"/>
          <w:sz w:val="24"/>
          <w:szCs w:val="24"/>
          <w:lang w:eastAsia="zh-CN" w:bidi="th-TH"/>
        </w:rPr>
        <w:t xml:space="preserve"> </w:t>
      </w:r>
    </w:p>
    <w:p w14:paraId="1A07B46F" w14:textId="2F290B57" w:rsidR="00BC5D78" w:rsidRDefault="004D3674" w:rsidP="00710987">
      <w:pPr>
        <w:pStyle w:val="Heading3"/>
        <w:numPr>
          <w:ilvl w:val="2"/>
          <w:numId w:val="35"/>
        </w:numPr>
      </w:pPr>
      <w:r>
        <w:t xml:space="preserve">Ownership of the </w:t>
      </w:r>
      <w:r w:rsidR="00BE3330">
        <w:t xml:space="preserve">Project </w:t>
      </w:r>
      <w:r>
        <w:t xml:space="preserve">Material </w:t>
      </w:r>
      <w:r w:rsidR="000C55D4">
        <w:t>vest</w:t>
      </w:r>
      <w:r>
        <w:t>s</w:t>
      </w:r>
      <w:r w:rsidR="000C55D4">
        <w:t xml:space="preserve"> in the Principal</w:t>
      </w:r>
      <w:r>
        <w:t xml:space="preserve"> immediately upon creation</w:t>
      </w:r>
      <w:r w:rsidR="000C55D4">
        <w:t>, and the Principal grants to the Contractor a revocable</w:t>
      </w:r>
      <w:r w:rsidR="00BC5D78" w:rsidRPr="00FC13D6">
        <w:t>, non-exclusive,</w:t>
      </w:r>
      <w:r w:rsidR="00BC5D78">
        <w:t xml:space="preserve"> </w:t>
      </w:r>
      <w:r w:rsidR="00BC5D78" w:rsidRPr="00FC13D6">
        <w:t>royalty-free</w:t>
      </w:r>
      <w:r w:rsidR="000C55D4">
        <w:t xml:space="preserve"> licence to use the </w:t>
      </w:r>
      <w:r w:rsidR="00BE3330">
        <w:t xml:space="preserve">Project </w:t>
      </w:r>
      <w:r>
        <w:t xml:space="preserve">Material </w:t>
      </w:r>
      <w:r w:rsidR="00BC5D78">
        <w:t xml:space="preserve">solely for the purpose of </w:t>
      </w:r>
      <w:r w:rsidR="0028413D">
        <w:t xml:space="preserve">the Contractor </w:t>
      </w:r>
      <w:r w:rsidR="00BC5D78">
        <w:t>performing its obligations under the Contract.</w:t>
      </w:r>
    </w:p>
    <w:p w14:paraId="15A37B2F" w14:textId="2BEFF48C" w:rsidR="00BC5D78" w:rsidRDefault="00BC5D78" w:rsidP="004D3674">
      <w:pPr>
        <w:pStyle w:val="Heading3"/>
        <w:numPr>
          <w:ilvl w:val="2"/>
          <w:numId w:val="11"/>
        </w:numPr>
      </w:pPr>
      <w:r>
        <w:t xml:space="preserve">The Contractor must </w:t>
      </w:r>
      <w:r w:rsidRPr="00227F44">
        <w:t>do everything possible to perfect</w:t>
      </w:r>
      <w:r>
        <w:t xml:space="preserve"> the </w:t>
      </w:r>
      <w:r w:rsidRPr="00227F44">
        <w:t xml:space="preserve">vesting </w:t>
      </w:r>
      <w:r>
        <w:t xml:space="preserve">of </w:t>
      </w:r>
      <w:r w:rsidR="0028413D">
        <w:t xml:space="preserve">ownership in </w:t>
      </w:r>
      <w:r w:rsidR="00BE3330">
        <w:t xml:space="preserve">Project </w:t>
      </w:r>
      <w:r w:rsidR="0063334F">
        <w:t xml:space="preserve">Material </w:t>
      </w:r>
      <w:r>
        <w:t xml:space="preserve">in accordance with clause </w:t>
      </w:r>
      <w:r w:rsidR="0063334F">
        <w:t>15.2(a)</w:t>
      </w:r>
      <w:r>
        <w:t xml:space="preserve">, </w:t>
      </w:r>
      <w:r w:rsidRPr="00227F44">
        <w:t>including assign</w:t>
      </w:r>
      <w:r>
        <w:t>ing</w:t>
      </w:r>
      <w:r w:rsidRPr="00227F44">
        <w:t xml:space="preserve"> to the </w:t>
      </w:r>
      <w:r>
        <w:t xml:space="preserve">Principal </w:t>
      </w:r>
      <w:r w:rsidRPr="00227F44">
        <w:t xml:space="preserve">from the date of </w:t>
      </w:r>
      <w:r w:rsidRPr="00F65359">
        <w:rPr>
          <w:szCs w:val="22"/>
        </w:rPr>
        <w:t>creation all Intellectual Property Rights in</w:t>
      </w:r>
      <w:r w:rsidRPr="00F65359">
        <w:t xml:space="preserve"> </w:t>
      </w:r>
      <w:r w:rsidR="00BE3330">
        <w:t xml:space="preserve">the Project </w:t>
      </w:r>
      <w:r w:rsidR="0063334F">
        <w:t>Material.</w:t>
      </w:r>
    </w:p>
    <w:p w14:paraId="2D577A82" w14:textId="382C86D4" w:rsidR="00955AB1" w:rsidRPr="008E660D" w:rsidRDefault="00955AB1" w:rsidP="00955AB1">
      <w:pPr>
        <w:pStyle w:val="Heading3"/>
        <w:numPr>
          <w:ilvl w:val="2"/>
          <w:numId w:val="11"/>
        </w:numPr>
      </w:pPr>
      <w:bookmarkStart w:id="35" w:name="_Ref73967557"/>
      <w:r w:rsidRPr="001B31B0">
        <w:t xml:space="preserve">The </w:t>
      </w:r>
      <w:r w:rsidRPr="008E660D">
        <w:t>Contractor grants to the Principal (</w:t>
      </w:r>
      <w:r w:rsidRPr="008E660D">
        <w:rPr>
          <w:szCs w:val="22"/>
        </w:rPr>
        <w:t xml:space="preserve">or must procure the grant to the Principal of) </w:t>
      </w:r>
      <w:r w:rsidRPr="008E660D">
        <w:t>an irrevocable, non-exclusive, perpetual, transferrable, royalty-free worldwide licence</w:t>
      </w:r>
      <w:r w:rsidRPr="00955AB1">
        <w:t xml:space="preserve"> </w:t>
      </w:r>
      <w:r w:rsidRPr="008E660D">
        <w:t xml:space="preserve">to use the Contractor's Background IP </w:t>
      </w:r>
      <w:r w:rsidR="00D50431" w:rsidRPr="008E660D">
        <w:t>to obtain the benefit of the</w:t>
      </w:r>
      <w:r w:rsidR="00D50431" w:rsidRPr="00316E5C">
        <w:t xml:space="preserve"> </w:t>
      </w:r>
      <w:r w:rsidR="00D50431">
        <w:t xml:space="preserve">Project </w:t>
      </w:r>
      <w:r w:rsidR="00D50431" w:rsidRPr="008E660D">
        <w:t>Material</w:t>
      </w:r>
      <w:r w:rsidR="00D50431">
        <w:t xml:space="preserve"> and the </w:t>
      </w:r>
      <w:r w:rsidR="00D50431" w:rsidRPr="008E660D">
        <w:t>Works</w:t>
      </w:r>
      <w:r w:rsidR="00D50431">
        <w:t>,</w:t>
      </w:r>
      <w:r w:rsidR="00D50431" w:rsidRPr="002446FA">
        <w:t xml:space="preserve"> </w:t>
      </w:r>
      <w:r w:rsidR="00D50431" w:rsidRPr="008E660D">
        <w:t>including to use, re-use, reproduce, communicate to the public, modify</w:t>
      </w:r>
      <w:r w:rsidR="00D50431">
        <w:t>,</w:t>
      </w:r>
      <w:r w:rsidR="00D50431" w:rsidRPr="008E660D">
        <w:t xml:space="preserve"> adapt </w:t>
      </w:r>
      <w:r w:rsidR="00D50431">
        <w:t xml:space="preserve">and update </w:t>
      </w:r>
      <w:r w:rsidR="00D50431" w:rsidRPr="008E660D">
        <w:t xml:space="preserve">the </w:t>
      </w:r>
      <w:r w:rsidR="00D50431">
        <w:t xml:space="preserve">Project </w:t>
      </w:r>
      <w:r w:rsidR="00D50431" w:rsidRPr="008E660D">
        <w:t>Material</w:t>
      </w:r>
      <w:r w:rsidR="00D50431">
        <w:t xml:space="preserve"> and the Works</w:t>
      </w:r>
      <w:r>
        <w:t>.</w:t>
      </w:r>
      <w:r w:rsidRPr="008E660D">
        <w:t xml:space="preserve"> </w:t>
      </w:r>
    </w:p>
    <w:bookmarkEnd w:id="35"/>
    <w:p w14:paraId="68856B78" w14:textId="4B2877DD" w:rsidR="00955AB1" w:rsidRPr="008E660D" w:rsidRDefault="00955AB1" w:rsidP="00955AB1">
      <w:pPr>
        <w:pStyle w:val="Heading3"/>
        <w:numPr>
          <w:ilvl w:val="2"/>
          <w:numId w:val="11"/>
        </w:numPr>
      </w:pPr>
      <w:r w:rsidRPr="008E660D">
        <w:t xml:space="preserve">The licence under clause </w:t>
      </w:r>
      <w:r>
        <w:t>15.2(c)</w:t>
      </w:r>
      <w:r w:rsidRPr="008E660D">
        <w:t>:</w:t>
      </w:r>
    </w:p>
    <w:p w14:paraId="6178BD46" w14:textId="08906E95" w:rsidR="00955AB1" w:rsidRPr="008E660D" w:rsidRDefault="00955AB1" w:rsidP="00955AB1">
      <w:pPr>
        <w:pStyle w:val="Heading4"/>
        <w:numPr>
          <w:ilvl w:val="3"/>
          <w:numId w:val="11"/>
        </w:numPr>
        <w:ind w:left="2891" w:hanging="963"/>
      </w:pPr>
      <w:r w:rsidRPr="008E660D">
        <w:t xml:space="preserve">arises on the Contract Date; </w:t>
      </w:r>
    </w:p>
    <w:p w14:paraId="700208BC" w14:textId="77777777" w:rsidR="00955AB1" w:rsidRPr="008E660D" w:rsidRDefault="00955AB1" w:rsidP="00955AB1">
      <w:pPr>
        <w:pStyle w:val="Heading4"/>
        <w:numPr>
          <w:ilvl w:val="3"/>
          <w:numId w:val="11"/>
        </w:numPr>
        <w:ind w:left="2891" w:hanging="963"/>
      </w:pPr>
      <w:r w:rsidRPr="008E660D">
        <w:t>includes an unlimited right to sublicense;</w:t>
      </w:r>
    </w:p>
    <w:p w14:paraId="02C08B8D" w14:textId="77777777" w:rsidR="00D50431" w:rsidRDefault="00955AB1" w:rsidP="00955AB1">
      <w:pPr>
        <w:pStyle w:val="Heading4"/>
        <w:numPr>
          <w:ilvl w:val="3"/>
          <w:numId w:val="11"/>
        </w:numPr>
        <w:ind w:left="2891" w:hanging="963"/>
      </w:pPr>
      <w:r w:rsidRPr="008E660D">
        <w:t>without limitation, extends to</w:t>
      </w:r>
      <w:r w:rsidR="00D50431">
        <w:t>:</w:t>
      </w:r>
      <w:r w:rsidRPr="00955AB1">
        <w:t xml:space="preserve"> </w:t>
      </w:r>
    </w:p>
    <w:p w14:paraId="5D754EDA" w14:textId="7853A015" w:rsidR="00D50431" w:rsidRPr="008E660D" w:rsidRDefault="00D50431" w:rsidP="00D50431">
      <w:pPr>
        <w:pStyle w:val="Heading5"/>
        <w:numPr>
          <w:ilvl w:val="4"/>
          <w:numId w:val="11"/>
        </w:numPr>
        <w:ind w:left="3855"/>
      </w:pPr>
      <w:r w:rsidRPr="001B31B0">
        <w:t xml:space="preserve">any subsequent </w:t>
      </w:r>
      <w:r w:rsidRPr="008E660D">
        <w:t xml:space="preserve">occupation, use, operation and maintenance of or additions, alterations or repairs to the Works; </w:t>
      </w:r>
      <w:r w:rsidR="0028413D">
        <w:t>and</w:t>
      </w:r>
    </w:p>
    <w:p w14:paraId="6BE0049A" w14:textId="09963ABA" w:rsidR="00D50431" w:rsidRPr="008E660D" w:rsidRDefault="00D50431" w:rsidP="00D50431">
      <w:pPr>
        <w:pStyle w:val="Heading5"/>
        <w:numPr>
          <w:ilvl w:val="4"/>
          <w:numId w:val="11"/>
        </w:numPr>
        <w:ind w:left="3855"/>
      </w:pPr>
      <w:r>
        <w:t>the use, re-use, reproduction, communication, modification, adaptation or update of the Project Material; and</w:t>
      </w:r>
    </w:p>
    <w:p w14:paraId="52707FBE" w14:textId="5FFA146E" w:rsidR="00955AB1" w:rsidRDefault="00955AB1" w:rsidP="00955AB1">
      <w:pPr>
        <w:pStyle w:val="Heading4"/>
        <w:numPr>
          <w:ilvl w:val="3"/>
          <w:numId w:val="11"/>
        </w:numPr>
        <w:ind w:left="2891" w:hanging="963"/>
      </w:pPr>
      <w:r w:rsidRPr="008E660D">
        <w:t>will survive the termination or expiration of the</w:t>
      </w:r>
      <w:r>
        <w:t xml:space="preserve"> Contract.</w:t>
      </w:r>
    </w:p>
    <w:p w14:paraId="17EEA531" w14:textId="24A42B0A" w:rsidR="00955AB1" w:rsidRPr="008E660D" w:rsidRDefault="00955AB1" w:rsidP="0069591C">
      <w:pPr>
        <w:pStyle w:val="Heading3"/>
        <w:numPr>
          <w:ilvl w:val="2"/>
          <w:numId w:val="11"/>
        </w:numPr>
      </w:pPr>
      <w:r w:rsidRPr="008E660D">
        <w:rPr>
          <w:szCs w:val="22"/>
        </w:rPr>
        <w:t>The Principal grants the Contractor a non-exclusive</w:t>
      </w:r>
      <w:r>
        <w:rPr>
          <w:szCs w:val="22"/>
        </w:rPr>
        <w:t>, royalty-free</w:t>
      </w:r>
      <w:r w:rsidRPr="008E660D">
        <w:rPr>
          <w:szCs w:val="22"/>
        </w:rPr>
        <w:t xml:space="preserve"> licence to use the Principal's Background IP </w:t>
      </w:r>
      <w:r>
        <w:rPr>
          <w:szCs w:val="22"/>
        </w:rPr>
        <w:t xml:space="preserve">only </w:t>
      </w:r>
      <w:r w:rsidRPr="008E660D">
        <w:rPr>
          <w:szCs w:val="22"/>
        </w:rPr>
        <w:t>to the extent necessary for the Contractor to perform the Contractor's Activities</w:t>
      </w:r>
      <w:r>
        <w:rPr>
          <w:szCs w:val="22"/>
        </w:rPr>
        <w:t>.</w:t>
      </w:r>
    </w:p>
    <w:p w14:paraId="4DAFF1DF" w14:textId="6D1EA863" w:rsidR="0020377A" w:rsidRDefault="0020377A" w:rsidP="0020377A">
      <w:pPr>
        <w:pStyle w:val="Heading1"/>
        <w:numPr>
          <w:ilvl w:val="0"/>
          <w:numId w:val="11"/>
        </w:numPr>
      </w:pPr>
      <w:bookmarkStart w:id="36" w:name="_Toc143702856"/>
      <w:r>
        <w:lastRenderedPageBreak/>
        <w:t>Performance Security</w:t>
      </w:r>
      <w:bookmarkEnd w:id="36"/>
    </w:p>
    <w:tbl>
      <w:tblPr>
        <w:tblStyle w:val="TableGrid"/>
        <w:tblW w:w="0" w:type="auto"/>
        <w:tblInd w:w="964" w:type="dxa"/>
        <w:shd w:val="clear" w:color="auto" w:fill="CFD7F1" w:themeFill="accent3" w:themeFillTint="33"/>
        <w:tblLook w:val="04A0" w:firstRow="1" w:lastRow="0" w:firstColumn="1" w:lastColumn="0" w:noHBand="0" w:noVBand="1"/>
      </w:tblPr>
      <w:tblGrid>
        <w:gridCol w:w="8380"/>
      </w:tblGrid>
      <w:tr w:rsidR="00D14278" w:rsidRPr="00D2609B" w14:paraId="54811D08" w14:textId="77777777" w:rsidTr="005D5BCB">
        <w:tc>
          <w:tcPr>
            <w:tcW w:w="8380" w:type="dxa"/>
            <w:shd w:val="clear" w:color="auto" w:fill="CFD7F1" w:themeFill="accent3" w:themeFillTint="33"/>
          </w:tcPr>
          <w:p w14:paraId="68ADD426" w14:textId="6851760B" w:rsidR="00265D87" w:rsidRPr="00265D87" w:rsidRDefault="00D14278" w:rsidP="000B535D">
            <w:pPr>
              <w:pStyle w:val="IndentParaLevel1"/>
              <w:spacing w:before="60" w:after="60"/>
              <w:ind w:left="0"/>
              <w:rPr>
                <w:sz w:val="18"/>
                <w:szCs w:val="18"/>
              </w:rPr>
            </w:pPr>
            <w:r w:rsidRPr="00D2609B">
              <w:rPr>
                <w:b/>
                <w:bCs/>
                <w:sz w:val="18"/>
                <w:szCs w:val="18"/>
              </w:rPr>
              <w:t>Guidance Note:</w:t>
            </w:r>
            <w:r w:rsidRPr="00D2609B">
              <w:rPr>
                <w:sz w:val="18"/>
                <w:szCs w:val="18"/>
              </w:rPr>
              <w:t xml:space="preserve"> </w:t>
            </w:r>
            <w:r w:rsidR="00265D87" w:rsidRPr="00265D87">
              <w:rPr>
                <w:sz w:val="18"/>
                <w:szCs w:val="18"/>
              </w:rPr>
              <w:t>The MWC does not impose any conditions upon the Principal's right to have recourse to the Approved Security. This is the preferred position from the Principal's point of view.</w:t>
            </w:r>
          </w:p>
          <w:p w14:paraId="19FB3085" w14:textId="18330BEA" w:rsidR="00265D87" w:rsidRPr="00D14278" w:rsidRDefault="00265D87" w:rsidP="000B535D">
            <w:pPr>
              <w:pStyle w:val="IndentParaLevel1"/>
              <w:spacing w:before="60" w:after="60"/>
              <w:ind w:left="0"/>
              <w:rPr>
                <w:sz w:val="18"/>
                <w:szCs w:val="18"/>
              </w:rPr>
            </w:pPr>
            <w:r w:rsidRPr="00265D87">
              <w:rPr>
                <w:sz w:val="18"/>
                <w:szCs w:val="18"/>
              </w:rPr>
              <w:t>Tenderers may seek to depart from that position by requiring some form of fetter or limitation on the Principal's ability to call on the security. Care needs to be exercised in this regard; if the conditions in which a Principal can call on security are inappropriately drafted, they may enable the Contractor to injunct recourse. Model clause 7 provides an acceptable formulation of such a limitation on the Principal's rights to have recourse</w:t>
            </w:r>
            <w:r>
              <w:rPr>
                <w:sz w:val="18"/>
                <w:szCs w:val="18"/>
              </w:rPr>
              <w:t>.</w:t>
            </w:r>
          </w:p>
        </w:tc>
      </w:tr>
    </w:tbl>
    <w:p w14:paraId="7A537EAA" w14:textId="19F5C90A" w:rsidR="0020377A" w:rsidRDefault="0020377A" w:rsidP="00D14278">
      <w:pPr>
        <w:pStyle w:val="Heading3"/>
        <w:numPr>
          <w:ilvl w:val="0"/>
          <w:numId w:val="0"/>
        </w:numPr>
        <w:spacing w:before="120"/>
        <w:ind w:left="964" w:hanging="964"/>
      </w:pPr>
      <w:r>
        <w:t>7.1</w:t>
      </w:r>
      <w:r>
        <w:tab/>
        <w:t>Delete the existing clause 4.1 and substitute the following:</w:t>
      </w:r>
    </w:p>
    <w:p w14:paraId="7CE562C3" w14:textId="16AA6E3C" w:rsidR="0020377A" w:rsidRPr="00EF451E" w:rsidRDefault="0020377A" w:rsidP="0020377A">
      <w:pPr>
        <w:pStyle w:val="Heading3"/>
        <w:numPr>
          <w:ilvl w:val="0"/>
          <w:numId w:val="0"/>
        </w:numPr>
        <w:ind w:left="964"/>
        <w:rPr>
          <w:rFonts w:cs="Angsana New"/>
          <w:b/>
          <w:bCs w:val="0"/>
          <w:sz w:val="24"/>
          <w:szCs w:val="24"/>
          <w:lang w:eastAsia="zh-CN" w:bidi="th-TH"/>
        </w:rPr>
      </w:pPr>
      <w:r>
        <w:rPr>
          <w:rFonts w:cs="Angsana New"/>
          <w:b/>
          <w:bCs w:val="0"/>
          <w:sz w:val="24"/>
          <w:szCs w:val="24"/>
          <w:lang w:eastAsia="zh-CN" w:bidi="th-TH"/>
        </w:rPr>
        <w:t>4</w:t>
      </w:r>
      <w:r w:rsidRPr="00EF451E">
        <w:rPr>
          <w:rFonts w:cs="Angsana New"/>
          <w:b/>
          <w:bCs w:val="0"/>
          <w:sz w:val="24"/>
          <w:szCs w:val="24"/>
          <w:lang w:eastAsia="zh-CN" w:bidi="th-TH"/>
        </w:rPr>
        <w:t>.</w:t>
      </w:r>
      <w:r>
        <w:rPr>
          <w:rFonts w:cs="Angsana New"/>
          <w:b/>
          <w:bCs w:val="0"/>
          <w:sz w:val="24"/>
          <w:szCs w:val="24"/>
          <w:lang w:eastAsia="zh-CN" w:bidi="th-TH"/>
        </w:rPr>
        <w:t>1</w:t>
      </w:r>
      <w:r w:rsidRPr="00EF451E">
        <w:rPr>
          <w:rFonts w:cs="Angsana New"/>
          <w:b/>
          <w:bCs w:val="0"/>
          <w:sz w:val="24"/>
          <w:szCs w:val="24"/>
          <w:lang w:eastAsia="zh-CN" w:bidi="th-TH"/>
        </w:rPr>
        <w:tab/>
      </w:r>
      <w:r>
        <w:rPr>
          <w:rFonts w:cs="Angsana New"/>
          <w:b/>
          <w:bCs w:val="0"/>
          <w:sz w:val="24"/>
          <w:szCs w:val="24"/>
          <w:lang w:eastAsia="zh-CN" w:bidi="th-TH"/>
        </w:rPr>
        <w:t>Form and recourse</w:t>
      </w:r>
    </w:p>
    <w:p w14:paraId="78D824BF" w14:textId="18DC744B" w:rsidR="0020377A" w:rsidRDefault="0020377A" w:rsidP="0020377A">
      <w:pPr>
        <w:pStyle w:val="Heading3"/>
        <w:numPr>
          <w:ilvl w:val="2"/>
          <w:numId w:val="35"/>
        </w:numPr>
      </w:pPr>
      <w:r>
        <w:t>The Contractor must,</w:t>
      </w:r>
      <w:r w:rsidRPr="00301EA5">
        <w:t xml:space="preserve"> </w:t>
      </w:r>
      <w:r>
        <w:t xml:space="preserve">within </w:t>
      </w:r>
      <w:r w:rsidRPr="00274BDB">
        <w:t>10 Business Days</w:t>
      </w:r>
      <w:r>
        <w:t xml:space="preserve"> after the Contract Date, provide security to the Principal in the form of Approved Security and in the amount </w:t>
      </w:r>
      <w:r w:rsidR="00265D87">
        <w:t xml:space="preserve">specified </w:t>
      </w:r>
      <w:r>
        <w:t xml:space="preserve">in Item </w:t>
      </w:r>
      <w:r w:rsidR="00265D87">
        <w:t>15</w:t>
      </w:r>
      <w:r>
        <w:t xml:space="preserve">. </w:t>
      </w:r>
    </w:p>
    <w:p w14:paraId="6593A1FF" w14:textId="44BB3482" w:rsidR="0020377A" w:rsidRDefault="0020377A" w:rsidP="0020377A">
      <w:pPr>
        <w:pStyle w:val="Heading3"/>
        <w:numPr>
          <w:ilvl w:val="2"/>
          <w:numId w:val="35"/>
        </w:numPr>
      </w:pPr>
      <w:r w:rsidRPr="0020377A">
        <w:t xml:space="preserve">Without limiting any of the Principal's rights, the Principal may at any time </w:t>
      </w:r>
      <w:r>
        <w:t>have recourse to Approved S</w:t>
      </w:r>
      <w:r w:rsidRPr="00107059">
        <w:t xml:space="preserve">ecurity </w:t>
      </w:r>
      <w:r>
        <w:t xml:space="preserve">(and </w:t>
      </w:r>
      <w:r w:rsidRPr="0020377A">
        <w:t xml:space="preserve">convert into money any </w:t>
      </w:r>
      <w:r>
        <w:t>Approved S</w:t>
      </w:r>
      <w:r w:rsidRPr="0020377A">
        <w:t>ecurity that does not consist of money</w:t>
      </w:r>
      <w:r>
        <w:t>)</w:t>
      </w:r>
      <w:r w:rsidRPr="0020377A">
        <w:rPr>
          <w:lang w:eastAsia="zh-CN"/>
        </w:rPr>
        <w:t xml:space="preserve"> </w:t>
      </w:r>
      <w:r>
        <w:rPr>
          <w:lang w:eastAsia="zh-CN"/>
        </w:rPr>
        <w:t>to satisfy</w:t>
      </w:r>
      <w:r>
        <w:t>:</w:t>
      </w:r>
    </w:p>
    <w:p w14:paraId="46FEC646" w14:textId="3A0AA29F" w:rsidR="007C1158" w:rsidRDefault="007C1158" w:rsidP="007C1158">
      <w:pPr>
        <w:pStyle w:val="Heading4"/>
        <w:rPr>
          <w:lang w:eastAsia="zh-CN"/>
        </w:rPr>
      </w:pPr>
      <w:r>
        <w:rPr>
          <w:lang w:eastAsia="zh-CN"/>
        </w:rPr>
        <w:t xml:space="preserve">any debt or other moneys due from the Contractor to the Principal (including liquidated damages </w:t>
      </w:r>
      <w:r w:rsidRPr="008972CA">
        <w:rPr>
          <w:rFonts w:cs="Angsana New"/>
          <w:szCs w:val="20"/>
          <w:lang w:eastAsia="zh-CN" w:bidi="th-TH"/>
        </w:rPr>
        <w:t xml:space="preserve">or damages for delay </w:t>
      </w:r>
      <w:r>
        <w:rPr>
          <w:lang w:eastAsia="zh-CN"/>
        </w:rPr>
        <w:t>payable under clause 7.4); and</w:t>
      </w:r>
    </w:p>
    <w:p w14:paraId="1BAB85BC" w14:textId="3140914B" w:rsidR="0020377A" w:rsidRPr="0020377A" w:rsidRDefault="007C1158" w:rsidP="007C1158">
      <w:pPr>
        <w:pStyle w:val="Heading4"/>
      </w:pPr>
      <w:r>
        <w:rPr>
          <w:lang w:eastAsia="zh-CN"/>
        </w:rPr>
        <w:t>any Claim to money which the Principal asserts in good faith against the Contractor whether under the Contract, or otherwise at Law or arising out of or in connection with the Contractor’s Activities or the Works</w:t>
      </w:r>
      <w:r w:rsidR="0020377A" w:rsidRPr="0020377A">
        <w:t xml:space="preserve">. </w:t>
      </w:r>
    </w:p>
    <w:p w14:paraId="73D8D706" w14:textId="0C134A24" w:rsidR="00637E27" w:rsidRDefault="00637E27" w:rsidP="00637E27">
      <w:pPr>
        <w:pStyle w:val="Heading3"/>
        <w:numPr>
          <w:ilvl w:val="0"/>
          <w:numId w:val="0"/>
        </w:numPr>
        <w:ind w:left="964" w:hanging="964"/>
      </w:pPr>
    </w:p>
    <w:sectPr w:rsidR="00637E27" w:rsidSect="008F3D1A">
      <w:headerReference w:type="even" r:id="rId17"/>
      <w:headerReference w:type="default" r:id="rId18"/>
      <w:footerReference w:type="even" r:id="rId19"/>
      <w:headerReference w:type="first" r:id="rId20"/>
      <w:footerReference w:type="first" r:id="rId2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DD5D" w14:textId="77777777" w:rsidR="009259AF" w:rsidRDefault="009259AF" w:rsidP="00E3422C">
      <w:pPr>
        <w:spacing w:after="0"/>
      </w:pPr>
      <w:r>
        <w:separator/>
      </w:r>
    </w:p>
  </w:endnote>
  <w:endnote w:type="continuationSeparator" w:id="0">
    <w:p w14:paraId="55D3634D" w14:textId="77777777" w:rsidR="009259AF" w:rsidRDefault="009259A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AFC8" w14:textId="77777777" w:rsidR="005124B0" w:rsidRDefault="005124B0" w:rsidP="00711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822C7A" w14:textId="2BFBAE12" w:rsidR="005124B0" w:rsidRDefault="00C047E3" w:rsidP="00711AA3">
    <w:pPr>
      <w:pStyle w:val="Footer"/>
      <w:ind w:right="360"/>
    </w:pPr>
    <w:fldSimple w:instr=" DOCVARIABLE  CUFooterText  \* MERGEFORMAT \* MERGEFORMAT " w:fldLock="1">
      <w:r w:rsidR="00A365FA">
        <w:t>L\350586601.1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93256"/>
      <w:docPartObj>
        <w:docPartGallery w:val="Page Numbers (Bottom of Page)"/>
        <w:docPartUnique/>
      </w:docPartObj>
    </w:sdtPr>
    <w:sdtEndPr>
      <w:rPr>
        <w:noProof/>
      </w:rPr>
    </w:sdtEndPr>
    <w:sdtContent>
      <w:p w14:paraId="68922AA5" w14:textId="2249A8A2" w:rsidR="002D010B" w:rsidRDefault="002D010B" w:rsidP="002D010B">
        <w:pPr>
          <w:pStyle w:val="Footer"/>
          <w:tabs>
            <w:tab w:val="left" w:pos="1843"/>
            <w:tab w:val="left" w:pos="9214"/>
          </w:tabs>
          <w:ind w:right="-145"/>
        </w:pPr>
        <w:r w:rsidRPr="00193776">
          <w:fldChar w:fldCharType="begin" w:fldLock="1"/>
        </w:r>
        <w:r w:rsidRPr="00193776">
          <w:instrText xml:space="preserve"> </w:instrText>
        </w:r>
        <w:r w:rsidRPr="00193776">
          <w:rPr>
            <w:rFonts w:cs="Arial"/>
            <w:szCs w:val="16"/>
          </w:rPr>
          <w:instrText>DOCVARIABLE  CUFooterText \* MERGEFORMAT</w:instrText>
        </w:r>
        <w:r w:rsidRPr="00193776">
          <w:instrText xml:space="preserve"> </w:instrText>
        </w:r>
        <w:r w:rsidRPr="00193776">
          <w:fldChar w:fldCharType="separate"/>
        </w:r>
        <w:r w:rsidR="00A365FA" w:rsidRPr="00C047E3">
          <w:rPr>
            <w:lang w:val="en-US"/>
          </w:rPr>
          <w:t>L</w:t>
        </w:r>
        <w:r w:rsidR="00A365FA">
          <w:rPr>
            <w:rFonts w:cs="Arial"/>
            <w:szCs w:val="16"/>
          </w:rPr>
          <w:t>\350586601.1</w:t>
        </w:r>
        <w:r w:rsidRPr="00193776">
          <w:fldChar w:fldCharType="end"/>
        </w:r>
        <w:r>
          <w:t xml:space="preserve">  </w:t>
        </w:r>
        <w:r>
          <w:tab/>
          <w:t>Victorian Public Sector Medium Works Contract – Model Clauses [</w:t>
        </w:r>
        <w:r w:rsidR="007F0686">
          <w:t xml:space="preserve">October </w:t>
        </w:r>
        <w:r>
          <w:t>2023]</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A539" w14:textId="5E2F4FBC" w:rsidR="005124B0" w:rsidRDefault="00C047E3">
    <w:pPr>
      <w:pStyle w:val="Footer"/>
    </w:pPr>
    <w:fldSimple w:instr=" DOCVARIABLE  CUFooterText  \* MERGEFORMAT \* MERGEFORMAT " w:fldLock="1">
      <w:r w:rsidR="00A365FA">
        <w:t>L\350586601.1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81D7" w14:textId="5812D708" w:rsidR="00BB70DF" w:rsidRDefault="00C047E3">
    <w:fldSimple w:instr=" DOCVARIABLE  CUFooterText \* MERGEFORMAT " w:fldLock="1">
      <w:r w:rsidR="00A365FA">
        <w:t>L\350586601.1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2B66" w14:textId="65D031C9" w:rsidR="00BB70DF" w:rsidRDefault="00C047E3">
    <w:fldSimple w:instr=" DOCVARIABLE  CUFooterText \* MERGEFORMAT " w:fldLock="1">
      <w:r w:rsidR="00A365FA">
        <w:t>L\350586601.1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913D" w14:textId="77777777" w:rsidR="009259AF" w:rsidRDefault="009259AF" w:rsidP="00E3422C">
      <w:pPr>
        <w:spacing w:after="0"/>
      </w:pPr>
      <w:r>
        <w:separator/>
      </w:r>
    </w:p>
  </w:footnote>
  <w:footnote w:type="continuationSeparator" w:id="0">
    <w:p w14:paraId="3C94F3E4" w14:textId="77777777" w:rsidR="009259AF" w:rsidRDefault="009259AF"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7EAE" w14:textId="12CEBAEF" w:rsidR="005124B0" w:rsidRDefault="004A2934">
    <w:pPr>
      <w:pStyle w:val="Header"/>
    </w:pPr>
    <w:r>
      <w:rPr>
        <w:noProof/>
      </w:rPr>
      <mc:AlternateContent>
        <mc:Choice Requires="wps">
          <w:drawing>
            <wp:anchor distT="0" distB="0" distL="114300" distR="114300" simplePos="0" relativeHeight="251665408" behindDoc="0" locked="0" layoutInCell="1" allowOverlap="1" wp14:anchorId="4BE5D809" wp14:editId="5417095B">
              <wp:simplePos x="0" y="0"/>
              <wp:positionH relativeFrom="margin">
                <wp:align>center</wp:align>
              </wp:positionH>
              <wp:positionV relativeFrom="margin">
                <wp:align>center</wp:align>
              </wp:positionV>
              <wp:extent cx="4438650" cy="230378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246D732D"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5D809" id="_x0000_t202" coordsize="21600,21600" o:spt="202" path="m,l,21600r21600,l21600,xe">
              <v:stroke joinstyle="miter"/>
              <v:path gradientshapeok="t" o:connecttype="rect"/>
            </v:shapetype>
            <v:shape id="Text Box 6" o:spid="_x0000_s1026" type="#_x0000_t202" style="position:absolute;margin-left:0;margin-top:0;width:349.5pt;height:181.4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" filled="f" stroked="f">
              <o:lock v:ext="edit" aspectratio="t" shapetype="t"/>
              <v:textbox style="mso-fit-shape-to-text:t">
                <w:txbxContent>
                  <w:p w14:paraId="246D732D"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81C4" w14:textId="3F9D4591" w:rsidR="005124B0" w:rsidRPr="001D0ACA" w:rsidRDefault="004F58D0" w:rsidP="001D0ACA">
    <w:pPr>
      <w:jc w:val="center"/>
      <w:rPr>
        <w:b/>
        <w:bCs/>
        <w:color w:val="FF0000"/>
        <w:sz w:val="24"/>
        <w:szCs w:val="24"/>
        <w:lang w:val="en-US"/>
      </w:rPr>
    </w:pPr>
    <w:r w:rsidRPr="001D0ACA">
      <w:rPr>
        <w:b/>
        <w:bCs/>
        <w:color w:val="FF0000"/>
        <w:sz w:val="24"/>
        <w:szCs w:val="24"/>
        <w:lang w:val="en-US"/>
      </w:rPr>
      <w:t>FOR INTERNAL USE ONLY BY VICTORIAN GOVERNMENT AGENCIES - NOT TO BE CIRCULATED OTHER THAN TO VICTORIAN GOVERNMENT AGENCIES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EC1A" w14:textId="2920C107" w:rsidR="005124B0" w:rsidRDefault="004A2934">
    <w:pPr>
      <w:pStyle w:val="Header"/>
    </w:pPr>
    <w:r>
      <w:rPr>
        <w:noProof/>
      </w:rPr>
      <mc:AlternateContent>
        <mc:Choice Requires="wps">
          <w:drawing>
            <wp:anchor distT="0" distB="0" distL="114300" distR="114300" simplePos="0" relativeHeight="251663360" behindDoc="0" locked="0" layoutInCell="1" allowOverlap="1" wp14:anchorId="66F39D86" wp14:editId="6A891CBF">
              <wp:simplePos x="0" y="0"/>
              <wp:positionH relativeFrom="margin">
                <wp:align>center</wp:align>
              </wp:positionH>
              <wp:positionV relativeFrom="margin">
                <wp:align>center</wp:align>
              </wp:positionV>
              <wp:extent cx="4438650" cy="2303780"/>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EC17651"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39D86" id="_x0000_t202" coordsize="21600,21600" o:spt="202" path="m,l,21600r21600,l21600,xe">
              <v:stroke joinstyle="miter"/>
              <v:path gradientshapeok="t" o:connecttype="rect"/>
            </v:shapetype>
            <v:shape id="Text Box 3" o:spid="_x0000_s1027" type="#_x0000_t202"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" filled="f" stroked="f">
              <o:lock v:ext="edit" aspectratio="t" shapetype="t"/>
              <v:textbox style="mso-fit-shape-to-text:t">
                <w:txbxContent>
                  <w:p w14:paraId="7EC17651"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30B0" w14:textId="068AD678" w:rsidR="005124B0" w:rsidRDefault="004A2934">
    <w:pPr>
      <w:pStyle w:val="Header"/>
    </w:pPr>
    <w:r>
      <w:rPr>
        <w:noProof/>
      </w:rPr>
      <mc:AlternateContent>
        <mc:Choice Requires="wps">
          <w:drawing>
            <wp:anchor distT="0" distB="0" distL="114300" distR="114300" simplePos="0" relativeHeight="251671552" behindDoc="0" locked="0" layoutInCell="1" allowOverlap="1" wp14:anchorId="144B9A03" wp14:editId="60FA89F1">
              <wp:simplePos x="0" y="0"/>
              <wp:positionH relativeFrom="margin">
                <wp:align>center</wp:align>
              </wp:positionH>
              <wp:positionV relativeFrom="margin">
                <wp:align>center</wp:align>
              </wp:positionV>
              <wp:extent cx="4438650" cy="230378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3AA1991D"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4B9A03" id="_x0000_t202" coordsize="21600,21600" o:spt="202" path="m,l,21600r21600,l21600,xe">
              <v:stroke joinstyle="miter"/>
              <v:path gradientshapeok="t" o:connecttype="rect"/>
            </v:shapetype>
            <v:shape id="Text Box 2" o:spid="_x0000_s1028" type="#_x0000_t202" style="position:absolute;margin-left:0;margin-top:0;width:349.5pt;height:181.4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E8diiv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3AA1991D"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2811" w14:textId="0F829F39" w:rsidR="005124B0" w:rsidRDefault="005124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2AD" w14:textId="4FD7E8E3" w:rsidR="005124B0" w:rsidRDefault="004A2934">
    <w:pPr>
      <w:pStyle w:val="Header"/>
    </w:pPr>
    <w:r>
      <w:rPr>
        <w:noProof/>
      </w:rPr>
      <mc:AlternateContent>
        <mc:Choice Requires="wps">
          <w:drawing>
            <wp:anchor distT="0" distB="0" distL="114300" distR="114300" simplePos="0" relativeHeight="251669504" behindDoc="0" locked="0" layoutInCell="1" allowOverlap="1" wp14:anchorId="61413617" wp14:editId="49A16621">
              <wp:simplePos x="0" y="0"/>
              <wp:positionH relativeFrom="margin">
                <wp:align>center</wp:align>
              </wp:positionH>
              <wp:positionV relativeFrom="margin">
                <wp:align>center</wp:align>
              </wp:positionV>
              <wp:extent cx="4438650" cy="230378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E804392"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413617" id="_x0000_t202" coordsize="21600,21600" o:spt="202" path="m,l,21600r21600,l21600,xe">
              <v:stroke joinstyle="miter"/>
              <v:path gradientshapeok="t" o:connecttype="rect"/>
            </v:shapetype>
            <v:shape id="Text Box 1" o:spid="_x0000_s1029" type="#_x0000_t202"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NtBS3T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4E804392" w14:textId="77777777" w:rsidR="008140B6" w:rsidRDefault="008140B6">
                    <w:pPr>
                      <w:pStyle w:val="NormalWeb"/>
                      <w:spacing w:after="0"/>
                      <w:jc w:val="center"/>
                    </w:pPr>
                    <w:r w:rsidRPr="004A2934">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D0475AE"/>
    <w:multiLevelType w:val="multilevel"/>
    <w:tmpl w:val="FC74BC26"/>
    <w:lvl w:ilvl="0">
      <w:start w:val="1"/>
      <w:numFmt w:val="bullet"/>
      <w:lvlText w:val=""/>
      <w:lvlJc w:val="left"/>
      <w:pPr>
        <w:ind w:left="0" w:firstLine="0"/>
      </w:pPr>
      <w:rPr>
        <w:rFonts w:ascii="Wingdings" w:hAnsi="Wingdings" w:hint="default"/>
      </w:rPr>
    </w:lvl>
    <w:lvl w:ilvl="1">
      <w:start w:val="1"/>
      <w:numFmt w:val="none"/>
      <w:suff w:val="nothing"/>
      <w:lvlText w:val="%2"/>
      <w:lvlJc w:val="left"/>
      <w:pPr>
        <w:ind w:left="964" w:firstLine="0"/>
      </w:pPr>
      <w:rPr>
        <w:rFonts w:hint="default"/>
      </w:rPr>
    </w:lvl>
    <w:lvl w:ilvl="2">
      <w:start w:val="1"/>
      <w:numFmt w:val="none"/>
      <w:suff w:val="nothing"/>
      <w:lvlText w:val=""/>
      <w:lvlJc w:val="left"/>
      <w:pPr>
        <w:ind w:left="1928" w:firstLine="0"/>
      </w:pPr>
      <w:rPr>
        <w:rFonts w:hint="default"/>
      </w:rPr>
    </w:lvl>
    <w:lvl w:ilvl="3">
      <w:start w:val="1"/>
      <w:numFmt w:val="none"/>
      <w:suff w:val="nothing"/>
      <w:lvlText w:val=""/>
      <w:lvlJc w:val="left"/>
      <w:pPr>
        <w:ind w:left="2892" w:firstLine="0"/>
      </w:pPr>
      <w:rPr>
        <w:rFonts w:hint="default"/>
      </w:rPr>
    </w:lvl>
    <w:lvl w:ilvl="4">
      <w:start w:val="1"/>
      <w:numFmt w:val="none"/>
      <w:suff w:val="nothing"/>
      <w:lvlText w:val=""/>
      <w:lvlJc w:val="left"/>
      <w:pPr>
        <w:ind w:left="3856" w:firstLine="0"/>
      </w:pPr>
      <w:rPr>
        <w:rFonts w:hint="default"/>
      </w:rPr>
    </w:lvl>
    <w:lvl w:ilvl="5">
      <w:start w:val="1"/>
      <w:numFmt w:val="none"/>
      <w:suff w:val="nothing"/>
      <w:lvlText w:val=""/>
      <w:lvlJc w:val="left"/>
      <w:pPr>
        <w:ind w:left="4819"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1C7ADE"/>
    <w:multiLevelType w:val="multilevel"/>
    <w:tmpl w:val="63180A2C"/>
    <w:lvl w:ilvl="0">
      <w:start w:val="1"/>
      <w:numFmt w:val="bullet"/>
      <w:lvlText w:val=""/>
      <w:lvlJc w:val="left"/>
      <w:pPr>
        <w:ind w:left="964" w:firstLine="0"/>
      </w:pPr>
      <w:rPr>
        <w:rFonts w:ascii="Symbol" w:hAnsi="Symbol"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4"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5" w15:restartNumberingAfterBreak="0">
    <w:nsid w:val="1FA53F22"/>
    <w:multiLevelType w:val="multilevel"/>
    <w:tmpl w:val="9B0A479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6"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40B62BF"/>
    <w:multiLevelType w:val="hybridMultilevel"/>
    <w:tmpl w:val="309A0FE4"/>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6B77395"/>
    <w:multiLevelType w:val="hybridMultilevel"/>
    <w:tmpl w:val="D5EC6A4C"/>
    <w:lvl w:ilvl="0" w:tplc="0C090005">
      <w:start w:val="1"/>
      <w:numFmt w:val="bullet"/>
      <w:lvlText w:val=""/>
      <w:lvlJc w:val="left"/>
      <w:pPr>
        <w:ind w:left="1152" w:hanging="360"/>
      </w:pPr>
      <w:rPr>
        <w:rFonts w:ascii="Wingdings" w:hAnsi="Wingding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0" w15:restartNumberingAfterBreak="0">
    <w:nsid w:val="26DC7B17"/>
    <w:multiLevelType w:val="hybridMultilevel"/>
    <w:tmpl w:val="071C38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4137597"/>
    <w:multiLevelType w:val="multilevel"/>
    <w:tmpl w:val="250A5FD0"/>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13"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9" w15:restartNumberingAfterBreak="0">
    <w:nsid w:val="4DB85624"/>
    <w:multiLevelType w:val="multilevel"/>
    <w:tmpl w:val="B372C442"/>
    <w:numStyleLink w:val="CUIndent"/>
  </w:abstractNum>
  <w:abstractNum w:abstractNumId="2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FA409CE"/>
    <w:multiLevelType w:val="multilevel"/>
    <w:tmpl w:val="510EE194"/>
    <w:lvl w:ilvl="0">
      <w:start w:val="1"/>
      <w:numFmt w:val="bullet"/>
      <w:lvlText w:val=""/>
      <w:lvlJc w:val="left"/>
      <w:pPr>
        <w:ind w:left="0" w:firstLine="0"/>
      </w:pPr>
      <w:rPr>
        <w:rFonts w:ascii="Wingdings" w:hAnsi="Wingdings" w:hint="default"/>
      </w:rPr>
    </w:lvl>
    <w:lvl w:ilvl="1">
      <w:start w:val="1"/>
      <w:numFmt w:val="none"/>
      <w:suff w:val="nothing"/>
      <w:lvlText w:val="%2"/>
      <w:lvlJc w:val="left"/>
      <w:pPr>
        <w:ind w:left="964" w:firstLine="0"/>
      </w:pPr>
      <w:rPr>
        <w:rFonts w:hint="default"/>
      </w:rPr>
    </w:lvl>
    <w:lvl w:ilvl="2">
      <w:start w:val="1"/>
      <w:numFmt w:val="none"/>
      <w:suff w:val="nothing"/>
      <w:lvlText w:val=""/>
      <w:lvlJc w:val="left"/>
      <w:pPr>
        <w:ind w:left="1928" w:firstLine="0"/>
      </w:pPr>
      <w:rPr>
        <w:rFonts w:hint="default"/>
      </w:rPr>
    </w:lvl>
    <w:lvl w:ilvl="3">
      <w:start w:val="1"/>
      <w:numFmt w:val="none"/>
      <w:suff w:val="nothing"/>
      <w:lvlText w:val=""/>
      <w:lvlJc w:val="left"/>
      <w:pPr>
        <w:ind w:left="2892" w:firstLine="0"/>
      </w:pPr>
      <w:rPr>
        <w:rFonts w:hint="default"/>
      </w:rPr>
    </w:lvl>
    <w:lvl w:ilvl="4">
      <w:start w:val="1"/>
      <w:numFmt w:val="none"/>
      <w:suff w:val="nothing"/>
      <w:lvlText w:val=""/>
      <w:lvlJc w:val="left"/>
      <w:pPr>
        <w:ind w:left="3856" w:firstLine="0"/>
      </w:pPr>
      <w:rPr>
        <w:rFonts w:hint="default"/>
      </w:rPr>
    </w:lvl>
    <w:lvl w:ilvl="5">
      <w:start w:val="1"/>
      <w:numFmt w:val="none"/>
      <w:suff w:val="nothing"/>
      <w:lvlText w:val=""/>
      <w:lvlJc w:val="left"/>
      <w:pPr>
        <w:ind w:left="4819"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FC03E68"/>
    <w:multiLevelType w:val="hybridMultilevel"/>
    <w:tmpl w:val="B87C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49C32F0"/>
    <w:multiLevelType w:val="multilevel"/>
    <w:tmpl w:val="0540E31E"/>
    <w:numStyleLink w:val="MELegal"/>
  </w:abstractNum>
  <w:abstractNum w:abstractNumId="25" w15:restartNumberingAfterBreak="0">
    <w:nsid w:val="57B1788C"/>
    <w:multiLevelType w:val="multilevel"/>
    <w:tmpl w:val="7FCC408C"/>
    <w:name w:val="Heading_AList"/>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upperLetter"/>
      <w:lvlRestart w:val="1"/>
      <w:lvlText w:val="%1%7."/>
      <w:lvlJc w:val="left"/>
      <w:pPr>
        <w:tabs>
          <w:tab w:val="num" w:pos="964"/>
        </w:tabs>
        <w:ind w:left="964" w:hanging="964"/>
      </w:pPr>
      <w:rPr>
        <w:rFonts w:ascii="Arial Bold" w:hAnsi="Arial Bold" w:hint="default"/>
        <w:b/>
        <w:i w:val="0"/>
        <w:sz w:val="28"/>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CAC0974"/>
    <w:multiLevelType w:val="multilevel"/>
    <w:tmpl w:val="2C7A9A8E"/>
    <w:numStyleLink w:val="Warranty"/>
  </w:abstractNum>
  <w:abstractNum w:abstractNumId="30"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2" w15:restartNumberingAfterBreak="0">
    <w:nsid w:val="647C2FE1"/>
    <w:multiLevelType w:val="hybridMultilevel"/>
    <w:tmpl w:val="238AB28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33"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34" w15:restartNumberingAfterBreak="0">
    <w:nsid w:val="688D26AD"/>
    <w:multiLevelType w:val="multilevel"/>
    <w:tmpl w:val="35B24AE4"/>
    <w:numStyleLink w:val="CUNumber"/>
  </w:abstractNum>
  <w:abstractNum w:abstractNumId="35"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90"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7E3E5236"/>
    <w:multiLevelType w:val="hybridMultilevel"/>
    <w:tmpl w:val="FEDE1168"/>
    <w:lvl w:ilvl="0" w:tplc="58F8B8CC">
      <w:start w:val="1"/>
      <w:numFmt w:val="upperLetter"/>
      <w:lvlText w:val="(%1)"/>
      <w:lvlJc w:val="left"/>
      <w:pPr>
        <w:ind w:left="2543" w:hanging="615"/>
      </w:pPr>
      <w:rPr>
        <w:rFonts w:hint="default"/>
      </w:rPr>
    </w:lvl>
    <w:lvl w:ilvl="1" w:tplc="0C090019" w:tentative="1">
      <w:start w:val="1"/>
      <w:numFmt w:val="lowerLetter"/>
      <w:lvlText w:val="%2."/>
      <w:lvlJc w:val="left"/>
      <w:pPr>
        <w:ind w:left="3008" w:hanging="360"/>
      </w:pPr>
    </w:lvl>
    <w:lvl w:ilvl="2" w:tplc="0C09001B" w:tentative="1">
      <w:start w:val="1"/>
      <w:numFmt w:val="lowerRoman"/>
      <w:lvlText w:val="%3."/>
      <w:lvlJc w:val="right"/>
      <w:pPr>
        <w:ind w:left="3728" w:hanging="180"/>
      </w:pPr>
    </w:lvl>
    <w:lvl w:ilvl="3" w:tplc="0C09000F" w:tentative="1">
      <w:start w:val="1"/>
      <w:numFmt w:val="decimal"/>
      <w:lvlText w:val="%4."/>
      <w:lvlJc w:val="left"/>
      <w:pPr>
        <w:ind w:left="4448" w:hanging="360"/>
      </w:pPr>
    </w:lvl>
    <w:lvl w:ilvl="4" w:tplc="0C090019" w:tentative="1">
      <w:start w:val="1"/>
      <w:numFmt w:val="lowerLetter"/>
      <w:lvlText w:val="%5."/>
      <w:lvlJc w:val="left"/>
      <w:pPr>
        <w:ind w:left="5168" w:hanging="360"/>
      </w:pPr>
    </w:lvl>
    <w:lvl w:ilvl="5" w:tplc="0C09001B" w:tentative="1">
      <w:start w:val="1"/>
      <w:numFmt w:val="lowerRoman"/>
      <w:lvlText w:val="%6."/>
      <w:lvlJc w:val="right"/>
      <w:pPr>
        <w:ind w:left="5888" w:hanging="180"/>
      </w:pPr>
    </w:lvl>
    <w:lvl w:ilvl="6" w:tplc="0C09000F" w:tentative="1">
      <w:start w:val="1"/>
      <w:numFmt w:val="decimal"/>
      <w:lvlText w:val="%7."/>
      <w:lvlJc w:val="left"/>
      <w:pPr>
        <w:ind w:left="6608" w:hanging="360"/>
      </w:pPr>
    </w:lvl>
    <w:lvl w:ilvl="7" w:tplc="0C090019" w:tentative="1">
      <w:start w:val="1"/>
      <w:numFmt w:val="lowerLetter"/>
      <w:lvlText w:val="%8."/>
      <w:lvlJc w:val="left"/>
      <w:pPr>
        <w:ind w:left="7328" w:hanging="360"/>
      </w:pPr>
    </w:lvl>
    <w:lvl w:ilvl="8" w:tplc="0C09001B" w:tentative="1">
      <w:start w:val="1"/>
      <w:numFmt w:val="lowerRoman"/>
      <w:lvlText w:val="%9."/>
      <w:lvlJc w:val="right"/>
      <w:pPr>
        <w:ind w:left="8048" w:hanging="180"/>
      </w:pPr>
    </w:lvl>
  </w:abstractNum>
  <w:abstractNum w:abstractNumId="41" w15:restartNumberingAfterBreak="0">
    <w:nsid w:val="7FD44514"/>
    <w:multiLevelType w:val="multilevel"/>
    <w:tmpl w:val="E006CA7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sz w:val="28"/>
        <w:szCs w:val="28"/>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b/>
        <w:bCs/>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115825803">
    <w:abstractNumId w:val="28"/>
  </w:num>
  <w:num w:numId="2" w16cid:durableId="1675374358">
    <w:abstractNumId w:val="37"/>
  </w:num>
  <w:num w:numId="3" w16cid:durableId="1483502173">
    <w:abstractNumId w:val="27"/>
  </w:num>
  <w:num w:numId="4" w16cid:durableId="657610808">
    <w:abstractNumId w:val="0"/>
  </w:num>
  <w:num w:numId="5" w16cid:durableId="1219169384">
    <w:abstractNumId w:val="15"/>
  </w:num>
  <w:num w:numId="6" w16cid:durableId="1787115312">
    <w:abstractNumId w:val="26"/>
  </w:num>
  <w:num w:numId="7" w16cid:durableId="77605193">
    <w:abstractNumId w:val="17"/>
  </w:num>
  <w:num w:numId="8" w16cid:durableId="1853446474">
    <w:abstractNumId w:val="34"/>
  </w:num>
  <w:num w:numId="9" w16cid:durableId="118227304">
    <w:abstractNumId w:val="20"/>
  </w:num>
  <w:num w:numId="10" w16cid:durableId="328560473">
    <w:abstractNumId w:val="14"/>
  </w:num>
  <w:num w:numId="11" w16cid:durableId="1246645836">
    <w:abstractNumId w:val="18"/>
  </w:num>
  <w:num w:numId="12" w16cid:durableId="613102017">
    <w:abstractNumId w:val="18"/>
  </w:num>
  <w:num w:numId="13" w16cid:durableId="107631525">
    <w:abstractNumId w:val="13"/>
  </w:num>
  <w:num w:numId="14" w16cid:durableId="578253571">
    <w:abstractNumId w:val="13"/>
  </w:num>
  <w:num w:numId="15" w16cid:durableId="1969582359">
    <w:abstractNumId w:val="11"/>
  </w:num>
  <w:num w:numId="16" w16cid:durableId="207107493">
    <w:abstractNumId w:val="36"/>
  </w:num>
  <w:num w:numId="17" w16cid:durableId="840466007">
    <w:abstractNumId w:val="19"/>
  </w:num>
  <w:num w:numId="18" w16cid:durableId="68968710">
    <w:abstractNumId w:val="39"/>
  </w:num>
  <w:num w:numId="19" w16cid:durableId="1459883508">
    <w:abstractNumId w:val="1"/>
  </w:num>
  <w:num w:numId="20" w16cid:durableId="1362899491">
    <w:abstractNumId w:val="4"/>
  </w:num>
  <w:num w:numId="21" w16cid:durableId="207566969">
    <w:abstractNumId w:val="8"/>
  </w:num>
  <w:num w:numId="22" w16cid:durableId="979922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1299886">
    <w:abstractNumId w:val="35"/>
  </w:num>
  <w:num w:numId="24" w16cid:durableId="493036431">
    <w:abstractNumId w:val="24"/>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90"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25" w16cid:durableId="85079859">
    <w:abstractNumId w:val="5"/>
    <w:lvlOverride w:ilvl="0">
      <w:lvl w:ilvl="0">
        <w:start w:val="1"/>
        <w:numFmt w:val="decimal"/>
        <w:pStyle w:val="ScheduleL1"/>
        <w:suff w:val="nothing"/>
        <w:lvlText w:val="Schedule %1"/>
        <w:lvlJc w:val="left"/>
        <w:pPr>
          <w:ind w:left="2552" w:firstLine="0"/>
        </w:pPr>
        <w:rPr>
          <w:rFonts w:hint="default"/>
        </w:rPr>
      </w:lvl>
    </w:lvlOverride>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822" w:hanging="680"/>
        </w:pPr>
        <w:rPr>
          <w:rFonts w:hint="default"/>
        </w:rPr>
      </w:lvl>
    </w:lvlOverride>
    <w:lvlOverride w:ilvl="3">
      <w:lvl w:ilvl="3">
        <w:start w:val="1"/>
        <w:numFmt w:val="lowerLetter"/>
        <w:pStyle w:val="ScheduleL4"/>
        <w:lvlText w:val="(%4)"/>
        <w:lvlJc w:val="left"/>
        <w:pPr>
          <w:ind w:left="1361" w:hanging="681"/>
        </w:pPr>
        <w:rPr>
          <w:rFonts w:hint="default"/>
          <w:b w:val="0"/>
        </w:rPr>
      </w:lvl>
    </w:lvlOverride>
    <w:lvlOverride w:ilvl="4">
      <w:lvl w:ilvl="4">
        <w:start w:val="1"/>
        <w:numFmt w:val="lowerRoman"/>
        <w:pStyle w:val="ScheduleL5"/>
        <w:lvlText w:val="(%5)"/>
        <w:lvlJc w:val="left"/>
        <w:pPr>
          <w:ind w:left="2041" w:hanging="680"/>
        </w:pPr>
        <w:rPr>
          <w:rFonts w:hint="default"/>
        </w:rPr>
      </w:lvl>
    </w:lvlOverride>
    <w:lvlOverride w:ilvl="5">
      <w:lvl w:ilvl="5">
        <w:start w:val="1"/>
        <w:numFmt w:val="upperLetter"/>
        <w:pStyle w:val="ScheduleL6"/>
        <w:lvlText w:val="(%6)"/>
        <w:lvlJc w:val="left"/>
        <w:pPr>
          <w:tabs>
            <w:tab w:val="num" w:pos="2722"/>
          </w:tabs>
          <w:ind w:left="2722" w:hanging="681"/>
        </w:pPr>
        <w:rPr>
          <w:rFonts w:hint="default"/>
        </w:rPr>
      </w:lvl>
    </w:lvlOverride>
    <w:lvlOverride w:ilvl="6">
      <w:lvl w:ilvl="6">
        <w:start w:val="1"/>
        <w:numFmt w:val="upperRoman"/>
        <w:pStyle w:val="ScheduleL7"/>
        <w:lvlText w:val="(%7)"/>
        <w:lvlJc w:val="left"/>
        <w:pPr>
          <w:tabs>
            <w:tab w:val="num" w:pos="3402"/>
          </w:tabs>
          <w:ind w:left="3402" w:hanging="680"/>
        </w:pPr>
        <w:rPr>
          <w:rFonts w:hint="default"/>
        </w:rPr>
      </w:lvl>
    </w:lvlOverride>
    <w:lvlOverride w:ilvl="7">
      <w:lvl w:ilvl="7">
        <w:start w:val="1"/>
        <w:numFmt w:val="decimal"/>
        <w:pStyle w:val="ScheduleL8"/>
        <w:lvlText w:val="(%8)"/>
        <w:lvlJc w:val="left"/>
        <w:pPr>
          <w:tabs>
            <w:tab w:val="num" w:pos="4082"/>
          </w:tabs>
          <w:ind w:left="4082" w:hanging="680"/>
        </w:pPr>
        <w:rPr>
          <w:rFonts w:hint="default"/>
        </w:rPr>
      </w:lvl>
    </w:lvlOverride>
    <w:lvlOverride w:ilvl="8">
      <w:lvl w:ilvl="8">
        <w:start w:val="1"/>
        <w:numFmt w:val="upperLetter"/>
        <w:pStyle w:val="ScheduleL9"/>
        <w:lvlText w:val="%9."/>
        <w:lvlJc w:val="left"/>
        <w:pPr>
          <w:tabs>
            <w:tab w:val="num" w:pos="4763"/>
          </w:tabs>
          <w:ind w:left="4763" w:hanging="681"/>
        </w:pPr>
        <w:rPr>
          <w:rFonts w:hint="default"/>
        </w:rPr>
      </w:lvl>
    </w:lvlOverride>
  </w:num>
  <w:num w:numId="26" w16cid:durableId="943657947">
    <w:abstractNumId w:val="5"/>
  </w:num>
  <w:num w:numId="27" w16cid:durableId="1207252515">
    <w:abstractNumId w:val="30"/>
  </w:num>
  <w:num w:numId="28" w16cid:durableId="212473618">
    <w:abstractNumId w:val="23"/>
  </w:num>
  <w:num w:numId="29" w16cid:durableId="1715807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10300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910983">
    <w:abstractNumId w:val="40"/>
  </w:num>
  <w:num w:numId="32" w16cid:durableId="1183204686">
    <w:abstractNumId w:val="12"/>
  </w:num>
  <w:num w:numId="33" w16cid:durableId="1966891080">
    <w:abstractNumId w:val="31"/>
  </w:num>
  <w:num w:numId="34" w16cid:durableId="1778403192">
    <w:abstractNumId w:val="29"/>
  </w:num>
  <w:num w:numId="35" w16cid:durableId="1834251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3738166">
    <w:abstractNumId w:val="22"/>
  </w:num>
  <w:num w:numId="37" w16cid:durableId="204373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529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381247">
    <w:abstractNumId w:val="6"/>
  </w:num>
  <w:num w:numId="40" w16cid:durableId="1845776125">
    <w:abstractNumId w:val="2"/>
  </w:num>
  <w:num w:numId="41" w16cid:durableId="1990206441">
    <w:abstractNumId w:val="14"/>
    <w:lvlOverride w:ilvl="0">
      <w:lvl w:ilvl="0">
        <w:numFmt w:val="decimal"/>
        <w:pStyle w:val="Definition"/>
        <w:suff w:val="nothing"/>
        <w:lvlText w:val=""/>
        <w:lvlJc w:val="left"/>
        <w:pPr>
          <w:ind w:left="0" w:firstLine="0"/>
        </w:pPr>
        <w:rPr>
          <w:rFonts w:ascii="Times New Roman" w:hAnsi="Times New Roman" w:cs="Times New Roman" w:hint="default"/>
          <w:b w:val="0"/>
          <w:i w:val="0"/>
          <w:caps w:val="0"/>
          <w:strike w:val="0"/>
          <w:dstrike w:val="0"/>
          <w:color w:val="0000FF"/>
          <w:sz w:val="22"/>
          <w:szCs w:val="22"/>
          <w:u w:val="double"/>
          <w:effect w:val="none"/>
        </w:rPr>
      </w:lvl>
    </w:lvlOverride>
    <w:lvlOverride w:ilvl="1">
      <w:lvl w:ilvl="1">
        <w:start w:val="1"/>
        <w:numFmt w:val="decimal"/>
        <w:pStyle w:val="DefinitionNum2"/>
        <w:lvlText w:val="(%2)"/>
        <w:lvlJc w:val="left"/>
        <w:pPr>
          <w:tabs>
            <w:tab w:val="num" w:pos="1928"/>
          </w:tabs>
          <w:ind w:left="0" w:firstLine="0"/>
        </w:pPr>
        <w:rPr>
          <w:rFonts w:ascii="Arial" w:hAnsi="Arial" w:cs="Times New Roman" w:hint="default"/>
          <w:b w:val="0"/>
          <w:i w:val="0"/>
          <w:strike w:val="0"/>
          <w:dstrike w:val="0"/>
          <w:color w:val="auto"/>
          <w:sz w:val="20"/>
          <w:szCs w:val="22"/>
          <w:u w:val="none"/>
          <w:effect w:val="none"/>
        </w:rPr>
      </w:lvl>
    </w:lvlOverride>
    <w:lvlOverride w:ilvl="2">
      <w:lvl w:ilvl="2">
        <w:start w:val="1"/>
        <w:numFmt w:val="decimal"/>
        <w:pStyle w:val="DefinitionNum3"/>
        <w:lvlText w:val="(%3)"/>
        <w:lvlJc w:val="left"/>
        <w:pPr>
          <w:tabs>
            <w:tab w:val="num" w:pos="2892"/>
          </w:tabs>
          <w:ind w:left="0" w:firstLine="0"/>
        </w:pPr>
        <w:rPr>
          <w:rFonts w:ascii="Arial" w:hAnsi="Arial" w:cs="Times New Roman" w:hint="default"/>
          <w:b w:val="0"/>
          <w:i w:val="0"/>
          <w:strike w:val="0"/>
          <w:dstrike w:val="0"/>
          <w:color w:val="auto"/>
          <w:sz w:val="20"/>
          <w:u w:val="none"/>
          <w:effect w:val="none"/>
        </w:rPr>
      </w:lvl>
    </w:lvlOverride>
    <w:lvlOverride w:ilvl="3">
      <w:lvl w:ilvl="3">
        <w:start w:val="1"/>
        <w:numFmt w:val="decimal"/>
        <w:pStyle w:val="DefinitionNum4"/>
        <w:lvlText w:val="%4."/>
        <w:lvlJc w:val="left"/>
        <w:pPr>
          <w:tabs>
            <w:tab w:val="num" w:pos="3856"/>
          </w:tabs>
          <w:ind w:left="0" w:firstLine="0"/>
        </w:pPr>
        <w:rPr>
          <w:rFonts w:ascii="Arial" w:hAnsi="Arial" w:cs="Times New Roman" w:hint="default"/>
          <w:b w:val="0"/>
          <w:i w:val="0"/>
          <w:strike w:val="0"/>
          <w:dstrike w:val="0"/>
          <w:color w:val="auto"/>
          <w:sz w:val="20"/>
          <w:u w:val="none"/>
          <w:effect w:val="none"/>
        </w:rPr>
      </w:lvl>
    </w:lvlOverride>
    <w:lvlOverride w:ilvl="4">
      <w:lvl w:ilvl="4">
        <w:start w:val="1"/>
        <w:numFmt w:val="decimal"/>
        <w:lvlText w:val="%5"/>
        <w:lvlJc w:val="left"/>
        <w:pPr>
          <w:tabs>
            <w:tab w:val="num" w:pos="3856"/>
          </w:tabs>
          <w:ind w:left="0" w:firstLine="0"/>
        </w:pPr>
        <w:rPr>
          <w:b w:val="0"/>
          <w:i w:val="0"/>
          <w:strike w:val="0"/>
          <w:dstrike w:val="0"/>
          <w:color w:val="0000FF"/>
          <w:u w:val="double"/>
          <w:effect w:val="none"/>
        </w:rPr>
      </w:lvl>
    </w:lvlOverride>
    <w:lvlOverride w:ilvl="5">
      <w:lvl w:ilvl="5">
        <w:start w:val="1"/>
        <w:numFmt w:val="decimal"/>
        <w:lvlText w:val="%6"/>
        <w:lvlJc w:val="left"/>
        <w:pPr>
          <w:tabs>
            <w:tab w:val="num" w:pos="4820"/>
          </w:tabs>
          <w:ind w:left="0" w:firstLine="0"/>
        </w:pPr>
        <w:rPr>
          <w:b w:val="0"/>
          <w:i w:val="0"/>
          <w:strike w:val="0"/>
          <w:dstrike w:val="0"/>
          <w:color w:val="0000FF"/>
          <w:u w:val="double"/>
          <w:effect w:val="none"/>
        </w:rPr>
      </w:lvl>
    </w:lvlOverride>
    <w:lvlOverride w:ilvl="6">
      <w:lvl w:ilvl="6">
        <w:start w:val="1"/>
        <w:numFmt w:val="decimal"/>
        <w:lvlText w:val="%7"/>
        <w:lvlJc w:val="left"/>
        <w:pPr>
          <w:tabs>
            <w:tab w:val="num" w:pos="5783"/>
          </w:tabs>
          <w:ind w:left="0" w:firstLine="0"/>
        </w:pPr>
        <w:rPr>
          <w:b w:val="0"/>
          <w:i w:val="0"/>
          <w:strike w:val="0"/>
          <w:dstrike w:val="0"/>
          <w:color w:val="0000FF"/>
          <w:u w:val="double"/>
          <w:effect w:val="none"/>
        </w:rPr>
      </w:lvl>
    </w:lvlOverride>
    <w:lvlOverride w:ilvl="7">
      <w:lvl w:ilvl="7">
        <w:start w:val="1"/>
        <w:numFmt w:val="decimal"/>
        <w:lvlText w:val="%8"/>
        <w:lvlJc w:val="left"/>
        <w:pPr>
          <w:tabs>
            <w:tab w:val="num" w:pos="6747"/>
          </w:tabs>
          <w:ind w:left="0" w:firstLine="0"/>
        </w:pPr>
        <w:rPr>
          <w:b w:val="0"/>
          <w:i w:val="0"/>
          <w:strike w:val="0"/>
          <w:dstrike w:val="0"/>
          <w:color w:val="0000FF"/>
          <w:u w:val="double"/>
          <w:effect w:val="none"/>
        </w:rPr>
      </w:lvl>
    </w:lvlOverride>
    <w:lvlOverride w:ilvl="8">
      <w:lvl w:ilvl="8">
        <w:start w:val="1"/>
        <w:numFmt w:val="decimal"/>
        <w:lvlRestart w:val="0"/>
        <w:suff w:val="nothing"/>
        <w:lvlText w:val=""/>
        <w:lvlJc w:val="left"/>
        <w:pPr>
          <w:ind w:left="0" w:firstLine="0"/>
        </w:pPr>
        <w:rPr>
          <w:color w:val="0000FF"/>
          <w:u w:val="double"/>
        </w:rPr>
      </w:lvl>
    </w:lvlOverride>
  </w:num>
  <w:num w:numId="42" w16cid:durableId="2084330940">
    <w:abstractNumId w:val="18"/>
  </w:num>
  <w:num w:numId="43" w16cid:durableId="786966373">
    <w:abstractNumId w:val="16"/>
  </w:num>
  <w:num w:numId="44" w16cid:durableId="2065060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5638617">
    <w:abstractNumId w:val="18"/>
  </w:num>
  <w:num w:numId="46" w16cid:durableId="1775859065">
    <w:abstractNumId w:val="32"/>
  </w:num>
  <w:num w:numId="47" w16cid:durableId="37751231">
    <w:abstractNumId w:val="33"/>
  </w:num>
  <w:num w:numId="48" w16cid:durableId="455107404">
    <w:abstractNumId w:val="41"/>
  </w:num>
  <w:num w:numId="49" w16cid:durableId="660084569">
    <w:abstractNumId w:val="7"/>
  </w:num>
  <w:num w:numId="50" w16cid:durableId="1597791478">
    <w:abstractNumId w:val="9"/>
  </w:num>
  <w:num w:numId="51" w16cid:durableId="360937235">
    <w:abstractNumId w:val="10"/>
  </w:num>
  <w:num w:numId="52" w16cid:durableId="161940320">
    <w:abstractNumId w:val="19"/>
  </w:num>
  <w:num w:numId="53" w16cid:durableId="36467750">
    <w:abstractNumId w:val="19"/>
  </w:num>
  <w:num w:numId="54" w16cid:durableId="1834493812">
    <w:abstractNumId w:val="19"/>
  </w:num>
  <w:num w:numId="55" w16cid:durableId="552350918">
    <w:abstractNumId w:val="19"/>
  </w:num>
  <w:num w:numId="56" w16cid:durableId="1258097575">
    <w:abstractNumId w:val="21"/>
  </w:num>
  <w:num w:numId="57" w16cid:durableId="1034158805">
    <w:abstractNumId w:val="19"/>
  </w:num>
  <w:num w:numId="58" w16cid:durableId="1670716847">
    <w:abstractNumId w:val="19"/>
  </w:num>
  <w:num w:numId="59" w16cid:durableId="1939945071">
    <w:abstractNumId w:val="41"/>
  </w:num>
  <w:num w:numId="60" w16cid:durableId="1880586777">
    <w:abstractNumId w:val="19"/>
  </w:num>
  <w:num w:numId="61" w16cid:durableId="1719040767">
    <w:abstractNumId w:val="41"/>
  </w:num>
  <w:num w:numId="62" w16cid:durableId="1983845605">
    <w:abstractNumId w:val="41"/>
  </w:num>
  <w:num w:numId="63" w16cid:durableId="1066993758">
    <w:abstractNumId w:val="19"/>
  </w:num>
  <w:num w:numId="64" w16cid:durableId="1435975276">
    <w:abstractNumId w:val="19"/>
  </w:num>
  <w:num w:numId="65" w16cid:durableId="1325860134">
    <w:abstractNumId w:val="19"/>
  </w:num>
  <w:num w:numId="66" w16cid:durableId="359668178">
    <w:abstractNumId w:val="19"/>
  </w:num>
  <w:num w:numId="67" w16cid:durableId="244070980">
    <w:abstractNumId w:val="41"/>
  </w:num>
  <w:num w:numId="68" w16cid:durableId="2136171956">
    <w:abstractNumId w:val="41"/>
  </w:num>
  <w:num w:numId="69" w16cid:durableId="1978299408">
    <w:abstractNumId w:val="41"/>
  </w:num>
  <w:num w:numId="70" w16cid:durableId="1119032263">
    <w:abstractNumId w:val="41"/>
  </w:num>
  <w:num w:numId="71" w16cid:durableId="1622149610">
    <w:abstractNumId w:val="19"/>
  </w:num>
  <w:num w:numId="72" w16cid:durableId="1452817371">
    <w:abstractNumId w:val="19"/>
  </w:num>
  <w:num w:numId="73" w16cid:durableId="1474173414">
    <w:abstractNumId w:val="3"/>
  </w:num>
  <w:num w:numId="74" w16cid:durableId="1609501750">
    <w:abstractNumId w:val="19"/>
  </w:num>
  <w:num w:numId="75" w16cid:durableId="1385713943">
    <w:abstractNumId w:val="19"/>
  </w:num>
  <w:num w:numId="76" w16cid:durableId="1452822830">
    <w:abstractNumId w:val="41"/>
  </w:num>
  <w:num w:numId="77" w16cid:durableId="1131170225">
    <w:abstractNumId w:val="19"/>
  </w:num>
  <w:num w:numId="78" w16cid:durableId="459111306">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01.1"/>
  </w:docVars>
  <w:rsids>
    <w:rsidRoot w:val="005124B0"/>
    <w:rsid w:val="00002058"/>
    <w:rsid w:val="00002C94"/>
    <w:rsid w:val="00024C00"/>
    <w:rsid w:val="00024C0E"/>
    <w:rsid w:val="0002641B"/>
    <w:rsid w:val="00030472"/>
    <w:rsid w:val="00032286"/>
    <w:rsid w:val="00041682"/>
    <w:rsid w:val="00054B06"/>
    <w:rsid w:val="000572BD"/>
    <w:rsid w:val="000653D6"/>
    <w:rsid w:val="00065D36"/>
    <w:rsid w:val="00066020"/>
    <w:rsid w:val="00066712"/>
    <w:rsid w:val="0006796E"/>
    <w:rsid w:val="000714A2"/>
    <w:rsid w:val="00077DC8"/>
    <w:rsid w:val="000820B8"/>
    <w:rsid w:val="000A4237"/>
    <w:rsid w:val="000B3754"/>
    <w:rsid w:val="000B51AD"/>
    <w:rsid w:val="000B535D"/>
    <w:rsid w:val="000C0028"/>
    <w:rsid w:val="000C334E"/>
    <w:rsid w:val="000C55D4"/>
    <w:rsid w:val="000C6326"/>
    <w:rsid w:val="000D4922"/>
    <w:rsid w:val="000E2680"/>
    <w:rsid w:val="00100C98"/>
    <w:rsid w:val="001060EB"/>
    <w:rsid w:val="00121BB2"/>
    <w:rsid w:val="001332A0"/>
    <w:rsid w:val="00137AEE"/>
    <w:rsid w:val="00146AD8"/>
    <w:rsid w:val="0015079A"/>
    <w:rsid w:val="00150AB2"/>
    <w:rsid w:val="00170EDE"/>
    <w:rsid w:val="00176754"/>
    <w:rsid w:val="00176EC7"/>
    <w:rsid w:val="0018533D"/>
    <w:rsid w:val="00187103"/>
    <w:rsid w:val="00193776"/>
    <w:rsid w:val="001A253E"/>
    <w:rsid w:val="001B341D"/>
    <w:rsid w:val="001D0ACA"/>
    <w:rsid w:val="001D64A0"/>
    <w:rsid w:val="001E0DEF"/>
    <w:rsid w:val="001E5274"/>
    <w:rsid w:val="001F443F"/>
    <w:rsid w:val="0020372F"/>
    <w:rsid w:val="0020377A"/>
    <w:rsid w:val="0021101E"/>
    <w:rsid w:val="00212B0A"/>
    <w:rsid w:val="00217129"/>
    <w:rsid w:val="00224E2C"/>
    <w:rsid w:val="00227B74"/>
    <w:rsid w:val="00230287"/>
    <w:rsid w:val="002432BB"/>
    <w:rsid w:val="002438BC"/>
    <w:rsid w:val="0025051B"/>
    <w:rsid w:val="00252946"/>
    <w:rsid w:val="00253A17"/>
    <w:rsid w:val="002564AC"/>
    <w:rsid w:val="00265D87"/>
    <w:rsid w:val="00267E66"/>
    <w:rsid w:val="00272CBF"/>
    <w:rsid w:val="00274E60"/>
    <w:rsid w:val="00275B8B"/>
    <w:rsid w:val="0028413D"/>
    <w:rsid w:val="00291AFA"/>
    <w:rsid w:val="00291D5D"/>
    <w:rsid w:val="00294126"/>
    <w:rsid w:val="002A4E77"/>
    <w:rsid w:val="002C2B6F"/>
    <w:rsid w:val="002D010B"/>
    <w:rsid w:val="002D2F44"/>
    <w:rsid w:val="002E238C"/>
    <w:rsid w:val="002E306B"/>
    <w:rsid w:val="00306B4A"/>
    <w:rsid w:val="00312604"/>
    <w:rsid w:val="0032474F"/>
    <w:rsid w:val="00346D25"/>
    <w:rsid w:val="0034721F"/>
    <w:rsid w:val="00350763"/>
    <w:rsid w:val="003546E2"/>
    <w:rsid w:val="00354F3D"/>
    <w:rsid w:val="003621FB"/>
    <w:rsid w:val="003645D8"/>
    <w:rsid w:val="003705BC"/>
    <w:rsid w:val="0037259A"/>
    <w:rsid w:val="00374CCB"/>
    <w:rsid w:val="0037533D"/>
    <w:rsid w:val="00380292"/>
    <w:rsid w:val="00383E01"/>
    <w:rsid w:val="00392336"/>
    <w:rsid w:val="003A14B9"/>
    <w:rsid w:val="003A343E"/>
    <w:rsid w:val="003A570C"/>
    <w:rsid w:val="003A5843"/>
    <w:rsid w:val="003B1280"/>
    <w:rsid w:val="003B3D56"/>
    <w:rsid w:val="003C12FA"/>
    <w:rsid w:val="003C2121"/>
    <w:rsid w:val="003C41D0"/>
    <w:rsid w:val="003D0340"/>
    <w:rsid w:val="003D0564"/>
    <w:rsid w:val="003F0367"/>
    <w:rsid w:val="003F6E19"/>
    <w:rsid w:val="00404C81"/>
    <w:rsid w:val="00412BFF"/>
    <w:rsid w:val="00415200"/>
    <w:rsid w:val="004310AC"/>
    <w:rsid w:val="00450070"/>
    <w:rsid w:val="0046037C"/>
    <w:rsid w:val="00472172"/>
    <w:rsid w:val="0047265B"/>
    <w:rsid w:val="004755DA"/>
    <w:rsid w:val="0048035C"/>
    <w:rsid w:val="00481884"/>
    <w:rsid w:val="004864EB"/>
    <w:rsid w:val="00493F65"/>
    <w:rsid w:val="004957E7"/>
    <w:rsid w:val="00497861"/>
    <w:rsid w:val="004A2934"/>
    <w:rsid w:val="004A4089"/>
    <w:rsid w:val="004B0B4B"/>
    <w:rsid w:val="004C0913"/>
    <w:rsid w:val="004C3F0C"/>
    <w:rsid w:val="004D3674"/>
    <w:rsid w:val="004D3BB0"/>
    <w:rsid w:val="004D7E15"/>
    <w:rsid w:val="004D7E2D"/>
    <w:rsid w:val="004E0636"/>
    <w:rsid w:val="004E484A"/>
    <w:rsid w:val="004E5710"/>
    <w:rsid w:val="004E7E82"/>
    <w:rsid w:val="004F5848"/>
    <w:rsid w:val="004F58D0"/>
    <w:rsid w:val="00504280"/>
    <w:rsid w:val="00511F20"/>
    <w:rsid w:val="005124B0"/>
    <w:rsid w:val="00522345"/>
    <w:rsid w:val="00523AD3"/>
    <w:rsid w:val="00524805"/>
    <w:rsid w:val="005279A4"/>
    <w:rsid w:val="005326A8"/>
    <w:rsid w:val="00535F51"/>
    <w:rsid w:val="00552D2A"/>
    <w:rsid w:val="00555EDE"/>
    <w:rsid w:val="00557BA2"/>
    <w:rsid w:val="00560B4D"/>
    <w:rsid w:val="005652AF"/>
    <w:rsid w:val="0057206E"/>
    <w:rsid w:val="00577281"/>
    <w:rsid w:val="00583D22"/>
    <w:rsid w:val="00584F9C"/>
    <w:rsid w:val="00597D6D"/>
    <w:rsid w:val="005A025E"/>
    <w:rsid w:val="005A09AB"/>
    <w:rsid w:val="005A1BF7"/>
    <w:rsid w:val="005A2879"/>
    <w:rsid w:val="005A6C62"/>
    <w:rsid w:val="005C303C"/>
    <w:rsid w:val="005C6C46"/>
    <w:rsid w:val="005D3849"/>
    <w:rsid w:val="005D7F05"/>
    <w:rsid w:val="005E3DE4"/>
    <w:rsid w:val="005E6481"/>
    <w:rsid w:val="005F58C7"/>
    <w:rsid w:val="005F796F"/>
    <w:rsid w:val="0061233C"/>
    <w:rsid w:val="006304FC"/>
    <w:rsid w:val="0063334F"/>
    <w:rsid w:val="00637E27"/>
    <w:rsid w:val="00641363"/>
    <w:rsid w:val="00642F45"/>
    <w:rsid w:val="00643CB3"/>
    <w:rsid w:val="00645C6B"/>
    <w:rsid w:val="006464EC"/>
    <w:rsid w:val="0065083C"/>
    <w:rsid w:val="006601F4"/>
    <w:rsid w:val="00660832"/>
    <w:rsid w:val="00662277"/>
    <w:rsid w:val="0066563C"/>
    <w:rsid w:val="0066662A"/>
    <w:rsid w:val="00671EF0"/>
    <w:rsid w:val="0069591C"/>
    <w:rsid w:val="00696910"/>
    <w:rsid w:val="006A2732"/>
    <w:rsid w:val="006A3D64"/>
    <w:rsid w:val="006B0E85"/>
    <w:rsid w:val="006B1CBE"/>
    <w:rsid w:val="006C2EE6"/>
    <w:rsid w:val="006C4D0E"/>
    <w:rsid w:val="006C5703"/>
    <w:rsid w:val="006C65C4"/>
    <w:rsid w:val="006C6A1C"/>
    <w:rsid w:val="006D4287"/>
    <w:rsid w:val="006E4DB1"/>
    <w:rsid w:val="006E70CA"/>
    <w:rsid w:val="006F249C"/>
    <w:rsid w:val="006F55A3"/>
    <w:rsid w:val="006F5FAB"/>
    <w:rsid w:val="007055CE"/>
    <w:rsid w:val="0071034B"/>
    <w:rsid w:val="00710987"/>
    <w:rsid w:val="00711AA3"/>
    <w:rsid w:val="00712199"/>
    <w:rsid w:val="00713FDA"/>
    <w:rsid w:val="00726A23"/>
    <w:rsid w:val="00740AC2"/>
    <w:rsid w:val="007456BA"/>
    <w:rsid w:val="007477A6"/>
    <w:rsid w:val="00752535"/>
    <w:rsid w:val="007615A9"/>
    <w:rsid w:val="00770D44"/>
    <w:rsid w:val="00772360"/>
    <w:rsid w:val="00773E15"/>
    <w:rsid w:val="00775FC9"/>
    <w:rsid w:val="007821C3"/>
    <w:rsid w:val="00782E83"/>
    <w:rsid w:val="0078569B"/>
    <w:rsid w:val="007865AE"/>
    <w:rsid w:val="007A0EF2"/>
    <w:rsid w:val="007A1BE2"/>
    <w:rsid w:val="007A330E"/>
    <w:rsid w:val="007A48EB"/>
    <w:rsid w:val="007A6DC0"/>
    <w:rsid w:val="007C1158"/>
    <w:rsid w:val="007C2685"/>
    <w:rsid w:val="007C6325"/>
    <w:rsid w:val="007C6C0A"/>
    <w:rsid w:val="007D18B7"/>
    <w:rsid w:val="007E1E70"/>
    <w:rsid w:val="007E2677"/>
    <w:rsid w:val="007E7213"/>
    <w:rsid w:val="007F0686"/>
    <w:rsid w:val="007F2D05"/>
    <w:rsid w:val="007F7F90"/>
    <w:rsid w:val="00806541"/>
    <w:rsid w:val="008140B6"/>
    <w:rsid w:val="00816DD0"/>
    <w:rsid w:val="00834B3B"/>
    <w:rsid w:val="00834BB0"/>
    <w:rsid w:val="008372A6"/>
    <w:rsid w:val="0084307D"/>
    <w:rsid w:val="008444A6"/>
    <w:rsid w:val="00846A1A"/>
    <w:rsid w:val="00853737"/>
    <w:rsid w:val="00855621"/>
    <w:rsid w:val="00857DB6"/>
    <w:rsid w:val="0086145A"/>
    <w:rsid w:val="00875CC1"/>
    <w:rsid w:val="00885EBB"/>
    <w:rsid w:val="00886C69"/>
    <w:rsid w:val="00887EA1"/>
    <w:rsid w:val="00892AD9"/>
    <w:rsid w:val="008A4A02"/>
    <w:rsid w:val="008B13CC"/>
    <w:rsid w:val="008B6FC9"/>
    <w:rsid w:val="008C01A3"/>
    <w:rsid w:val="008C071E"/>
    <w:rsid w:val="008C0FF7"/>
    <w:rsid w:val="008D25FC"/>
    <w:rsid w:val="008D4E00"/>
    <w:rsid w:val="008D7436"/>
    <w:rsid w:val="008E7979"/>
    <w:rsid w:val="008F3D1A"/>
    <w:rsid w:val="008F7E41"/>
    <w:rsid w:val="00902280"/>
    <w:rsid w:val="00906868"/>
    <w:rsid w:val="00907814"/>
    <w:rsid w:val="00910C08"/>
    <w:rsid w:val="009259AF"/>
    <w:rsid w:val="00946E15"/>
    <w:rsid w:val="009473F9"/>
    <w:rsid w:val="0095358B"/>
    <w:rsid w:val="009541E9"/>
    <w:rsid w:val="00955AB1"/>
    <w:rsid w:val="00956C42"/>
    <w:rsid w:val="00960213"/>
    <w:rsid w:val="00961BA1"/>
    <w:rsid w:val="00967EEB"/>
    <w:rsid w:val="00987082"/>
    <w:rsid w:val="00991930"/>
    <w:rsid w:val="009A6A06"/>
    <w:rsid w:val="009B254C"/>
    <w:rsid w:val="009B6244"/>
    <w:rsid w:val="009E49F7"/>
    <w:rsid w:val="009E70E8"/>
    <w:rsid w:val="009F0CB5"/>
    <w:rsid w:val="009F5795"/>
    <w:rsid w:val="009F61EA"/>
    <w:rsid w:val="009F796B"/>
    <w:rsid w:val="00A04EEF"/>
    <w:rsid w:val="00A261EF"/>
    <w:rsid w:val="00A365FA"/>
    <w:rsid w:val="00A42247"/>
    <w:rsid w:val="00A44E91"/>
    <w:rsid w:val="00A558CB"/>
    <w:rsid w:val="00A65D19"/>
    <w:rsid w:val="00A705A9"/>
    <w:rsid w:val="00A70E92"/>
    <w:rsid w:val="00A714E0"/>
    <w:rsid w:val="00A7274B"/>
    <w:rsid w:val="00A7530D"/>
    <w:rsid w:val="00A76890"/>
    <w:rsid w:val="00A779DE"/>
    <w:rsid w:val="00A94CC6"/>
    <w:rsid w:val="00A968A2"/>
    <w:rsid w:val="00AA1448"/>
    <w:rsid w:val="00AB3439"/>
    <w:rsid w:val="00AB44F1"/>
    <w:rsid w:val="00AC27FC"/>
    <w:rsid w:val="00AD0044"/>
    <w:rsid w:val="00AD1D59"/>
    <w:rsid w:val="00AE38F7"/>
    <w:rsid w:val="00AE4B1F"/>
    <w:rsid w:val="00AE6DEC"/>
    <w:rsid w:val="00AE6EFC"/>
    <w:rsid w:val="00AF7B9F"/>
    <w:rsid w:val="00B23110"/>
    <w:rsid w:val="00B2784E"/>
    <w:rsid w:val="00B34BBB"/>
    <w:rsid w:val="00B36FA4"/>
    <w:rsid w:val="00B37260"/>
    <w:rsid w:val="00B42704"/>
    <w:rsid w:val="00B511AF"/>
    <w:rsid w:val="00B54855"/>
    <w:rsid w:val="00B56DE2"/>
    <w:rsid w:val="00B60E50"/>
    <w:rsid w:val="00B62221"/>
    <w:rsid w:val="00B65EA6"/>
    <w:rsid w:val="00B77BC5"/>
    <w:rsid w:val="00B8536F"/>
    <w:rsid w:val="00B9066A"/>
    <w:rsid w:val="00B92275"/>
    <w:rsid w:val="00BA104D"/>
    <w:rsid w:val="00BA4189"/>
    <w:rsid w:val="00BB70DF"/>
    <w:rsid w:val="00BB76D8"/>
    <w:rsid w:val="00BC5D78"/>
    <w:rsid w:val="00BD200E"/>
    <w:rsid w:val="00BE1014"/>
    <w:rsid w:val="00BE3330"/>
    <w:rsid w:val="00BF5731"/>
    <w:rsid w:val="00C0469D"/>
    <w:rsid w:val="00C047E3"/>
    <w:rsid w:val="00C077FB"/>
    <w:rsid w:val="00C16292"/>
    <w:rsid w:val="00C2145C"/>
    <w:rsid w:val="00C22550"/>
    <w:rsid w:val="00C24A65"/>
    <w:rsid w:val="00C27E4E"/>
    <w:rsid w:val="00C408AA"/>
    <w:rsid w:val="00C417AE"/>
    <w:rsid w:val="00C47EE5"/>
    <w:rsid w:val="00C50545"/>
    <w:rsid w:val="00C74ADE"/>
    <w:rsid w:val="00C872E7"/>
    <w:rsid w:val="00C87D0A"/>
    <w:rsid w:val="00CA08D0"/>
    <w:rsid w:val="00CB25A7"/>
    <w:rsid w:val="00CC2DCE"/>
    <w:rsid w:val="00CC6B0C"/>
    <w:rsid w:val="00CD4D20"/>
    <w:rsid w:val="00CD592C"/>
    <w:rsid w:val="00CE6F5F"/>
    <w:rsid w:val="00CF6EE7"/>
    <w:rsid w:val="00D00C04"/>
    <w:rsid w:val="00D00C61"/>
    <w:rsid w:val="00D13444"/>
    <w:rsid w:val="00D14278"/>
    <w:rsid w:val="00D1665D"/>
    <w:rsid w:val="00D251C8"/>
    <w:rsid w:val="00D25216"/>
    <w:rsid w:val="00D25C14"/>
    <w:rsid w:val="00D2609B"/>
    <w:rsid w:val="00D37752"/>
    <w:rsid w:val="00D50431"/>
    <w:rsid w:val="00D60BA2"/>
    <w:rsid w:val="00D74599"/>
    <w:rsid w:val="00DA1042"/>
    <w:rsid w:val="00DA512F"/>
    <w:rsid w:val="00DE21ED"/>
    <w:rsid w:val="00DF1D35"/>
    <w:rsid w:val="00DF2215"/>
    <w:rsid w:val="00DF25FD"/>
    <w:rsid w:val="00E025FF"/>
    <w:rsid w:val="00E13035"/>
    <w:rsid w:val="00E267D3"/>
    <w:rsid w:val="00E30C08"/>
    <w:rsid w:val="00E3422C"/>
    <w:rsid w:val="00E35546"/>
    <w:rsid w:val="00E370D5"/>
    <w:rsid w:val="00E4714D"/>
    <w:rsid w:val="00E51CC3"/>
    <w:rsid w:val="00E62174"/>
    <w:rsid w:val="00E66C5C"/>
    <w:rsid w:val="00E77513"/>
    <w:rsid w:val="00E81BA3"/>
    <w:rsid w:val="00E90669"/>
    <w:rsid w:val="00E93809"/>
    <w:rsid w:val="00EA0293"/>
    <w:rsid w:val="00EB6779"/>
    <w:rsid w:val="00ED1016"/>
    <w:rsid w:val="00ED3F10"/>
    <w:rsid w:val="00EE627E"/>
    <w:rsid w:val="00EF451E"/>
    <w:rsid w:val="00EF65FC"/>
    <w:rsid w:val="00F22597"/>
    <w:rsid w:val="00F32217"/>
    <w:rsid w:val="00F3767B"/>
    <w:rsid w:val="00F42800"/>
    <w:rsid w:val="00F46E5A"/>
    <w:rsid w:val="00F502D2"/>
    <w:rsid w:val="00F54FAB"/>
    <w:rsid w:val="00F57922"/>
    <w:rsid w:val="00F5792E"/>
    <w:rsid w:val="00F71F6D"/>
    <w:rsid w:val="00F738A4"/>
    <w:rsid w:val="00F73C94"/>
    <w:rsid w:val="00F87E82"/>
    <w:rsid w:val="00F93F3A"/>
    <w:rsid w:val="00F943B1"/>
    <w:rsid w:val="00F950F3"/>
    <w:rsid w:val="00FB708D"/>
    <w:rsid w:val="00FC0109"/>
    <w:rsid w:val="00FC2E58"/>
    <w:rsid w:val="00FC5ADD"/>
    <w:rsid w:val="00FC5FE2"/>
    <w:rsid w:val="00FD4F69"/>
    <w:rsid w:val="00FE20B1"/>
    <w:rsid w:val="00FE3766"/>
    <w:rsid w:val="00FE376A"/>
    <w:rsid w:val="00FE57BA"/>
    <w:rsid w:val="00FF1E84"/>
    <w:rsid w:val="00FF2395"/>
    <w:rsid w:val="00FF28E9"/>
    <w:rsid w:val="00FF5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06374"/>
  <w15:docId w15:val="{6442785A-E482-4E70-9A53-596FBEE3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78"/>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
    <w:next w:val="IndentParaLevel1"/>
    <w:link w:val="Heading1Char"/>
    <w:uiPriority w:val="9"/>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uiPriority w:val="9"/>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link w:val="Heading3Char"/>
    <w:uiPriority w:val="9"/>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uiPriority w:val="9"/>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uiPriority w:val="9"/>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uiPriority w:val="9"/>
    <w:qFormat/>
    <w:rsid w:val="003D0340"/>
    <w:pPr>
      <w:numPr>
        <w:ilvl w:val="5"/>
        <w:numId w:val="12"/>
      </w:numPr>
      <w:outlineLvl w:val="5"/>
    </w:pPr>
    <w:rPr>
      <w:bCs/>
      <w:szCs w:val="22"/>
      <w:lang w:eastAsia="en-AU"/>
    </w:rPr>
  </w:style>
  <w:style w:type="paragraph" w:styleId="Heading7">
    <w:name w:val="heading 7"/>
    <w:aliases w:val="H7,i.,L2 PIP,Legal Level 1.1.,(1),ap,Indented hyphen,Lev 7,7,not in use"/>
    <w:basedOn w:val="Normal"/>
    <w:uiPriority w:val="9"/>
    <w:qFormat/>
    <w:rsid w:val="003D0340"/>
    <w:pPr>
      <w:numPr>
        <w:ilvl w:val="6"/>
        <w:numId w:val="12"/>
      </w:numPr>
      <w:outlineLvl w:val="6"/>
    </w:pPr>
    <w:rPr>
      <w:lang w:eastAsia="en-AU"/>
    </w:rPr>
  </w:style>
  <w:style w:type="paragraph" w:styleId="Heading8">
    <w:name w:val="heading 8"/>
    <w:aliases w:val="H8,L3 PIP,Legal Level 1.1.1.,Bullet 1,ad,Lev 8,8,Heading 8 not in use,h8,(figures),Heading 8(unused),Heading 8(unused)1,Legal Level 1.1.1.1,h81,H81,L3 PIP1,Heading 8(unused)2,Legal Level 1.1.1.2,h82,H82,L3 PIP2,Heading 8(unused)3,h83,H83"/>
    <w:basedOn w:val="Normal"/>
    <w:uiPriority w:val="9"/>
    <w:qFormat/>
    <w:rsid w:val="003D0340"/>
    <w:pPr>
      <w:numPr>
        <w:ilvl w:val="7"/>
        <w:numId w:val="12"/>
      </w:numPr>
      <w:outlineLvl w:val="7"/>
    </w:pPr>
    <w:rPr>
      <w:iCs/>
      <w:lang w:eastAsia="en-AU"/>
    </w:rPr>
  </w:style>
  <w:style w:type="paragraph" w:styleId="Heading9">
    <w:name w:val="heading 9"/>
    <w:aliases w:val="H9,Legal Level 1.1.1.1.,Bullet 2,aat,Lev 9,Heading 91,Heading 9 not in use,Appendix Level 3,H91,H92,H93,H94"/>
    <w:basedOn w:val="Normal"/>
    <w:next w:val="Normal"/>
    <w:uiPriority w:val="9"/>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link w:val="CommentaryChar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CA08D0"/>
    <w:pPr>
      <w:numPr>
        <w:ilvl w:val="1"/>
        <w:numId w:val="17"/>
      </w:numPr>
    </w:pPr>
  </w:style>
  <w:style w:type="paragraph" w:customStyle="1" w:styleId="IndentParaLevel3">
    <w:name w:val="IndentParaLevel3"/>
    <w:basedOn w:val="Normal"/>
    <w:link w:val="IndentParaLevel3Char"/>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3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rPr>
      <w:szCs w:val="24"/>
    </w:rPr>
  </w:style>
  <w:style w:type="paragraph" w:customStyle="1" w:styleId="Background">
    <w:name w:val="Background"/>
    <w:basedOn w:val="Normal"/>
    <w:rsid w:val="005124B0"/>
    <w:pPr>
      <w:tabs>
        <w:tab w:val="num" w:pos="964"/>
      </w:tabs>
      <w:ind w:left="964" w:hanging="964"/>
    </w:pPr>
    <w:rPr>
      <w:szCs w:val="24"/>
    </w:rPr>
  </w:style>
  <w:style w:type="paragraph" w:styleId="ListParagraph">
    <w:name w:val="List Paragraph"/>
    <w:aliases w:val="DdeM List Paragraph"/>
    <w:basedOn w:val="Normal"/>
    <w:link w:val="ListParagraphChar"/>
    <w:uiPriority w:val="34"/>
    <w:qFormat/>
    <w:rsid w:val="005124B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124B0"/>
    <w:rPr>
      <w:sz w:val="16"/>
      <w:szCs w:val="16"/>
    </w:rPr>
  </w:style>
  <w:style w:type="paragraph" w:styleId="CommentText">
    <w:name w:val="annotation text"/>
    <w:basedOn w:val="Normal"/>
    <w:link w:val="CommentTextChar"/>
    <w:uiPriority w:val="99"/>
    <w:unhideWhenUsed/>
    <w:rsid w:val="005124B0"/>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124B0"/>
    <w:rPr>
      <w:rFonts w:asciiTheme="minorHAnsi" w:eastAsiaTheme="minorHAnsi" w:hAnsiTheme="minorHAnsi" w:cstheme="minorBidi"/>
    </w:rPr>
  </w:style>
  <w:style w:type="numbering" w:customStyle="1" w:styleId="Schedules">
    <w:name w:val="Schedules"/>
    <w:rsid w:val="005124B0"/>
    <w:pPr>
      <w:numPr>
        <w:numId w:val="20"/>
      </w:numPr>
    </w:pPr>
  </w:style>
  <w:style w:type="numbering" w:customStyle="1" w:styleId="Headings">
    <w:name w:val="Headings"/>
    <w:rsid w:val="005124B0"/>
    <w:pPr>
      <w:numPr>
        <w:numId w:val="28"/>
      </w:numPr>
    </w:pPr>
  </w:style>
  <w:style w:type="character" w:customStyle="1" w:styleId="DefinitionChar">
    <w:name w:val="Definition Char"/>
    <w:basedOn w:val="DefaultParagraphFont"/>
    <w:link w:val="Definition"/>
    <w:rsid w:val="005124B0"/>
    <w:rPr>
      <w:szCs w:val="22"/>
      <w:lang w:eastAsia="en-AU"/>
    </w:rPr>
  </w:style>
  <w:style w:type="character" w:customStyle="1" w:styleId="DefinitionNum2Char">
    <w:name w:val="DefinitionNum2 Char"/>
    <w:basedOn w:val="DefaultParagraphFont"/>
    <w:link w:val="DefinitionNum2"/>
    <w:rsid w:val="005124B0"/>
    <w:rPr>
      <w:color w:val="000000"/>
      <w:lang w:eastAsia="en-AU"/>
    </w:rPr>
  </w:style>
  <w:style w:type="character" w:customStyle="1" w:styleId="IndentParaLevel1Char">
    <w:name w:val="IndentParaLevel1 Char"/>
    <w:link w:val="IndentParaLevel1"/>
    <w:rsid w:val="005124B0"/>
  </w:style>
  <w:style w:type="character" w:customStyle="1" w:styleId="IndentParaLevel2Char">
    <w:name w:val="IndentParaLevel2 Char"/>
    <w:basedOn w:val="DefaultParagraphFont"/>
    <w:link w:val="IndentParaLevel2"/>
    <w:rsid w:val="005124B0"/>
  </w:style>
  <w:style w:type="character" w:customStyle="1" w:styleId="CommentaryChar1">
    <w:name w:val="Commentary Char1"/>
    <w:basedOn w:val="DefaultParagraphFont"/>
    <w:link w:val="Commentary"/>
    <w:locked/>
    <w:rsid w:val="005124B0"/>
    <w:rPr>
      <w:bCs/>
      <w:color w:val="800080"/>
      <w:shd w:val="clear" w:color="auto" w:fill="E6E6E6"/>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5124B0"/>
    <w:rPr>
      <w:rFonts w:cs="Arial"/>
      <w:bCs/>
      <w:szCs w:val="26"/>
      <w:lang w:eastAsia="en-AU"/>
    </w:rPr>
  </w:style>
  <w:style w:type="character" w:customStyle="1" w:styleId="IndentParaLevel3Char">
    <w:name w:val="IndentParaLevel3 Char"/>
    <w:link w:val="IndentParaLevel3"/>
    <w:rsid w:val="005124B0"/>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5124B0"/>
    <w:rPr>
      <w:rFonts w:cs="Arial"/>
      <w:b/>
      <w:bCs/>
      <w:sz w:val="28"/>
      <w:szCs w:val="32"/>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5124B0"/>
    <w:rPr>
      <w:b/>
      <w:bCs/>
      <w:iCs/>
      <w:sz w:val="24"/>
      <w:szCs w:val="28"/>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5124B0"/>
    <w:rPr>
      <w:bCs/>
      <w:szCs w:val="28"/>
      <w:lang w:eastAsia="en-AU"/>
    </w:rPr>
  </w:style>
  <w:style w:type="character" w:customStyle="1" w:styleId="Schedule3Char">
    <w:name w:val="Schedule_3 Char"/>
    <w:link w:val="Schedule3"/>
    <w:rsid w:val="005124B0"/>
    <w:rPr>
      <w:lang w:eastAsia="en-AU"/>
    </w:rPr>
  </w:style>
  <w:style w:type="paragraph" w:styleId="Revision">
    <w:name w:val="Revision"/>
    <w:hidden/>
    <w:uiPriority w:val="99"/>
    <w:semiHidden/>
    <w:rsid w:val="005124B0"/>
    <w:pPr>
      <w:spacing w:after="0"/>
    </w:pPr>
    <w:rPr>
      <w:szCs w:val="24"/>
    </w:rPr>
  </w:style>
  <w:style w:type="character" w:customStyle="1" w:styleId="TableTextChar">
    <w:name w:val="TableText Char"/>
    <w:link w:val="TableText"/>
    <w:rsid w:val="005124B0"/>
    <w:rPr>
      <w:szCs w:val="24"/>
    </w:rPr>
  </w:style>
  <w:style w:type="character" w:styleId="UnresolvedMention">
    <w:name w:val="Unresolved Mention"/>
    <w:basedOn w:val="DefaultParagraphFont"/>
    <w:uiPriority w:val="99"/>
    <w:semiHidden/>
    <w:unhideWhenUsed/>
    <w:rsid w:val="005124B0"/>
    <w:rPr>
      <w:color w:val="605E5C"/>
      <w:shd w:val="clear" w:color="auto" w:fill="E1DFDD"/>
    </w:rPr>
  </w:style>
  <w:style w:type="paragraph" w:styleId="CommentSubject">
    <w:name w:val="annotation subject"/>
    <w:basedOn w:val="CommentText"/>
    <w:next w:val="CommentText"/>
    <w:link w:val="CommentSubjectChar"/>
    <w:semiHidden/>
    <w:unhideWhenUsed/>
    <w:rsid w:val="005124B0"/>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5124B0"/>
    <w:rPr>
      <w:rFonts w:asciiTheme="minorHAnsi" w:eastAsiaTheme="minorHAnsi" w:hAnsiTheme="minorHAnsi" w:cstheme="minorBidi"/>
      <w:b/>
      <w:bCs/>
    </w:rPr>
  </w:style>
  <w:style w:type="paragraph" w:customStyle="1" w:styleId="DeedTitle">
    <w:name w:val="DeedTitle"/>
    <w:qFormat/>
    <w:rsid w:val="005124B0"/>
    <w:pPr>
      <w:spacing w:before="660" w:after="1320"/>
    </w:pPr>
    <w:rPr>
      <w:rFonts w:cs="Arial"/>
      <w:bCs/>
      <w:sz w:val="56"/>
      <w:szCs w:val="44"/>
    </w:rPr>
  </w:style>
  <w:style w:type="character" w:styleId="FollowedHyperlink">
    <w:name w:val="FollowedHyperlink"/>
    <w:basedOn w:val="DefaultParagraphFont"/>
    <w:semiHidden/>
    <w:unhideWhenUsed/>
    <w:rsid w:val="005124B0"/>
    <w:rPr>
      <w:color w:val="3C1A56" w:themeColor="followedHyperlink"/>
      <w:u w:val="single"/>
    </w:rPr>
  </w:style>
  <w:style w:type="paragraph" w:customStyle="1" w:styleId="DefenceHeading9">
    <w:name w:val="DefenceHeading 9"/>
    <w:next w:val="Normal"/>
    <w:rsid w:val="00AD1D59"/>
    <w:pPr>
      <w:numPr>
        <w:ilvl w:val="8"/>
        <w:numId w:val="21"/>
      </w:numPr>
      <w:ind w:left="0"/>
      <w:jc w:val="center"/>
    </w:pPr>
    <w:rPr>
      <w:rFonts w:ascii="Arial Bold" w:hAnsi="Arial Bold"/>
      <w:b/>
      <w:caps/>
      <w:sz w:val="28"/>
      <w:szCs w:val="28"/>
    </w:rPr>
  </w:style>
  <w:style w:type="paragraph" w:customStyle="1" w:styleId="DefenceHeading1">
    <w:name w:val="DefenceHeading 1"/>
    <w:next w:val="DefenceHeading2"/>
    <w:rsid w:val="00AD1D59"/>
    <w:pPr>
      <w:keepNext/>
      <w:numPr>
        <w:numId w:val="21"/>
      </w:numPr>
      <w:spacing w:after="220"/>
      <w:outlineLvl w:val="0"/>
    </w:pPr>
    <w:rPr>
      <w:rFonts w:ascii="Arial Bold" w:hAnsi="Arial Bold" w:cs="Tahoma"/>
      <w:b/>
      <w:caps/>
      <w:sz w:val="22"/>
      <w:szCs w:val="22"/>
    </w:rPr>
  </w:style>
  <w:style w:type="paragraph" w:customStyle="1" w:styleId="DefenceHeading2">
    <w:name w:val="DefenceHeading 2"/>
    <w:next w:val="Normal"/>
    <w:rsid w:val="00AD1D59"/>
    <w:pPr>
      <w:keepNext/>
      <w:numPr>
        <w:ilvl w:val="1"/>
        <w:numId w:val="21"/>
      </w:numPr>
      <w:spacing w:after="200"/>
      <w:outlineLvl w:val="1"/>
    </w:pPr>
    <w:rPr>
      <w:b/>
      <w:bCs/>
      <w:iCs/>
      <w:sz w:val="22"/>
      <w:szCs w:val="28"/>
    </w:rPr>
  </w:style>
  <w:style w:type="paragraph" w:customStyle="1" w:styleId="DefenceHeading3">
    <w:name w:val="DefenceHeading 3"/>
    <w:basedOn w:val="Normal"/>
    <w:link w:val="DefenceHeading3Char"/>
    <w:rsid w:val="00AD1D59"/>
    <w:pPr>
      <w:numPr>
        <w:ilvl w:val="2"/>
        <w:numId w:val="21"/>
      </w:numPr>
      <w:spacing w:after="200"/>
      <w:outlineLvl w:val="2"/>
    </w:pPr>
    <w:rPr>
      <w:rFonts w:ascii="Times New Roman" w:hAnsi="Times New Roman" w:cs="Arial"/>
      <w:bCs/>
      <w:szCs w:val="26"/>
    </w:rPr>
  </w:style>
  <w:style w:type="paragraph" w:customStyle="1" w:styleId="DefenceHeading4">
    <w:name w:val="DefenceHeading 4"/>
    <w:basedOn w:val="Normal"/>
    <w:link w:val="DefenceHeading4Char"/>
    <w:rsid w:val="00AD1D59"/>
    <w:pPr>
      <w:numPr>
        <w:ilvl w:val="3"/>
        <w:numId w:val="21"/>
      </w:numPr>
      <w:spacing w:after="200"/>
      <w:outlineLvl w:val="3"/>
    </w:pPr>
    <w:rPr>
      <w:rFonts w:ascii="Times New Roman" w:hAnsi="Times New Roman"/>
    </w:rPr>
  </w:style>
  <w:style w:type="paragraph" w:customStyle="1" w:styleId="DefenceHeading5">
    <w:name w:val="DefenceHeading 5"/>
    <w:basedOn w:val="Normal"/>
    <w:link w:val="DefenceHeading5Char"/>
    <w:rsid w:val="00AD1D59"/>
    <w:pPr>
      <w:numPr>
        <w:ilvl w:val="4"/>
        <w:numId w:val="21"/>
      </w:numPr>
      <w:spacing w:after="200"/>
      <w:outlineLvl w:val="4"/>
    </w:pPr>
    <w:rPr>
      <w:rFonts w:ascii="Times New Roman" w:hAnsi="Times New Roman"/>
      <w:bCs/>
      <w:iCs/>
      <w:szCs w:val="26"/>
    </w:rPr>
  </w:style>
  <w:style w:type="paragraph" w:customStyle="1" w:styleId="DefenceHeading6">
    <w:name w:val="DefenceHeading 6"/>
    <w:basedOn w:val="Normal"/>
    <w:rsid w:val="00AD1D59"/>
    <w:pPr>
      <w:numPr>
        <w:ilvl w:val="5"/>
        <w:numId w:val="21"/>
      </w:numPr>
      <w:spacing w:after="200"/>
      <w:outlineLvl w:val="5"/>
    </w:pPr>
    <w:rPr>
      <w:rFonts w:ascii="Times New Roman" w:hAnsi="Times New Roman"/>
    </w:rPr>
  </w:style>
  <w:style w:type="paragraph" w:customStyle="1" w:styleId="DefenceHeading7">
    <w:name w:val="DefenceHeading 7"/>
    <w:basedOn w:val="Normal"/>
    <w:rsid w:val="00AD1D59"/>
    <w:pPr>
      <w:numPr>
        <w:ilvl w:val="6"/>
        <w:numId w:val="21"/>
      </w:numPr>
      <w:spacing w:after="200"/>
      <w:outlineLvl w:val="6"/>
    </w:pPr>
    <w:rPr>
      <w:rFonts w:ascii="Times New Roman" w:hAnsi="Times New Roman"/>
    </w:rPr>
  </w:style>
  <w:style w:type="paragraph" w:customStyle="1" w:styleId="DefenceHeading8">
    <w:name w:val="DefenceHeading 8"/>
    <w:basedOn w:val="Normal"/>
    <w:rsid w:val="00AD1D59"/>
    <w:pPr>
      <w:numPr>
        <w:ilvl w:val="7"/>
        <w:numId w:val="21"/>
      </w:numPr>
      <w:spacing w:after="200"/>
      <w:outlineLvl w:val="7"/>
    </w:pPr>
    <w:rPr>
      <w:rFonts w:ascii="Times New Roman" w:hAnsi="Times New Roman"/>
    </w:rPr>
  </w:style>
  <w:style w:type="character" w:customStyle="1" w:styleId="DefenceHeading4Char">
    <w:name w:val="DefenceHeading 4 Char"/>
    <w:link w:val="DefenceHeading4"/>
    <w:locked/>
    <w:rsid w:val="00AD1D59"/>
    <w:rPr>
      <w:rFonts w:ascii="Times New Roman" w:hAnsi="Times New Roman"/>
    </w:rPr>
  </w:style>
  <w:style w:type="numbering" w:customStyle="1" w:styleId="DefenceHeading">
    <w:name w:val="DefenceHeading"/>
    <w:rsid w:val="00AD1D59"/>
    <w:pPr>
      <w:numPr>
        <w:numId w:val="21"/>
      </w:numPr>
    </w:pPr>
  </w:style>
  <w:style w:type="paragraph" w:customStyle="1" w:styleId="ASNormal">
    <w:name w:val="ASNormal"/>
    <w:basedOn w:val="Normal"/>
    <w:link w:val="ASNormalChar"/>
    <w:rsid w:val="009B6244"/>
    <w:pPr>
      <w:spacing w:after="120"/>
      <w:jc w:val="both"/>
    </w:pPr>
    <w:rPr>
      <w:rFonts w:ascii="Times New Roman" w:hAnsi="Times New Roman"/>
      <w:sz w:val="22"/>
      <w:szCs w:val="24"/>
    </w:rPr>
  </w:style>
  <w:style w:type="character" w:customStyle="1" w:styleId="ASNormalChar">
    <w:name w:val="ASNormal Char"/>
    <w:link w:val="ASNormal"/>
    <w:rsid w:val="009B6244"/>
    <w:rPr>
      <w:rFonts w:ascii="Times New Roman" w:hAnsi="Times New Roman"/>
      <w:sz w:val="22"/>
      <w:szCs w:val="24"/>
    </w:rPr>
  </w:style>
  <w:style w:type="paragraph" w:customStyle="1" w:styleId="MELegal1">
    <w:name w:val="ME Legal 1"/>
    <w:basedOn w:val="Normal"/>
    <w:qFormat/>
    <w:rsid w:val="00740AC2"/>
    <w:pPr>
      <w:numPr>
        <w:numId w:val="24"/>
      </w:numPr>
      <w:spacing w:after="200"/>
      <w:outlineLvl w:val="0"/>
    </w:pPr>
    <w:rPr>
      <w:rFonts w:eastAsiaTheme="minorEastAsia"/>
      <w:lang w:eastAsia="zh-CN"/>
    </w:rPr>
  </w:style>
  <w:style w:type="paragraph" w:customStyle="1" w:styleId="MELegal2">
    <w:name w:val="ME Legal 2"/>
    <w:basedOn w:val="Normal"/>
    <w:qFormat/>
    <w:rsid w:val="00740AC2"/>
    <w:pPr>
      <w:numPr>
        <w:ilvl w:val="1"/>
        <w:numId w:val="24"/>
      </w:numPr>
      <w:spacing w:after="200"/>
      <w:outlineLvl w:val="1"/>
    </w:pPr>
    <w:rPr>
      <w:rFonts w:eastAsiaTheme="minorEastAsia"/>
      <w:lang w:eastAsia="zh-CN"/>
    </w:rPr>
  </w:style>
  <w:style w:type="paragraph" w:customStyle="1" w:styleId="MELegal3">
    <w:name w:val="ME Legal 3"/>
    <w:basedOn w:val="Normal"/>
    <w:qFormat/>
    <w:rsid w:val="00740AC2"/>
    <w:pPr>
      <w:numPr>
        <w:ilvl w:val="2"/>
        <w:numId w:val="24"/>
      </w:numPr>
      <w:spacing w:after="200"/>
      <w:outlineLvl w:val="2"/>
    </w:pPr>
    <w:rPr>
      <w:rFonts w:eastAsiaTheme="minorEastAsia"/>
      <w:lang w:eastAsia="zh-CN"/>
    </w:rPr>
  </w:style>
  <w:style w:type="paragraph" w:customStyle="1" w:styleId="MELegal4">
    <w:name w:val="ME Legal 4"/>
    <w:basedOn w:val="Normal"/>
    <w:qFormat/>
    <w:rsid w:val="00740AC2"/>
    <w:pPr>
      <w:numPr>
        <w:ilvl w:val="3"/>
        <w:numId w:val="24"/>
      </w:numPr>
      <w:spacing w:after="200"/>
      <w:outlineLvl w:val="3"/>
    </w:pPr>
    <w:rPr>
      <w:rFonts w:eastAsiaTheme="minorEastAsia"/>
      <w:lang w:eastAsia="zh-CN"/>
    </w:rPr>
  </w:style>
  <w:style w:type="paragraph" w:customStyle="1" w:styleId="MELegal5">
    <w:name w:val="ME Legal 5"/>
    <w:basedOn w:val="Normal"/>
    <w:qFormat/>
    <w:rsid w:val="00740AC2"/>
    <w:pPr>
      <w:numPr>
        <w:ilvl w:val="4"/>
        <w:numId w:val="24"/>
      </w:numPr>
      <w:spacing w:after="200"/>
      <w:ind w:left="2721" w:hanging="680"/>
      <w:outlineLvl w:val="4"/>
    </w:pPr>
    <w:rPr>
      <w:rFonts w:eastAsiaTheme="minorEastAsia"/>
      <w:lang w:eastAsia="zh-CN"/>
    </w:rPr>
  </w:style>
  <w:style w:type="paragraph" w:customStyle="1" w:styleId="MELegal6">
    <w:name w:val="ME Legal 6"/>
    <w:basedOn w:val="Normal"/>
    <w:qFormat/>
    <w:rsid w:val="00740AC2"/>
    <w:pPr>
      <w:numPr>
        <w:ilvl w:val="5"/>
        <w:numId w:val="24"/>
      </w:numPr>
      <w:spacing w:after="200"/>
      <w:outlineLvl w:val="5"/>
    </w:pPr>
    <w:rPr>
      <w:rFonts w:eastAsiaTheme="minorEastAsia"/>
      <w:lang w:eastAsia="zh-CN"/>
    </w:rPr>
  </w:style>
  <w:style w:type="numbering" w:customStyle="1" w:styleId="MELegal">
    <w:name w:val="ME Legal"/>
    <w:uiPriority w:val="99"/>
    <w:rsid w:val="00740AC2"/>
    <w:pPr>
      <w:numPr>
        <w:numId w:val="23"/>
      </w:numPr>
    </w:pPr>
  </w:style>
  <w:style w:type="paragraph" w:customStyle="1" w:styleId="MELegal7">
    <w:name w:val="ME Legal 7"/>
    <w:basedOn w:val="Normal"/>
    <w:uiPriority w:val="2"/>
    <w:unhideWhenUsed/>
    <w:qFormat/>
    <w:rsid w:val="00740AC2"/>
    <w:pPr>
      <w:numPr>
        <w:ilvl w:val="6"/>
        <w:numId w:val="24"/>
      </w:numPr>
      <w:spacing w:after="200"/>
    </w:pPr>
    <w:rPr>
      <w:rFonts w:eastAsiaTheme="minorEastAsia"/>
      <w:lang w:eastAsia="zh-CN"/>
    </w:rPr>
  </w:style>
  <w:style w:type="paragraph" w:customStyle="1" w:styleId="MELegal8">
    <w:name w:val="ME Legal 8"/>
    <w:basedOn w:val="Normal"/>
    <w:uiPriority w:val="2"/>
    <w:unhideWhenUsed/>
    <w:qFormat/>
    <w:rsid w:val="00740AC2"/>
    <w:pPr>
      <w:numPr>
        <w:ilvl w:val="7"/>
        <w:numId w:val="24"/>
      </w:numPr>
      <w:spacing w:after="200"/>
      <w:ind w:left="4762" w:hanging="680"/>
    </w:pPr>
    <w:rPr>
      <w:rFonts w:eastAsiaTheme="minorEastAsia"/>
      <w:lang w:eastAsia="zh-CN"/>
    </w:rPr>
  </w:style>
  <w:style w:type="paragraph" w:customStyle="1" w:styleId="MELegal9">
    <w:name w:val="ME Legal 9"/>
    <w:basedOn w:val="Normal"/>
    <w:uiPriority w:val="2"/>
    <w:unhideWhenUsed/>
    <w:qFormat/>
    <w:rsid w:val="00740AC2"/>
    <w:pPr>
      <w:numPr>
        <w:ilvl w:val="8"/>
        <w:numId w:val="24"/>
      </w:numPr>
      <w:spacing w:after="200"/>
    </w:pPr>
    <w:rPr>
      <w:rFonts w:eastAsiaTheme="minorEastAsia"/>
      <w:lang w:eastAsia="zh-CN"/>
    </w:rPr>
  </w:style>
  <w:style w:type="paragraph" w:customStyle="1" w:styleId="ScheduleL1">
    <w:name w:val="Schedule L1"/>
    <w:basedOn w:val="Normal"/>
    <w:next w:val="Normal"/>
    <w:uiPriority w:val="3"/>
    <w:qFormat/>
    <w:rsid w:val="00740AC2"/>
    <w:pPr>
      <w:numPr>
        <w:numId w:val="25"/>
      </w:numPr>
      <w:spacing w:before="120" w:after="360" w:line="480" w:lineRule="exact"/>
      <w:outlineLvl w:val="0"/>
    </w:pPr>
    <w:rPr>
      <w:rFonts w:cs="Angsana New"/>
      <w:spacing w:val="-6"/>
      <w:sz w:val="48"/>
      <w:szCs w:val="22"/>
      <w:lang w:eastAsia="zh-CN" w:bidi="th-TH"/>
    </w:rPr>
  </w:style>
  <w:style w:type="paragraph" w:customStyle="1" w:styleId="ScheduleL2">
    <w:name w:val="Schedule L2"/>
    <w:basedOn w:val="Normal"/>
    <w:next w:val="Normal"/>
    <w:uiPriority w:val="3"/>
    <w:qFormat/>
    <w:rsid w:val="00740AC2"/>
    <w:pPr>
      <w:keepNext/>
      <w:numPr>
        <w:ilvl w:val="1"/>
        <w:numId w:val="25"/>
      </w:numPr>
      <w:spacing w:before="480" w:after="60" w:line="240" w:lineRule="atLeast"/>
      <w:outlineLvl w:val="1"/>
    </w:pPr>
    <w:rPr>
      <w:rFonts w:cs="Angsana New"/>
      <w:spacing w:val="-6"/>
      <w:sz w:val="28"/>
      <w:szCs w:val="22"/>
      <w:lang w:eastAsia="zh-CN" w:bidi="th-TH"/>
    </w:rPr>
  </w:style>
  <w:style w:type="paragraph" w:customStyle="1" w:styleId="ScheduleL3">
    <w:name w:val="Schedule L3"/>
    <w:basedOn w:val="Normal"/>
    <w:next w:val="Normal"/>
    <w:uiPriority w:val="3"/>
    <w:qFormat/>
    <w:rsid w:val="00740AC2"/>
    <w:pPr>
      <w:keepNext/>
      <w:numPr>
        <w:ilvl w:val="2"/>
        <w:numId w:val="25"/>
      </w:numPr>
      <w:spacing w:before="240" w:after="60" w:line="240" w:lineRule="atLeast"/>
      <w:ind w:left="709"/>
      <w:outlineLvl w:val="2"/>
    </w:pPr>
    <w:rPr>
      <w:rFonts w:ascii="Arial Bold" w:hAnsi="Arial Bold" w:cs="Angsana New"/>
      <w:b/>
      <w:spacing w:val="-6"/>
      <w:sz w:val="22"/>
      <w:szCs w:val="22"/>
      <w:lang w:eastAsia="zh-CN" w:bidi="th-TH"/>
    </w:rPr>
  </w:style>
  <w:style w:type="paragraph" w:customStyle="1" w:styleId="ScheduleL4">
    <w:name w:val="Schedule L4"/>
    <w:basedOn w:val="Normal"/>
    <w:uiPriority w:val="3"/>
    <w:qFormat/>
    <w:rsid w:val="00740AC2"/>
    <w:pPr>
      <w:numPr>
        <w:ilvl w:val="3"/>
        <w:numId w:val="25"/>
      </w:numPr>
      <w:spacing w:after="120" w:line="240" w:lineRule="atLeast"/>
      <w:outlineLvl w:val="3"/>
    </w:pPr>
    <w:rPr>
      <w:rFonts w:cs="Angsana New"/>
      <w:szCs w:val="22"/>
      <w:lang w:eastAsia="zh-CN" w:bidi="th-TH"/>
    </w:rPr>
  </w:style>
  <w:style w:type="paragraph" w:customStyle="1" w:styleId="ScheduleL5">
    <w:name w:val="Schedule L5"/>
    <w:basedOn w:val="Normal"/>
    <w:uiPriority w:val="3"/>
    <w:qFormat/>
    <w:rsid w:val="00740AC2"/>
    <w:pPr>
      <w:numPr>
        <w:ilvl w:val="4"/>
        <w:numId w:val="25"/>
      </w:numPr>
      <w:spacing w:after="120" w:line="240" w:lineRule="atLeast"/>
      <w:outlineLvl w:val="4"/>
    </w:pPr>
    <w:rPr>
      <w:rFonts w:cs="Angsana New"/>
      <w:szCs w:val="22"/>
      <w:lang w:eastAsia="zh-CN" w:bidi="th-TH"/>
    </w:rPr>
  </w:style>
  <w:style w:type="paragraph" w:customStyle="1" w:styleId="ScheduleL6">
    <w:name w:val="Schedule L6"/>
    <w:basedOn w:val="Normal"/>
    <w:uiPriority w:val="3"/>
    <w:qFormat/>
    <w:rsid w:val="00740AC2"/>
    <w:pPr>
      <w:numPr>
        <w:ilvl w:val="5"/>
        <w:numId w:val="25"/>
      </w:numPr>
      <w:spacing w:after="120" w:line="240" w:lineRule="atLeast"/>
      <w:outlineLvl w:val="5"/>
    </w:pPr>
    <w:rPr>
      <w:rFonts w:cs="Angsana New"/>
      <w:szCs w:val="22"/>
      <w:lang w:eastAsia="zh-CN" w:bidi="th-TH"/>
    </w:rPr>
  </w:style>
  <w:style w:type="numbering" w:customStyle="1" w:styleId="Schedule">
    <w:name w:val="Schedule"/>
    <w:uiPriority w:val="99"/>
    <w:rsid w:val="00740AC2"/>
    <w:pPr>
      <w:numPr>
        <w:numId w:val="26"/>
      </w:numPr>
    </w:pPr>
  </w:style>
  <w:style w:type="paragraph" w:customStyle="1" w:styleId="ScheduleL7">
    <w:name w:val="Schedule L7"/>
    <w:basedOn w:val="Normal"/>
    <w:uiPriority w:val="3"/>
    <w:unhideWhenUsed/>
    <w:qFormat/>
    <w:rsid w:val="00740AC2"/>
    <w:pPr>
      <w:numPr>
        <w:ilvl w:val="6"/>
        <w:numId w:val="25"/>
      </w:numPr>
      <w:spacing w:after="120" w:line="240" w:lineRule="atLeast"/>
    </w:pPr>
    <w:rPr>
      <w:rFonts w:cs="Angsana New"/>
      <w:szCs w:val="22"/>
      <w:lang w:eastAsia="zh-CN" w:bidi="th-TH"/>
    </w:rPr>
  </w:style>
  <w:style w:type="paragraph" w:customStyle="1" w:styleId="ScheduleL8">
    <w:name w:val="Schedule L8"/>
    <w:basedOn w:val="Normal"/>
    <w:uiPriority w:val="3"/>
    <w:unhideWhenUsed/>
    <w:qFormat/>
    <w:rsid w:val="00740AC2"/>
    <w:pPr>
      <w:numPr>
        <w:ilvl w:val="7"/>
        <w:numId w:val="25"/>
      </w:numPr>
      <w:spacing w:after="120" w:line="240" w:lineRule="atLeast"/>
    </w:pPr>
    <w:rPr>
      <w:rFonts w:cs="Angsana New"/>
      <w:szCs w:val="22"/>
      <w:lang w:eastAsia="zh-CN" w:bidi="th-TH"/>
    </w:rPr>
  </w:style>
  <w:style w:type="paragraph" w:customStyle="1" w:styleId="ScheduleL9">
    <w:name w:val="Schedule L9"/>
    <w:basedOn w:val="Normal"/>
    <w:uiPriority w:val="3"/>
    <w:unhideWhenUsed/>
    <w:qFormat/>
    <w:rsid w:val="00740AC2"/>
    <w:pPr>
      <w:numPr>
        <w:ilvl w:val="8"/>
        <w:numId w:val="25"/>
      </w:numPr>
      <w:spacing w:after="120" w:line="240" w:lineRule="atLeast"/>
    </w:pPr>
    <w:rPr>
      <w:rFonts w:cs="Angsana New"/>
      <w:szCs w:val="22"/>
      <w:lang w:eastAsia="zh-CN" w:bidi="th-TH"/>
    </w:rPr>
  </w:style>
  <w:style w:type="paragraph" w:customStyle="1" w:styleId="DefenceBoldNormal">
    <w:name w:val="DefenceBoldNormal"/>
    <w:basedOn w:val="Normal"/>
    <w:rsid w:val="00740AC2"/>
    <w:pPr>
      <w:keepNext/>
      <w:spacing w:after="200"/>
    </w:pPr>
    <w:rPr>
      <w:rFonts w:ascii="Times New Roman" w:hAnsi="Times New Roman"/>
      <w:b/>
    </w:rPr>
  </w:style>
  <w:style w:type="character" w:customStyle="1" w:styleId="DefenceHeading3Char">
    <w:name w:val="DefenceHeading 3 Char"/>
    <w:link w:val="DefenceHeading3"/>
    <w:locked/>
    <w:rsid w:val="00C16292"/>
    <w:rPr>
      <w:rFonts w:ascii="Times New Roman" w:hAnsi="Times New Roman" w:cs="Arial"/>
      <w:bCs/>
      <w:szCs w:val="26"/>
    </w:rPr>
  </w:style>
  <w:style w:type="character" w:customStyle="1" w:styleId="DefenceHeading5Char">
    <w:name w:val="DefenceHeading 5 Char"/>
    <w:link w:val="DefenceHeading5"/>
    <w:locked/>
    <w:rsid w:val="00C16292"/>
    <w:rPr>
      <w:rFonts w:ascii="Times New Roman" w:hAnsi="Times New Roman"/>
      <w:bCs/>
      <w:iCs/>
      <w:szCs w:val="26"/>
    </w:rPr>
  </w:style>
  <w:style w:type="numbering" w:customStyle="1" w:styleId="Definitions">
    <w:name w:val="Definitions"/>
    <w:rsid w:val="00C16292"/>
    <w:pPr>
      <w:numPr>
        <w:numId w:val="27"/>
      </w:numPr>
    </w:pPr>
  </w:style>
  <w:style w:type="paragraph" w:customStyle="1" w:styleId="DefinitionL1">
    <w:name w:val="Definition L1"/>
    <w:basedOn w:val="Normal"/>
    <w:uiPriority w:val="3"/>
    <w:qFormat/>
    <w:rsid w:val="000C55D4"/>
    <w:pPr>
      <w:numPr>
        <w:numId w:val="32"/>
      </w:numPr>
      <w:spacing w:after="120" w:line="240" w:lineRule="atLeast"/>
      <w:outlineLvl w:val="0"/>
    </w:pPr>
    <w:rPr>
      <w:rFonts w:cs="Angsana New"/>
      <w:szCs w:val="22"/>
      <w:lang w:eastAsia="zh-CN" w:bidi="th-TH"/>
    </w:rPr>
  </w:style>
  <w:style w:type="paragraph" w:customStyle="1" w:styleId="DefinitionL2">
    <w:name w:val="Definition L2"/>
    <w:basedOn w:val="Normal"/>
    <w:uiPriority w:val="3"/>
    <w:qFormat/>
    <w:rsid w:val="000C55D4"/>
    <w:pPr>
      <w:numPr>
        <w:ilvl w:val="1"/>
        <w:numId w:val="32"/>
      </w:numPr>
      <w:spacing w:after="120" w:line="240" w:lineRule="atLeast"/>
      <w:outlineLvl w:val="1"/>
    </w:pPr>
    <w:rPr>
      <w:rFonts w:cs="Angsana New"/>
      <w:szCs w:val="22"/>
      <w:lang w:eastAsia="zh-CN" w:bidi="th-TH"/>
    </w:rPr>
  </w:style>
  <w:style w:type="paragraph" w:customStyle="1" w:styleId="DefinitionL3">
    <w:name w:val="Definition L3"/>
    <w:basedOn w:val="Normal"/>
    <w:uiPriority w:val="3"/>
    <w:qFormat/>
    <w:rsid w:val="000C55D4"/>
    <w:pPr>
      <w:numPr>
        <w:ilvl w:val="2"/>
        <w:numId w:val="32"/>
      </w:numPr>
      <w:spacing w:after="120" w:line="240" w:lineRule="atLeast"/>
      <w:outlineLvl w:val="2"/>
    </w:pPr>
    <w:rPr>
      <w:rFonts w:cs="Angsana New"/>
      <w:szCs w:val="22"/>
      <w:lang w:eastAsia="zh-CN" w:bidi="th-TH"/>
    </w:rPr>
  </w:style>
  <w:style w:type="paragraph" w:customStyle="1" w:styleId="WarrantyL1">
    <w:name w:val="WarrantyL1"/>
    <w:basedOn w:val="Normal"/>
    <w:next w:val="Normal"/>
    <w:qFormat/>
    <w:rsid w:val="000C55D4"/>
    <w:pPr>
      <w:numPr>
        <w:numId w:val="34"/>
      </w:numPr>
      <w:spacing w:before="480" w:after="60" w:line="240" w:lineRule="atLeast"/>
      <w:outlineLvl w:val="0"/>
    </w:pPr>
    <w:rPr>
      <w:rFonts w:cs="Angsana New"/>
      <w:spacing w:val="-6"/>
      <w:sz w:val="28"/>
      <w:szCs w:val="22"/>
      <w:lang w:eastAsia="zh-CN" w:bidi="th-TH"/>
    </w:rPr>
  </w:style>
  <w:style w:type="paragraph" w:customStyle="1" w:styleId="WarrantyL2">
    <w:name w:val="WarrantyL2"/>
    <w:basedOn w:val="Normal"/>
    <w:qFormat/>
    <w:rsid w:val="000C55D4"/>
    <w:pPr>
      <w:numPr>
        <w:ilvl w:val="1"/>
        <w:numId w:val="34"/>
      </w:numPr>
      <w:spacing w:after="120" w:line="240" w:lineRule="atLeast"/>
      <w:outlineLvl w:val="1"/>
    </w:pPr>
    <w:rPr>
      <w:rFonts w:cs="Angsana New"/>
      <w:szCs w:val="22"/>
      <w:lang w:eastAsia="zh-CN" w:bidi="th-TH"/>
    </w:rPr>
  </w:style>
  <w:style w:type="paragraph" w:customStyle="1" w:styleId="WarrantyL3">
    <w:name w:val="WarrantyL3"/>
    <w:basedOn w:val="Normal"/>
    <w:qFormat/>
    <w:rsid w:val="000C55D4"/>
    <w:pPr>
      <w:numPr>
        <w:ilvl w:val="2"/>
        <w:numId w:val="34"/>
      </w:numPr>
      <w:spacing w:after="120" w:line="240" w:lineRule="atLeast"/>
      <w:outlineLvl w:val="2"/>
    </w:pPr>
    <w:rPr>
      <w:rFonts w:cs="Angsana New"/>
      <w:szCs w:val="22"/>
      <w:lang w:eastAsia="zh-CN" w:bidi="th-TH"/>
    </w:rPr>
  </w:style>
  <w:style w:type="paragraph" w:customStyle="1" w:styleId="WarrantyL4">
    <w:name w:val="WarrantyL4"/>
    <w:basedOn w:val="Normal"/>
    <w:qFormat/>
    <w:rsid w:val="000C55D4"/>
    <w:pPr>
      <w:numPr>
        <w:ilvl w:val="3"/>
        <w:numId w:val="34"/>
      </w:numPr>
      <w:spacing w:after="120" w:line="240" w:lineRule="atLeast"/>
      <w:outlineLvl w:val="3"/>
    </w:pPr>
    <w:rPr>
      <w:rFonts w:cs="Angsana New"/>
      <w:szCs w:val="22"/>
      <w:lang w:eastAsia="zh-CN" w:bidi="th-TH"/>
    </w:rPr>
  </w:style>
  <w:style w:type="paragraph" w:customStyle="1" w:styleId="WarrantyL5">
    <w:name w:val="WarrantyL5"/>
    <w:basedOn w:val="Normal"/>
    <w:qFormat/>
    <w:rsid w:val="000C55D4"/>
    <w:pPr>
      <w:numPr>
        <w:ilvl w:val="4"/>
        <w:numId w:val="34"/>
      </w:numPr>
      <w:spacing w:after="120" w:line="240" w:lineRule="atLeast"/>
      <w:outlineLvl w:val="4"/>
    </w:pPr>
    <w:rPr>
      <w:rFonts w:cs="Angsana New"/>
      <w:szCs w:val="22"/>
      <w:lang w:eastAsia="zh-CN" w:bidi="th-TH"/>
    </w:rPr>
  </w:style>
  <w:style w:type="numbering" w:customStyle="1" w:styleId="Warranty">
    <w:name w:val="Warranty"/>
    <w:uiPriority w:val="99"/>
    <w:rsid w:val="000C55D4"/>
    <w:pPr>
      <w:numPr>
        <w:numId w:val="33"/>
      </w:numPr>
    </w:pPr>
  </w:style>
  <w:style w:type="paragraph" w:customStyle="1" w:styleId="DefinitionL4">
    <w:name w:val="Definition L4"/>
    <w:basedOn w:val="Normal"/>
    <w:uiPriority w:val="3"/>
    <w:qFormat/>
    <w:rsid w:val="000C55D4"/>
    <w:pPr>
      <w:numPr>
        <w:ilvl w:val="3"/>
        <w:numId w:val="32"/>
      </w:numPr>
      <w:spacing w:after="120" w:line="240" w:lineRule="atLeast"/>
      <w:outlineLvl w:val="3"/>
    </w:pPr>
    <w:rPr>
      <w:rFonts w:cs="Angsana New"/>
      <w:szCs w:val="22"/>
      <w:lang w:eastAsia="zh-CN" w:bidi="th-TH"/>
    </w:rPr>
  </w:style>
  <w:style w:type="paragraph" w:customStyle="1" w:styleId="DefinitionL5">
    <w:name w:val="Definition L5"/>
    <w:basedOn w:val="Normal"/>
    <w:uiPriority w:val="3"/>
    <w:qFormat/>
    <w:rsid w:val="000C55D4"/>
    <w:pPr>
      <w:numPr>
        <w:ilvl w:val="4"/>
        <w:numId w:val="32"/>
      </w:numPr>
      <w:spacing w:after="120" w:line="240" w:lineRule="atLeast"/>
      <w:outlineLvl w:val="4"/>
    </w:pPr>
    <w:rPr>
      <w:rFonts w:cs="Angsana New"/>
      <w:szCs w:val="22"/>
      <w:lang w:eastAsia="zh-CN" w:bidi="th-TH"/>
    </w:rPr>
  </w:style>
  <w:style w:type="paragraph" w:customStyle="1" w:styleId="DefinitionL6">
    <w:name w:val="Definition L6"/>
    <w:basedOn w:val="Normal"/>
    <w:uiPriority w:val="3"/>
    <w:qFormat/>
    <w:rsid w:val="000C55D4"/>
    <w:pPr>
      <w:numPr>
        <w:ilvl w:val="5"/>
        <w:numId w:val="32"/>
      </w:numPr>
      <w:spacing w:after="120" w:line="240" w:lineRule="atLeast"/>
    </w:pPr>
    <w:rPr>
      <w:rFonts w:cs="Angsana New"/>
      <w:szCs w:val="22"/>
      <w:lang w:eastAsia="zh-CN" w:bidi="th-TH"/>
    </w:rPr>
  </w:style>
  <w:style w:type="paragraph" w:customStyle="1" w:styleId="DefinitionL7">
    <w:name w:val="Definition L7"/>
    <w:basedOn w:val="Normal"/>
    <w:uiPriority w:val="3"/>
    <w:semiHidden/>
    <w:unhideWhenUsed/>
    <w:qFormat/>
    <w:rsid w:val="000C55D4"/>
    <w:pPr>
      <w:numPr>
        <w:ilvl w:val="6"/>
        <w:numId w:val="32"/>
      </w:numPr>
      <w:spacing w:after="120" w:line="240" w:lineRule="atLeast"/>
    </w:pPr>
    <w:rPr>
      <w:rFonts w:cs="Angsana New"/>
      <w:szCs w:val="22"/>
      <w:lang w:eastAsia="zh-CN" w:bidi="th-TH"/>
    </w:rPr>
  </w:style>
  <w:style w:type="paragraph" w:customStyle="1" w:styleId="DefinitionL8">
    <w:name w:val="Definition L8"/>
    <w:basedOn w:val="Normal"/>
    <w:uiPriority w:val="3"/>
    <w:semiHidden/>
    <w:unhideWhenUsed/>
    <w:qFormat/>
    <w:rsid w:val="000C55D4"/>
    <w:pPr>
      <w:numPr>
        <w:ilvl w:val="7"/>
        <w:numId w:val="32"/>
      </w:numPr>
      <w:spacing w:after="120" w:line="240" w:lineRule="atLeast"/>
    </w:pPr>
    <w:rPr>
      <w:rFonts w:cs="Angsana New"/>
      <w:szCs w:val="22"/>
      <w:lang w:eastAsia="zh-CN" w:bidi="th-TH"/>
    </w:rPr>
  </w:style>
  <w:style w:type="paragraph" w:customStyle="1" w:styleId="DefinitionL9">
    <w:name w:val="Definition L9"/>
    <w:basedOn w:val="Normal"/>
    <w:uiPriority w:val="3"/>
    <w:semiHidden/>
    <w:unhideWhenUsed/>
    <w:qFormat/>
    <w:rsid w:val="000C55D4"/>
    <w:pPr>
      <w:numPr>
        <w:ilvl w:val="8"/>
        <w:numId w:val="32"/>
      </w:numPr>
      <w:spacing w:after="120" w:line="240" w:lineRule="atLeast"/>
    </w:pPr>
    <w:rPr>
      <w:rFonts w:cs="Angsana New"/>
      <w:szCs w:val="22"/>
      <w:lang w:eastAsia="zh-CN" w:bidi="th-TH"/>
    </w:rPr>
  </w:style>
  <w:style w:type="paragraph" w:customStyle="1" w:styleId="WarrantyL6">
    <w:name w:val="WarrantyL6"/>
    <w:basedOn w:val="Normal"/>
    <w:uiPriority w:val="3"/>
    <w:qFormat/>
    <w:rsid w:val="000C55D4"/>
    <w:pPr>
      <w:numPr>
        <w:ilvl w:val="5"/>
        <w:numId w:val="34"/>
      </w:numPr>
      <w:spacing w:after="120" w:line="240" w:lineRule="atLeast"/>
    </w:pPr>
    <w:rPr>
      <w:rFonts w:cs="Angsana New"/>
      <w:szCs w:val="22"/>
      <w:lang w:eastAsia="zh-CN" w:bidi="th-TH"/>
    </w:rPr>
  </w:style>
  <w:style w:type="paragraph" w:customStyle="1" w:styleId="WarrantyL7">
    <w:name w:val="WarrantyL7"/>
    <w:basedOn w:val="Normal"/>
    <w:uiPriority w:val="3"/>
    <w:semiHidden/>
    <w:unhideWhenUsed/>
    <w:qFormat/>
    <w:rsid w:val="000C55D4"/>
    <w:pPr>
      <w:numPr>
        <w:ilvl w:val="6"/>
        <w:numId w:val="34"/>
      </w:numPr>
      <w:spacing w:after="120" w:line="240" w:lineRule="atLeast"/>
    </w:pPr>
    <w:rPr>
      <w:rFonts w:cs="Angsana New"/>
      <w:szCs w:val="22"/>
      <w:lang w:eastAsia="zh-CN" w:bidi="th-TH"/>
    </w:rPr>
  </w:style>
  <w:style w:type="paragraph" w:customStyle="1" w:styleId="WarrantyL8">
    <w:name w:val="WarrantyL8"/>
    <w:basedOn w:val="Normal"/>
    <w:uiPriority w:val="3"/>
    <w:semiHidden/>
    <w:unhideWhenUsed/>
    <w:qFormat/>
    <w:rsid w:val="000C55D4"/>
    <w:pPr>
      <w:numPr>
        <w:ilvl w:val="7"/>
        <w:numId w:val="34"/>
      </w:numPr>
      <w:spacing w:after="120" w:line="240" w:lineRule="atLeast"/>
    </w:pPr>
    <w:rPr>
      <w:rFonts w:cs="Angsana New"/>
      <w:szCs w:val="22"/>
      <w:lang w:eastAsia="zh-CN" w:bidi="th-TH"/>
    </w:rPr>
  </w:style>
  <w:style w:type="paragraph" w:customStyle="1" w:styleId="WarrantyL9">
    <w:name w:val="WarrantyL9"/>
    <w:basedOn w:val="Normal"/>
    <w:uiPriority w:val="3"/>
    <w:semiHidden/>
    <w:unhideWhenUsed/>
    <w:qFormat/>
    <w:rsid w:val="000C55D4"/>
    <w:pPr>
      <w:numPr>
        <w:ilvl w:val="8"/>
        <w:numId w:val="34"/>
      </w:numPr>
      <w:spacing w:after="120" w:line="240" w:lineRule="atLeast"/>
    </w:pPr>
    <w:rPr>
      <w:rFonts w:cs="Angsana New"/>
      <w:szCs w:val="22"/>
      <w:lang w:eastAsia="zh-CN" w:bidi="th-TH"/>
    </w:rPr>
  </w:style>
  <w:style w:type="character" w:customStyle="1" w:styleId="DocsOpenFilename">
    <w:name w:val="DocsOpen Filename"/>
    <w:rsid w:val="00637E27"/>
    <w:rPr>
      <w:rFonts w:ascii="Times New Roman" w:hAnsi="Times New Roman" w:cs="Times New Roman"/>
      <w:sz w:val="16"/>
    </w:rPr>
  </w:style>
  <w:style w:type="paragraph" w:customStyle="1" w:styleId="SubTitleArial">
    <w:name w:val="SubTitle_Arial"/>
    <w:next w:val="Normal"/>
    <w:rsid w:val="00637E27"/>
    <w:pPr>
      <w:keepNext/>
      <w:spacing w:before="220" w:after="0"/>
    </w:pPr>
    <w:rPr>
      <w:rFonts w:cs="Arial"/>
      <w:color w:val="000000"/>
      <w:sz w:val="28"/>
      <w:szCs w:val="28"/>
    </w:rPr>
  </w:style>
  <w:style w:type="character" w:customStyle="1" w:styleId="ListParagraphChar">
    <w:name w:val="List Paragraph Char"/>
    <w:aliases w:val="DdeM List Paragraph Char"/>
    <w:link w:val="ListParagraph"/>
    <w:uiPriority w:val="34"/>
    <w:locked/>
    <w:rsid w:val="004C0913"/>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4F58D0"/>
    <w:rPr>
      <w:color w:val="808080"/>
    </w:rPr>
  </w:style>
  <w:style w:type="paragraph" w:styleId="NormalIndent">
    <w:name w:val="Normal Indent"/>
    <w:basedOn w:val="Normal"/>
    <w:uiPriority w:val="9"/>
    <w:qFormat/>
    <w:rsid w:val="00D14278"/>
    <w:pPr>
      <w:spacing w:before="120" w:after="120" w:line="264" w:lineRule="auto"/>
      <w:ind w:left="792"/>
    </w:pPr>
    <w:rPr>
      <w:rFonts w:asciiTheme="minorHAnsi" w:eastAsiaTheme="minorEastAsia" w:hAnsiTheme="minorHAnsi" w:cstheme="minorBidi"/>
      <w:color w:val="000000" w:themeColor="text1"/>
      <w:lang w:eastAsia="en-AU"/>
    </w:rPr>
  </w:style>
  <w:style w:type="paragraph" w:customStyle="1" w:styleId="Heading1numbered">
    <w:name w:val="Heading 1 numbered"/>
    <w:basedOn w:val="Heading1"/>
    <w:next w:val="NormalIndent"/>
    <w:uiPriority w:val="8"/>
    <w:qFormat/>
    <w:rsid w:val="00D14278"/>
    <w:pPr>
      <w:keepLines/>
      <w:numPr>
        <w:ilvl w:val="2"/>
        <w:numId w:val="48"/>
      </w:numPr>
      <w:pBdr>
        <w:top w:val="none" w:sz="0" w:space="0" w:color="auto"/>
      </w:pBdr>
      <w:spacing w:before="360" w:after="120" w:line="276" w:lineRule="auto"/>
    </w:pPr>
    <w:rPr>
      <w:rFonts w:asciiTheme="majorHAnsi" w:eastAsiaTheme="majorEastAsia" w:hAnsiTheme="majorHAnsi" w:cstheme="majorBidi"/>
      <w:color w:val="B4D012" w:themeColor="text2"/>
      <w:sz w:val="36"/>
      <w:szCs w:val="28"/>
      <w:lang w:eastAsia="en-AU"/>
    </w:rPr>
  </w:style>
  <w:style w:type="paragraph" w:customStyle="1" w:styleId="Heading2numbered">
    <w:name w:val="Heading 2 numbered"/>
    <w:basedOn w:val="Heading2"/>
    <w:next w:val="NormalIndent"/>
    <w:uiPriority w:val="8"/>
    <w:qFormat/>
    <w:rsid w:val="00D14278"/>
    <w:pPr>
      <w:keepLines/>
      <w:numPr>
        <w:ilvl w:val="3"/>
        <w:numId w:val="48"/>
      </w:numPr>
      <w:spacing w:before="280" w:after="120" w:line="264" w:lineRule="auto"/>
    </w:pPr>
    <w:rPr>
      <w:rFonts w:asciiTheme="majorHAnsi" w:eastAsiaTheme="majorEastAsia" w:hAnsiTheme="majorHAnsi" w:cstheme="majorBidi"/>
      <w:iCs w:val="0"/>
      <w:color w:val="B4D012" w:themeColor="text2"/>
      <w:sz w:val="28"/>
      <w:szCs w:val="26"/>
      <w:lang w:eastAsia="en-AU"/>
    </w:rPr>
  </w:style>
  <w:style w:type="paragraph" w:customStyle="1" w:styleId="Heading3numbered">
    <w:name w:val="Heading 3 numbered"/>
    <w:basedOn w:val="Heading3"/>
    <w:next w:val="NormalIndent"/>
    <w:uiPriority w:val="8"/>
    <w:qFormat/>
    <w:rsid w:val="00D14278"/>
    <w:pPr>
      <w:keepNext/>
      <w:keepLines/>
      <w:numPr>
        <w:ilvl w:val="4"/>
        <w:numId w:val="48"/>
      </w:numPr>
      <w:spacing w:before="240" w:after="120" w:line="264" w:lineRule="auto"/>
    </w:pPr>
    <w:rPr>
      <w:rFonts w:asciiTheme="majorHAnsi" w:eastAsiaTheme="majorEastAsia" w:hAnsiTheme="majorHAnsi" w:cstheme="majorBidi"/>
      <w:b/>
      <w:color w:val="B4D012" w:themeColor="text2"/>
      <w:sz w:val="24"/>
      <w:szCs w:val="24"/>
    </w:rPr>
  </w:style>
  <w:style w:type="paragraph" w:customStyle="1" w:styleId="Heading4numbered">
    <w:name w:val="Heading 4 numbered"/>
    <w:basedOn w:val="Heading4"/>
    <w:next w:val="NormalIndent"/>
    <w:uiPriority w:val="8"/>
    <w:qFormat/>
    <w:rsid w:val="00D14278"/>
    <w:pPr>
      <w:keepNext/>
      <w:keepLines/>
      <w:numPr>
        <w:ilvl w:val="5"/>
        <w:numId w:val="48"/>
      </w:numPr>
      <w:spacing w:before="200" w:after="120" w:line="264" w:lineRule="auto"/>
    </w:pPr>
    <w:rPr>
      <w:rFonts w:asciiTheme="majorHAnsi" w:eastAsiaTheme="majorEastAsia" w:hAnsiTheme="majorHAnsi" w:cstheme="majorBidi"/>
      <w:b/>
      <w:iCs/>
      <w:color w:val="B4D012" w:themeColor="text2"/>
      <w:sz w:val="21"/>
      <w:szCs w:val="21"/>
    </w:rPr>
  </w:style>
  <w:style w:type="paragraph" w:customStyle="1" w:styleId="Listnumindent2">
    <w:name w:val="List num indent 2"/>
    <w:basedOn w:val="Normal"/>
    <w:uiPriority w:val="9"/>
    <w:qFormat/>
    <w:rsid w:val="00D14278"/>
    <w:pPr>
      <w:numPr>
        <w:ilvl w:val="7"/>
        <w:numId w:val="48"/>
      </w:numPr>
      <w:spacing w:before="100" w:after="120" w:line="264" w:lineRule="auto"/>
      <w:contextualSpacing/>
    </w:pPr>
    <w:rPr>
      <w:rFonts w:asciiTheme="minorHAnsi" w:eastAsiaTheme="minorEastAsia" w:hAnsiTheme="minorHAnsi" w:cstheme="minorBidi"/>
      <w:color w:val="000000" w:themeColor="text1"/>
      <w:lang w:eastAsia="en-AU"/>
    </w:rPr>
  </w:style>
  <w:style w:type="paragraph" w:customStyle="1" w:styleId="Listnumindent">
    <w:name w:val="List num indent"/>
    <w:basedOn w:val="Normal"/>
    <w:uiPriority w:val="9"/>
    <w:qFormat/>
    <w:rsid w:val="00D14278"/>
    <w:pPr>
      <w:numPr>
        <w:ilvl w:val="6"/>
        <w:numId w:val="48"/>
      </w:numPr>
      <w:spacing w:before="100" w:after="120" w:line="264" w:lineRule="auto"/>
    </w:pPr>
    <w:rPr>
      <w:rFonts w:asciiTheme="minorHAnsi" w:eastAsiaTheme="minorEastAsia" w:hAnsiTheme="minorHAnsi" w:cstheme="minorBidi"/>
      <w:color w:val="000000" w:themeColor="text1"/>
      <w:lang w:eastAsia="en-AU"/>
    </w:rPr>
  </w:style>
  <w:style w:type="paragraph" w:customStyle="1" w:styleId="Listnum">
    <w:name w:val="List num"/>
    <w:basedOn w:val="Normal"/>
    <w:uiPriority w:val="2"/>
    <w:qFormat/>
    <w:rsid w:val="00D14278"/>
    <w:pPr>
      <w:numPr>
        <w:numId w:val="48"/>
      </w:numPr>
      <w:spacing w:before="120" w:after="120" w:line="264" w:lineRule="auto"/>
    </w:pPr>
    <w:rPr>
      <w:rFonts w:asciiTheme="minorHAnsi" w:eastAsiaTheme="minorEastAsia" w:hAnsiTheme="minorHAnsi" w:cstheme="minorBidi"/>
      <w:color w:val="000000" w:themeColor="text1"/>
      <w:lang w:eastAsia="en-AU"/>
    </w:rPr>
  </w:style>
  <w:style w:type="paragraph" w:customStyle="1" w:styleId="Listnum2">
    <w:name w:val="List num 2"/>
    <w:basedOn w:val="Normal"/>
    <w:uiPriority w:val="2"/>
    <w:qFormat/>
    <w:rsid w:val="00D14278"/>
    <w:pPr>
      <w:numPr>
        <w:ilvl w:val="1"/>
        <w:numId w:val="48"/>
      </w:numPr>
      <w:spacing w:before="120" w:after="120" w:line="264" w:lineRule="auto"/>
    </w:pPr>
    <w:rPr>
      <w:rFonts w:asciiTheme="minorHAnsi" w:eastAsiaTheme="minorEastAsia" w:hAnsiTheme="minorHAnsi" w:cstheme="minorBidi"/>
      <w:color w:val="000000" w:themeColor="text1"/>
      <w:lang w:eastAsia="en-AU"/>
    </w:rPr>
  </w:style>
  <w:style w:type="paragraph" w:customStyle="1" w:styleId="Numparaindent">
    <w:name w:val="Num para indent"/>
    <w:basedOn w:val="Normal"/>
    <w:uiPriority w:val="9"/>
    <w:qFormat/>
    <w:rsid w:val="00D14278"/>
    <w:pPr>
      <w:numPr>
        <w:ilvl w:val="8"/>
        <w:numId w:val="48"/>
      </w:numPr>
      <w:spacing w:before="120" w:after="120" w:line="264" w:lineRule="auto"/>
      <w:contextualSpacing/>
    </w:pPr>
    <w:rPr>
      <w:rFonts w:asciiTheme="minorHAnsi" w:eastAsiaTheme="minorEastAsia" w:hAnsiTheme="minorHAnsi" w:cstheme="minorBidi"/>
      <w:color w:val="000000" w:themeColor="text1"/>
      <w:lang w:eastAsia="en-AU"/>
    </w:rPr>
  </w:style>
  <w:style w:type="character" w:customStyle="1" w:styleId="ui-provider">
    <w:name w:val="ui-provider"/>
    <w:basedOn w:val="DefaultParagraphFont"/>
    <w:rsid w:val="00D1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53398">
      <w:bodyDiv w:val="1"/>
      <w:marLeft w:val="0"/>
      <w:marRight w:val="0"/>
      <w:marTop w:val="0"/>
      <w:marBottom w:val="0"/>
      <w:divBdr>
        <w:top w:val="none" w:sz="0" w:space="0" w:color="auto"/>
        <w:left w:val="none" w:sz="0" w:space="0" w:color="auto"/>
        <w:bottom w:val="none" w:sz="0" w:space="0" w:color="auto"/>
        <w:right w:val="none" w:sz="0" w:space="0" w:color="auto"/>
      </w:divBdr>
    </w:div>
    <w:div w:id="129814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creativecommons.org/licenses/by/3.0/au/" TargetMode="Externa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footer" Target="footer5.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hyperlink" Target="mailto:IPpolicy@dtf.vic.gov.au" TargetMode="Externa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customXml" Target="/customXML/item2.xml" Id="imanage.xml" /></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item2.xml>��< ? x m l   v e r s i o n = " 1 . 0 "   e n c o d i n g = " u t f - 1 6 " ? >  
 < p r o p e r t i e s   x m l n s = " h t t p : / / w w w . i m a n a g e . c o m / w o r k / x m l s c h e m a " >  
     < d o c u m e n t i d > L E G A L ! 3 5 0 5 8 6 6 0 1 . 1 < / d o c u m e n t i d >  
     < s e n d e r i d > K H A L L P I K E < / s e n d e r i d >  
     < s e n d e r e m a i l > K H A L L P I K E @ C L A Y T O N U T Z . C O M < / s e n d e r e m a i l >  
     < l a s t m o d i f i e d > 2 0 2 3 - 1 0 - 0 3 T 1 3 : 3 2 : 0 0 . 0 0 0 0 0 0 0 + 1 1 : 0 0 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46C0-EF39-4518-BF52-BB01006F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5</cp:revision>
  <cp:lastPrinted>2023-07-25T00:02:00Z</cp:lastPrinted>
  <dcterms:created xsi:type="dcterms:W3CDTF">2023-08-23T11:31:00Z</dcterms:created>
  <dcterms:modified xsi:type="dcterms:W3CDTF">2023-10-03T02:32:00Z</dcterms:modified>
  <cp:category/>
</cp:coreProperties>
</file>