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B34" w:rsidRPr="007B2462" w:rsidRDefault="002B3B34" w:rsidP="002B3B34">
      <w:pPr>
        <w:pBdr>
          <w:bottom w:val="single" w:sz="12" w:space="0" w:color="auto"/>
        </w:pBdr>
        <w:spacing w:before="1560"/>
        <w:jc w:val="center"/>
        <w:rPr>
          <w:rFonts w:ascii="Calibri" w:hAnsi="Calibri"/>
          <w:b/>
          <w:sz w:val="52"/>
          <w:szCs w:val="52"/>
        </w:rPr>
      </w:pPr>
      <w:bookmarkStart w:id="0" w:name="_Toc472072539"/>
      <w:bookmarkStart w:id="1" w:name="_GoBack"/>
      <w:bookmarkEnd w:id="1"/>
      <w:r>
        <w:rPr>
          <w:rFonts w:ascii="Calibri" w:hAnsi="Calibri"/>
          <w:b/>
          <w:sz w:val="52"/>
          <w:szCs w:val="52"/>
        </w:rPr>
        <w:t>Budget Speech</w:t>
      </w:r>
    </w:p>
    <w:p w:rsidR="002B3B34" w:rsidRPr="007B2462" w:rsidRDefault="002B3B34" w:rsidP="002B3B34">
      <w:pPr>
        <w:jc w:val="center"/>
        <w:rPr>
          <w:rFonts w:ascii="Calibri" w:hAnsi="Calibri"/>
          <w:b/>
          <w:sz w:val="52"/>
          <w:szCs w:val="52"/>
        </w:rPr>
      </w:pPr>
      <w:r w:rsidRPr="007B2462">
        <w:rPr>
          <w:rFonts w:ascii="Calibri" w:hAnsi="Calibri"/>
          <w:b/>
          <w:sz w:val="52"/>
          <w:szCs w:val="52"/>
        </w:rPr>
        <w:t>201</w:t>
      </w:r>
      <w:r>
        <w:rPr>
          <w:rFonts w:ascii="Calibri" w:hAnsi="Calibri"/>
          <w:b/>
          <w:sz w:val="52"/>
          <w:szCs w:val="52"/>
        </w:rPr>
        <w:t>7</w:t>
      </w:r>
      <w:r>
        <w:rPr>
          <w:rFonts w:ascii="Calibri" w:hAnsi="Calibri"/>
          <w:b/>
          <w:sz w:val="52"/>
          <w:szCs w:val="52"/>
        </w:rPr>
        <w:noBreakHyphen/>
        <w:t>18</w:t>
      </w:r>
    </w:p>
    <w:p w:rsidR="002B3B34" w:rsidRDefault="002B3B34" w:rsidP="002B3B34">
      <w:pPr>
        <w:jc w:val="center"/>
        <w:rPr>
          <w:rFonts w:ascii="Calibri" w:hAnsi="Calibri"/>
          <w:sz w:val="30"/>
          <w:szCs w:val="30"/>
        </w:rPr>
      </w:pPr>
    </w:p>
    <w:p w:rsidR="002B3B34" w:rsidRPr="007B2462" w:rsidRDefault="002B3B34" w:rsidP="002B3B34">
      <w:pPr>
        <w:jc w:val="center"/>
        <w:rPr>
          <w:rFonts w:ascii="Calibri" w:hAnsi="Calibri"/>
          <w:sz w:val="30"/>
          <w:szCs w:val="30"/>
        </w:rPr>
      </w:pPr>
    </w:p>
    <w:p w:rsidR="002B3B34" w:rsidRPr="007B2462" w:rsidRDefault="002B3B34" w:rsidP="002B3B34">
      <w:pPr>
        <w:jc w:val="center"/>
      </w:pPr>
      <w:r w:rsidRPr="00D26163">
        <w:rPr>
          <w:rFonts w:ascii="Calibri" w:hAnsi="Calibri" w:cs="Calibri"/>
          <w:noProof/>
          <w:lang w:eastAsia="en-AU"/>
        </w:rPr>
        <w:drawing>
          <wp:inline distT="0" distB="0" distL="0" distR="0" wp14:anchorId="7C4ACF7E" wp14:editId="5D071DAA">
            <wp:extent cx="940435" cy="114744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0435" cy="1147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3B34" w:rsidRPr="007B2462" w:rsidRDefault="002B3B34" w:rsidP="002B3B34">
      <w:pPr>
        <w:jc w:val="center"/>
        <w:rPr>
          <w:sz w:val="36"/>
          <w:szCs w:val="36"/>
        </w:rPr>
      </w:pPr>
    </w:p>
    <w:p w:rsidR="002B3B34" w:rsidRPr="007B2462" w:rsidRDefault="002B3B34" w:rsidP="002B3B34">
      <w:pPr>
        <w:jc w:val="center"/>
        <w:rPr>
          <w:sz w:val="36"/>
          <w:szCs w:val="36"/>
        </w:rPr>
      </w:pPr>
    </w:p>
    <w:p w:rsidR="002B3B34" w:rsidRPr="007B2462" w:rsidRDefault="002B3B34" w:rsidP="002B3B34">
      <w:pPr>
        <w:jc w:val="center"/>
        <w:rPr>
          <w:sz w:val="36"/>
          <w:szCs w:val="36"/>
        </w:rPr>
      </w:pPr>
    </w:p>
    <w:p w:rsidR="002B3B34" w:rsidRPr="007B2462" w:rsidRDefault="002B3B34" w:rsidP="002B3B34">
      <w:pPr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Delivered by</w:t>
      </w:r>
    </w:p>
    <w:p w:rsidR="002B3B34" w:rsidRPr="00D26163" w:rsidRDefault="002B3B34" w:rsidP="002B3B34">
      <w:pPr>
        <w:jc w:val="center"/>
        <w:rPr>
          <w:rFonts w:ascii="Calibri" w:hAnsi="Calibri" w:cs="Calibri"/>
          <w:b/>
          <w:sz w:val="36"/>
          <w:szCs w:val="36"/>
        </w:rPr>
      </w:pPr>
      <w:r w:rsidRPr="00D26163">
        <w:rPr>
          <w:rFonts w:ascii="Calibri" w:hAnsi="Calibri" w:cs="Calibri"/>
          <w:b/>
          <w:sz w:val="36"/>
          <w:szCs w:val="36"/>
        </w:rPr>
        <w:t>Tim Pallas MP</w:t>
      </w:r>
    </w:p>
    <w:p w:rsidR="002B3B34" w:rsidRDefault="002B3B34" w:rsidP="002B3B34">
      <w:pPr>
        <w:jc w:val="center"/>
        <w:rPr>
          <w:rFonts w:ascii="Calibri" w:hAnsi="Calibri" w:cs="Calibri"/>
          <w:sz w:val="28"/>
          <w:szCs w:val="28"/>
        </w:rPr>
      </w:pPr>
      <w:r w:rsidRPr="00D26163">
        <w:rPr>
          <w:rFonts w:ascii="Calibri" w:hAnsi="Calibri" w:cs="Calibri"/>
          <w:sz w:val="28"/>
          <w:szCs w:val="28"/>
        </w:rPr>
        <w:t>Treasurer of the State of Victoria</w:t>
      </w:r>
    </w:p>
    <w:p w:rsidR="002B3B34" w:rsidRPr="00D26163" w:rsidRDefault="002B3B34" w:rsidP="002B3B34">
      <w:pPr>
        <w:jc w:val="center"/>
        <w:rPr>
          <w:rFonts w:ascii="Calibri" w:hAnsi="Calibri" w:cs="Calibri"/>
          <w:sz w:val="28"/>
          <w:szCs w:val="28"/>
        </w:rPr>
      </w:pPr>
    </w:p>
    <w:p w:rsidR="002B3B34" w:rsidRDefault="002B3B34">
      <w:pPr>
        <w:keepLines w:val="0"/>
        <w:spacing w:before="120" w:line="240" w:lineRule="auto"/>
        <w:rPr>
          <w:sz w:val="30"/>
          <w:szCs w:val="30"/>
        </w:rPr>
      </w:pPr>
      <w:r>
        <w:rPr>
          <w:sz w:val="30"/>
          <w:szCs w:val="30"/>
        </w:rPr>
        <w:br w:type="page"/>
      </w:r>
    </w:p>
    <w:p w:rsidR="002B3B34" w:rsidRDefault="002B3B34" w:rsidP="002B3B34">
      <w:pPr>
        <w:rPr>
          <w:sz w:val="30"/>
          <w:szCs w:val="30"/>
        </w:rPr>
      </w:pPr>
      <w:r w:rsidRPr="002B3B34">
        <w:rPr>
          <w:noProof/>
          <w:lang w:eastAsia="en-AU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ge">
              <wp:align>bottom</wp:align>
            </wp:positionV>
            <wp:extent cx="5400000" cy="31536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315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B3B34" w:rsidRDefault="002B3B34" w:rsidP="002B3B34"/>
    <w:p w:rsidR="002B3B34" w:rsidRDefault="002B3B34" w:rsidP="002B3B34">
      <w:pPr>
        <w:autoSpaceDE w:val="0"/>
        <w:autoSpaceDN w:val="0"/>
        <w:adjustRightInd w:val="0"/>
        <w:rPr>
          <w:rFonts w:cs="VIC-Light"/>
          <w:sz w:val="14"/>
          <w:szCs w:val="14"/>
          <w:lang w:eastAsia="en-AU"/>
        </w:rPr>
        <w:sectPr w:rsidR="002B3B34" w:rsidSect="002B3B34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9979" w:h="14181" w:code="138"/>
          <w:pgMar w:top="1138" w:right="1138" w:bottom="1138" w:left="1138" w:header="720" w:footer="432" w:gutter="0"/>
          <w:cols w:space="708"/>
          <w:docGrid w:linePitch="360"/>
        </w:sectPr>
      </w:pPr>
    </w:p>
    <w:p w:rsidR="0059128E" w:rsidRDefault="0059128E" w:rsidP="0059128E">
      <w:pPr>
        <w:pStyle w:val="Heading20"/>
        <w:jc w:val="center"/>
      </w:pPr>
      <w:r>
        <w:lastRenderedPageBreak/>
        <w:t>VICTORIA</w:t>
      </w:r>
    </w:p>
    <w:p w:rsidR="00FF3B45" w:rsidRDefault="007E087B" w:rsidP="007349DF">
      <w:pPr>
        <w:pStyle w:val="Chapterheading"/>
        <w:pBdr>
          <w:bottom w:val="none" w:sz="0" w:space="0" w:color="auto"/>
        </w:pBdr>
        <w:spacing w:before="240"/>
        <w:jc w:val="center"/>
      </w:pPr>
      <w:r>
        <w:t>Budget</w:t>
      </w:r>
      <w:r w:rsidR="00A86D98">
        <w:t xml:space="preserve"> Speech</w:t>
      </w:r>
      <w:bookmarkEnd w:id="0"/>
    </w:p>
    <w:p w:rsidR="0059128E" w:rsidRPr="009B75B5" w:rsidRDefault="0059128E" w:rsidP="0059128E">
      <w:pPr>
        <w:pStyle w:val="Heading20"/>
        <w:spacing w:before="120"/>
        <w:jc w:val="center"/>
        <w:rPr>
          <w:b w:val="0"/>
          <w:sz w:val="22"/>
        </w:rPr>
      </w:pPr>
      <w:r w:rsidRPr="009B75B5">
        <w:rPr>
          <w:b w:val="0"/>
          <w:sz w:val="22"/>
        </w:rPr>
        <w:t>Delivered on 2 May 2017</w:t>
      </w:r>
    </w:p>
    <w:p w:rsidR="0059128E" w:rsidRPr="009B75B5" w:rsidRDefault="0059128E" w:rsidP="0059128E">
      <w:pPr>
        <w:pStyle w:val="Heading20"/>
        <w:spacing w:before="120"/>
        <w:jc w:val="center"/>
        <w:rPr>
          <w:b w:val="0"/>
          <w:sz w:val="22"/>
        </w:rPr>
      </w:pPr>
      <w:r w:rsidRPr="009B75B5">
        <w:rPr>
          <w:b w:val="0"/>
          <w:sz w:val="22"/>
        </w:rPr>
        <w:t>by Tim Pallas MP</w:t>
      </w:r>
    </w:p>
    <w:p w:rsidR="0059128E" w:rsidRPr="009B75B5" w:rsidRDefault="0059128E" w:rsidP="0059128E">
      <w:pPr>
        <w:pStyle w:val="Heading20"/>
        <w:spacing w:before="120"/>
        <w:jc w:val="center"/>
        <w:rPr>
          <w:b w:val="0"/>
          <w:sz w:val="22"/>
        </w:rPr>
      </w:pPr>
      <w:r w:rsidRPr="009B75B5">
        <w:rPr>
          <w:b w:val="0"/>
          <w:sz w:val="22"/>
        </w:rPr>
        <w:t>Treasurer of the State of Victoria</w:t>
      </w:r>
    </w:p>
    <w:p w:rsidR="0059128E" w:rsidRPr="009B75B5" w:rsidRDefault="0059128E" w:rsidP="0059128E"/>
    <w:p w:rsidR="0059128E" w:rsidRDefault="0059128E" w:rsidP="0059128E"/>
    <w:p w:rsidR="00C11F82" w:rsidRPr="008C68AE" w:rsidRDefault="00C11F82" w:rsidP="00D36EAE">
      <w:r w:rsidRPr="008C68AE">
        <w:t xml:space="preserve">In accordance with section 28 of the </w:t>
      </w:r>
      <w:r w:rsidRPr="008C68AE">
        <w:rPr>
          <w:i/>
        </w:rPr>
        <w:t>Charter of Human Rights and Responsibilities Act 2006</w:t>
      </w:r>
      <w:r w:rsidRPr="008C68AE">
        <w:t>, I</w:t>
      </w:r>
      <w:r w:rsidR="00101466" w:rsidRPr="008C68AE">
        <w:t> </w:t>
      </w:r>
      <w:r w:rsidRPr="008C68AE">
        <w:t>table a statement of compatibility for the Appropriation Bill (2017-18).</w:t>
      </w:r>
    </w:p>
    <w:p w:rsidR="00C11F82" w:rsidRPr="008C68AE" w:rsidRDefault="00C11F82" w:rsidP="00D36EAE">
      <w:r w:rsidRPr="008C68AE">
        <w:t xml:space="preserve">I move that this </w:t>
      </w:r>
      <w:r w:rsidR="0059128E" w:rsidRPr="008C68AE">
        <w:t>Bill now be read a second time.</w:t>
      </w:r>
    </w:p>
    <w:p w:rsidR="00F709FE" w:rsidRPr="008C68AE" w:rsidRDefault="00F709FE" w:rsidP="00D36EAE"/>
    <w:p w:rsidR="00C11F82" w:rsidRPr="008C68AE" w:rsidRDefault="00C11F82" w:rsidP="00D36EAE">
      <w:r w:rsidRPr="008C68AE">
        <w:t xml:space="preserve">Speaker, </w:t>
      </w:r>
      <w:r w:rsidR="009047F0" w:rsidRPr="008C68AE">
        <w:t>b</w:t>
      </w:r>
      <w:r w:rsidRPr="008C68AE">
        <w:t>udgets are more than economic blueprints. They</w:t>
      </w:r>
      <w:r w:rsidR="00CC00D2" w:rsidRPr="008C68AE">
        <w:t>’</w:t>
      </w:r>
      <w:r w:rsidRPr="008C68AE">
        <w:t xml:space="preserve">re more than a set of numbers, more than a list of initiatives. </w:t>
      </w:r>
    </w:p>
    <w:p w:rsidR="00EC62F8" w:rsidRPr="008C68AE" w:rsidRDefault="00C11F82" w:rsidP="00D36EAE">
      <w:r w:rsidRPr="008C68AE">
        <w:t>They</w:t>
      </w:r>
      <w:r w:rsidR="00CC00D2" w:rsidRPr="008C68AE">
        <w:t>’</w:t>
      </w:r>
      <w:r w:rsidRPr="008C68AE">
        <w:t>re about people. They</w:t>
      </w:r>
      <w:r w:rsidR="00CC00D2" w:rsidRPr="008C68AE">
        <w:t>’</w:t>
      </w:r>
      <w:r w:rsidRPr="008C68AE">
        <w:t>re about communities. They</w:t>
      </w:r>
      <w:r w:rsidR="00CC00D2" w:rsidRPr="008C68AE">
        <w:t>’</w:t>
      </w:r>
      <w:r w:rsidRPr="008C68AE">
        <w:t xml:space="preserve">re about the type of society </w:t>
      </w:r>
      <w:r w:rsidR="0059128E" w:rsidRPr="008C68AE">
        <w:t>our grandchildren will inherit.</w:t>
      </w:r>
    </w:p>
    <w:p w:rsidR="00C11F82" w:rsidRPr="008C68AE" w:rsidRDefault="00C11F82" w:rsidP="00D36EAE">
      <w:r w:rsidRPr="008C68AE">
        <w:t xml:space="preserve">They show us where a </w:t>
      </w:r>
      <w:r w:rsidR="009047F0" w:rsidRPr="008C68AE">
        <w:t>g</w:t>
      </w:r>
      <w:r w:rsidRPr="008C68AE">
        <w:t>overnment</w:t>
      </w:r>
      <w:r w:rsidR="00CC00D2" w:rsidRPr="008C68AE">
        <w:t>’</w:t>
      </w:r>
      <w:r w:rsidRPr="008C68AE">
        <w:t>s heart lies.</w:t>
      </w:r>
    </w:p>
    <w:p w:rsidR="00344915" w:rsidRPr="008C68AE" w:rsidRDefault="00344915" w:rsidP="00D36EAE">
      <w:r w:rsidRPr="008C68AE">
        <w:t xml:space="preserve">They are, in essence, a test of not so much a government’s priorities as its fundamental decency. </w:t>
      </w:r>
    </w:p>
    <w:p w:rsidR="00C11F82" w:rsidRPr="008C68AE" w:rsidRDefault="006D66BA" w:rsidP="00D36EAE">
      <w:r w:rsidRPr="008C68AE">
        <w:t>W</w:t>
      </w:r>
      <w:r w:rsidR="00C11F82" w:rsidRPr="008C68AE">
        <w:t xml:space="preserve">hen the Andrews </w:t>
      </w:r>
      <w:r w:rsidR="00192025" w:rsidRPr="008C68AE">
        <w:t xml:space="preserve">Labor </w:t>
      </w:r>
      <w:r w:rsidR="00C11F82" w:rsidRPr="008C68AE">
        <w:t xml:space="preserve">Government was elected in 2014, Victoria was in a state of flux. We had </w:t>
      </w:r>
      <w:r w:rsidR="00582A36" w:rsidRPr="008C68AE">
        <w:t xml:space="preserve">one of </w:t>
      </w:r>
      <w:r w:rsidR="00C11F82" w:rsidRPr="008C68AE">
        <w:t>the highest unemployment rate</w:t>
      </w:r>
      <w:r w:rsidR="00582A36" w:rsidRPr="008C68AE">
        <w:t>s</w:t>
      </w:r>
      <w:r w:rsidR="00C11F82" w:rsidRPr="008C68AE">
        <w:t xml:space="preserve"> on the mainland. Our roads had ground to a halt. The previous </w:t>
      </w:r>
      <w:r w:rsidR="009047F0" w:rsidRPr="008C68AE">
        <w:t>g</w:t>
      </w:r>
      <w:r w:rsidR="00C11F82" w:rsidRPr="008C68AE">
        <w:t>overnment had sent a wrecking ball through essential services, particularly in health and education.</w:t>
      </w:r>
    </w:p>
    <w:p w:rsidR="00C11F82" w:rsidRPr="008C68AE" w:rsidRDefault="00C11F82" w:rsidP="00D36EAE">
      <w:r w:rsidRPr="008C68AE">
        <w:t xml:space="preserve">The task before us was significant; to </w:t>
      </w:r>
      <w:r w:rsidR="00954946" w:rsidRPr="008C68AE">
        <w:t xml:space="preserve">rally, to rebuild, to grow and </w:t>
      </w:r>
      <w:r w:rsidR="00F55881" w:rsidRPr="008C68AE">
        <w:t xml:space="preserve">to </w:t>
      </w:r>
      <w:r w:rsidR="00954946" w:rsidRPr="008C68AE">
        <w:t>flourish.</w:t>
      </w:r>
    </w:p>
    <w:p w:rsidR="00954946" w:rsidRPr="008C68AE" w:rsidRDefault="00954946" w:rsidP="008C68AE">
      <w:pPr>
        <w:ind w:right="-170"/>
      </w:pPr>
      <w:r w:rsidRPr="008C68AE">
        <w:t>We</w:t>
      </w:r>
      <w:r w:rsidR="00CC00D2" w:rsidRPr="008C68AE">
        <w:t>’</w:t>
      </w:r>
      <w:r w:rsidR="00DD14BD" w:rsidRPr="008C68AE">
        <w:t>ve</w:t>
      </w:r>
      <w:r w:rsidRPr="008C68AE">
        <w:t xml:space="preserve"> </w:t>
      </w:r>
      <w:r w:rsidR="00E64B5D" w:rsidRPr="008C68AE">
        <w:t xml:space="preserve">laid the groundwork, made tough decisions, and </w:t>
      </w:r>
      <w:r w:rsidR="009679E9" w:rsidRPr="008C68AE">
        <w:t xml:space="preserve">now </w:t>
      </w:r>
      <w:r w:rsidR="00E64B5D" w:rsidRPr="008C68AE">
        <w:t xml:space="preserve">Victoria is reaping the </w:t>
      </w:r>
      <w:r w:rsidR="002F6999" w:rsidRPr="008C68AE">
        <w:t>rewards</w:t>
      </w:r>
      <w:r w:rsidR="00E64B5D" w:rsidRPr="008C68AE">
        <w:t>.</w:t>
      </w:r>
    </w:p>
    <w:p w:rsidR="00C11F82" w:rsidRPr="008C68AE" w:rsidRDefault="00C11F82" w:rsidP="00D36EAE">
      <w:r w:rsidRPr="008C68AE">
        <w:t>S</w:t>
      </w:r>
      <w:r w:rsidR="007C3BDB" w:rsidRPr="008C68AE">
        <w:t>peaker, s</w:t>
      </w:r>
      <w:r w:rsidRPr="008C68AE">
        <w:t>ince we were elected, we</w:t>
      </w:r>
      <w:r w:rsidR="00CC00D2" w:rsidRPr="008C68AE">
        <w:t>’</w:t>
      </w:r>
      <w:r w:rsidR="00DD14BD" w:rsidRPr="008C68AE">
        <w:t>ve</w:t>
      </w:r>
      <w:r w:rsidR="008134BE" w:rsidRPr="008C68AE">
        <w:t xml:space="preserve"> </w:t>
      </w:r>
      <w:r w:rsidRPr="008C68AE">
        <w:t xml:space="preserve">invested billions </w:t>
      </w:r>
      <w:r w:rsidR="003E4988" w:rsidRPr="008C68AE">
        <w:t xml:space="preserve">of dollars </w:t>
      </w:r>
      <w:r w:rsidRPr="008C68AE">
        <w:t xml:space="preserve">in the infrastructure and services </w:t>
      </w:r>
      <w:r w:rsidR="00E64B5D" w:rsidRPr="008C68AE">
        <w:t xml:space="preserve">the </w:t>
      </w:r>
      <w:r w:rsidR="0023697D" w:rsidRPr="008C68AE">
        <w:t>S</w:t>
      </w:r>
      <w:r w:rsidR="00E64B5D" w:rsidRPr="008C68AE">
        <w:t>tate</w:t>
      </w:r>
      <w:r w:rsidRPr="008C68AE">
        <w:t xml:space="preserve"> needs, all </w:t>
      </w:r>
      <w:r w:rsidR="0028569C" w:rsidRPr="008C68AE">
        <w:t xml:space="preserve">the </w:t>
      </w:r>
      <w:r w:rsidRPr="008C68AE">
        <w:t xml:space="preserve">while maintaining </w:t>
      </w:r>
      <w:r w:rsidR="00AD26A9" w:rsidRPr="008C68AE">
        <w:t>a strong financial position</w:t>
      </w:r>
      <w:r w:rsidRPr="008C68AE">
        <w:t>.</w:t>
      </w:r>
    </w:p>
    <w:p w:rsidR="00E64B5D" w:rsidRPr="008C68AE" w:rsidRDefault="00C11F82" w:rsidP="00D36EAE">
      <w:r w:rsidRPr="008C68AE">
        <w:t xml:space="preserve">The </w:t>
      </w:r>
      <w:r w:rsidR="0059128E" w:rsidRPr="008C68AE">
        <w:rPr>
          <w:i/>
        </w:rPr>
        <w:t>2017-18 Budget</w:t>
      </w:r>
      <w:r w:rsidRPr="008C68AE">
        <w:t xml:space="preserve"> is about getting on with the job.</w:t>
      </w:r>
    </w:p>
    <w:p w:rsidR="00F063C0" w:rsidRPr="008C68AE" w:rsidRDefault="0028569C" w:rsidP="00D36EAE">
      <w:r w:rsidRPr="008C68AE">
        <w:t>It</w:t>
      </w:r>
      <w:r w:rsidR="00CC00D2" w:rsidRPr="008C68AE">
        <w:t>’</w:t>
      </w:r>
      <w:r w:rsidRPr="008C68AE">
        <w:t xml:space="preserve">s about remaining steadfast to the </w:t>
      </w:r>
      <w:r w:rsidR="002A0868" w:rsidRPr="008C68AE">
        <w:t>commitments</w:t>
      </w:r>
      <w:r w:rsidRPr="008C68AE">
        <w:t xml:space="preserve"> and values that propelled us to government</w:t>
      </w:r>
      <w:r w:rsidR="00F063C0" w:rsidRPr="008C68AE">
        <w:t>.</w:t>
      </w:r>
    </w:p>
    <w:p w:rsidR="00C11F82" w:rsidRPr="008C68AE" w:rsidRDefault="00C11F82" w:rsidP="00D36EAE">
      <w:r w:rsidRPr="008C68AE">
        <w:lastRenderedPageBreak/>
        <w:t>It addresses the issues familiar to any Victorian raising a family, studying, commuting or running a small business –</w:t>
      </w:r>
      <w:r w:rsidR="00C910DE" w:rsidRPr="008C68AE">
        <w:t xml:space="preserve"> the dignity of work, access to decent health</w:t>
      </w:r>
      <w:r w:rsidR="0023697D" w:rsidRPr="008C68AE">
        <w:t xml:space="preserve"> </w:t>
      </w:r>
      <w:r w:rsidR="00C910DE" w:rsidRPr="008C68AE">
        <w:t>care, getting home from work safely and quickly, and stable, affordable housing</w:t>
      </w:r>
      <w:r w:rsidRPr="008C68AE">
        <w:t>.</w:t>
      </w:r>
    </w:p>
    <w:p w:rsidR="00C11F82" w:rsidRPr="008C68AE" w:rsidRDefault="00F12601" w:rsidP="00D36EAE">
      <w:r w:rsidRPr="008C68AE">
        <w:t>It</w:t>
      </w:r>
      <w:r w:rsidR="00CC00D2" w:rsidRPr="008C68AE">
        <w:t>’</w:t>
      </w:r>
      <w:r w:rsidRPr="008C68AE">
        <w:t>s</w:t>
      </w:r>
      <w:r w:rsidR="00C11F82" w:rsidRPr="008C68AE">
        <w:t xml:space="preserve"> </w:t>
      </w:r>
      <w:r w:rsidR="00745121" w:rsidRPr="008C68AE">
        <w:t xml:space="preserve">a budget </w:t>
      </w:r>
      <w:r w:rsidR="0000098C" w:rsidRPr="008C68AE">
        <w:t xml:space="preserve">that </w:t>
      </w:r>
      <w:r w:rsidR="00745121" w:rsidRPr="008C68AE">
        <w:t xml:space="preserve">is </w:t>
      </w:r>
      <w:r w:rsidR="00C11F82" w:rsidRPr="008C68AE">
        <w:t xml:space="preserve">unashamedly geared towards </w:t>
      </w:r>
      <w:r w:rsidR="00745121" w:rsidRPr="008C68AE">
        <w:t xml:space="preserve">the </w:t>
      </w:r>
      <w:r w:rsidR="00C11F82" w:rsidRPr="008C68AE">
        <w:t xml:space="preserve">most vulnerable </w:t>
      </w:r>
      <w:r w:rsidR="00745121" w:rsidRPr="008C68AE">
        <w:t xml:space="preserve">in our community </w:t>
      </w:r>
      <w:r w:rsidR="003F02F8" w:rsidRPr="008C68AE">
        <w:t>–</w:t>
      </w:r>
      <w:r w:rsidR="00C11F82" w:rsidRPr="008C68AE">
        <w:t xml:space="preserve"> those in danger of falling through the cracks, </w:t>
      </w:r>
      <w:r w:rsidR="00572CDC" w:rsidRPr="008C68AE">
        <w:t xml:space="preserve">and </w:t>
      </w:r>
      <w:r w:rsidR="00C11F82" w:rsidRPr="008C68AE">
        <w:t>those in danger of not shar</w:t>
      </w:r>
      <w:r w:rsidR="003F02F8" w:rsidRPr="008C68AE">
        <w:t>ing in our economic prosperity.</w:t>
      </w:r>
    </w:p>
    <w:p w:rsidR="00C11F82" w:rsidRPr="008C68AE" w:rsidRDefault="007C3BDB" w:rsidP="00D36EAE">
      <w:r w:rsidRPr="008C68AE">
        <w:t>At its</w:t>
      </w:r>
      <w:r w:rsidR="00EB23DE" w:rsidRPr="008C68AE">
        <w:t xml:space="preserve"> </w:t>
      </w:r>
      <w:r w:rsidR="001474D5" w:rsidRPr="008C68AE">
        <w:t>heart</w:t>
      </w:r>
      <w:r w:rsidR="00EB23DE" w:rsidRPr="008C68AE">
        <w:t xml:space="preserve"> </w:t>
      </w:r>
      <w:r w:rsidR="00C11F82" w:rsidRPr="008C68AE">
        <w:t xml:space="preserve">is an unprecedented, comprehensive, </w:t>
      </w:r>
      <w:r w:rsidR="00EC62F8" w:rsidRPr="008C68AE">
        <w:t xml:space="preserve">and </w:t>
      </w:r>
      <w:r w:rsidR="00C11F82" w:rsidRPr="008C68AE">
        <w:t>long</w:t>
      </w:r>
      <w:r w:rsidR="00FB0E76" w:rsidRPr="008C68AE">
        <w:t xml:space="preserve"> </w:t>
      </w:r>
      <w:r w:rsidR="00C11F82" w:rsidRPr="008C68AE">
        <w:t>overdue $</w:t>
      </w:r>
      <w:r w:rsidR="00B50616" w:rsidRPr="008C68AE">
        <w:t>1.9</w:t>
      </w:r>
      <w:r w:rsidR="00DF739C" w:rsidRPr="008C68AE">
        <w:t xml:space="preserve"> </w:t>
      </w:r>
      <w:r w:rsidR="00C11F82" w:rsidRPr="008C68AE">
        <w:t xml:space="preserve">billion package </w:t>
      </w:r>
      <w:r w:rsidR="008C68AE">
        <w:br/>
      </w:r>
      <w:r w:rsidR="00C11F82" w:rsidRPr="008C68AE">
        <w:t>to</w:t>
      </w:r>
      <w:r w:rsidR="008C68AE">
        <w:t xml:space="preserve"> </w:t>
      </w:r>
      <w:r w:rsidR="00FB0E76" w:rsidRPr="008C68AE">
        <w:t xml:space="preserve">address </w:t>
      </w:r>
      <w:r w:rsidR="00C11F82" w:rsidRPr="008C68AE">
        <w:t>family violence.</w:t>
      </w:r>
    </w:p>
    <w:p w:rsidR="003C0E86" w:rsidRPr="008C68AE" w:rsidRDefault="00C11F82" w:rsidP="00D36EAE">
      <w:r w:rsidRPr="008C68AE">
        <w:t xml:space="preserve">It commits another </w:t>
      </w:r>
      <w:r w:rsidR="00BD5E5D" w:rsidRPr="008C68AE">
        <w:t>$1.3 b</w:t>
      </w:r>
      <w:r w:rsidRPr="008C68AE">
        <w:t>illion to continue the revitalisat</w:t>
      </w:r>
      <w:r w:rsidR="00CE3ED2" w:rsidRPr="008C68AE">
        <w:t>ion of our education system – a</w:t>
      </w:r>
      <w:r w:rsidR="00101466" w:rsidRPr="008C68AE">
        <w:t> </w:t>
      </w:r>
      <w:r w:rsidRPr="008C68AE">
        <w:t xml:space="preserve">system that benefits all Victorian </w:t>
      </w:r>
      <w:r w:rsidR="002D0562" w:rsidRPr="008C68AE">
        <w:t>children</w:t>
      </w:r>
      <w:r w:rsidRPr="008C68AE">
        <w:t xml:space="preserve">, no matter where they live, </w:t>
      </w:r>
      <w:r w:rsidR="00034DE2" w:rsidRPr="008C68AE">
        <w:t xml:space="preserve">and </w:t>
      </w:r>
      <w:r w:rsidRPr="008C68AE">
        <w:t>no matter what their parents earn.</w:t>
      </w:r>
      <w:r w:rsidR="00526D2C" w:rsidRPr="008C68AE">
        <w:t xml:space="preserve"> </w:t>
      </w:r>
    </w:p>
    <w:p w:rsidR="003C0E86" w:rsidRPr="008C68AE" w:rsidRDefault="002D6EC7" w:rsidP="00D36EAE">
      <w:r w:rsidRPr="008C68AE">
        <w:t>It</w:t>
      </w:r>
      <w:r w:rsidR="00526D2C" w:rsidRPr="008C68AE">
        <w:t xml:space="preserve"> </w:t>
      </w:r>
      <w:r w:rsidR="00C11F82" w:rsidRPr="008C68AE">
        <w:t xml:space="preserve">builds on our record-breaking investments in </w:t>
      </w:r>
      <w:r w:rsidR="00526D2C" w:rsidRPr="008C68AE">
        <w:t>the State</w:t>
      </w:r>
      <w:r w:rsidR="00CC00D2" w:rsidRPr="008C68AE">
        <w:t>’</w:t>
      </w:r>
      <w:r w:rsidR="00526D2C" w:rsidRPr="008C68AE">
        <w:t>s</w:t>
      </w:r>
      <w:r w:rsidR="00C11F82" w:rsidRPr="008C68AE">
        <w:t xml:space="preserve"> health system, with </w:t>
      </w:r>
      <w:r w:rsidR="00E46301" w:rsidRPr="008C68AE">
        <w:t>almost</w:t>
      </w:r>
      <w:r w:rsidR="00C11F82" w:rsidRPr="008C68AE">
        <w:t xml:space="preserve"> </w:t>
      </w:r>
      <w:r w:rsidR="00BD5E5D" w:rsidRPr="008C68AE">
        <w:t>$2.</w:t>
      </w:r>
      <w:r w:rsidR="00E46301" w:rsidRPr="008C68AE">
        <w:t>9</w:t>
      </w:r>
      <w:r w:rsidR="00101466" w:rsidRPr="008C68AE">
        <w:t> </w:t>
      </w:r>
      <w:r w:rsidR="00BD5E5D" w:rsidRPr="008C68AE">
        <w:t>billion</w:t>
      </w:r>
      <w:r w:rsidR="00C11F82" w:rsidRPr="008C68AE">
        <w:t xml:space="preserve"> to ensure all Victorians, irrespective of their economic circumstances, receive world-class care.</w:t>
      </w:r>
    </w:p>
    <w:p w:rsidR="009C13B0" w:rsidRPr="008C68AE" w:rsidRDefault="00344915" w:rsidP="00D36EAE">
      <w:r w:rsidRPr="008C68AE">
        <w:t>It gets on with the job of shoring up our infrastructure pipeline, investing $10.1 billion into the projects our cities, towns and communities need – more than double the average of $4.9 billion a year that preceded this government</w:t>
      </w:r>
      <w:r w:rsidR="009C13B0" w:rsidRPr="008C68AE">
        <w:t>.</w:t>
      </w:r>
    </w:p>
    <w:p w:rsidR="00C11F82" w:rsidRPr="008C68AE" w:rsidRDefault="00723E38" w:rsidP="00D36EAE">
      <w:r w:rsidRPr="008C68AE">
        <w:t>I</w:t>
      </w:r>
      <w:r w:rsidR="002D6EC7" w:rsidRPr="008C68AE">
        <w:t>t provides a record $2</w:t>
      </w:r>
      <w:r w:rsidR="009A3B47" w:rsidRPr="008C68AE">
        <w:t xml:space="preserve"> </w:t>
      </w:r>
      <w:r w:rsidR="002D6EC7" w:rsidRPr="008C68AE">
        <w:t xml:space="preserve">billion boost to Victoria Police, ensuring </w:t>
      </w:r>
      <w:r w:rsidR="002D0562" w:rsidRPr="008C68AE">
        <w:t>they have</w:t>
      </w:r>
      <w:r w:rsidR="002D6EC7" w:rsidRPr="008C68AE">
        <w:t xml:space="preserve"> every resource </w:t>
      </w:r>
      <w:r w:rsidR="004B35DA" w:rsidRPr="008C68AE">
        <w:t xml:space="preserve">they need </w:t>
      </w:r>
      <w:r w:rsidR="002D6EC7" w:rsidRPr="008C68AE">
        <w:t>to keep our streets safe, put victims first and hold perpetrators to account.</w:t>
      </w:r>
    </w:p>
    <w:p w:rsidR="00723E38" w:rsidRPr="008C68AE" w:rsidRDefault="00723E38" w:rsidP="00D36EAE">
      <w:r w:rsidRPr="008C68AE">
        <w:t>And it makes a record $4 billion investment in regional Victoria, continuing the government</w:t>
      </w:r>
      <w:r w:rsidR="00CC00D2" w:rsidRPr="008C68AE">
        <w:t>’</w:t>
      </w:r>
      <w:r w:rsidRPr="008C68AE">
        <w:t>s commitment to governing for all Victorians.</w:t>
      </w:r>
    </w:p>
    <w:p w:rsidR="00C11F82" w:rsidRPr="008C68AE" w:rsidRDefault="00C11F82" w:rsidP="00D36EAE">
      <w:r w:rsidRPr="008C68AE">
        <w:t xml:space="preserve">Speaker, all the social initiatives and infrastructure projects in the world </w:t>
      </w:r>
      <w:r w:rsidR="00B85A04" w:rsidRPr="008C68AE">
        <w:t>count for nothing</w:t>
      </w:r>
      <w:r w:rsidR="004B35DA" w:rsidRPr="008C68AE">
        <w:t xml:space="preserve"> </w:t>
      </w:r>
      <w:r w:rsidRPr="008C68AE">
        <w:t>if they</w:t>
      </w:r>
      <w:r w:rsidR="00CC00D2" w:rsidRPr="008C68AE">
        <w:t>’</w:t>
      </w:r>
      <w:r w:rsidRPr="008C68AE">
        <w:t>re not underpinned</w:t>
      </w:r>
      <w:r w:rsidR="00EA633E" w:rsidRPr="008C68AE">
        <w:t xml:space="preserve"> by strong economic management.</w:t>
      </w:r>
    </w:p>
    <w:p w:rsidR="00F85F90" w:rsidRPr="008C68AE" w:rsidRDefault="004A7FE8" w:rsidP="00D36EAE">
      <w:r w:rsidRPr="008C68AE">
        <w:t xml:space="preserve">This </w:t>
      </w:r>
      <w:r w:rsidR="0023697D" w:rsidRPr="008C68AE">
        <w:t>G</w:t>
      </w:r>
      <w:r w:rsidRPr="008C68AE">
        <w:t>overnment has kept its promises, met every challenge and maintained</w:t>
      </w:r>
      <w:r w:rsidR="000968FB" w:rsidRPr="008C68AE">
        <w:t xml:space="preserve"> </w:t>
      </w:r>
      <w:r w:rsidRPr="008C68AE">
        <w:t>its</w:t>
      </w:r>
      <w:r w:rsidR="008A31B1" w:rsidRPr="008C68AE">
        <w:t xml:space="preserve"> triple-A fiscal discipline</w:t>
      </w:r>
      <w:r w:rsidRPr="008C68AE">
        <w:t>.</w:t>
      </w:r>
    </w:p>
    <w:p w:rsidR="00C11F82" w:rsidRPr="008C68AE" w:rsidRDefault="00C11F82" w:rsidP="00D36EAE">
      <w:r w:rsidRPr="008C68AE">
        <w:t xml:space="preserve">The </w:t>
      </w:r>
      <w:r w:rsidR="0059128E" w:rsidRPr="008C68AE">
        <w:rPr>
          <w:i/>
        </w:rPr>
        <w:t>2017-18 Budget</w:t>
      </w:r>
      <w:r w:rsidRPr="008C68AE">
        <w:t xml:space="preserve"> produces an operating surplus of </w:t>
      </w:r>
      <w:r w:rsidR="00DA2876" w:rsidRPr="008C68AE">
        <w:t>$1.</w:t>
      </w:r>
      <w:r w:rsidR="007F0D1F" w:rsidRPr="008C68AE">
        <w:t>2</w:t>
      </w:r>
      <w:r w:rsidRPr="008C68AE">
        <w:t xml:space="preserve"> billion, with surplus</w:t>
      </w:r>
      <w:r w:rsidR="005809ED" w:rsidRPr="008C68AE">
        <w:t>es</w:t>
      </w:r>
      <w:r w:rsidRPr="008C68AE">
        <w:t xml:space="preserve"> averaging </w:t>
      </w:r>
      <w:r w:rsidR="00DA2876" w:rsidRPr="008C68AE">
        <w:t>$2.</w:t>
      </w:r>
      <w:r w:rsidR="00D93F50" w:rsidRPr="008C68AE">
        <w:t>4</w:t>
      </w:r>
      <w:r w:rsidR="00101466" w:rsidRPr="008C68AE">
        <w:t> </w:t>
      </w:r>
      <w:r w:rsidRPr="008C68AE">
        <w:t xml:space="preserve">billion over the </w:t>
      </w:r>
      <w:r w:rsidR="00D93F50" w:rsidRPr="008C68AE">
        <w:t>forward estimates</w:t>
      </w:r>
      <w:r w:rsidRPr="008C68AE">
        <w:t xml:space="preserve">. </w:t>
      </w:r>
    </w:p>
    <w:p w:rsidR="00D171B6" w:rsidRPr="008C68AE" w:rsidRDefault="00DF739C" w:rsidP="00D36EAE">
      <w:r w:rsidRPr="008C68AE">
        <w:t>A</w:t>
      </w:r>
      <w:r w:rsidR="00C11F82" w:rsidRPr="008C68AE">
        <w:t xml:space="preserve">fter a lamentable period of inertia under the previous </w:t>
      </w:r>
      <w:r w:rsidR="009047F0" w:rsidRPr="008C68AE">
        <w:t>g</w:t>
      </w:r>
      <w:r w:rsidR="00C11F82" w:rsidRPr="008C68AE">
        <w:t xml:space="preserve">overnment, we have regained our status as the </w:t>
      </w:r>
      <w:r w:rsidR="00EA633E" w:rsidRPr="008C68AE">
        <w:t>nation</w:t>
      </w:r>
      <w:r w:rsidR="00CC00D2" w:rsidRPr="008C68AE">
        <w:t>’</w:t>
      </w:r>
      <w:r w:rsidR="00EA633E" w:rsidRPr="008C68AE">
        <w:t>s economic engine room</w:t>
      </w:r>
      <w:r w:rsidR="00D171B6" w:rsidRPr="008C68AE">
        <w:t>.</w:t>
      </w:r>
    </w:p>
    <w:p w:rsidR="00EA633E" w:rsidRPr="008C68AE" w:rsidRDefault="00C11F82" w:rsidP="00D36EAE">
      <w:r w:rsidRPr="008C68AE">
        <w:t>We</w:t>
      </w:r>
      <w:r w:rsidR="00CC00D2" w:rsidRPr="008C68AE">
        <w:t>’</w:t>
      </w:r>
      <w:r w:rsidRPr="008C68AE">
        <w:t>ve bucked the national trend when it comes to economic grow</w:t>
      </w:r>
      <w:r w:rsidR="002C6CED" w:rsidRPr="008C68AE">
        <w:t>th and jobs, with 216</w:t>
      </w:r>
      <w:r w:rsidR="00101466" w:rsidRPr="008C68AE">
        <w:t> </w:t>
      </w:r>
      <w:r w:rsidRPr="008C68AE">
        <w:t xml:space="preserve">000 </w:t>
      </w:r>
      <w:r w:rsidR="00CB56DD" w:rsidRPr="008C68AE">
        <w:t xml:space="preserve">jobs </w:t>
      </w:r>
      <w:r w:rsidRPr="008C68AE">
        <w:t>created on our watch</w:t>
      </w:r>
      <w:r w:rsidR="003E4988" w:rsidRPr="008C68AE">
        <w:t xml:space="preserve"> – </w:t>
      </w:r>
      <w:r w:rsidR="00BA59BF" w:rsidRPr="008C68AE">
        <w:t xml:space="preserve">more than </w:t>
      </w:r>
      <w:r w:rsidR="00041D56" w:rsidRPr="008C68AE">
        <w:t>130</w:t>
      </w:r>
      <w:r w:rsidR="00101466" w:rsidRPr="008C68AE">
        <w:t> </w:t>
      </w:r>
      <w:r w:rsidR="00BA59BF" w:rsidRPr="008C68AE">
        <w:t>0</w:t>
      </w:r>
      <w:r w:rsidR="00041D56" w:rsidRPr="008C68AE">
        <w:t>00</w:t>
      </w:r>
      <w:r w:rsidR="0009424E" w:rsidRPr="008C68AE">
        <w:t xml:space="preserve"> </w:t>
      </w:r>
      <w:r w:rsidR="003E4988" w:rsidRPr="008C68AE">
        <w:t xml:space="preserve">of </w:t>
      </w:r>
      <w:r w:rsidR="00582C07" w:rsidRPr="008C68AE">
        <w:t>them being</w:t>
      </w:r>
      <w:r w:rsidR="00B65214" w:rsidRPr="008C68AE">
        <w:t xml:space="preserve"> </w:t>
      </w:r>
      <w:r w:rsidR="003E4988" w:rsidRPr="008C68AE">
        <w:t>full time.</w:t>
      </w:r>
    </w:p>
    <w:p w:rsidR="00013FB3" w:rsidRPr="008C68AE" w:rsidRDefault="00013FB3" w:rsidP="00D36EAE">
      <w:r w:rsidRPr="008C68AE">
        <w:t xml:space="preserve">Net debt as a proportion of the economy has been maintained at below the levels </w:t>
      </w:r>
      <w:r w:rsidR="0000098C" w:rsidRPr="008C68AE">
        <w:t xml:space="preserve">we </w:t>
      </w:r>
      <w:r w:rsidRPr="008C68AE">
        <w:t xml:space="preserve">inherited and </w:t>
      </w:r>
      <w:r w:rsidR="00621EC9" w:rsidRPr="008C68AE">
        <w:t xml:space="preserve">will </w:t>
      </w:r>
      <w:r w:rsidRPr="008C68AE">
        <w:t xml:space="preserve">remain at no more than 6 per cent </w:t>
      </w:r>
      <w:r w:rsidR="00C115E8" w:rsidRPr="008C68AE">
        <w:t xml:space="preserve">of gross state product </w:t>
      </w:r>
      <w:r w:rsidRPr="008C68AE">
        <w:t>over the next four years.</w:t>
      </w:r>
    </w:p>
    <w:p w:rsidR="00E01AB1" w:rsidRPr="008C68AE" w:rsidRDefault="00C11F82" w:rsidP="00D36EAE">
      <w:r w:rsidRPr="008C68AE">
        <w:lastRenderedPageBreak/>
        <w:t>We</w:t>
      </w:r>
      <w:r w:rsidR="00CC00D2" w:rsidRPr="008C68AE">
        <w:t>’</w:t>
      </w:r>
      <w:r w:rsidRPr="008C68AE">
        <w:t xml:space="preserve">re one of only two Australian states with a triple-A rating from both major credit rating agencies. </w:t>
      </w:r>
    </w:p>
    <w:p w:rsidR="00962BAF" w:rsidRPr="008C68AE" w:rsidRDefault="00962BAF" w:rsidP="00D36EAE">
      <w:r w:rsidRPr="008C68AE">
        <w:t>We</w:t>
      </w:r>
      <w:r w:rsidR="00CC00D2" w:rsidRPr="008C68AE">
        <w:t>’</w:t>
      </w:r>
      <w:r w:rsidRPr="008C68AE">
        <w:t xml:space="preserve">ve maintained growth in </w:t>
      </w:r>
      <w:r w:rsidR="00B65214" w:rsidRPr="008C68AE">
        <w:t>GSP</w:t>
      </w:r>
      <w:r w:rsidRPr="008C68AE">
        <w:t xml:space="preserve"> that is significantly higher than growth in national </w:t>
      </w:r>
      <w:r w:rsidR="00B65214" w:rsidRPr="008C68AE">
        <w:t>GDP</w:t>
      </w:r>
      <w:r w:rsidRPr="008C68AE">
        <w:t>.</w:t>
      </w:r>
    </w:p>
    <w:p w:rsidR="00962BAF" w:rsidRPr="008C68AE" w:rsidRDefault="00031D8C" w:rsidP="00D36EAE">
      <w:r w:rsidRPr="008C68AE">
        <w:t>Business is booming</w:t>
      </w:r>
      <w:r w:rsidR="00FB4563" w:rsidRPr="008C68AE">
        <w:t>. P</w:t>
      </w:r>
      <w:r w:rsidR="00962BAF" w:rsidRPr="008C68AE">
        <w:t>roductivity growth has surged from negative to positive territory.</w:t>
      </w:r>
      <w:r w:rsidR="00962BAF" w:rsidRPr="008C68AE" w:rsidDel="00962BAF">
        <w:t xml:space="preserve"> </w:t>
      </w:r>
    </w:p>
    <w:p w:rsidR="00AC0BE1" w:rsidRPr="008C68AE" w:rsidRDefault="00AC0BE1" w:rsidP="00D36EAE">
      <w:r w:rsidRPr="008C68AE">
        <w:t xml:space="preserve">And importantly, labour force participation is growing, </w:t>
      </w:r>
      <w:r w:rsidR="00956C3C" w:rsidRPr="008C68AE">
        <w:t xml:space="preserve">which </w:t>
      </w:r>
      <w:r w:rsidR="00396EAC" w:rsidRPr="008C68AE">
        <w:t xml:space="preserve">means more Victorians are </w:t>
      </w:r>
      <w:r w:rsidR="00DC06D4" w:rsidRPr="008C68AE">
        <w:t>taking the opportunity to contribute</w:t>
      </w:r>
      <w:r w:rsidR="00962BAF" w:rsidRPr="008C68AE">
        <w:t xml:space="preserve"> to</w:t>
      </w:r>
      <w:r w:rsidR="00396EAC" w:rsidRPr="008C68AE">
        <w:t xml:space="preserve"> our economy.</w:t>
      </w:r>
      <w:r w:rsidR="00956C3C" w:rsidRPr="008C68AE">
        <w:t xml:space="preserve"> </w:t>
      </w:r>
    </w:p>
    <w:p w:rsidR="00396EAC" w:rsidRPr="008C68AE" w:rsidRDefault="00396EAC" w:rsidP="00D36EAE">
      <w:r w:rsidRPr="008C68AE">
        <w:t xml:space="preserve">This </w:t>
      </w:r>
      <w:r w:rsidR="00BD1E81" w:rsidRPr="008C68AE">
        <w:t xml:space="preserve">is despite a Sydney-centric </w:t>
      </w:r>
      <w:r w:rsidRPr="008C68AE">
        <w:t>Federal Government that continues to deny us our fair sh</w:t>
      </w:r>
      <w:r w:rsidR="00B65214" w:rsidRPr="008C68AE">
        <w:t xml:space="preserve">are of infrastructure funding – that continues to </w:t>
      </w:r>
      <w:r w:rsidR="00882CBC" w:rsidRPr="008C68AE">
        <w:t>short</w:t>
      </w:r>
      <w:r w:rsidR="003A1DC3" w:rsidRPr="008C68AE">
        <w:t xml:space="preserve"> </w:t>
      </w:r>
      <w:r w:rsidR="00882CBC" w:rsidRPr="008C68AE">
        <w:t>chang</w:t>
      </w:r>
      <w:r w:rsidR="00B65214" w:rsidRPr="008C68AE">
        <w:t>e</w:t>
      </w:r>
      <w:r w:rsidRPr="008C68AE">
        <w:t xml:space="preserve"> Victorians.</w:t>
      </w:r>
    </w:p>
    <w:p w:rsidR="00396EAC" w:rsidRPr="008C68AE" w:rsidRDefault="00BD1E81" w:rsidP="00D36EAE">
      <w:r w:rsidRPr="008C68AE">
        <w:t>As a consequence, t</w:t>
      </w:r>
      <w:r w:rsidR="00396EAC" w:rsidRPr="008C68AE">
        <w:t>he Commonwealth can lay no claim to Victoria</w:t>
      </w:r>
      <w:r w:rsidR="00CC00D2" w:rsidRPr="008C68AE">
        <w:t>’</w:t>
      </w:r>
      <w:r w:rsidR="00396EAC" w:rsidRPr="008C68AE">
        <w:t xml:space="preserve">s economic revitalisation, but </w:t>
      </w:r>
      <w:r w:rsidR="00FB4563" w:rsidRPr="008C68AE">
        <w:t xml:space="preserve">just </w:t>
      </w:r>
      <w:r w:rsidR="00396EAC" w:rsidRPr="008C68AE">
        <w:t xml:space="preserve">imagine what could be achieved if they were willing partners. </w:t>
      </w:r>
    </w:p>
    <w:p w:rsidR="002B353C" w:rsidRPr="008C68AE" w:rsidRDefault="0009424E" w:rsidP="00D36EAE">
      <w:r w:rsidRPr="008C68AE">
        <w:t xml:space="preserve">Speaker, by </w:t>
      </w:r>
      <w:r w:rsidR="00A34DFE" w:rsidRPr="008C68AE">
        <w:t>2014</w:t>
      </w:r>
      <w:r w:rsidR="002B353C" w:rsidRPr="008C68AE">
        <w:t>, after four years of</w:t>
      </w:r>
      <w:r w:rsidR="00C5037B" w:rsidRPr="008C68AE">
        <w:t xml:space="preserve"> </w:t>
      </w:r>
      <w:r w:rsidR="002B353C" w:rsidRPr="008C68AE">
        <w:t>shoulder-shrugging</w:t>
      </w:r>
      <w:r w:rsidR="00B85A04" w:rsidRPr="008C68AE">
        <w:t xml:space="preserve"> by the previous government</w:t>
      </w:r>
      <w:r w:rsidR="002B353C" w:rsidRPr="008C68AE">
        <w:t>,</w:t>
      </w:r>
      <w:r w:rsidR="00A34DFE" w:rsidRPr="008C68AE">
        <w:t xml:space="preserve"> our</w:t>
      </w:r>
      <w:r w:rsidR="00D36EAE" w:rsidRPr="008C68AE">
        <w:t> </w:t>
      </w:r>
      <w:r w:rsidR="00A34DFE" w:rsidRPr="008C68AE">
        <w:t>unemployment rate was nudging 7</w:t>
      </w:r>
      <w:r w:rsidR="009047F0" w:rsidRPr="008C68AE">
        <w:t xml:space="preserve"> per cent</w:t>
      </w:r>
      <w:r w:rsidR="00A34DFE" w:rsidRPr="008C68AE">
        <w:t xml:space="preserve">. </w:t>
      </w:r>
    </w:p>
    <w:p w:rsidR="00A34DFE" w:rsidRPr="008C68AE" w:rsidRDefault="00A34DFE" w:rsidP="00D36EAE">
      <w:r w:rsidRPr="008C68AE">
        <w:t xml:space="preserve">It was a blight on our </w:t>
      </w:r>
      <w:r w:rsidR="009047F0" w:rsidRPr="008C68AE">
        <w:t>s</w:t>
      </w:r>
      <w:r w:rsidRPr="008C68AE">
        <w:t>tate and one we haven</w:t>
      </w:r>
      <w:r w:rsidR="00CC00D2" w:rsidRPr="008C68AE">
        <w:t>’</w:t>
      </w:r>
      <w:r w:rsidR="00101466" w:rsidRPr="008C68AE">
        <w:t>t wasted a moment addressing.</w:t>
      </w:r>
    </w:p>
    <w:p w:rsidR="00A34DFE" w:rsidRPr="008C68AE" w:rsidRDefault="00A34DFE" w:rsidP="00D36EAE">
      <w:r w:rsidRPr="008C68AE">
        <w:t xml:space="preserve">With prudence and </w:t>
      </w:r>
      <w:r w:rsidR="00026622" w:rsidRPr="008C68AE">
        <w:t xml:space="preserve">with </w:t>
      </w:r>
      <w:r w:rsidRPr="008C68AE">
        <w:t xml:space="preserve">foresight, we have </w:t>
      </w:r>
      <w:r w:rsidR="00F3781C" w:rsidRPr="008C68AE">
        <w:t>turned this around</w:t>
      </w:r>
      <w:r w:rsidRPr="008C68AE">
        <w:t xml:space="preserve">, creating </w:t>
      </w:r>
      <w:r w:rsidR="00344915" w:rsidRPr="008C68AE">
        <w:t>almost</w:t>
      </w:r>
      <w:r w:rsidR="0009424E" w:rsidRPr="008C68AE">
        <w:t xml:space="preserve"> </w:t>
      </w:r>
      <w:r w:rsidR="00DF739C" w:rsidRPr="008C68AE">
        <w:t xml:space="preserve">250 </w:t>
      </w:r>
      <w:r w:rsidRPr="008C68AE">
        <w:t xml:space="preserve">jobs every day. </w:t>
      </w:r>
    </w:p>
    <w:p w:rsidR="007A6744" w:rsidRPr="008C68AE" w:rsidRDefault="00695751" w:rsidP="00D36EAE">
      <w:r w:rsidRPr="008C68AE">
        <w:t xml:space="preserve">This </w:t>
      </w:r>
      <w:r w:rsidR="0023697D" w:rsidRPr="008C68AE">
        <w:t>G</w:t>
      </w:r>
      <w:r w:rsidRPr="008C68AE">
        <w:t>overnment</w:t>
      </w:r>
      <w:r w:rsidR="00CC00D2" w:rsidRPr="008C68AE">
        <w:t>’</w:t>
      </w:r>
      <w:r w:rsidRPr="008C68AE">
        <w:t>s</w:t>
      </w:r>
      <w:r w:rsidR="007A6744" w:rsidRPr="008C68AE">
        <w:t xml:space="preserve"> record infrastructure spend </w:t>
      </w:r>
      <w:r w:rsidRPr="008C68AE">
        <w:t xml:space="preserve">alone </w:t>
      </w:r>
      <w:r w:rsidR="00F515C5" w:rsidRPr="008C68AE">
        <w:t>is ex</w:t>
      </w:r>
      <w:r w:rsidR="00BF2C03" w:rsidRPr="008C68AE">
        <w:t>pected to generate more than 50</w:t>
      </w:r>
      <w:r w:rsidR="00101466" w:rsidRPr="008C68AE">
        <w:t> </w:t>
      </w:r>
      <w:r w:rsidR="00F515C5" w:rsidRPr="008C68AE">
        <w:t>000 j</w:t>
      </w:r>
      <w:r w:rsidR="007A6744" w:rsidRPr="008C68AE">
        <w:t>obs.</w:t>
      </w:r>
    </w:p>
    <w:p w:rsidR="00A34DFE" w:rsidRPr="008C68AE" w:rsidRDefault="00B75751" w:rsidP="00D36EAE">
      <w:r w:rsidRPr="008C68AE">
        <w:t>Latest figures show</w:t>
      </w:r>
      <w:r w:rsidR="00A34DFE" w:rsidRPr="008C68AE">
        <w:t xml:space="preserve"> </w:t>
      </w:r>
      <w:r w:rsidRPr="008C68AE">
        <w:t xml:space="preserve">Victorian </w:t>
      </w:r>
      <w:r w:rsidR="00A34DFE" w:rsidRPr="008C68AE">
        <w:t xml:space="preserve">employment grew by an </w:t>
      </w:r>
      <w:r w:rsidRPr="008C68AE">
        <w:t xml:space="preserve">annual </w:t>
      </w:r>
      <w:r w:rsidR="00A34DFE" w:rsidRPr="008C68AE">
        <w:t xml:space="preserve">average of </w:t>
      </w:r>
      <w:r w:rsidR="00CE0698" w:rsidRPr="008C68AE">
        <w:t>3.</w:t>
      </w:r>
      <w:r w:rsidR="00D135C3" w:rsidRPr="008C68AE">
        <w:t>4</w:t>
      </w:r>
      <w:r w:rsidR="00BF448E" w:rsidRPr="008C68AE">
        <w:t> per </w:t>
      </w:r>
      <w:r w:rsidR="009047F0" w:rsidRPr="008C68AE">
        <w:t>cent</w:t>
      </w:r>
      <w:r w:rsidR="00A34DFE" w:rsidRPr="008C68AE">
        <w:t>, the</w:t>
      </w:r>
      <w:r w:rsidR="00101466" w:rsidRPr="008C68AE">
        <w:t> </w:t>
      </w:r>
      <w:r w:rsidR="00A34DFE" w:rsidRPr="008C68AE">
        <w:t>strongest of all states</w:t>
      </w:r>
      <w:r w:rsidR="00674A97" w:rsidRPr="008C68AE">
        <w:t xml:space="preserve">, while </w:t>
      </w:r>
      <w:r w:rsidR="005809ED" w:rsidRPr="008C68AE">
        <w:t xml:space="preserve">the </w:t>
      </w:r>
      <w:r w:rsidR="00674A97" w:rsidRPr="008C68AE">
        <w:t xml:space="preserve">rest of Australia </w:t>
      </w:r>
      <w:r w:rsidR="005809ED" w:rsidRPr="008C68AE">
        <w:t>average</w:t>
      </w:r>
      <w:r w:rsidR="00674A97" w:rsidRPr="008C68AE">
        <w:t>d</w:t>
      </w:r>
      <w:r w:rsidR="005809ED" w:rsidRPr="008C68AE">
        <w:t xml:space="preserve"> </w:t>
      </w:r>
      <w:r w:rsidR="00674A97" w:rsidRPr="008C68AE">
        <w:t xml:space="preserve">only </w:t>
      </w:r>
      <w:r w:rsidRPr="008C68AE">
        <w:t>0</w:t>
      </w:r>
      <w:r w:rsidR="00C846D4" w:rsidRPr="008C68AE">
        <w:t>.</w:t>
      </w:r>
      <w:r w:rsidRPr="008C68AE">
        <w:t>6</w:t>
      </w:r>
      <w:r w:rsidR="00BF448E" w:rsidRPr="008C68AE">
        <w:t> </w:t>
      </w:r>
      <w:r w:rsidR="005809ED" w:rsidRPr="008C68AE">
        <w:t>per cent</w:t>
      </w:r>
      <w:r w:rsidR="007D544D" w:rsidRPr="008C68AE">
        <w:t>.</w:t>
      </w:r>
    </w:p>
    <w:p w:rsidR="00FB4563" w:rsidRPr="008C68AE" w:rsidRDefault="00566DA7" w:rsidP="00D36EAE">
      <w:r w:rsidRPr="008C68AE">
        <w:t>Put another way, more jobs w</w:t>
      </w:r>
      <w:r w:rsidR="0023697D" w:rsidRPr="008C68AE">
        <w:t>ere created in Victoria in the p</w:t>
      </w:r>
      <w:r w:rsidRPr="008C68AE">
        <w:t>ast year than the rest of the nation combined.</w:t>
      </w:r>
    </w:p>
    <w:p w:rsidR="005F4C7A" w:rsidRPr="008C68AE" w:rsidRDefault="00112ABF" w:rsidP="00D36EAE">
      <w:r w:rsidRPr="008C68AE">
        <w:t>We are particularly proud of the jobs growth in regional Victoria, with the rate of employment growing at more than double the national rate.</w:t>
      </w:r>
    </w:p>
    <w:p w:rsidR="00A34DFE" w:rsidRPr="008C68AE" w:rsidRDefault="00096E72" w:rsidP="00015997">
      <w:r w:rsidRPr="008C68AE">
        <w:t>This budget</w:t>
      </w:r>
      <w:r w:rsidR="00A34DFE" w:rsidRPr="008C68AE">
        <w:t xml:space="preserve"> will </w:t>
      </w:r>
      <w:r w:rsidR="005A359D" w:rsidRPr="008C68AE">
        <w:t>stimulate</w:t>
      </w:r>
      <w:r w:rsidR="00A34DFE" w:rsidRPr="008C68AE">
        <w:t xml:space="preserve"> statewide </w:t>
      </w:r>
      <w:r w:rsidRPr="008C68AE">
        <w:t>employment</w:t>
      </w:r>
      <w:r w:rsidR="00A34DFE" w:rsidRPr="008C68AE">
        <w:t xml:space="preserve"> growth and drive private sector investment. It </w:t>
      </w:r>
      <w:r w:rsidR="00B15EC7" w:rsidRPr="008C68AE">
        <w:t xml:space="preserve">will </w:t>
      </w:r>
      <w:r w:rsidR="00A34DFE" w:rsidRPr="008C68AE">
        <w:t>secure today</w:t>
      </w:r>
      <w:r w:rsidR="00CC00D2" w:rsidRPr="008C68AE">
        <w:t>’</w:t>
      </w:r>
      <w:r w:rsidR="00A34DFE" w:rsidRPr="008C68AE">
        <w:t xml:space="preserve">s jobs, </w:t>
      </w:r>
      <w:r w:rsidR="00E7779B" w:rsidRPr="008C68AE">
        <w:t xml:space="preserve">and </w:t>
      </w:r>
      <w:r w:rsidR="005A359D" w:rsidRPr="008C68AE">
        <w:t>create</w:t>
      </w:r>
      <w:r w:rsidR="00A34DFE" w:rsidRPr="008C68AE">
        <w:t xml:space="preserve"> tomorrow</w:t>
      </w:r>
      <w:r w:rsidR="00CC00D2" w:rsidRPr="008C68AE">
        <w:t>’</w:t>
      </w:r>
      <w:r w:rsidR="00A34DFE" w:rsidRPr="008C68AE">
        <w:t xml:space="preserve">s. </w:t>
      </w:r>
    </w:p>
    <w:p w:rsidR="00D95590" w:rsidRPr="008C68AE" w:rsidRDefault="00A34DFE" w:rsidP="00D36EAE">
      <w:r w:rsidRPr="008C68AE">
        <w:t>It</w:t>
      </w:r>
      <w:r w:rsidR="00CC00D2" w:rsidRPr="008C68AE">
        <w:t>’</w:t>
      </w:r>
      <w:r w:rsidRPr="008C68AE">
        <w:t>s especially important that we invest in our small businesses</w:t>
      </w:r>
      <w:r w:rsidR="00026622" w:rsidRPr="008C68AE">
        <w:t>,</w:t>
      </w:r>
      <w:r w:rsidR="00D949FF" w:rsidRPr="008C68AE">
        <w:t xml:space="preserve"> </w:t>
      </w:r>
      <w:r w:rsidR="00777577" w:rsidRPr="008C68AE">
        <w:t>whose numbers grew by an</w:t>
      </w:r>
      <w:r w:rsidR="00101466" w:rsidRPr="008C68AE">
        <w:t> </w:t>
      </w:r>
      <w:r w:rsidR="00D949FF" w:rsidRPr="008C68AE">
        <w:t xml:space="preserve">additional 15 000 </w:t>
      </w:r>
      <w:r w:rsidR="00777577" w:rsidRPr="008C68AE">
        <w:t>last year</w:t>
      </w:r>
      <w:r w:rsidR="0009424E" w:rsidRPr="008C68AE">
        <w:t>.</w:t>
      </w:r>
      <w:r w:rsidR="00D95590" w:rsidRPr="008C68AE">
        <w:t xml:space="preserve"> </w:t>
      </w:r>
    </w:p>
    <w:p w:rsidR="00D949FF" w:rsidRPr="008C68AE" w:rsidRDefault="00D95590" w:rsidP="00D36EAE">
      <w:r w:rsidRPr="008C68AE">
        <w:t>This is a government that values its relationship with business.</w:t>
      </w:r>
    </w:p>
    <w:p w:rsidR="00A34DFE" w:rsidRPr="008C68AE" w:rsidRDefault="008D2A77" w:rsidP="00D36EAE">
      <w:r w:rsidRPr="008C68AE">
        <w:t>We want</w:t>
      </w:r>
      <w:r w:rsidR="00A34DFE" w:rsidRPr="008C68AE">
        <w:t xml:space="preserve"> </w:t>
      </w:r>
      <w:r w:rsidRPr="008C68AE">
        <w:t>to</w:t>
      </w:r>
      <w:r w:rsidR="00A34DFE" w:rsidRPr="008C68AE">
        <w:t xml:space="preserve"> reduce impediments to </w:t>
      </w:r>
      <w:r w:rsidR="00D95590" w:rsidRPr="008C68AE">
        <w:t xml:space="preserve">their </w:t>
      </w:r>
      <w:r w:rsidR="00A34DFE" w:rsidRPr="008C68AE">
        <w:t xml:space="preserve">growth so they can </w:t>
      </w:r>
      <w:r w:rsidR="003122D9" w:rsidRPr="008C68AE">
        <w:t xml:space="preserve">develop </w:t>
      </w:r>
      <w:r w:rsidR="00A34DFE" w:rsidRPr="008C68AE">
        <w:t xml:space="preserve">their operations, expand into new markets and create new jobs. </w:t>
      </w:r>
    </w:p>
    <w:p w:rsidR="0064019E" w:rsidRPr="008C68AE" w:rsidRDefault="000B24BC" w:rsidP="00D36EAE">
      <w:r w:rsidRPr="008C68AE">
        <w:t xml:space="preserve">The </w:t>
      </w:r>
      <w:r w:rsidR="0023697D" w:rsidRPr="008C68AE">
        <w:t>G</w:t>
      </w:r>
      <w:r w:rsidRPr="008C68AE">
        <w:t xml:space="preserve">overnment is therefore bringing forward previously announced increases to the payroll tax-free threshold. </w:t>
      </w:r>
    </w:p>
    <w:p w:rsidR="006307B0" w:rsidRPr="008C68AE" w:rsidRDefault="00441DF0" w:rsidP="00D36EAE">
      <w:r w:rsidRPr="008C68AE">
        <w:lastRenderedPageBreak/>
        <w:t>This will benefit</w:t>
      </w:r>
      <w:r w:rsidR="006307B0" w:rsidRPr="008C68AE">
        <w:t xml:space="preserve"> around 38</w:t>
      </w:r>
      <w:r w:rsidR="00B85A04" w:rsidRPr="008C68AE">
        <w:t xml:space="preserve"> </w:t>
      </w:r>
      <w:r w:rsidR="006307B0" w:rsidRPr="008C68AE">
        <w:t xml:space="preserve">000 businesses with a payroll tax liability. It </w:t>
      </w:r>
      <w:r w:rsidRPr="008C68AE">
        <w:t xml:space="preserve">also </w:t>
      </w:r>
      <w:r w:rsidR="006307B0" w:rsidRPr="008C68AE">
        <w:t>means that in</w:t>
      </w:r>
      <w:r w:rsidR="00101466" w:rsidRPr="008C68AE">
        <w:t> </w:t>
      </w:r>
      <w:r w:rsidR="006307B0" w:rsidRPr="008C68AE">
        <w:t>two years</w:t>
      </w:r>
      <w:r w:rsidR="00CC00D2" w:rsidRPr="008C68AE">
        <w:t>’</w:t>
      </w:r>
      <w:r w:rsidR="006307B0" w:rsidRPr="008C68AE">
        <w:t xml:space="preserve"> time 1 600 Victorian </w:t>
      </w:r>
      <w:r w:rsidR="00674F52" w:rsidRPr="008C68AE">
        <w:t>enterprises</w:t>
      </w:r>
      <w:r w:rsidR="006307B0" w:rsidRPr="008C68AE">
        <w:t xml:space="preserve"> will have</w:t>
      </w:r>
      <w:r w:rsidR="009077AB" w:rsidRPr="008C68AE">
        <w:t xml:space="preserve"> stopped paying any payroll tax</w:t>
      </w:r>
      <w:r w:rsidR="006307B0" w:rsidRPr="008C68AE">
        <w:t>.</w:t>
      </w:r>
    </w:p>
    <w:p w:rsidR="00572CDC" w:rsidRPr="008C68AE" w:rsidRDefault="0064019E" w:rsidP="00D36EAE">
      <w:r w:rsidRPr="008C68AE">
        <w:t xml:space="preserve">In addition, </w:t>
      </w:r>
      <w:r w:rsidR="00F27238" w:rsidRPr="008C68AE">
        <w:t>we</w:t>
      </w:r>
      <w:r w:rsidR="00CC00D2" w:rsidRPr="008C68AE">
        <w:t>’</w:t>
      </w:r>
      <w:r w:rsidR="00572CDC" w:rsidRPr="008C68AE">
        <w:t>re reducing the payroll tax rate by 25 per cent for all business</w:t>
      </w:r>
      <w:r w:rsidR="00623F65" w:rsidRPr="008C68AE">
        <w:t>es</w:t>
      </w:r>
      <w:r w:rsidR="00572CDC" w:rsidRPr="008C68AE">
        <w:t xml:space="preserve"> operating substantially in regional Victoria</w:t>
      </w:r>
      <w:r w:rsidR="00DE6BF3" w:rsidRPr="008C68AE">
        <w:t xml:space="preserve"> –</w:t>
      </w:r>
      <w:r w:rsidR="00AE22F6" w:rsidRPr="008C68AE">
        <w:t xml:space="preserve"> </w:t>
      </w:r>
      <w:r w:rsidR="00441DF0" w:rsidRPr="008C68AE">
        <w:t>a</w:t>
      </w:r>
      <w:r w:rsidR="00AD39C5" w:rsidRPr="008C68AE">
        <w:t xml:space="preserve">n Australian </w:t>
      </w:r>
      <w:r w:rsidR="00441DF0" w:rsidRPr="008C68AE">
        <w:t xml:space="preserve">first that </w:t>
      </w:r>
      <w:r w:rsidR="00AE22F6" w:rsidRPr="008C68AE">
        <w:t xml:space="preserve">directly </w:t>
      </w:r>
      <w:r w:rsidR="008E3254" w:rsidRPr="008C68AE">
        <w:t>reduc</w:t>
      </w:r>
      <w:r w:rsidR="00441DF0" w:rsidRPr="008C68AE">
        <w:t>es</w:t>
      </w:r>
      <w:r w:rsidR="008E3254" w:rsidRPr="008C68AE">
        <w:t xml:space="preserve"> costs for</w:t>
      </w:r>
      <w:r w:rsidR="00AE22F6" w:rsidRPr="008C68AE">
        <w:t xml:space="preserve"> around 4</w:t>
      </w:r>
      <w:r w:rsidR="007F4979" w:rsidRPr="008C68AE">
        <w:t> </w:t>
      </w:r>
      <w:r w:rsidR="00AE22F6" w:rsidRPr="008C68AE">
        <w:t>000 businesses</w:t>
      </w:r>
      <w:r w:rsidR="00572CDC" w:rsidRPr="008C68AE">
        <w:t>.</w:t>
      </w:r>
    </w:p>
    <w:p w:rsidR="00CF46A7" w:rsidRPr="008C68AE" w:rsidRDefault="00CF46A7" w:rsidP="00D36EAE">
      <w:r w:rsidRPr="008C68AE">
        <w:t>It will mean Victoria</w:t>
      </w:r>
      <w:r w:rsidR="00CC00D2" w:rsidRPr="008C68AE">
        <w:t>’</w:t>
      </w:r>
      <w:r w:rsidRPr="008C68AE">
        <w:t>s regional employers will have the lowest payroll tax rate in the nation.</w:t>
      </w:r>
    </w:p>
    <w:p w:rsidR="001F701F" w:rsidRPr="008C68AE" w:rsidRDefault="00FA2082" w:rsidP="00D36EAE">
      <w:r w:rsidRPr="008C68AE">
        <w:t>This will</w:t>
      </w:r>
      <w:r w:rsidR="0064019E" w:rsidRPr="008C68AE">
        <w:t xml:space="preserve"> </w:t>
      </w:r>
      <w:r w:rsidR="00AE22F6" w:rsidRPr="008C68AE">
        <w:t>support employers to grow their businesses, encourag</w:t>
      </w:r>
      <w:r w:rsidR="00623F65" w:rsidRPr="008C68AE">
        <w:t>e</w:t>
      </w:r>
      <w:r w:rsidR="00AE22F6" w:rsidRPr="008C68AE">
        <w:t xml:space="preserve"> job </w:t>
      </w:r>
      <w:r w:rsidR="00E64E90" w:rsidRPr="008C68AE">
        <w:t>creation,</w:t>
      </w:r>
      <w:r w:rsidR="00AE22F6" w:rsidRPr="008C68AE">
        <w:t xml:space="preserve"> and </w:t>
      </w:r>
      <w:r w:rsidR="00E64E90" w:rsidRPr="008C68AE">
        <w:t>ensur</w:t>
      </w:r>
      <w:r w:rsidR="00623F65" w:rsidRPr="008C68AE">
        <w:t>e our regional communities</w:t>
      </w:r>
      <w:r w:rsidR="0064019E" w:rsidRPr="008C68AE">
        <w:t xml:space="preserve"> share t</w:t>
      </w:r>
      <w:r w:rsidR="00E64E90" w:rsidRPr="008C68AE">
        <w:t>he benefits of economic growth.</w:t>
      </w:r>
    </w:p>
    <w:p w:rsidR="00A34DFE" w:rsidRPr="008C68AE" w:rsidRDefault="00A34DFE" w:rsidP="00D36EAE">
      <w:r w:rsidRPr="008C68AE">
        <w:t xml:space="preserve">Speaker, when </w:t>
      </w:r>
      <w:r w:rsidR="00911E58" w:rsidRPr="008C68AE">
        <w:t xml:space="preserve">we </w:t>
      </w:r>
      <w:r w:rsidR="00DB5D17" w:rsidRPr="008C68AE">
        <w:t>talk</w:t>
      </w:r>
      <w:r w:rsidRPr="008C68AE">
        <w:t xml:space="preserve"> of leaving no Victorian behind, that includes the workers – and</w:t>
      </w:r>
      <w:r w:rsidR="00101466" w:rsidRPr="008C68AE">
        <w:t xml:space="preserve"> </w:t>
      </w:r>
      <w:r w:rsidRPr="008C68AE">
        <w:t xml:space="preserve">their communities – </w:t>
      </w:r>
      <w:r w:rsidR="00674F52" w:rsidRPr="008C68AE">
        <w:t>that</w:t>
      </w:r>
      <w:r w:rsidR="009047F0" w:rsidRPr="008C68AE">
        <w:t xml:space="preserve"> </w:t>
      </w:r>
      <w:r w:rsidRPr="008C68AE">
        <w:t xml:space="preserve">have been the backbone of Victorian manufacturing for so long. </w:t>
      </w:r>
    </w:p>
    <w:p w:rsidR="00D95590" w:rsidRPr="008C68AE" w:rsidRDefault="00911E58" w:rsidP="00D36EAE">
      <w:r w:rsidRPr="008C68AE">
        <w:t>This Government is creating jobs, bu</w:t>
      </w:r>
      <w:r w:rsidR="002D7D27" w:rsidRPr="008C68AE">
        <w:t>t we</w:t>
      </w:r>
      <w:r w:rsidR="00CC00D2" w:rsidRPr="008C68AE">
        <w:t>’</w:t>
      </w:r>
      <w:r w:rsidRPr="008C68AE">
        <w:t xml:space="preserve">re also </w:t>
      </w:r>
      <w:r w:rsidR="007C3C50" w:rsidRPr="008C68AE">
        <w:t xml:space="preserve">focused on </w:t>
      </w:r>
      <w:r w:rsidRPr="008C68AE">
        <w:t>protecting jobs.</w:t>
      </w:r>
    </w:p>
    <w:p w:rsidR="00A34DFE" w:rsidRPr="008C68AE" w:rsidRDefault="00A34DFE" w:rsidP="00D36EAE">
      <w:r w:rsidRPr="008C68AE">
        <w:t>Whether they</w:t>
      </w:r>
      <w:r w:rsidR="00CC00D2" w:rsidRPr="008C68AE">
        <w:t>’</w:t>
      </w:r>
      <w:r w:rsidRPr="008C68AE">
        <w:t xml:space="preserve">re former employees of </w:t>
      </w:r>
      <w:r w:rsidR="0069205C" w:rsidRPr="008C68AE">
        <w:t>Ford, Toyota, GM Holden</w:t>
      </w:r>
      <w:r w:rsidR="005B7BE3" w:rsidRPr="008C68AE">
        <w:t xml:space="preserve"> </w:t>
      </w:r>
      <w:r w:rsidRPr="008C68AE">
        <w:t>or the Hazelwood power plant, we</w:t>
      </w:r>
      <w:r w:rsidR="00CC00D2" w:rsidRPr="008C68AE">
        <w:t>’</w:t>
      </w:r>
      <w:r w:rsidRPr="008C68AE">
        <w:t>ll capitalise on their remarkable range of skills</w:t>
      </w:r>
      <w:r w:rsidR="003B4D2A" w:rsidRPr="008C68AE">
        <w:t>,</w:t>
      </w:r>
      <w:r w:rsidRPr="008C68AE">
        <w:t xml:space="preserve"> and </w:t>
      </w:r>
      <w:r w:rsidR="00DC06D4" w:rsidRPr="008C68AE">
        <w:t xml:space="preserve">work to </w:t>
      </w:r>
      <w:r w:rsidR="0054083D" w:rsidRPr="008C68AE">
        <w:t xml:space="preserve">lessen </w:t>
      </w:r>
      <w:r w:rsidRPr="008C68AE">
        <w:t>the pain for their families and their local communities.</w:t>
      </w:r>
    </w:p>
    <w:p w:rsidR="00A34DFE" w:rsidRPr="008C68AE" w:rsidRDefault="00A34DFE" w:rsidP="00D36EAE">
      <w:r w:rsidRPr="008C68AE">
        <w:t>We</w:t>
      </w:r>
      <w:r w:rsidR="00CC00D2" w:rsidRPr="008C68AE">
        <w:t>’</w:t>
      </w:r>
      <w:r w:rsidRPr="008C68AE">
        <w:t>ll expand the Local Industry Fund for Transition Program, supporting those affected by the decline of the automo</w:t>
      </w:r>
      <w:r w:rsidR="00A12A2B" w:rsidRPr="008C68AE">
        <w:t>tive industry</w:t>
      </w:r>
      <w:r w:rsidR="00111637" w:rsidRPr="008C68AE">
        <w:t xml:space="preserve"> </w:t>
      </w:r>
      <w:r w:rsidR="00A12A2B" w:rsidRPr="008C68AE">
        <w:t xml:space="preserve">with retraining and </w:t>
      </w:r>
      <w:r w:rsidR="00882CBC" w:rsidRPr="008C68AE">
        <w:t>career</w:t>
      </w:r>
      <w:r w:rsidRPr="008C68AE">
        <w:t xml:space="preserve"> advice.</w:t>
      </w:r>
    </w:p>
    <w:p w:rsidR="00A34DFE" w:rsidRPr="008C68AE" w:rsidRDefault="00F323C7" w:rsidP="00D36EAE">
      <w:r w:rsidRPr="008C68AE">
        <w:t>Working with industry, w</w:t>
      </w:r>
      <w:r w:rsidR="00A34DFE" w:rsidRPr="008C68AE">
        <w:t>e</w:t>
      </w:r>
      <w:r w:rsidR="00CC00D2" w:rsidRPr="008C68AE">
        <w:t>’</w:t>
      </w:r>
      <w:r w:rsidR="00A34DFE" w:rsidRPr="008C68AE">
        <w:t xml:space="preserve">ll </w:t>
      </w:r>
      <w:r w:rsidRPr="008C68AE">
        <w:t>expand the</w:t>
      </w:r>
      <w:r w:rsidR="00A34DFE" w:rsidRPr="008C68AE">
        <w:t xml:space="preserve"> timber plantation </w:t>
      </w:r>
      <w:r w:rsidRPr="008C68AE">
        <w:t xml:space="preserve">estate </w:t>
      </w:r>
      <w:r w:rsidR="00A34DFE" w:rsidRPr="008C68AE">
        <w:t xml:space="preserve">in </w:t>
      </w:r>
      <w:r w:rsidR="00F743CF" w:rsidRPr="008C68AE">
        <w:t>Gippsland</w:t>
      </w:r>
      <w:r w:rsidR="00A34DFE" w:rsidRPr="008C68AE">
        <w:t xml:space="preserve"> to support the long-term sustainability of Victoria</w:t>
      </w:r>
      <w:r w:rsidR="00CC00D2" w:rsidRPr="008C68AE">
        <w:t>’</w:t>
      </w:r>
      <w:r w:rsidR="00A34DFE" w:rsidRPr="008C68AE">
        <w:t xml:space="preserve">s </w:t>
      </w:r>
      <w:r w:rsidR="0056004E" w:rsidRPr="008C68AE">
        <w:t xml:space="preserve">timber </w:t>
      </w:r>
      <w:r w:rsidR="00A34DFE" w:rsidRPr="008C68AE">
        <w:t>harvesting industry.</w:t>
      </w:r>
    </w:p>
    <w:p w:rsidR="00A34DFE" w:rsidRPr="008C68AE" w:rsidRDefault="0009424E" w:rsidP="00D36EAE">
      <w:r w:rsidRPr="008C68AE">
        <w:t>W</w:t>
      </w:r>
      <w:r w:rsidR="00E947AE" w:rsidRPr="008C68AE">
        <w:t>e</w:t>
      </w:r>
      <w:r w:rsidR="00CC00D2" w:rsidRPr="008C68AE">
        <w:t>’</w:t>
      </w:r>
      <w:r w:rsidR="00111637" w:rsidRPr="008C68AE">
        <w:t>ll</w:t>
      </w:r>
      <w:r w:rsidR="00A34DFE" w:rsidRPr="008C68AE">
        <w:t xml:space="preserve"> keep the Portland </w:t>
      </w:r>
      <w:r w:rsidR="008C0AA8" w:rsidRPr="008C68AE">
        <w:t>s</w:t>
      </w:r>
      <w:r w:rsidR="00A34DFE" w:rsidRPr="008C68AE">
        <w:t>melter operating, which will secure more than 1</w:t>
      </w:r>
      <w:r w:rsidR="007D544D" w:rsidRPr="008C68AE">
        <w:t> </w:t>
      </w:r>
      <w:r w:rsidR="00A34DFE" w:rsidRPr="008C68AE">
        <w:t>600 jobs and continue to inject more than $120 million into the local region</w:t>
      </w:r>
      <w:r w:rsidR="00E76E3B" w:rsidRPr="008C68AE">
        <w:t xml:space="preserve"> every year</w:t>
      </w:r>
      <w:r w:rsidR="00A34DFE" w:rsidRPr="008C68AE">
        <w:t>.</w:t>
      </w:r>
    </w:p>
    <w:p w:rsidR="009C13B0" w:rsidRPr="008C68AE" w:rsidRDefault="009C13B0" w:rsidP="00D36EAE">
      <w:r w:rsidRPr="008C68AE">
        <w:t>We</w:t>
      </w:r>
      <w:r w:rsidR="00CC00D2" w:rsidRPr="008C68AE">
        <w:t>’</w:t>
      </w:r>
      <w:r w:rsidRPr="008C68AE">
        <w:t xml:space="preserve">ll establish a program for manufacturers exposed to high energy prices, especially in the gas market, and </w:t>
      </w:r>
      <w:r w:rsidR="002F5566" w:rsidRPr="008C68AE">
        <w:t xml:space="preserve">help </w:t>
      </w:r>
      <w:r w:rsidRPr="008C68AE">
        <w:t xml:space="preserve">protect jobs. </w:t>
      </w:r>
    </w:p>
    <w:p w:rsidR="00226912" w:rsidRPr="008C68AE" w:rsidRDefault="00CC76DC" w:rsidP="00D36EAE">
      <w:r w:rsidRPr="008C68AE">
        <w:t>And we</w:t>
      </w:r>
      <w:r w:rsidR="00CC00D2" w:rsidRPr="008C68AE">
        <w:t>’</w:t>
      </w:r>
      <w:r w:rsidRPr="008C68AE">
        <w:t>ll</w:t>
      </w:r>
      <w:r w:rsidR="00CB20F9" w:rsidRPr="008C68AE">
        <w:t xml:space="preserve"> improve</w:t>
      </w:r>
      <w:r w:rsidR="00226912" w:rsidRPr="008C68AE">
        <w:t xml:space="preserve"> digital access across the State, to ensure rural communities</w:t>
      </w:r>
      <w:r w:rsidRPr="008C68AE">
        <w:t>, schools</w:t>
      </w:r>
      <w:r w:rsidR="00226912" w:rsidRPr="008C68AE">
        <w:t xml:space="preserve"> and</w:t>
      </w:r>
      <w:r w:rsidR="00101466" w:rsidRPr="008C68AE">
        <w:t> </w:t>
      </w:r>
      <w:r w:rsidR="00226912" w:rsidRPr="008C68AE">
        <w:t>businesses are not left behind.</w:t>
      </w:r>
    </w:p>
    <w:p w:rsidR="00A34DFE" w:rsidRPr="008C68AE" w:rsidRDefault="00192025" w:rsidP="00D36EAE">
      <w:r w:rsidRPr="008C68AE">
        <w:t xml:space="preserve">Our </w:t>
      </w:r>
      <w:r w:rsidR="0023697D" w:rsidRPr="008C68AE">
        <w:t>G</w:t>
      </w:r>
      <w:r w:rsidRPr="008C68AE">
        <w:t xml:space="preserve">overnment </w:t>
      </w:r>
      <w:r w:rsidR="005F6D7E" w:rsidRPr="008C68AE">
        <w:t>is working to</w:t>
      </w:r>
      <w:r w:rsidRPr="008C68AE">
        <w:t xml:space="preserve"> ensure </w:t>
      </w:r>
      <w:r w:rsidR="005F6D7E" w:rsidRPr="008C68AE">
        <w:t>every part of our</w:t>
      </w:r>
      <w:r w:rsidRPr="008C68AE">
        <w:t xml:space="preserve"> </w:t>
      </w:r>
      <w:r w:rsidR="00EC62F8" w:rsidRPr="008C68AE">
        <w:t>s</w:t>
      </w:r>
      <w:r w:rsidRPr="008C68AE">
        <w:t xml:space="preserve">tate </w:t>
      </w:r>
      <w:r w:rsidR="005F6D7E" w:rsidRPr="008C68AE">
        <w:t xml:space="preserve">can </w:t>
      </w:r>
      <w:r w:rsidR="009D34D2" w:rsidRPr="008C68AE">
        <w:t>grow</w:t>
      </w:r>
      <w:r w:rsidR="005F6D7E" w:rsidRPr="008C68AE">
        <w:t xml:space="preserve"> and prosper</w:t>
      </w:r>
      <w:r w:rsidR="002B7C98" w:rsidRPr="008C68AE">
        <w:t>. But</w:t>
      </w:r>
      <w:r w:rsidR="00101466" w:rsidRPr="008C68AE">
        <w:t> </w:t>
      </w:r>
      <w:r w:rsidR="002B7C98" w:rsidRPr="008C68AE">
        <w:t>t</w:t>
      </w:r>
      <w:r w:rsidR="00026622" w:rsidRPr="008C68AE">
        <w:t>hat also means keeping Victorians safe.</w:t>
      </w:r>
    </w:p>
    <w:p w:rsidR="00C11F82" w:rsidRPr="008C68AE" w:rsidRDefault="00C11F82" w:rsidP="00D36EAE">
      <w:r w:rsidRPr="008C68AE">
        <w:t xml:space="preserve">Speaker, </w:t>
      </w:r>
      <w:r w:rsidR="00F7254C" w:rsidRPr="008C68AE">
        <w:t>t</w:t>
      </w:r>
      <w:r w:rsidRPr="008C68AE">
        <w:t xml:space="preserve">oday I announce historic action on family violence, a national </w:t>
      </w:r>
      <w:r w:rsidR="00F435FA" w:rsidRPr="008C68AE">
        <w:t>emergency</w:t>
      </w:r>
      <w:r w:rsidRPr="008C68AE">
        <w:t xml:space="preserve"> that </w:t>
      </w:r>
      <w:r w:rsidR="00110E33" w:rsidRPr="008C68AE">
        <w:t>destroys</w:t>
      </w:r>
      <w:r w:rsidRPr="008C68AE">
        <w:t xml:space="preserve"> too many lives, that has been </w:t>
      </w:r>
      <w:r w:rsidR="009D34D2" w:rsidRPr="008C68AE">
        <w:t>underfunded for far too long.</w:t>
      </w:r>
    </w:p>
    <w:p w:rsidR="000C5EA3" w:rsidRPr="008C68AE" w:rsidRDefault="00923CFD" w:rsidP="00D36EAE">
      <w:r w:rsidRPr="008C68AE">
        <w:t>As f</w:t>
      </w:r>
      <w:r w:rsidR="00A469CD" w:rsidRPr="008C68AE">
        <w:t>ormer Au</w:t>
      </w:r>
      <w:r w:rsidRPr="008C68AE">
        <w:t>stralian of the Year Rosie Batty</w:t>
      </w:r>
      <w:r w:rsidR="00F70757" w:rsidRPr="008C68AE">
        <w:t xml:space="preserve"> said: </w:t>
      </w:r>
      <w:r w:rsidR="00CC00D2" w:rsidRPr="008C68AE">
        <w:t>‘</w:t>
      </w:r>
      <w:r w:rsidR="00F70757" w:rsidRPr="008C68AE">
        <w:t xml:space="preserve">Family violence may happen behind closed doors but it needs to be brought out from these </w:t>
      </w:r>
      <w:r w:rsidR="00DE03D8" w:rsidRPr="008C68AE">
        <w:t>shadows and into broad daylight</w:t>
      </w:r>
      <w:r w:rsidR="00F70757" w:rsidRPr="008C68AE">
        <w:t>.</w:t>
      </w:r>
      <w:r w:rsidR="00CC00D2" w:rsidRPr="008C68AE">
        <w:t>’</w:t>
      </w:r>
    </w:p>
    <w:p w:rsidR="009209EE" w:rsidRPr="008C68AE" w:rsidRDefault="009209EE" w:rsidP="00D36EAE">
      <w:r w:rsidRPr="008C68AE">
        <w:t>We reco</w:t>
      </w:r>
      <w:r w:rsidR="004E25A8" w:rsidRPr="008C68AE">
        <w:t xml:space="preserve">gnise </w:t>
      </w:r>
      <w:r w:rsidR="00F435FA" w:rsidRPr="008C68AE">
        <w:t>her</w:t>
      </w:r>
      <w:r w:rsidR="004E25A8" w:rsidRPr="008C68AE">
        <w:t xml:space="preserve"> loss</w:t>
      </w:r>
      <w:r w:rsidR="00F435FA" w:rsidRPr="008C68AE">
        <w:t xml:space="preserve"> and pain</w:t>
      </w:r>
      <w:r w:rsidR="00D62212" w:rsidRPr="008C68AE">
        <w:t xml:space="preserve">, together with </w:t>
      </w:r>
      <w:r w:rsidR="00DE03D8" w:rsidRPr="008C68AE">
        <w:t xml:space="preserve">the </w:t>
      </w:r>
      <w:r w:rsidR="004E25A8" w:rsidRPr="008C68AE">
        <w:t>tens of thousands of Victorian</w:t>
      </w:r>
      <w:r w:rsidR="00B51BDA" w:rsidRPr="008C68AE">
        <w:t>s who are</w:t>
      </w:r>
      <w:r w:rsidR="00D62212" w:rsidRPr="008C68AE">
        <w:t xml:space="preserve"> victims of family violence every year.</w:t>
      </w:r>
    </w:p>
    <w:p w:rsidR="00C11F82" w:rsidRPr="008C68AE" w:rsidRDefault="00C11F82" w:rsidP="00D36EAE">
      <w:r w:rsidRPr="008C68AE">
        <w:t>It</w:t>
      </w:r>
      <w:r w:rsidR="00CC00D2" w:rsidRPr="008C68AE">
        <w:t>’</w:t>
      </w:r>
      <w:r w:rsidRPr="008C68AE">
        <w:t xml:space="preserve">s an issue where everyone has </w:t>
      </w:r>
      <w:r w:rsidR="00173C88" w:rsidRPr="008C68AE">
        <w:t xml:space="preserve">a </w:t>
      </w:r>
      <w:r w:rsidRPr="008C68AE">
        <w:t>role to play</w:t>
      </w:r>
      <w:r w:rsidR="009D34D2" w:rsidRPr="008C68AE">
        <w:t>,</w:t>
      </w:r>
      <w:r w:rsidRPr="008C68AE">
        <w:t xml:space="preserve"> bu</w:t>
      </w:r>
      <w:r w:rsidR="009D34D2" w:rsidRPr="008C68AE">
        <w:t xml:space="preserve">t where </w:t>
      </w:r>
      <w:r w:rsidR="009047F0" w:rsidRPr="008C68AE">
        <w:t>g</w:t>
      </w:r>
      <w:r w:rsidR="009D34D2" w:rsidRPr="008C68AE">
        <w:t xml:space="preserve">overnments must lead. </w:t>
      </w:r>
    </w:p>
    <w:p w:rsidR="00C11F82" w:rsidRPr="008C68AE" w:rsidRDefault="00C11F82" w:rsidP="00D36EAE">
      <w:r w:rsidRPr="008C68AE">
        <w:lastRenderedPageBreak/>
        <w:t>In 2015, we established Australia</w:t>
      </w:r>
      <w:r w:rsidR="00CC00D2" w:rsidRPr="008C68AE">
        <w:t>’</w:t>
      </w:r>
      <w:r w:rsidRPr="008C68AE">
        <w:t xml:space="preserve">s first Royal Commission into </w:t>
      </w:r>
      <w:r w:rsidR="009047F0" w:rsidRPr="008C68AE">
        <w:t>F</w:t>
      </w:r>
      <w:r w:rsidRPr="008C68AE">
        <w:t xml:space="preserve">amily </w:t>
      </w:r>
      <w:r w:rsidR="009047F0" w:rsidRPr="008C68AE">
        <w:t>V</w:t>
      </w:r>
      <w:r w:rsidRPr="008C68AE">
        <w:t>iol</w:t>
      </w:r>
      <w:r w:rsidR="009D34D2" w:rsidRPr="008C68AE">
        <w:t>ence.</w:t>
      </w:r>
    </w:p>
    <w:p w:rsidR="00C11F82" w:rsidRPr="008C68AE" w:rsidRDefault="00C11F82" w:rsidP="00D36EAE">
      <w:r w:rsidRPr="008C68AE">
        <w:t>We committed to implementing every one of its 227 recommendations</w:t>
      </w:r>
      <w:r w:rsidR="00464953" w:rsidRPr="008C68AE">
        <w:t xml:space="preserve"> over a 10 year period</w:t>
      </w:r>
      <w:r w:rsidRPr="008C68AE">
        <w:t>.</w:t>
      </w:r>
    </w:p>
    <w:p w:rsidR="00C11F82" w:rsidRPr="008C68AE" w:rsidRDefault="00C11F82" w:rsidP="00D36EAE">
      <w:r w:rsidRPr="008C68AE">
        <w:t>We li</w:t>
      </w:r>
      <w:r w:rsidR="00B6100C" w:rsidRPr="008C68AE">
        <w:t>stened to victim</w:t>
      </w:r>
      <w:r w:rsidR="00882CBC" w:rsidRPr="008C68AE">
        <w:t xml:space="preserve"> </w:t>
      </w:r>
      <w:r w:rsidR="00B6100C" w:rsidRPr="008C68AE">
        <w:t>s</w:t>
      </w:r>
      <w:r w:rsidR="00882CBC" w:rsidRPr="008C68AE">
        <w:t>urvivors</w:t>
      </w:r>
      <w:r w:rsidR="00B6100C" w:rsidRPr="008C68AE">
        <w:t xml:space="preserve">, to police, to </w:t>
      </w:r>
      <w:r w:rsidR="003575DB" w:rsidRPr="008C68AE">
        <w:t>frontline service</w:t>
      </w:r>
      <w:r w:rsidR="00B6100C" w:rsidRPr="008C68AE">
        <w:t xml:space="preserve"> providers – </w:t>
      </w:r>
      <w:r w:rsidR="009D34D2" w:rsidRPr="008C68AE">
        <w:t>and we acted.</w:t>
      </w:r>
    </w:p>
    <w:p w:rsidR="009D34D2" w:rsidRPr="008C68AE" w:rsidRDefault="00C11F82" w:rsidP="00D36EAE">
      <w:r w:rsidRPr="008C68AE">
        <w:t xml:space="preserve">The </w:t>
      </w:r>
      <w:r w:rsidR="00A53E00" w:rsidRPr="008C68AE">
        <w:t xml:space="preserve">unprecedented </w:t>
      </w:r>
      <w:r w:rsidRPr="008C68AE">
        <w:t>breadth and scope of our package reflects the gravity and complexity of the issue.</w:t>
      </w:r>
    </w:p>
    <w:p w:rsidR="007A7854" w:rsidRPr="008C68AE" w:rsidRDefault="007A7854" w:rsidP="00D36EAE">
      <w:r w:rsidRPr="008C68AE">
        <w:t>This budget allocates $</w:t>
      </w:r>
      <w:r w:rsidR="001A5F2F" w:rsidRPr="008C68AE">
        <w:t>1</w:t>
      </w:r>
      <w:r w:rsidRPr="008C68AE">
        <w:t>.</w:t>
      </w:r>
      <w:r w:rsidR="001A5F2F" w:rsidRPr="008C68AE">
        <w:t xml:space="preserve">9 </w:t>
      </w:r>
      <w:r w:rsidRPr="008C68AE">
        <w:t>billion to protect victim survivors, hold perpetrators to account and help change community attitudes.</w:t>
      </w:r>
    </w:p>
    <w:p w:rsidR="007A7854" w:rsidRPr="008C68AE" w:rsidRDefault="007A7854" w:rsidP="00D36EAE">
      <w:r w:rsidRPr="008C68AE">
        <w:t>It</w:t>
      </w:r>
      <w:r w:rsidR="00CC00D2" w:rsidRPr="008C68AE">
        <w:t>’</w:t>
      </w:r>
      <w:r w:rsidRPr="008C68AE">
        <w:t>s funding that will help establish a network of Support and Safety Hubs – crucial points of contact for women and children experiencing family violence, and other vulnerable families to get the services they need.</w:t>
      </w:r>
    </w:p>
    <w:p w:rsidR="007A7854" w:rsidRPr="008C68AE" w:rsidRDefault="007A7854" w:rsidP="00D36EAE">
      <w:r w:rsidRPr="008C68AE">
        <w:t xml:space="preserve">It will </w:t>
      </w:r>
      <w:r w:rsidR="0050137C" w:rsidRPr="008C68AE">
        <w:t>fund after-hours crisis support</w:t>
      </w:r>
      <w:r w:rsidR="005F4C7A" w:rsidRPr="008C68AE">
        <w:t xml:space="preserve">, </w:t>
      </w:r>
      <w:r w:rsidRPr="008C68AE">
        <w:t>financial counselling and therapeutic support, including for children and Aboriginal victims.</w:t>
      </w:r>
    </w:p>
    <w:p w:rsidR="007A7854" w:rsidRPr="008C68AE" w:rsidRDefault="007A7854" w:rsidP="00E70C46">
      <w:pPr>
        <w:ind w:right="-170"/>
      </w:pPr>
      <w:r w:rsidRPr="008C68AE">
        <w:t xml:space="preserve">It will help build long-term </w:t>
      </w:r>
      <w:r w:rsidR="0050137C" w:rsidRPr="008C68AE">
        <w:t>public</w:t>
      </w:r>
      <w:r w:rsidRPr="008C68AE">
        <w:t xml:space="preserve"> housing and modernise and expand crisis accommodation to ensure victim</w:t>
      </w:r>
      <w:r w:rsidR="002377F3">
        <w:t xml:space="preserve"> survivor</w:t>
      </w:r>
      <w:r w:rsidRPr="008C68AE">
        <w:t>s</w:t>
      </w:r>
      <w:r w:rsidR="00CC00D2" w:rsidRPr="008C68AE">
        <w:t>’</w:t>
      </w:r>
      <w:r w:rsidRPr="008C68AE">
        <w:t xml:space="preserve"> safety and allow them to begin a new life.</w:t>
      </w:r>
    </w:p>
    <w:p w:rsidR="007A7854" w:rsidRPr="008C68AE" w:rsidRDefault="007A7854" w:rsidP="00D36EAE">
      <w:r w:rsidRPr="008C68AE">
        <w:t xml:space="preserve">It will also help </w:t>
      </w:r>
      <w:r w:rsidR="0050137C" w:rsidRPr="008C68AE">
        <w:t>fully implement</w:t>
      </w:r>
      <w:r w:rsidRPr="008C68AE">
        <w:t xml:space="preserve"> specialist family violence courts at Ballarat, Frankston, Shepparton, Moorabbin and Heidelberg Magistrates</w:t>
      </w:r>
      <w:r w:rsidR="00CC00D2" w:rsidRPr="008C68AE">
        <w:t>’</w:t>
      </w:r>
      <w:r w:rsidRPr="008C68AE">
        <w:t xml:space="preserve"> </w:t>
      </w:r>
      <w:r w:rsidR="0023697D" w:rsidRPr="008C68AE">
        <w:t>c</w:t>
      </w:r>
      <w:r w:rsidRPr="008C68AE">
        <w:t>ourts – facilities that will help ensure the perpetrators of family violence are held to account.</w:t>
      </w:r>
    </w:p>
    <w:p w:rsidR="007A7854" w:rsidRPr="008C68AE" w:rsidRDefault="007A7854" w:rsidP="00D36EAE">
      <w:r w:rsidRPr="008C68AE">
        <w:t xml:space="preserve">It will provide support in areas where there are diverse or complex needs, including for LGBTI, </w:t>
      </w:r>
      <w:r w:rsidR="00882CBC" w:rsidRPr="008C68AE">
        <w:t>migrant, multicultural and</w:t>
      </w:r>
      <w:r w:rsidRPr="008C68AE">
        <w:t xml:space="preserve"> Aboriginal </w:t>
      </w:r>
      <w:r w:rsidR="00882CBC" w:rsidRPr="008C68AE">
        <w:t xml:space="preserve">communities, as well as people with disabilities </w:t>
      </w:r>
      <w:r w:rsidRPr="008C68AE">
        <w:t>and elderly women.</w:t>
      </w:r>
    </w:p>
    <w:p w:rsidR="00B90D8D" w:rsidRPr="008C68AE" w:rsidRDefault="007A7854" w:rsidP="00D36EAE">
      <w:r w:rsidRPr="008C68AE">
        <w:t>And crucially, it will provide $</w:t>
      </w:r>
      <w:r w:rsidR="00A82676" w:rsidRPr="008C68AE">
        <w:t>13</w:t>
      </w:r>
      <w:r w:rsidR="00B50616" w:rsidRPr="008C68AE">
        <w:t>2</w:t>
      </w:r>
      <w:r w:rsidRPr="008C68AE">
        <w:t xml:space="preserve"> million to protect vulnerable children, many of whom have experienced or witnessed family violence.</w:t>
      </w:r>
    </w:p>
    <w:p w:rsidR="005F4C7A" w:rsidRPr="008C68AE" w:rsidRDefault="00C11F82" w:rsidP="00D36EAE">
      <w:r w:rsidRPr="008C68AE">
        <w:t xml:space="preserve">Speaker, </w:t>
      </w:r>
      <w:r w:rsidR="00C56C91" w:rsidRPr="008C68AE">
        <w:t xml:space="preserve">this </w:t>
      </w:r>
      <w:r w:rsidR="0050137C" w:rsidRPr="008C68AE">
        <w:t>G</w:t>
      </w:r>
      <w:r w:rsidR="00C56C91" w:rsidRPr="008C68AE">
        <w:t xml:space="preserve">overnment </w:t>
      </w:r>
      <w:r w:rsidR="00B72F14" w:rsidRPr="008C68AE">
        <w:t>won</w:t>
      </w:r>
      <w:r w:rsidR="00CC00D2" w:rsidRPr="008C68AE">
        <w:t>’</w:t>
      </w:r>
      <w:r w:rsidR="00B72F14" w:rsidRPr="008C68AE">
        <w:t>t</w:t>
      </w:r>
      <w:r w:rsidR="00C56C91" w:rsidRPr="008C68AE">
        <w:t xml:space="preserve"> turn its back</w:t>
      </w:r>
      <w:r w:rsidRPr="008C68AE">
        <w:t xml:space="preserve"> on these </w:t>
      </w:r>
      <w:r w:rsidR="00F83CD7" w:rsidRPr="008C68AE">
        <w:t xml:space="preserve">people, these </w:t>
      </w:r>
      <w:r w:rsidRPr="008C68AE">
        <w:t>women and children</w:t>
      </w:r>
      <w:r w:rsidR="00BA35C5" w:rsidRPr="008C68AE">
        <w:t>.</w:t>
      </w:r>
    </w:p>
    <w:p w:rsidR="00C11F82" w:rsidRPr="008C68AE" w:rsidRDefault="0009424E" w:rsidP="00D36EAE">
      <w:r w:rsidRPr="008C68AE">
        <w:t>We</w:t>
      </w:r>
      <w:r w:rsidR="00CC00D2" w:rsidRPr="008C68AE">
        <w:t>’</w:t>
      </w:r>
      <w:r w:rsidRPr="008C68AE">
        <w:t xml:space="preserve">ll </w:t>
      </w:r>
      <w:r w:rsidR="00C11F82" w:rsidRPr="008C68AE">
        <w:t xml:space="preserve">give those who have been embroiled in family violence a chance </w:t>
      </w:r>
      <w:r w:rsidR="00DE7A19" w:rsidRPr="008C68AE">
        <w:t>–</w:t>
      </w:r>
      <w:r w:rsidR="00C11F82" w:rsidRPr="008C68AE">
        <w:t xml:space="preserve"> a chance to overcome physical, </w:t>
      </w:r>
      <w:r w:rsidR="00DE7A19" w:rsidRPr="008C68AE">
        <w:t>financial and emotional trauma. A</w:t>
      </w:r>
      <w:r w:rsidR="00C11F82" w:rsidRPr="008C68AE">
        <w:t xml:space="preserve"> chance to start anew.</w:t>
      </w:r>
    </w:p>
    <w:p w:rsidR="00C11F82" w:rsidRPr="008C68AE" w:rsidRDefault="009B090E" w:rsidP="00D36EAE">
      <w:r w:rsidRPr="008C68AE">
        <w:t xml:space="preserve">Speaker, this </w:t>
      </w:r>
      <w:r w:rsidR="0050137C" w:rsidRPr="008C68AE">
        <w:t>b</w:t>
      </w:r>
      <w:r w:rsidRPr="008C68AE">
        <w:t xml:space="preserve">udget will make our </w:t>
      </w:r>
      <w:r w:rsidR="005276E9" w:rsidRPr="008C68AE">
        <w:t xml:space="preserve">communities </w:t>
      </w:r>
      <w:r w:rsidRPr="008C68AE">
        <w:t>safer</w:t>
      </w:r>
      <w:r w:rsidR="00813C11" w:rsidRPr="008C68AE">
        <w:t>.</w:t>
      </w:r>
      <w:r w:rsidRPr="008C68AE">
        <w:t xml:space="preserve"> </w:t>
      </w:r>
      <w:r w:rsidR="00C11F82" w:rsidRPr="008C68AE">
        <w:t>As we</w:t>
      </w:r>
      <w:r w:rsidR="00CC00D2" w:rsidRPr="008C68AE">
        <w:t>’</w:t>
      </w:r>
      <w:r w:rsidR="00C11F82" w:rsidRPr="008C68AE">
        <w:t xml:space="preserve">ve demonstrated with our family violence package, this </w:t>
      </w:r>
      <w:r w:rsidR="0023697D" w:rsidRPr="008C68AE">
        <w:t>G</w:t>
      </w:r>
      <w:r w:rsidR="00C11F82" w:rsidRPr="008C68AE">
        <w:t>overnment doesn</w:t>
      </w:r>
      <w:r w:rsidR="00CC00D2" w:rsidRPr="008C68AE">
        <w:t>’</w:t>
      </w:r>
      <w:r w:rsidR="00C11F82" w:rsidRPr="008C68AE">
        <w:t>t believe in qui</w:t>
      </w:r>
      <w:r w:rsidR="00E70C46">
        <w:t>ck fixes for complex problems.</w:t>
      </w:r>
    </w:p>
    <w:p w:rsidR="00A643B3" w:rsidRPr="008C68AE" w:rsidRDefault="00540AA9" w:rsidP="00D36EAE">
      <w:r w:rsidRPr="008C68AE">
        <w:t>What</w:t>
      </w:r>
      <w:r w:rsidR="00CC00D2" w:rsidRPr="008C68AE">
        <w:t>’</w:t>
      </w:r>
      <w:r w:rsidRPr="008C68AE">
        <w:t xml:space="preserve">s needed is a long-term approach – evidence-based solutions that will make the </w:t>
      </w:r>
      <w:r w:rsidR="0023697D" w:rsidRPr="008C68AE">
        <w:t>S</w:t>
      </w:r>
      <w:r w:rsidRPr="008C68AE">
        <w:t>tate</w:t>
      </w:r>
      <w:r w:rsidR="00101466" w:rsidRPr="008C68AE">
        <w:t> </w:t>
      </w:r>
      <w:r w:rsidRPr="008C68AE">
        <w:t xml:space="preserve">safer. </w:t>
      </w:r>
    </w:p>
    <w:p w:rsidR="003D2EC6" w:rsidRPr="008C68AE" w:rsidRDefault="003D2EC6" w:rsidP="00D36EAE">
      <w:r w:rsidRPr="008C68AE">
        <w:t xml:space="preserve">Speaker, the </w:t>
      </w:r>
      <w:r w:rsidR="0059128E" w:rsidRPr="008C68AE">
        <w:rPr>
          <w:i/>
        </w:rPr>
        <w:t>2017-18 Budget</w:t>
      </w:r>
      <w:r w:rsidR="00C11F82" w:rsidRPr="008C68AE">
        <w:t xml:space="preserve"> invests $</w:t>
      </w:r>
      <w:r w:rsidR="00D15B4C" w:rsidRPr="008C68AE">
        <w:t>2.4</w:t>
      </w:r>
      <w:r w:rsidR="00C11F82" w:rsidRPr="008C68AE">
        <w:t xml:space="preserve"> billion in community safety measures, including new police recruits, new police stations, the strengthening of youth justice precincts and improved public transport safety.</w:t>
      </w:r>
    </w:p>
    <w:p w:rsidR="00A643B3" w:rsidRPr="008C68AE" w:rsidRDefault="00C11F82" w:rsidP="00D36EAE">
      <w:r w:rsidRPr="008C68AE">
        <w:lastRenderedPageBreak/>
        <w:t>At its core is the largest single investment in the history of the Victorian police force</w:t>
      </w:r>
      <w:r w:rsidR="00F928DD" w:rsidRPr="008C68AE">
        <w:t xml:space="preserve">. </w:t>
      </w:r>
    </w:p>
    <w:p w:rsidR="00C11F82" w:rsidRPr="008C68AE" w:rsidRDefault="00F928DD" w:rsidP="00D36EAE">
      <w:r w:rsidRPr="008C68AE">
        <w:t xml:space="preserve">More </w:t>
      </w:r>
      <w:r w:rsidR="00C86220" w:rsidRPr="008C68AE">
        <w:t xml:space="preserve">than </w:t>
      </w:r>
      <w:r w:rsidR="00C11F82" w:rsidRPr="008C68AE">
        <w:t>2</w:t>
      </w:r>
      <w:r w:rsidR="007D544D" w:rsidRPr="008C68AE">
        <w:t> </w:t>
      </w:r>
      <w:r w:rsidR="00C11F82" w:rsidRPr="008C68AE">
        <w:t xml:space="preserve">700 new police officers will be sworn in and </w:t>
      </w:r>
      <w:r w:rsidR="002B1B54" w:rsidRPr="008C68AE">
        <w:t>we</w:t>
      </w:r>
      <w:r w:rsidR="00CC00D2" w:rsidRPr="008C68AE">
        <w:t>’</w:t>
      </w:r>
      <w:r w:rsidR="002B1B54" w:rsidRPr="008C68AE">
        <w:t xml:space="preserve">re replacing </w:t>
      </w:r>
      <w:r w:rsidR="00EF1245" w:rsidRPr="008C68AE">
        <w:t>10</w:t>
      </w:r>
      <w:r w:rsidR="00D36EAE" w:rsidRPr="008C68AE">
        <w:t xml:space="preserve"> </w:t>
      </w:r>
      <w:r w:rsidR="003D2EC6" w:rsidRPr="008C68AE">
        <w:t>police stations</w:t>
      </w:r>
      <w:r w:rsidR="008C36D2" w:rsidRPr="008C68AE">
        <w:t xml:space="preserve"> across the </w:t>
      </w:r>
      <w:r w:rsidR="00191D6C" w:rsidRPr="008C68AE">
        <w:t>S</w:t>
      </w:r>
      <w:r w:rsidR="008C36D2" w:rsidRPr="008C68AE">
        <w:t>tate</w:t>
      </w:r>
      <w:r w:rsidR="003D2EC6" w:rsidRPr="008C68AE">
        <w:t xml:space="preserve">. </w:t>
      </w:r>
    </w:p>
    <w:p w:rsidR="00606FE3" w:rsidRPr="008C68AE" w:rsidRDefault="00606FE3" w:rsidP="00D36EAE">
      <w:r w:rsidRPr="008C68AE">
        <w:t xml:space="preserve">Together with the </w:t>
      </w:r>
      <w:r w:rsidR="001A5BE7" w:rsidRPr="008C68AE">
        <w:t>446</w:t>
      </w:r>
      <w:r w:rsidRPr="008C68AE">
        <w:t xml:space="preserve"> police</w:t>
      </w:r>
      <w:r w:rsidR="00191D6C" w:rsidRPr="008C68AE">
        <w:t xml:space="preserve"> officers</w:t>
      </w:r>
      <w:r w:rsidRPr="008C68AE">
        <w:t xml:space="preserve"> </w:t>
      </w:r>
      <w:r w:rsidR="001A5BE7" w:rsidRPr="008C68AE">
        <w:t>we</w:t>
      </w:r>
      <w:r w:rsidR="00CC00D2" w:rsidRPr="008C68AE">
        <w:t>’</w:t>
      </w:r>
      <w:r w:rsidR="001A5BE7" w:rsidRPr="008C68AE">
        <w:t xml:space="preserve">ve already funded, Victorians will enjoy the safety and protection </w:t>
      </w:r>
      <w:r w:rsidR="00025259" w:rsidRPr="008C68AE">
        <w:t xml:space="preserve">of </w:t>
      </w:r>
      <w:r w:rsidR="001A5BE7" w:rsidRPr="008C68AE">
        <w:t xml:space="preserve">more than 3 000 </w:t>
      </w:r>
      <w:r w:rsidR="00025259" w:rsidRPr="008C68AE">
        <w:t xml:space="preserve">extra </w:t>
      </w:r>
      <w:r w:rsidR="00191D6C" w:rsidRPr="008C68AE">
        <w:t>police</w:t>
      </w:r>
      <w:r w:rsidR="00025259" w:rsidRPr="008C68AE">
        <w:t>.</w:t>
      </w:r>
    </w:p>
    <w:p w:rsidR="0024697E" w:rsidRPr="008C68AE" w:rsidRDefault="00923CFD" w:rsidP="00D36EAE">
      <w:r w:rsidRPr="008C68AE">
        <w:t>It</w:t>
      </w:r>
      <w:r w:rsidR="00CC00D2" w:rsidRPr="008C68AE">
        <w:t>’</w:t>
      </w:r>
      <w:r w:rsidRPr="008C68AE">
        <w:t>s a</w:t>
      </w:r>
      <w:r w:rsidR="00490940" w:rsidRPr="008C68AE">
        <w:t xml:space="preserve"> s</w:t>
      </w:r>
      <w:r w:rsidR="0024697E" w:rsidRPr="008C68AE">
        <w:t>tark contrast to the previous government, which was quick t</w:t>
      </w:r>
      <w:r w:rsidR="00B43652" w:rsidRPr="008C68AE">
        <w:t>o trot</w:t>
      </w:r>
      <w:r w:rsidR="0024697E" w:rsidRPr="008C68AE">
        <w:t xml:space="preserve"> out its </w:t>
      </w:r>
      <w:r w:rsidR="00CC00D2" w:rsidRPr="008C68AE">
        <w:t>‘</w:t>
      </w:r>
      <w:r w:rsidR="0024697E" w:rsidRPr="008C68AE">
        <w:t>tough on crime</w:t>
      </w:r>
      <w:r w:rsidR="00CC00D2" w:rsidRPr="008C68AE">
        <w:t>’</w:t>
      </w:r>
      <w:r w:rsidR="0024697E" w:rsidRPr="008C68AE">
        <w:t xml:space="preserve"> </w:t>
      </w:r>
      <w:r w:rsidR="00490940" w:rsidRPr="008C68AE">
        <w:t>rhetoric but failed to back it up.</w:t>
      </w:r>
    </w:p>
    <w:p w:rsidR="005B2AD1" w:rsidRPr="008C68AE" w:rsidRDefault="00C11F82" w:rsidP="00D36EAE">
      <w:r w:rsidRPr="008C68AE">
        <w:t xml:space="preserve">This funding will give our police </w:t>
      </w:r>
      <w:r w:rsidR="005B2AD1" w:rsidRPr="008C68AE">
        <w:t>greater powers, connect them better with their local communities, and ensure they have what they need to hold offenders to account.</w:t>
      </w:r>
    </w:p>
    <w:p w:rsidR="00C11F82" w:rsidRPr="008C68AE" w:rsidRDefault="00C11F82" w:rsidP="00D36EAE">
      <w:r w:rsidRPr="008C68AE">
        <w:t>This</w:t>
      </w:r>
      <w:r w:rsidR="003D2EC6" w:rsidRPr="008C68AE">
        <w:t xml:space="preserve"> record</w:t>
      </w:r>
      <w:r w:rsidRPr="008C68AE">
        <w:t xml:space="preserve"> investment is part of a broader overhaul of the justice system that focuses on early detection and prevention, as well as punishing serious crime in a way that is commensurate w</w:t>
      </w:r>
      <w:r w:rsidR="003D2EC6" w:rsidRPr="008C68AE">
        <w:t>ith community expectations.</w:t>
      </w:r>
    </w:p>
    <w:p w:rsidR="00455382" w:rsidRPr="008C68AE" w:rsidRDefault="00455382" w:rsidP="00D36EAE">
      <w:r w:rsidRPr="008C68AE">
        <w:t>$3</w:t>
      </w:r>
      <w:r w:rsidR="0050539D" w:rsidRPr="008C68AE">
        <w:t>61</w:t>
      </w:r>
      <w:r w:rsidRPr="008C68AE">
        <w:t xml:space="preserve"> million will strengthen the youth justice precincts in Parkville and Malmsbury, </w:t>
      </w:r>
      <w:r w:rsidR="008C68AE">
        <w:br/>
      </w:r>
      <w:r w:rsidRPr="008C68AE">
        <w:t xml:space="preserve">as well as building a new, fit-for-purpose </w:t>
      </w:r>
      <w:r w:rsidR="004B3B25" w:rsidRPr="008C68AE">
        <w:t xml:space="preserve">youth justice </w:t>
      </w:r>
      <w:r w:rsidRPr="008C68AE">
        <w:t>centre</w:t>
      </w:r>
      <w:r w:rsidR="005276E9" w:rsidRPr="008C68AE">
        <w:t xml:space="preserve"> at Cherry Creek</w:t>
      </w:r>
      <w:r w:rsidRPr="008C68AE">
        <w:t>.</w:t>
      </w:r>
    </w:p>
    <w:p w:rsidR="005A2B23" w:rsidRPr="008C68AE" w:rsidRDefault="005A2B23" w:rsidP="00D36EAE">
      <w:r w:rsidRPr="008C68AE">
        <w:t>We are delivering on our Community Safety Statement, funding 100 new Protective Services Officers, providing support for Legal Aid and Community Legal centres and expan</w:t>
      </w:r>
      <w:r w:rsidR="00A643B3" w:rsidRPr="008C68AE">
        <w:t>ding</w:t>
      </w:r>
      <w:r w:rsidRPr="008C68AE">
        <w:t xml:space="preserve"> the Werribee and Bendigo </w:t>
      </w:r>
      <w:r w:rsidR="0023697D" w:rsidRPr="008C68AE">
        <w:t>c</w:t>
      </w:r>
      <w:r w:rsidRPr="008C68AE">
        <w:t>ourts.</w:t>
      </w:r>
    </w:p>
    <w:p w:rsidR="007F4979" w:rsidRPr="008C68AE" w:rsidRDefault="00EB23DE" w:rsidP="00D36EAE">
      <w:r w:rsidRPr="008C68AE">
        <w:t>This b</w:t>
      </w:r>
      <w:r w:rsidR="000F1287" w:rsidRPr="008C68AE">
        <w:t xml:space="preserve">udget is providing </w:t>
      </w:r>
      <w:r w:rsidR="00BE0E1F" w:rsidRPr="008C68AE">
        <w:t xml:space="preserve">the right investments and the resources </w:t>
      </w:r>
      <w:r w:rsidR="000F1287" w:rsidRPr="008C68AE">
        <w:t>police</w:t>
      </w:r>
      <w:r w:rsidR="00BE0E1F" w:rsidRPr="008C68AE">
        <w:t xml:space="preserve"> need</w:t>
      </w:r>
      <w:r w:rsidR="000F1287" w:rsidRPr="008C68AE">
        <w:t xml:space="preserve"> to protect Victorians</w:t>
      </w:r>
      <w:r w:rsidR="00B44256" w:rsidRPr="008C68AE">
        <w:t>, keep them safe</w:t>
      </w:r>
      <w:r w:rsidR="000F1287" w:rsidRPr="008C68AE">
        <w:t xml:space="preserve"> and reduce harm.</w:t>
      </w:r>
    </w:p>
    <w:p w:rsidR="00C11F82" w:rsidRPr="008C68AE" w:rsidRDefault="00C11F82" w:rsidP="00D36EAE">
      <w:r w:rsidRPr="008C68AE">
        <w:t xml:space="preserve">Speaker, </w:t>
      </w:r>
      <w:r w:rsidR="00AD38F8" w:rsidRPr="008C68AE">
        <w:t xml:space="preserve">this Government is committed to </w:t>
      </w:r>
      <w:r w:rsidRPr="008C68AE">
        <w:t>the task of enriching</w:t>
      </w:r>
      <w:r w:rsidR="00AD38F8" w:rsidRPr="008C68AE">
        <w:t xml:space="preserve"> the lives of young Victorians and </w:t>
      </w:r>
      <w:r w:rsidRPr="008C68AE">
        <w:t>giving them the best education possible</w:t>
      </w:r>
      <w:r w:rsidR="00AD38F8" w:rsidRPr="008C68AE">
        <w:t>.</w:t>
      </w:r>
    </w:p>
    <w:p w:rsidR="00097252" w:rsidRPr="008C68AE" w:rsidRDefault="00C11F82" w:rsidP="00D36EAE">
      <w:r w:rsidRPr="008C68AE">
        <w:t>After all, education shouldn</w:t>
      </w:r>
      <w:r w:rsidR="00CC00D2" w:rsidRPr="008C68AE">
        <w:t>’</w:t>
      </w:r>
      <w:r w:rsidRPr="008C68AE">
        <w:t>t promote privilege or perpetuate inequality. It should drive hope</w:t>
      </w:r>
      <w:r w:rsidR="007F783D" w:rsidRPr="008C68AE">
        <w:t xml:space="preserve"> and opportunity</w:t>
      </w:r>
      <w:r w:rsidRPr="008C68AE">
        <w:t xml:space="preserve">. </w:t>
      </w:r>
    </w:p>
    <w:p w:rsidR="00C11F82" w:rsidRPr="008C68AE" w:rsidRDefault="00C11F82" w:rsidP="00D36EAE">
      <w:r w:rsidRPr="008C68AE">
        <w:t>That</w:t>
      </w:r>
      <w:r w:rsidR="00CC00D2" w:rsidRPr="008C68AE">
        <w:t>’</w:t>
      </w:r>
      <w:r w:rsidRPr="008C68AE">
        <w:t>s why we</w:t>
      </w:r>
      <w:r w:rsidR="00CC00D2" w:rsidRPr="008C68AE">
        <w:t>’</w:t>
      </w:r>
      <w:r w:rsidRPr="008C68AE">
        <w:t>re getting on with what</w:t>
      </w:r>
      <w:r w:rsidR="00CC00D2" w:rsidRPr="008C68AE">
        <w:t>’</w:t>
      </w:r>
      <w:r w:rsidRPr="008C68AE">
        <w:t>s been the single biggest education investment in Victoria</w:t>
      </w:r>
      <w:r w:rsidR="00CC00D2" w:rsidRPr="008C68AE">
        <w:t>’</w:t>
      </w:r>
      <w:r w:rsidRPr="008C68AE">
        <w:t>s history.</w:t>
      </w:r>
    </w:p>
    <w:p w:rsidR="00BE0E1F" w:rsidRPr="008C68AE" w:rsidRDefault="004B3B25" w:rsidP="00D36EAE">
      <w:r w:rsidRPr="008C68AE">
        <w:t>B</w:t>
      </w:r>
      <w:r w:rsidR="00D609E8" w:rsidRPr="008C68AE">
        <w:t>rick by brick, school by school,</w:t>
      </w:r>
      <w:r w:rsidRPr="008C68AE">
        <w:t xml:space="preserve"> </w:t>
      </w:r>
      <w:r w:rsidR="007F783D" w:rsidRPr="008C68AE">
        <w:t xml:space="preserve">student by student, </w:t>
      </w:r>
      <w:r w:rsidRPr="008C68AE">
        <w:t>we are building</w:t>
      </w:r>
      <w:r w:rsidR="00BE0E1F" w:rsidRPr="008C68AE">
        <w:t xml:space="preserve"> the Education State.</w:t>
      </w:r>
    </w:p>
    <w:p w:rsidR="00054EF7" w:rsidRPr="008C68AE" w:rsidRDefault="00054EF7" w:rsidP="00D36EAE">
      <w:r w:rsidRPr="008C68AE">
        <w:t>The previous government gutted our education system. T</w:t>
      </w:r>
      <w:r w:rsidR="00AF3C7B" w:rsidRPr="008C68AE">
        <w:t>here were too many boarded-up schools, t</w:t>
      </w:r>
      <w:r w:rsidRPr="008C68AE">
        <w:t>oo many cla</w:t>
      </w:r>
      <w:r w:rsidR="009A5388" w:rsidRPr="008C68AE">
        <w:t>ssrooms in a state of di</w:t>
      </w:r>
      <w:r w:rsidR="00AF3C7B" w:rsidRPr="008C68AE">
        <w:t>s</w:t>
      </w:r>
      <w:r w:rsidR="009A5388" w:rsidRPr="008C68AE">
        <w:t>re</w:t>
      </w:r>
      <w:r w:rsidR="00AF3C7B" w:rsidRPr="008C68AE">
        <w:t>pair,</w:t>
      </w:r>
      <w:r w:rsidR="009E4D20" w:rsidRPr="008C68AE">
        <w:t xml:space="preserve"> and</w:t>
      </w:r>
      <w:r w:rsidR="00AF3C7B" w:rsidRPr="008C68AE">
        <w:t xml:space="preserve"> t</w:t>
      </w:r>
      <w:r w:rsidRPr="008C68AE">
        <w:t xml:space="preserve">oo many </w:t>
      </w:r>
      <w:r w:rsidR="00AD38F8" w:rsidRPr="008C68AE">
        <w:t>children</w:t>
      </w:r>
      <w:r w:rsidRPr="008C68AE">
        <w:t xml:space="preserve"> left behind.</w:t>
      </w:r>
      <w:r w:rsidR="00344915" w:rsidRPr="008C68AE">
        <w:t xml:space="preserve"> Too many opportunities lost.</w:t>
      </w:r>
    </w:p>
    <w:p w:rsidR="001D4CB1" w:rsidRPr="008C68AE" w:rsidRDefault="0050137C" w:rsidP="00D36EAE">
      <w:r w:rsidRPr="008C68AE">
        <w:t>To date</w:t>
      </w:r>
      <w:r w:rsidR="00191D6C" w:rsidRPr="008C68AE">
        <w:t>,</w:t>
      </w:r>
      <w:r w:rsidRPr="008C68AE">
        <w:t xml:space="preserve"> we</w:t>
      </w:r>
      <w:r w:rsidR="00CC00D2" w:rsidRPr="008C68AE">
        <w:t>’</w:t>
      </w:r>
      <w:r w:rsidRPr="008C68AE">
        <w:t>v</w:t>
      </w:r>
      <w:r w:rsidR="001D4CB1" w:rsidRPr="008C68AE">
        <w:t xml:space="preserve">e </w:t>
      </w:r>
      <w:r w:rsidRPr="008C68AE">
        <w:t xml:space="preserve">funded </w:t>
      </w:r>
      <w:r w:rsidR="008C7209" w:rsidRPr="008C68AE">
        <w:t xml:space="preserve">more </w:t>
      </w:r>
      <w:r w:rsidR="001D4CB1" w:rsidRPr="008C68AE">
        <w:t>than 1 000</w:t>
      </w:r>
      <w:r w:rsidR="008A6796" w:rsidRPr="008C68AE">
        <w:t xml:space="preserve"> </w:t>
      </w:r>
      <w:r w:rsidR="001D4CB1" w:rsidRPr="008C68AE">
        <w:t>project</w:t>
      </w:r>
      <w:r w:rsidR="00C11F82" w:rsidRPr="008C68AE">
        <w:t>s</w:t>
      </w:r>
      <w:r w:rsidR="001D4CB1" w:rsidRPr="008C68AE">
        <w:t xml:space="preserve"> across the </w:t>
      </w:r>
      <w:r w:rsidR="00191D6C" w:rsidRPr="008C68AE">
        <w:t>S</w:t>
      </w:r>
      <w:r w:rsidR="001D4CB1" w:rsidRPr="008C68AE">
        <w:t>tate</w:t>
      </w:r>
      <w:r w:rsidR="00C11F82" w:rsidRPr="008C68AE">
        <w:t xml:space="preserve">, </w:t>
      </w:r>
      <w:r w:rsidR="007F4979" w:rsidRPr="008C68AE">
        <w:t>including 4</w:t>
      </w:r>
      <w:r w:rsidRPr="008C68AE">
        <w:t>3</w:t>
      </w:r>
      <w:r w:rsidR="007F4979" w:rsidRPr="008C68AE">
        <w:t> </w:t>
      </w:r>
      <w:r w:rsidR="00241752" w:rsidRPr="008C68AE">
        <w:t>new schools</w:t>
      </w:r>
      <w:r w:rsidR="001D4CB1" w:rsidRPr="008C68AE">
        <w:t>.</w:t>
      </w:r>
    </w:p>
    <w:p w:rsidR="00C11F82" w:rsidRPr="008C68AE" w:rsidRDefault="00C11F82" w:rsidP="00D36EAE">
      <w:r w:rsidRPr="008C68AE">
        <w:t>Th</w:t>
      </w:r>
      <w:r w:rsidR="00EB23DE" w:rsidRPr="008C68AE">
        <w:t>is b</w:t>
      </w:r>
      <w:r w:rsidRPr="008C68AE">
        <w:t xml:space="preserve">udget commits </w:t>
      </w:r>
      <w:r w:rsidR="00BD49B2" w:rsidRPr="008C68AE">
        <w:t>$1.3 b</w:t>
      </w:r>
      <w:r w:rsidRPr="008C68AE">
        <w:t>illion to continue the revital</w:t>
      </w:r>
      <w:r w:rsidR="00C86220" w:rsidRPr="008C68AE">
        <w:t>isation of our education system.</w:t>
      </w:r>
    </w:p>
    <w:p w:rsidR="00AF722B" w:rsidRPr="008C68AE" w:rsidRDefault="00AF722B" w:rsidP="00D36EAE">
      <w:r w:rsidRPr="008C68AE">
        <w:t>It directly funds the construction of another nine new schools, and acquires land for a further 11</w:t>
      </w:r>
      <w:r w:rsidR="0050137C" w:rsidRPr="008C68AE">
        <w:t xml:space="preserve"> schools</w:t>
      </w:r>
      <w:r w:rsidRPr="008C68AE">
        <w:t xml:space="preserve">. And it funds </w:t>
      </w:r>
      <w:r w:rsidR="005276E9" w:rsidRPr="008C68AE">
        <w:t xml:space="preserve">further </w:t>
      </w:r>
      <w:r w:rsidRPr="008C68AE">
        <w:t xml:space="preserve">upgrades for </w:t>
      </w:r>
      <w:r w:rsidR="009C4417" w:rsidRPr="008C68AE">
        <w:t>108</w:t>
      </w:r>
      <w:r w:rsidRPr="008C68AE">
        <w:t xml:space="preserve"> schools across the </w:t>
      </w:r>
      <w:r w:rsidR="009C4417" w:rsidRPr="008C68AE">
        <w:t>S</w:t>
      </w:r>
      <w:r w:rsidRPr="008C68AE">
        <w:t>tate.</w:t>
      </w:r>
    </w:p>
    <w:p w:rsidR="00AF722B" w:rsidRPr="008C68AE" w:rsidRDefault="00AF722B" w:rsidP="00D36EAE">
      <w:r w:rsidRPr="008C68AE">
        <w:lastRenderedPageBreak/>
        <w:t>Six of those will be special needs schools.</w:t>
      </w:r>
    </w:p>
    <w:p w:rsidR="00AF722B" w:rsidRPr="008C68AE" w:rsidRDefault="00C931BD" w:rsidP="00D36EAE">
      <w:r w:rsidRPr="008C68AE">
        <w:t xml:space="preserve">Fifty-nine </w:t>
      </w:r>
      <w:r w:rsidR="00AF722B" w:rsidRPr="008C68AE">
        <w:t xml:space="preserve">of them will be in regional </w:t>
      </w:r>
      <w:r w:rsidRPr="008C68AE">
        <w:t xml:space="preserve">and rural </w:t>
      </w:r>
      <w:r w:rsidR="00AF722B" w:rsidRPr="008C68AE">
        <w:t>Victoria</w:t>
      </w:r>
      <w:r w:rsidR="005C3E16" w:rsidRPr="008C68AE">
        <w:t>.</w:t>
      </w:r>
    </w:p>
    <w:p w:rsidR="00AF722B" w:rsidRPr="008C68AE" w:rsidRDefault="00AF722B" w:rsidP="00D36EAE">
      <w:r w:rsidRPr="008C68AE">
        <w:t>And we</w:t>
      </w:r>
      <w:r w:rsidR="00CC00D2" w:rsidRPr="008C68AE">
        <w:t>’</w:t>
      </w:r>
      <w:r w:rsidRPr="008C68AE">
        <w:t>re investing in much needed relocatable buildings and early childhood facilities.</w:t>
      </w:r>
    </w:p>
    <w:p w:rsidR="00C11F82" w:rsidRPr="008C68AE" w:rsidRDefault="00AF722B" w:rsidP="00D36EAE">
      <w:r w:rsidRPr="008C68AE">
        <w:t xml:space="preserve">Speaker, we </w:t>
      </w:r>
      <w:r w:rsidR="00C11F82" w:rsidRPr="008C68AE">
        <w:t xml:space="preserve">believe in the transformative power of education for all of our </w:t>
      </w:r>
      <w:r w:rsidR="00AD38F8" w:rsidRPr="008C68AE">
        <w:t>children</w:t>
      </w:r>
      <w:r w:rsidR="00C11F82" w:rsidRPr="008C68AE">
        <w:t xml:space="preserve">, regardless of disability or </w:t>
      </w:r>
      <w:r w:rsidR="000D2A07" w:rsidRPr="008C68AE">
        <w:t>circumstances</w:t>
      </w:r>
      <w:r w:rsidR="00A04346" w:rsidRPr="008C68AE">
        <w:t xml:space="preserve"> beyond their control</w:t>
      </w:r>
      <w:r w:rsidR="000D2A07" w:rsidRPr="008C68AE">
        <w:t>.</w:t>
      </w:r>
    </w:p>
    <w:p w:rsidR="000D2A07" w:rsidRPr="008C68AE" w:rsidRDefault="00C11F82" w:rsidP="00D36EAE">
      <w:r w:rsidRPr="008C68AE">
        <w:t>That</w:t>
      </w:r>
      <w:r w:rsidR="00CC00D2" w:rsidRPr="008C68AE">
        <w:t>’</w:t>
      </w:r>
      <w:r w:rsidRPr="008C68AE">
        <w:t>s why we</w:t>
      </w:r>
      <w:r w:rsidR="00CC00D2" w:rsidRPr="008C68AE">
        <w:t>’</w:t>
      </w:r>
      <w:r w:rsidRPr="008C68AE">
        <w:t xml:space="preserve">re investing </w:t>
      </w:r>
      <w:r w:rsidR="00E8486E" w:rsidRPr="008C68AE">
        <w:t xml:space="preserve">$138 </w:t>
      </w:r>
      <w:r w:rsidRPr="008C68AE">
        <w:t xml:space="preserve">million in specialist programs for </w:t>
      </w:r>
      <w:r w:rsidR="00A643B3" w:rsidRPr="008C68AE">
        <w:t xml:space="preserve">children </w:t>
      </w:r>
      <w:r w:rsidRPr="008C68AE">
        <w:t xml:space="preserve">from disadvantaged backgrounds, </w:t>
      </w:r>
      <w:r w:rsidR="00A643B3" w:rsidRPr="008C68AE">
        <w:t xml:space="preserve">children </w:t>
      </w:r>
      <w:r w:rsidRPr="008C68AE">
        <w:t xml:space="preserve">with a disability, </w:t>
      </w:r>
      <w:r w:rsidR="00AD38F8" w:rsidRPr="008C68AE">
        <w:t>children</w:t>
      </w:r>
      <w:r w:rsidRPr="008C68AE">
        <w:t xml:space="preserve"> who </w:t>
      </w:r>
      <w:r w:rsidR="000D2A07" w:rsidRPr="008C68AE">
        <w:t>–</w:t>
      </w:r>
      <w:r w:rsidRPr="008C68AE">
        <w:t xml:space="preserve"> for whatever reasons </w:t>
      </w:r>
      <w:r w:rsidR="000D2A07" w:rsidRPr="008C68AE">
        <w:t>–</w:t>
      </w:r>
      <w:r w:rsidRPr="008C68AE">
        <w:t xml:space="preserve"> </w:t>
      </w:r>
      <w:r w:rsidR="007D27AE" w:rsidRPr="008C68AE">
        <w:t xml:space="preserve">may </w:t>
      </w:r>
      <w:r w:rsidR="00797209" w:rsidRPr="008C68AE">
        <w:t xml:space="preserve">not </w:t>
      </w:r>
      <w:r w:rsidR="007D27AE" w:rsidRPr="008C68AE">
        <w:t xml:space="preserve">be </w:t>
      </w:r>
      <w:r w:rsidR="00797209" w:rsidRPr="008C68AE">
        <w:t>getting the</w:t>
      </w:r>
      <w:r w:rsidR="001E4B15" w:rsidRPr="008C68AE">
        <w:t xml:space="preserve"> attention</w:t>
      </w:r>
      <w:r w:rsidR="00BE0E1F" w:rsidRPr="008C68AE">
        <w:t xml:space="preserve"> they deserve</w:t>
      </w:r>
      <w:r w:rsidR="000D2A07" w:rsidRPr="008C68AE">
        <w:t xml:space="preserve">. </w:t>
      </w:r>
    </w:p>
    <w:p w:rsidR="000D2A07" w:rsidRPr="008C68AE" w:rsidDel="00AF722B" w:rsidRDefault="00DC2931" w:rsidP="00D36EAE">
      <w:r w:rsidRPr="008C68AE" w:rsidDel="00AF722B">
        <w:t xml:space="preserve">Like </w:t>
      </w:r>
      <w:r w:rsidR="00A45111" w:rsidRPr="008C68AE" w:rsidDel="00AF722B">
        <w:t xml:space="preserve">the provision of a good </w:t>
      </w:r>
      <w:r w:rsidRPr="008C68AE" w:rsidDel="00AF722B">
        <w:t xml:space="preserve">education, </w:t>
      </w:r>
      <w:r w:rsidR="00A45111" w:rsidRPr="008C68AE" w:rsidDel="00AF722B">
        <w:t>quality</w:t>
      </w:r>
      <w:r w:rsidRPr="008C68AE" w:rsidDel="00AF722B">
        <w:t xml:space="preserve"> </w:t>
      </w:r>
      <w:r w:rsidR="00A45111" w:rsidRPr="008C68AE" w:rsidDel="00AF722B">
        <w:t>health</w:t>
      </w:r>
      <w:r w:rsidR="0023697D" w:rsidRPr="008C68AE">
        <w:t xml:space="preserve"> </w:t>
      </w:r>
      <w:r w:rsidR="00A45111" w:rsidRPr="008C68AE" w:rsidDel="00AF722B">
        <w:t>care will always be a fundamental priority for this Government.</w:t>
      </w:r>
    </w:p>
    <w:p w:rsidR="008122F1" w:rsidRPr="008C68AE" w:rsidRDefault="00C11F82" w:rsidP="00D36EAE">
      <w:r w:rsidRPr="008C68AE">
        <w:t>Speaker, we</w:t>
      </w:r>
      <w:r w:rsidR="00CC00D2" w:rsidRPr="008C68AE">
        <w:t>’</w:t>
      </w:r>
      <w:r w:rsidRPr="008C68AE">
        <w:t xml:space="preserve">re a </w:t>
      </w:r>
      <w:r w:rsidR="00BD7762" w:rsidRPr="008C68AE">
        <w:t>g</w:t>
      </w:r>
      <w:r w:rsidRPr="008C68AE">
        <w:t>overnment that believes patients aren</w:t>
      </w:r>
      <w:r w:rsidR="00CC00D2" w:rsidRPr="008C68AE">
        <w:t>’</w:t>
      </w:r>
      <w:r w:rsidRPr="008C68AE">
        <w:t xml:space="preserve">t mere statistics. </w:t>
      </w:r>
    </w:p>
    <w:p w:rsidR="00A572F2" w:rsidRPr="008C68AE" w:rsidRDefault="00C11F82" w:rsidP="00D36EAE">
      <w:r w:rsidRPr="008C68AE">
        <w:t>They</w:t>
      </w:r>
      <w:r w:rsidR="00CC00D2" w:rsidRPr="008C68AE">
        <w:t>’</w:t>
      </w:r>
      <w:r w:rsidRPr="008C68AE">
        <w:t>re not clients</w:t>
      </w:r>
      <w:r w:rsidR="007D27AE" w:rsidRPr="008C68AE">
        <w:t xml:space="preserve"> or consumers</w:t>
      </w:r>
      <w:r w:rsidRPr="008C68AE">
        <w:t xml:space="preserve">. </w:t>
      </w:r>
    </w:p>
    <w:p w:rsidR="008122F1" w:rsidRPr="008C68AE" w:rsidRDefault="008122F1" w:rsidP="00D36EAE">
      <w:r w:rsidRPr="008C68AE">
        <w:t>They</w:t>
      </w:r>
      <w:r w:rsidR="00CC00D2" w:rsidRPr="008C68AE">
        <w:t>’</w:t>
      </w:r>
      <w:r w:rsidRPr="008C68AE">
        <w:t>re our loved ones who deserve the best possible care.</w:t>
      </w:r>
    </w:p>
    <w:p w:rsidR="00C11F82" w:rsidRPr="008C68AE" w:rsidRDefault="00C11F82" w:rsidP="00D36EAE">
      <w:r w:rsidRPr="008C68AE">
        <w:t>They</w:t>
      </w:r>
      <w:r w:rsidR="00CC00D2" w:rsidRPr="008C68AE">
        <w:t>’</w:t>
      </w:r>
      <w:r w:rsidRPr="008C68AE">
        <w:t xml:space="preserve">re </w:t>
      </w:r>
      <w:r w:rsidR="000303ED" w:rsidRPr="008C68AE">
        <w:t xml:space="preserve">our </w:t>
      </w:r>
      <w:r w:rsidRPr="008C68AE">
        <w:t xml:space="preserve">parents and </w:t>
      </w:r>
      <w:r w:rsidR="000303ED" w:rsidRPr="008C68AE">
        <w:t xml:space="preserve">our </w:t>
      </w:r>
      <w:r w:rsidRPr="008C68AE">
        <w:t xml:space="preserve">grandparents; </w:t>
      </w:r>
      <w:r w:rsidR="000303ED" w:rsidRPr="008C68AE">
        <w:t xml:space="preserve">our </w:t>
      </w:r>
      <w:r w:rsidRPr="008C68AE">
        <w:t xml:space="preserve">sons and </w:t>
      </w:r>
      <w:r w:rsidR="000303ED" w:rsidRPr="008C68AE">
        <w:t xml:space="preserve">our </w:t>
      </w:r>
      <w:r w:rsidRPr="008C68AE">
        <w:t>daughters. They</w:t>
      </w:r>
      <w:r w:rsidR="00CC00D2" w:rsidRPr="008C68AE">
        <w:t>’</w:t>
      </w:r>
      <w:r w:rsidRPr="008C68AE">
        <w:t>re Victorians who should get the health</w:t>
      </w:r>
      <w:r w:rsidR="0023697D" w:rsidRPr="008C68AE">
        <w:t xml:space="preserve"> </w:t>
      </w:r>
      <w:r w:rsidRPr="008C68AE">
        <w:t xml:space="preserve">care they need, not </w:t>
      </w:r>
      <w:r w:rsidR="000D2A07" w:rsidRPr="008C68AE">
        <w:t xml:space="preserve">just the </w:t>
      </w:r>
      <w:r w:rsidR="008122F1" w:rsidRPr="008C68AE">
        <w:t>health</w:t>
      </w:r>
      <w:r w:rsidR="0023697D" w:rsidRPr="008C68AE">
        <w:t xml:space="preserve"> </w:t>
      </w:r>
      <w:r w:rsidR="000D2A07" w:rsidRPr="008C68AE">
        <w:t xml:space="preserve">care they can afford. </w:t>
      </w:r>
    </w:p>
    <w:p w:rsidR="00C11F82" w:rsidRPr="008C68AE" w:rsidRDefault="00C11F82" w:rsidP="00D36EAE">
      <w:r w:rsidRPr="008C68AE">
        <w:t>That</w:t>
      </w:r>
      <w:r w:rsidR="00CC00D2" w:rsidRPr="008C68AE">
        <w:t>’</w:t>
      </w:r>
      <w:r w:rsidRPr="008C68AE">
        <w:t>s why we</w:t>
      </w:r>
      <w:r w:rsidR="00CC00D2" w:rsidRPr="008C68AE">
        <w:t>’</w:t>
      </w:r>
      <w:r w:rsidRPr="008C68AE">
        <w:t xml:space="preserve">ve already invested </w:t>
      </w:r>
      <w:r w:rsidR="00F15367" w:rsidRPr="008C68AE">
        <w:t>more than</w:t>
      </w:r>
      <w:r w:rsidRPr="008C68AE">
        <w:t xml:space="preserve"> </w:t>
      </w:r>
      <w:r w:rsidR="003E756E" w:rsidRPr="008C68AE">
        <w:t>$</w:t>
      </w:r>
      <w:r w:rsidR="00F15367" w:rsidRPr="008C68AE">
        <w:t>5</w:t>
      </w:r>
      <w:r w:rsidRPr="008C68AE">
        <w:t xml:space="preserve"> billion in </w:t>
      </w:r>
      <w:r w:rsidR="000D2A07" w:rsidRPr="008C68AE">
        <w:t xml:space="preserve">the </w:t>
      </w:r>
      <w:r w:rsidR="00847E91" w:rsidRPr="008C68AE">
        <w:t>S</w:t>
      </w:r>
      <w:r w:rsidR="000D2A07" w:rsidRPr="008C68AE">
        <w:t>tate</w:t>
      </w:r>
      <w:r w:rsidR="00CC00D2" w:rsidRPr="008C68AE">
        <w:t>’</w:t>
      </w:r>
      <w:r w:rsidR="000D2A07" w:rsidRPr="008C68AE">
        <w:t>s health</w:t>
      </w:r>
      <w:r w:rsidR="0023697D" w:rsidRPr="008C68AE">
        <w:t xml:space="preserve"> </w:t>
      </w:r>
      <w:r w:rsidR="000D2A07" w:rsidRPr="008C68AE">
        <w:t xml:space="preserve">care system. </w:t>
      </w:r>
    </w:p>
    <w:p w:rsidR="00C11F82" w:rsidRPr="008C68AE" w:rsidRDefault="00EB23DE" w:rsidP="00D36EAE">
      <w:r w:rsidRPr="008C68AE">
        <w:t>And that</w:t>
      </w:r>
      <w:r w:rsidR="00CC00D2" w:rsidRPr="008C68AE">
        <w:t>’</w:t>
      </w:r>
      <w:r w:rsidRPr="008C68AE">
        <w:t>s why this b</w:t>
      </w:r>
      <w:r w:rsidR="00C11F82" w:rsidRPr="008C68AE">
        <w:t xml:space="preserve">udget gets on with the job, with </w:t>
      </w:r>
      <w:r w:rsidR="00E46301" w:rsidRPr="008C68AE">
        <w:t>nearly</w:t>
      </w:r>
      <w:r w:rsidR="00C11F82" w:rsidRPr="008C68AE">
        <w:t xml:space="preserve"> </w:t>
      </w:r>
      <w:r w:rsidR="003E756E" w:rsidRPr="008C68AE">
        <w:t>$2.</w:t>
      </w:r>
      <w:r w:rsidR="00573BEC" w:rsidRPr="008C68AE">
        <w:t>9</w:t>
      </w:r>
      <w:r w:rsidR="00C11F82" w:rsidRPr="008C68AE">
        <w:t xml:space="preserve"> </w:t>
      </w:r>
      <w:r w:rsidR="00822A9E" w:rsidRPr="008C68AE">
        <w:t>b</w:t>
      </w:r>
      <w:r w:rsidR="00C11F82" w:rsidRPr="008C68AE">
        <w:t>illion to ensure all Victo</w:t>
      </w:r>
      <w:r w:rsidR="000D2A07" w:rsidRPr="008C68AE">
        <w:t>rians receive world-class care.</w:t>
      </w:r>
    </w:p>
    <w:p w:rsidR="00C11F82" w:rsidRPr="008C68AE" w:rsidRDefault="002D3FA8" w:rsidP="00D36EAE">
      <w:r w:rsidRPr="008C68AE">
        <w:t xml:space="preserve">That </w:t>
      </w:r>
      <w:r w:rsidR="00C11F82" w:rsidRPr="008C68AE">
        <w:t>mean</w:t>
      </w:r>
      <w:r w:rsidRPr="008C68AE">
        <w:t>s</w:t>
      </w:r>
      <w:r w:rsidR="00C11F82" w:rsidRPr="008C68AE">
        <w:t xml:space="preserve"> more beds, more nurses, mor</w:t>
      </w:r>
      <w:r w:rsidR="000D2A07" w:rsidRPr="008C68AE">
        <w:t>e surgeries and more resources</w:t>
      </w:r>
      <w:r w:rsidR="005229B4" w:rsidRPr="008C68AE">
        <w:t>, closer to home</w:t>
      </w:r>
      <w:r w:rsidR="000D2A07" w:rsidRPr="008C68AE">
        <w:t>.</w:t>
      </w:r>
    </w:p>
    <w:p w:rsidR="00C11F82" w:rsidRPr="008C68AE" w:rsidRDefault="00C11F82" w:rsidP="008C68AE">
      <w:pPr>
        <w:ind w:right="-113"/>
      </w:pPr>
      <w:r w:rsidRPr="008C68AE">
        <w:t>It will mean our emergency departments, intensive care units, mental health practitioners, maternity admissions, palliative care facilities and ambulance service</w:t>
      </w:r>
      <w:r w:rsidR="002377F3">
        <w:t>s</w:t>
      </w:r>
      <w:r w:rsidRPr="008C68AE">
        <w:t xml:space="preserve"> will all get the fundin</w:t>
      </w:r>
      <w:r w:rsidR="00E874C6" w:rsidRPr="008C68AE">
        <w:t>g they need and were missing under the former government.</w:t>
      </w:r>
    </w:p>
    <w:p w:rsidR="00EB6173" w:rsidRPr="008C68AE" w:rsidRDefault="008B2412" w:rsidP="00D36EAE">
      <w:r w:rsidRPr="008C68AE">
        <w:t>This budget invests $</w:t>
      </w:r>
      <w:r w:rsidR="000B02EC" w:rsidRPr="008C68AE">
        <w:t>4</w:t>
      </w:r>
      <w:r w:rsidR="00C510DF" w:rsidRPr="008C68AE">
        <w:t>98</w:t>
      </w:r>
      <w:r w:rsidRPr="008C68AE">
        <w:t xml:space="preserve"> million in our hospital infrastructure, including $163</w:t>
      </w:r>
      <w:r w:rsidR="007D544D" w:rsidRPr="008C68AE">
        <w:t> </w:t>
      </w:r>
      <w:r w:rsidRPr="008C68AE">
        <w:t>million for stage two of the Northern Hospital redevelopment, together with funding for the Monash Medic</w:t>
      </w:r>
      <w:r w:rsidR="007508ED" w:rsidRPr="008C68AE">
        <w:t>al Centre emergency department and essential upgrades at</w:t>
      </w:r>
      <w:r w:rsidRPr="008C68AE">
        <w:t xml:space="preserve"> the Royal Melbourne Hospital and the Austin Hospital. </w:t>
      </w:r>
    </w:p>
    <w:p w:rsidR="00DC323C" w:rsidRPr="008C68AE" w:rsidRDefault="00DC323C" w:rsidP="00D36EAE">
      <w:r w:rsidRPr="008C68AE">
        <w:t>It also provides $8.3 million to establish a new mental health facility in Ballarat.</w:t>
      </w:r>
    </w:p>
    <w:p w:rsidR="00EB6173" w:rsidRPr="008C68AE" w:rsidRDefault="007354B1" w:rsidP="008C68AE">
      <w:pPr>
        <w:ind w:right="-170"/>
      </w:pPr>
      <w:r w:rsidRPr="008C68AE">
        <w:t>It upgrades patient data systems, boosts medical research, and invests $14 million to deliver Victoria</w:t>
      </w:r>
      <w:r w:rsidR="00CC00D2" w:rsidRPr="008C68AE">
        <w:t>’</w:t>
      </w:r>
      <w:r w:rsidRPr="008C68AE">
        <w:t>s Cancer Plan, which will provide around 45 000 additional breast, bowel and oral cancer screens.</w:t>
      </w:r>
    </w:p>
    <w:p w:rsidR="00C11F82" w:rsidRPr="008C68AE" w:rsidRDefault="00C11F82" w:rsidP="00D36EAE">
      <w:r w:rsidRPr="008C68AE">
        <w:t>Speaker, our investments in critical infrastructure were the cornerston</w:t>
      </w:r>
      <w:r w:rsidR="000D2A07" w:rsidRPr="008C68AE">
        <w:t xml:space="preserve">es of our previous two </w:t>
      </w:r>
      <w:r w:rsidR="0079603A" w:rsidRPr="008C68AE">
        <w:t>b</w:t>
      </w:r>
      <w:r w:rsidR="000D2A07" w:rsidRPr="008C68AE">
        <w:t>udgets.</w:t>
      </w:r>
    </w:p>
    <w:p w:rsidR="00C11F82" w:rsidRPr="008C68AE" w:rsidRDefault="00C11F82" w:rsidP="00D36EAE">
      <w:r w:rsidRPr="008C68AE">
        <w:lastRenderedPageBreak/>
        <w:t xml:space="preserve">Prior to handing down </w:t>
      </w:r>
      <w:r w:rsidR="00643CE8" w:rsidRPr="008C68AE">
        <w:t xml:space="preserve">our </w:t>
      </w:r>
      <w:r w:rsidRPr="008C68AE">
        <w:t xml:space="preserve">first </w:t>
      </w:r>
      <w:r w:rsidR="0079603A" w:rsidRPr="008C68AE">
        <w:t>b</w:t>
      </w:r>
      <w:r w:rsidRPr="008C68AE">
        <w:t>udget, infrastructure investment had been averaging ar</w:t>
      </w:r>
      <w:r w:rsidR="00C510DF" w:rsidRPr="008C68AE">
        <w:t>ound $</w:t>
      </w:r>
      <w:r w:rsidR="005276E9" w:rsidRPr="008C68AE">
        <w:t>4.9</w:t>
      </w:r>
      <w:r w:rsidRPr="008C68AE">
        <w:t xml:space="preserve"> billion per year for the precedi</w:t>
      </w:r>
      <w:r w:rsidR="00C510DF" w:rsidRPr="008C68AE">
        <w:t xml:space="preserve">ng </w:t>
      </w:r>
      <w:r w:rsidR="006130F1" w:rsidRPr="008C68AE">
        <w:t>1</w:t>
      </w:r>
      <w:r w:rsidR="0050137C" w:rsidRPr="008C68AE">
        <w:t>0</w:t>
      </w:r>
      <w:r w:rsidR="006130F1" w:rsidRPr="008C68AE">
        <w:t xml:space="preserve"> </w:t>
      </w:r>
      <w:r w:rsidR="000D2A07" w:rsidRPr="008C68AE">
        <w:t>years.</w:t>
      </w:r>
    </w:p>
    <w:p w:rsidR="00C11F82" w:rsidRPr="008C68AE" w:rsidRDefault="0050137C" w:rsidP="00D36EAE">
      <w:r w:rsidRPr="008C68AE">
        <w:t>Since then, we</w:t>
      </w:r>
      <w:r w:rsidR="00CC00D2" w:rsidRPr="008C68AE">
        <w:t>’</w:t>
      </w:r>
      <w:r w:rsidRPr="008C68AE">
        <w:t>ve seen the</w:t>
      </w:r>
      <w:r w:rsidR="00C11F82" w:rsidRPr="008C68AE">
        <w:t xml:space="preserve"> average</w:t>
      </w:r>
      <w:r w:rsidR="000D2A07" w:rsidRPr="008C68AE">
        <w:t xml:space="preserve"> </w:t>
      </w:r>
      <w:r w:rsidRPr="008C68AE">
        <w:t xml:space="preserve">spend </w:t>
      </w:r>
      <w:r w:rsidR="000D2A07" w:rsidRPr="008C68AE">
        <w:t>jump to $8.4 billion</w:t>
      </w:r>
      <w:r w:rsidR="000B02EC" w:rsidRPr="008C68AE">
        <w:t xml:space="preserve"> per year</w:t>
      </w:r>
      <w:r w:rsidR="00E361CA" w:rsidRPr="008C68AE">
        <w:t xml:space="preserve">, with this budget taking it to an annual average of $9.6 billion over the </w:t>
      </w:r>
      <w:r w:rsidR="000B1DBA" w:rsidRPr="008C68AE">
        <w:t>next four years</w:t>
      </w:r>
      <w:r w:rsidR="006909D9" w:rsidRPr="008C68AE">
        <w:t>.</w:t>
      </w:r>
    </w:p>
    <w:p w:rsidR="00C11F82" w:rsidRPr="008C68AE" w:rsidRDefault="00C11F82" w:rsidP="00D36EAE">
      <w:r w:rsidRPr="008C68AE">
        <w:t>We</w:t>
      </w:r>
      <w:r w:rsidR="00CC00D2" w:rsidRPr="008C68AE">
        <w:t>’</w:t>
      </w:r>
      <w:r w:rsidRPr="008C68AE">
        <w:t>ve already started construction on the $1</w:t>
      </w:r>
      <w:r w:rsidR="0050137C" w:rsidRPr="008C68AE">
        <w:t>1</w:t>
      </w:r>
      <w:r w:rsidRPr="008C68AE">
        <w:t xml:space="preserve"> billion Metro Tunnel, the biggest overhaul of our train network since the construction of the City Loop a</w:t>
      </w:r>
      <w:r w:rsidR="000D2A07" w:rsidRPr="008C68AE">
        <w:t>nd a huge boo</w:t>
      </w:r>
      <w:r w:rsidR="00E12CCA" w:rsidRPr="008C68AE">
        <w:t>st</w:t>
      </w:r>
      <w:r w:rsidR="000D2A07" w:rsidRPr="008C68AE">
        <w:t xml:space="preserve"> for local jobs. </w:t>
      </w:r>
    </w:p>
    <w:p w:rsidR="00C80F40" w:rsidRPr="008C68AE" w:rsidRDefault="00786B17" w:rsidP="00D36EAE">
      <w:r w:rsidRPr="008C68AE">
        <w:t xml:space="preserve">As promised, the proceeds from the record </w:t>
      </w:r>
      <w:r w:rsidR="00655A93" w:rsidRPr="008C68AE">
        <w:t>lease</w:t>
      </w:r>
      <w:r w:rsidRPr="008C68AE">
        <w:t xml:space="preserve"> of the Port of Melbourne</w:t>
      </w:r>
      <w:r w:rsidR="00655A93" w:rsidRPr="008C68AE">
        <w:t xml:space="preserve"> </w:t>
      </w:r>
      <w:r w:rsidR="00B945F5" w:rsidRPr="008C68AE">
        <w:t xml:space="preserve">– </w:t>
      </w:r>
      <w:r w:rsidR="008E347F" w:rsidRPr="008C68AE">
        <w:t>10</w:t>
      </w:r>
      <w:r w:rsidR="00B945F5" w:rsidRPr="008C68AE">
        <w:t xml:space="preserve"> per cent of which are being invested in regional and rural infrastructure projects – </w:t>
      </w:r>
      <w:r w:rsidRPr="008C68AE">
        <w:t>have been paid into the Victorian Transport Fund, allowing us to remove 50 of the state</w:t>
      </w:r>
      <w:r w:rsidR="00CC00D2" w:rsidRPr="008C68AE">
        <w:t>’</w:t>
      </w:r>
      <w:r w:rsidRPr="008C68AE">
        <w:t xml:space="preserve">s </w:t>
      </w:r>
      <w:r w:rsidR="006F66D2" w:rsidRPr="008C68AE">
        <w:t xml:space="preserve">most </w:t>
      </w:r>
      <w:r w:rsidRPr="008C68AE">
        <w:t>dangerous and congested level crossings.</w:t>
      </w:r>
    </w:p>
    <w:p w:rsidR="00786B17" w:rsidRPr="008C68AE" w:rsidRDefault="00786B17" w:rsidP="008C68AE">
      <w:pPr>
        <w:ind w:right="-170"/>
      </w:pPr>
      <w:r w:rsidRPr="008C68AE">
        <w:t>This landmark project will make our roads safer and more reliable and create thousands of jobs. To date we</w:t>
      </w:r>
      <w:r w:rsidR="00CC00D2" w:rsidRPr="008C68AE">
        <w:t>’</w:t>
      </w:r>
      <w:r w:rsidRPr="008C68AE">
        <w:t xml:space="preserve">ve removed </w:t>
      </w:r>
      <w:r w:rsidR="008E347F" w:rsidRPr="008C68AE">
        <w:t>10</w:t>
      </w:r>
      <w:r w:rsidRPr="008C68AE">
        <w:t xml:space="preserve"> level crossings, with a further 27</w:t>
      </w:r>
      <w:r w:rsidR="007D544D" w:rsidRPr="008C68AE">
        <w:t> </w:t>
      </w:r>
      <w:r w:rsidRPr="008C68AE">
        <w:t xml:space="preserve">either under construction or </w:t>
      </w:r>
      <w:r w:rsidR="00E243A0" w:rsidRPr="008C68AE">
        <w:t>out to</w:t>
      </w:r>
      <w:r w:rsidRPr="008C68AE">
        <w:t xml:space="preserve"> tender</w:t>
      </w:r>
      <w:r w:rsidR="00E243A0" w:rsidRPr="008C68AE">
        <w:t>.</w:t>
      </w:r>
    </w:p>
    <w:p w:rsidR="00C11F82" w:rsidRPr="008C68AE" w:rsidRDefault="00C11F82" w:rsidP="00D36EAE">
      <w:r w:rsidRPr="008C68AE">
        <w:t>Likewise, the $5.</w:t>
      </w:r>
      <w:r w:rsidR="00C115E8" w:rsidRPr="008C68AE">
        <w:t>5</w:t>
      </w:r>
      <w:r w:rsidRPr="008C68AE">
        <w:t xml:space="preserve"> billion West Gate Tunnel project will </w:t>
      </w:r>
      <w:r w:rsidR="00324817" w:rsidRPr="008C68AE">
        <w:t xml:space="preserve">create </w:t>
      </w:r>
      <w:r w:rsidRPr="008C68AE">
        <w:t>more than</w:t>
      </w:r>
      <w:r w:rsidR="001F711A" w:rsidRPr="008C68AE">
        <w:t xml:space="preserve"> </w:t>
      </w:r>
      <w:r w:rsidR="00B926EC" w:rsidRPr="008C68AE">
        <w:t>6</w:t>
      </w:r>
      <w:r w:rsidR="007D544D" w:rsidRPr="008C68AE">
        <w:t> </w:t>
      </w:r>
      <w:r w:rsidR="00B926EC" w:rsidRPr="008C68AE">
        <w:t xml:space="preserve">000 </w:t>
      </w:r>
      <w:r w:rsidRPr="008C68AE">
        <w:t>new jobs. It will mean 500 apprenticeships,</w:t>
      </w:r>
      <w:r w:rsidR="000D2A07" w:rsidRPr="008C68AE">
        <w:t xml:space="preserve"> </w:t>
      </w:r>
      <w:r w:rsidRPr="008C68AE">
        <w:t>150</w:t>
      </w:r>
      <w:r w:rsidR="007D544D" w:rsidRPr="008C68AE">
        <w:t> </w:t>
      </w:r>
      <w:r w:rsidRPr="008C68AE">
        <w:t>jobs for former auto</w:t>
      </w:r>
      <w:r w:rsidR="0079603A" w:rsidRPr="008C68AE">
        <w:t>motive</w:t>
      </w:r>
      <w:r w:rsidRPr="008C68AE">
        <w:t xml:space="preserve"> workers and up to 400</w:t>
      </w:r>
      <w:r w:rsidR="00D36EAE" w:rsidRPr="008C68AE">
        <w:t> </w:t>
      </w:r>
      <w:r w:rsidRPr="008C68AE">
        <w:t>ne</w:t>
      </w:r>
      <w:r w:rsidR="00B926EC" w:rsidRPr="008C68AE">
        <w:t>w jobs in our burgeoning</w:t>
      </w:r>
      <w:r w:rsidR="000D2A07" w:rsidRPr="008C68AE">
        <w:t xml:space="preserve"> </w:t>
      </w:r>
      <w:r w:rsidR="00B926EC" w:rsidRPr="008C68AE">
        <w:t>west</w:t>
      </w:r>
      <w:r w:rsidR="00A643B3" w:rsidRPr="008C68AE">
        <w:t>ern suburbs</w:t>
      </w:r>
      <w:r w:rsidR="00B926EC" w:rsidRPr="008C68AE">
        <w:t>.</w:t>
      </w:r>
    </w:p>
    <w:p w:rsidR="00D31177" w:rsidRPr="008C68AE" w:rsidRDefault="00D31177" w:rsidP="00D36EAE">
      <w:r w:rsidRPr="008C68AE">
        <w:t xml:space="preserve">And it will take trucks off the streets of the inner west. </w:t>
      </w:r>
    </w:p>
    <w:p w:rsidR="00324817" w:rsidRPr="008C68AE" w:rsidRDefault="00324817" w:rsidP="00D36EAE">
      <w:r w:rsidRPr="008C68AE">
        <w:t>The tunnel will change our state; the jobs will change people</w:t>
      </w:r>
      <w:r w:rsidR="00CC00D2" w:rsidRPr="008C68AE">
        <w:t>’</w:t>
      </w:r>
      <w:r w:rsidRPr="008C68AE">
        <w:t>s lives.</w:t>
      </w:r>
    </w:p>
    <w:p w:rsidR="00C11F82" w:rsidRPr="008C68AE" w:rsidRDefault="00EB23DE" w:rsidP="00D36EAE">
      <w:r w:rsidRPr="008C68AE">
        <w:t>This b</w:t>
      </w:r>
      <w:r w:rsidR="00C11F82" w:rsidRPr="008C68AE">
        <w:t>udget gets on with the job of strengthening our road system with a</w:t>
      </w:r>
      <w:r w:rsidR="006D1B14" w:rsidRPr="008C68AE">
        <w:t xml:space="preserve">n investment of </w:t>
      </w:r>
      <w:r w:rsidR="00317776" w:rsidRPr="008C68AE">
        <w:t>almost</w:t>
      </w:r>
      <w:r w:rsidR="00C11F82" w:rsidRPr="008C68AE">
        <w:t xml:space="preserve"> $</w:t>
      </w:r>
      <w:r w:rsidR="00317776" w:rsidRPr="008C68AE">
        <w:t>2</w:t>
      </w:r>
      <w:r w:rsidR="007D544D" w:rsidRPr="008C68AE">
        <w:t> </w:t>
      </w:r>
      <w:r w:rsidR="00C11F82" w:rsidRPr="008C68AE">
        <w:t>billion that will help reduce congestion and keep Vic</w:t>
      </w:r>
      <w:r w:rsidR="000D2A07" w:rsidRPr="008C68AE">
        <w:t xml:space="preserve">torians safe behind the wheel. </w:t>
      </w:r>
    </w:p>
    <w:p w:rsidR="00C11F82" w:rsidRPr="008C68AE" w:rsidRDefault="00C11F82" w:rsidP="00D36EAE">
      <w:r w:rsidRPr="008C68AE">
        <w:t>It will mean more roads</w:t>
      </w:r>
      <w:r w:rsidR="000D2A07" w:rsidRPr="008C68AE">
        <w:t>, better roads and safer roads.</w:t>
      </w:r>
    </w:p>
    <w:p w:rsidR="00C11F82" w:rsidRPr="008C68AE" w:rsidRDefault="006D1B14" w:rsidP="00D36EAE">
      <w:r w:rsidRPr="008C68AE">
        <w:t xml:space="preserve">The </w:t>
      </w:r>
      <w:r w:rsidR="00C11F82" w:rsidRPr="008C68AE">
        <w:t>M80 Ring Road will be widened and enhanced with cutting edge traffic management, ensuring smoother and safer</w:t>
      </w:r>
      <w:r w:rsidR="00B926EC" w:rsidRPr="008C68AE">
        <w:t xml:space="preserve"> journeys for the more than</w:t>
      </w:r>
      <w:r w:rsidR="007D544D" w:rsidRPr="008C68AE">
        <w:t xml:space="preserve"> </w:t>
      </w:r>
      <w:r w:rsidR="00B926EC" w:rsidRPr="008C68AE">
        <w:t>160</w:t>
      </w:r>
      <w:r w:rsidR="007D544D" w:rsidRPr="008C68AE">
        <w:t> </w:t>
      </w:r>
      <w:r w:rsidR="00C11F82" w:rsidRPr="008C68AE">
        <w:t xml:space="preserve">000 Victorians </w:t>
      </w:r>
      <w:r w:rsidR="00B926EC" w:rsidRPr="008C68AE">
        <w:t>who use the f</w:t>
      </w:r>
      <w:r w:rsidR="000D2A07" w:rsidRPr="008C68AE">
        <w:t xml:space="preserve">reeway every day. </w:t>
      </w:r>
    </w:p>
    <w:p w:rsidR="00D46347" w:rsidRPr="008C68AE" w:rsidRDefault="002B145B" w:rsidP="00D36EAE">
      <w:r w:rsidRPr="008C68AE">
        <w:t>We</w:t>
      </w:r>
      <w:r w:rsidR="00CC00D2" w:rsidRPr="008C68AE">
        <w:t>’</w:t>
      </w:r>
      <w:r w:rsidRPr="008C68AE">
        <w:t>ve also allocated $300 million for the construction of the Mordialloc Bypass</w:t>
      </w:r>
      <w:r w:rsidR="00D46347" w:rsidRPr="008C68AE">
        <w:t xml:space="preserve">, which will significantly reduce congestion in the south east. </w:t>
      </w:r>
    </w:p>
    <w:p w:rsidR="002B145B" w:rsidRPr="008C68AE" w:rsidRDefault="00E114BA" w:rsidP="00D36EAE">
      <w:r w:rsidRPr="008C68AE">
        <w:t>And we</w:t>
      </w:r>
      <w:r w:rsidR="00CC00D2" w:rsidRPr="008C68AE">
        <w:t>’</w:t>
      </w:r>
      <w:r w:rsidRPr="008C68AE">
        <w:t>ll upgrade</w:t>
      </w:r>
      <w:r w:rsidR="002B145B" w:rsidRPr="008C68AE">
        <w:t xml:space="preserve"> </w:t>
      </w:r>
      <w:r w:rsidRPr="008C68AE">
        <w:t>the Great Ocean Road, the Henty Highway</w:t>
      </w:r>
      <w:r w:rsidR="008C4A35" w:rsidRPr="008C68AE">
        <w:t xml:space="preserve"> and </w:t>
      </w:r>
      <w:r w:rsidRPr="008C68AE">
        <w:t xml:space="preserve">the </w:t>
      </w:r>
      <w:r w:rsidR="008C4A35" w:rsidRPr="008C68AE">
        <w:t>South Gipp</w:t>
      </w:r>
      <w:r w:rsidR="007C1B64" w:rsidRPr="008C68AE">
        <w:t>sland Highway, as part of a $531</w:t>
      </w:r>
      <w:r w:rsidR="008C4A35" w:rsidRPr="008C68AE">
        <w:t xml:space="preserve"> million commitment for regional roads.</w:t>
      </w:r>
    </w:p>
    <w:p w:rsidR="00C11F82" w:rsidRPr="008C68AE" w:rsidRDefault="002B145B" w:rsidP="00D36EAE">
      <w:r w:rsidRPr="008C68AE">
        <w:t xml:space="preserve">This </w:t>
      </w:r>
      <w:r w:rsidR="00E114BA" w:rsidRPr="008C68AE">
        <w:t>includes</w:t>
      </w:r>
      <w:r w:rsidR="00C11F82" w:rsidRPr="008C68AE">
        <w:t xml:space="preserve"> an extensive program of resealing, resurfacing and rehabilitation works across the </w:t>
      </w:r>
      <w:r w:rsidR="008E347F" w:rsidRPr="008C68AE">
        <w:t>S</w:t>
      </w:r>
      <w:r w:rsidR="00C11F82" w:rsidRPr="008C68AE">
        <w:t>tate, work that will free up key freight routes, reduce the risk of crashes, relieve</w:t>
      </w:r>
      <w:r w:rsidR="00D36EAE" w:rsidRPr="008C68AE">
        <w:t> </w:t>
      </w:r>
      <w:r w:rsidR="00C11F82" w:rsidRPr="008C68AE">
        <w:t xml:space="preserve">bottle-necks and improve traffic flow. </w:t>
      </w:r>
    </w:p>
    <w:p w:rsidR="000D2A07" w:rsidRPr="008C68AE" w:rsidRDefault="00C11F82" w:rsidP="00D36EAE">
      <w:r w:rsidRPr="008C68AE">
        <w:t>Speaker, as important as our roads are, a modern, easily</w:t>
      </w:r>
      <w:r w:rsidR="008E72A6" w:rsidRPr="008C68AE">
        <w:t xml:space="preserve"> </w:t>
      </w:r>
      <w:r w:rsidRPr="008C68AE">
        <w:t>accessible public transport system is</w:t>
      </w:r>
      <w:r w:rsidR="007D544D" w:rsidRPr="008C68AE">
        <w:t xml:space="preserve"> critical.</w:t>
      </w:r>
    </w:p>
    <w:p w:rsidR="005A6586" w:rsidRPr="008C68AE" w:rsidRDefault="00C11F82" w:rsidP="00D36EAE">
      <w:r w:rsidRPr="008C68AE">
        <w:lastRenderedPageBreak/>
        <w:t>It reduces the number of cars on the road, positions us as a world-class tourist destination and gets Vict</w:t>
      </w:r>
      <w:r w:rsidR="002832D8" w:rsidRPr="008C68AE">
        <w:t>orians home quickly and safely.</w:t>
      </w:r>
    </w:p>
    <w:p w:rsidR="00884633" w:rsidRPr="008C68AE" w:rsidRDefault="005A6586" w:rsidP="00D36EAE">
      <w:r w:rsidRPr="008C68AE">
        <w:t xml:space="preserve">This is </w:t>
      </w:r>
      <w:r w:rsidR="005A68D4" w:rsidRPr="008C68AE">
        <w:t xml:space="preserve">especially true in </w:t>
      </w:r>
      <w:r w:rsidR="00884633" w:rsidRPr="008C68AE">
        <w:t>regional Victoria.</w:t>
      </w:r>
    </w:p>
    <w:p w:rsidR="00884633" w:rsidRPr="008C68AE" w:rsidRDefault="00884633" w:rsidP="00D36EAE">
      <w:r w:rsidRPr="008C68AE">
        <w:t>Our regional rail revival builds on the $1.3 billion we invested in last year</w:t>
      </w:r>
      <w:r w:rsidR="00CC00D2" w:rsidRPr="008C68AE">
        <w:t>’</w:t>
      </w:r>
      <w:r w:rsidRPr="008C68AE">
        <w:t>s budget</w:t>
      </w:r>
      <w:r w:rsidR="00471ED2" w:rsidRPr="008C68AE">
        <w:t xml:space="preserve"> to </w:t>
      </w:r>
      <w:r w:rsidR="00E62A93" w:rsidRPr="008C68AE">
        <w:t>upgrade every major line in regional Victoria</w:t>
      </w:r>
      <w:r w:rsidRPr="008C68AE">
        <w:t>.</w:t>
      </w:r>
    </w:p>
    <w:p w:rsidR="008122F1" w:rsidRPr="008C68AE" w:rsidRDefault="008122F1" w:rsidP="00D36EAE">
      <w:r w:rsidRPr="008C68AE">
        <w:t>The centrepiece of this is a $435 million commitment to upgrade key Gippsland rail infrastructure – including track duplications, additional platforms and crossing loops.</w:t>
      </w:r>
    </w:p>
    <w:p w:rsidR="008122F1" w:rsidRPr="008C68AE" w:rsidRDefault="008122F1" w:rsidP="00D36EAE">
      <w:r w:rsidRPr="008C68AE">
        <w:t>We</w:t>
      </w:r>
      <w:r w:rsidR="00CC00D2" w:rsidRPr="008C68AE">
        <w:t>’</w:t>
      </w:r>
      <w:r w:rsidRPr="008C68AE">
        <w:t>ll upgrade the Warrnambool and North East lines and deliver Surf Coast Rail Stage 1 to prepare</w:t>
      </w:r>
      <w:r w:rsidR="00B555A4" w:rsidRPr="008C68AE">
        <w:t xml:space="preserve"> for a new rail link to Torquay – provided the Commonwealth is willing to work with us in partnership to deliver for regional Victoria.</w:t>
      </w:r>
    </w:p>
    <w:p w:rsidR="00884633" w:rsidRPr="008C68AE" w:rsidRDefault="006E301C" w:rsidP="00D36EAE">
      <w:r w:rsidRPr="008C68AE">
        <w:t>We</w:t>
      </w:r>
      <w:r w:rsidR="00CC00D2" w:rsidRPr="008C68AE">
        <w:t>’</w:t>
      </w:r>
      <w:r w:rsidRPr="008C68AE">
        <w:t>ll also provide $316</w:t>
      </w:r>
      <w:r w:rsidR="00884633" w:rsidRPr="008C68AE">
        <w:t xml:space="preserve"> million for enhanced maintenance, in addition to more trains, better bus services, new connections and upgraded stations. </w:t>
      </w:r>
    </w:p>
    <w:p w:rsidR="00884633" w:rsidRPr="008C68AE" w:rsidRDefault="00884633" w:rsidP="00D36EAE">
      <w:r w:rsidRPr="008C68AE">
        <w:t>It will mean additional services to Melbourne. It will mean more punctual and targeted services</w:t>
      </w:r>
      <w:r w:rsidR="00254584" w:rsidRPr="008C68AE">
        <w:t>. It will mean</w:t>
      </w:r>
      <w:r w:rsidRPr="008C68AE">
        <w:t xml:space="preserve"> safer and more comfortable journeys. </w:t>
      </w:r>
    </w:p>
    <w:p w:rsidR="00884633" w:rsidRPr="008C68AE" w:rsidRDefault="00884633" w:rsidP="00D36EAE">
      <w:r w:rsidRPr="008C68AE">
        <w:t xml:space="preserve">This budget </w:t>
      </w:r>
      <w:r w:rsidR="00BA442E" w:rsidRPr="008C68AE">
        <w:t>gets</w:t>
      </w:r>
      <w:r w:rsidRPr="008C68AE">
        <w:t xml:space="preserve"> on with the job of overhauling our </w:t>
      </w:r>
      <w:r w:rsidR="005F3267" w:rsidRPr="008C68AE">
        <w:t xml:space="preserve">metropolitan </w:t>
      </w:r>
      <w:r w:rsidRPr="008C68AE">
        <w:t>pub</w:t>
      </w:r>
      <w:r w:rsidR="008F46AB" w:rsidRPr="008C68AE">
        <w:t>lic tran</w:t>
      </w:r>
      <w:r w:rsidR="000B61EF" w:rsidRPr="008C68AE">
        <w:t xml:space="preserve">sport system with </w:t>
      </w:r>
      <w:r w:rsidR="008B7B5B" w:rsidRPr="008C68AE">
        <w:t>$</w:t>
      </w:r>
      <w:r w:rsidR="00E114BA" w:rsidRPr="008C68AE">
        <w:t>880</w:t>
      </w:r>
      <w:r w:rsidR="00213CB5" w:rsidRPr="008C68AE">
        <w:t xml:space="preserve"> million invested</w:t>
      </w:r>
      <w:r w:rsidRPr="008C68AE">
        <w:t xml:space="preserve"> in new trams, safety measures</w:t>
      </w:r>
      <w:r w:rsidR="008B7B5B" w:rsidRPr="008C68AE">
        <w:t xml:space="preserve">, </w:t>
      </w:r>
      <w:r w:rsidR="002377F3">
        <w:t xml:space="preserve">and </w:t>
      </w:r>
      <w:r w:rsidR="008B7B5B" w:rsidRPr="008C68AE">
        <w:t>train</w:t>
      </w:r>
      <w:r w:rsidRPr="008C68AE">
        <w:t xml:space="preserve"> and station upgrades across Melbourne.</w:t>
      </w:r>
    </w:p>
    <w:p w:rsidR="00884633" w:rsidRPr="008C68AE" w:rsidRDefault="00884633" w:rsidP="00D36EAE">
      <w:r w:rsidRPr="008C68AE">
        <w:t>From a $187 million investment in a long</w:t>
      </w:r>
      <w:r w:rsidR="008E347F" w:rsidRPr="008C68AE">
        <w:t>-</w:t>
      </w:r>
      <w:r w:rsidRPr="008C68AE">
        <w:t>term stabling solution for the Frankston line, to</w:t>
      </w:r>
      <w:r w:rsidR="00D36EAE" w:rsidRPr="008C68AE">
        <w:t> </w:t>
      </w:r>
      <w:r w:rsidRPr="008C68AE">
        <w:t xml:space="preserve">the </w:t>
      </w:r>
      <w:r w:rsidR="00213CB5" w:rsidRPr="008C68AE">
        <w:t xml:space="preserve">permanent </w:t>
      </w:r>
      <w:r w:rsidRPr="008C68AE">
        <w:t>roll</w:t>
      </w:r>
      <w:r w:rsidR="008E347F" w:rsidRPr="008C68AE">
        <w:t>-</w:t>
      </w:r>
      <w:r w:rsidRPr="008C68AE">
        <w:t xml:space="preserve">out of </w:t>
      </w:r>
      <w:r w:rsidR="00C2263C" w:rsidRPr="008C68AE">
        <w:t>the</w:t>
      </w:r>
      <w:r w:rsidRPr="008C68AE">
        <w:t xml:space="preserve"> weekend </w:t>
      </w:r>
      <w:r w:rsidR="00C2263C" w:rsidRPr="008C68AE">
        <w:t>Night Network</w:t>
      </w:r>
      <w:r w:rsidRPr="008C68AE">
        <w:t>, we</w:t>
      </w:r>
      <w:r w:rsidR="00CC00D2" w:rsidRPr="008C68AE">
        <w:t>’</w:t>
      </w:r>
      <w:r w:rsidRPr="008C68AE">
        <w:t>ll continue to invest in a public transport system that befits the world</w:t>
      </w:r>
      <w:r w:rsidR="00CC00D2" w:rsidRPr="008C68AE">
        <w:t>’</w:t>
      </w:r>
      <w:r w:rsidRPr="008C68AE">
        <w:t xml:space="preserve">s most liveable city. </w:t>
      </w:r>
    </w:p>
    <w:p w:rsidR="00431546" w:rsidRPr="008C68AE" w:rsidRDefault="00BA442E" w:rsidP="00D36EAE">
      <w:r w:rsidRPr="008C68AE">
        <w:t>W</w:t>
      </w:r>
      <w:r w:rsidR="00BA2EEB" w:rsidRPr="008C68AE">
        <w:t>e</w:t>
      </w:r>
      <w:r w:rsidR="00CC00D2" w:rsidRPr="008C68AE">
        <w:t>’</w:t>
      </w:r>
      <w:r w:rsidR="00BA2EEB" w:rsidRPr="008C68AE">
        <w:t>ll also direct</w:t>
      </w:r>
      <w:r w:rsidR="00431546" w:rsidRPr="008C68AE">
        <w:t xml:space="preserve"> $10 million from our entitlement under the Federal Government</w:t>
      </w:r>
      <w:r w:rsidR="00CC00D2" w:rsidRPr="008C68AE">
        <w:t>’</w:t>
      </w:r>
      <w:r w:rsidR="00431546" w:rsidRPr="008C68AE">
        <w:t xml:space="preserve">s </w:t>
      </w:r>
      <w:r w:rsidR="008E347F" w:rsidRPr="008C68AE">
        <w:t>a</w:t>
      </w:r>
      <w:r w:rsidR="005F3267" w:rsidRPr="008C68AE">
        <w:t xml:space="preserve">sset </w:t>
      </w:r>
      <w:r w:rsidR="008E347F" w:rsidRPr="008C68AE">
        <w:t>recycling i</w:t>
      </w:r>
      <w:r w:rsidR="005F3267" w:rsidRPr="008C68AE">
        <w:t>nitiative into planning for</w:t>
      </w:r>
      <w:r w:rsidR="00431546" w:rsidRPr="008C68AE">
        <w:t xml:space="preserve"> the Melbourne Airport Rail Link.</w:t>
      </w:r>
    </w:p>
    <w:p w:rsidR="00431546" w:rsidRPr="008C68AE" w:rsidRDefault="00431546" w:rsidP="00D36EAE">
      <w:r w:rsidRPr="008C68AE">
        <w:t>We</w:t>
      </w:r>
      <w:r w:rsidR="00CC00D2" w:rsidRPr="008C68AE">
        <w:t>’</w:t>
      </w:r>
      <w:r w:rsidRPr="008C68AE">
        <w:t xml:space="preserve">re calling on the Commonwealth to partner with us on this project – so it progresses properly, integrates into our rail network and ensures Melbourne remains </w:t>
      </w:r>
      <w:r w:rsidR="005C5734" w:rsidRPr="008C68AE">
        <w:t xml:space="preserve">a </w:t>
      </w:r>
      <w:r w:rsidRPr="008C68AE">
        <w:t>world</w:t>
      </w:r>
      <w:r w:rsidR="005C5734" w:rsidRPr="008C68AE">
        <w:t>-</w:t>
      </w:r>
      <w:r w:rsidRPr="008C68AE">
        <w:t>class city for decades to come.</w:t>
      </w:r>
    </w:p>
    <w:p w:rsidR="00B70103" w:rsidRPr="008C68AE" w:rsidRDefault="00EB23DE" w:rsidP="00D36EAE">
      <w:r w:rsidRPr="008C68AE">
        <w:t>Speaker, this b</w:t>
      </w:r>
      <w:r w:rsidR="00C11F82" w:rsidRPr="008C68AE">
        <w:t xml:space="preserve">udget further establishes Victoria as both a </w:t>
      </w:r>
      <w:r w:rsidR="005C5734" w:rsidRPr="008C68AE">
        <w:t>prime</w:t>
      </w:r>
      <w:r w:rsidR="00C11F82" w:rsidRPr="008C68AE">
        <w:t xml:space="preserve"> tourist destination and an enviable place to live </w:t>
      </w:r>
      <w:r w:rsidR="001318F6" w:rsidRPr="008C68AE">
        <w:t>–</w:t>
      </w:r>
      <w:r w:rsidR="00C11F82" w:rsidRPr="008C68AE">
        <w:t xml:space="preserve"> a </w:t>
      </w:r>
      <w:r w:rsidR="008B29EE" w:rsidRPr="008C68AE">
        <w:t>s</w:t>
      </w:r>
      <w:r w:rsidR="00C11F82" w:rsidRPr="008C68AE">
        <w:t>tate renowned for its arts and culture, its sporting events</w:t>
      </w:r>
      <w:r w:rsidR="00A94122" w:rsidRPr="008C68AE">
        <w:t>,</w:t>
      </w:r>
      <w:r w:rsidR="00A91FCB" w:rsidRPr="008C68AE">
        <w:t xml:space="preserve"> </w:t>
      </w:r>
      <w:r w:rsidR="00C11F82" w:rsidRPr="008C68AE">
        <w:t>and its natural wonders.</w:t>
      </w:r>
    </w:p>
    <w:p w:rsidR="004C0AD1" w:rsidRPr="008C68AE" w:rsidRDefault="004C0AD1" w:rsidP="008C68AE">
      <w:pPr>
        <w:ind w:right="-170"/>
      </w:pPr>
      <w:r w:rsidRPr="008C68AE">
        <w:t>It</w:t>
      </w:r>
      <w:r w:rsidR="00CC00D2" w:rsidRPr="008C68AE">
        <w:t>’</w:t>
      </w:r>
      <w:r w:rsidRPr="008C68AE">
        <w:t>s a budget that commits to increasing the supply of decent, affordable and stable hous</w:t>
      </w:r>
      <w:r w:rsidR="00E70C46">
        <w:t>ing for those who need it most.</w:t>
      </w:r>
    </w:p>
    <w:p w:rsidR="004C0AD1" w:rsidRPr="008C68AE" w:rsidRDefault="004C0AD1" w:rsidP="00D36EAE">
      <w:r w:rsidRPr="008C68AE">
        <w:t>It does so in a number of ways, including abolishing stamp duty for first-time buyers purchasing homes for up to $600 000, and doubling the First Home Owner Grant in regional Victoria.</w:t>
      </w:r>
    </w:p>
    <w:p w:rsidR="004C0AD1" w:rsidRPr="008C68AE" w:rsidRDefault="004C0AD1" w:rsidP="00D36EAE">
      <w:r w:rsidRPr="008C68AE">
        <w:lastRenderedPageBreak/>
        <w:t xml:space="preserve">It frees up land and simplifies planning rules, with the aim of maintaining housing approvals at more than 50 000 new homes a year and adding more than $3.7 billion </w:t>
      </w:r>
      <w:r w:rsidR="008C68AE">
        <w:br/>
      </w:r>
      <w:r w:rsidRPr="008C68AE">
        <w:t>to the Victorian economy.</w:t>
      </w:r>
    </w:p>
    <w:p w:rsidR="004C0AD1" w:rsidRPr="008C68AE" w:rsidRDefault="004C0AD1" w:rsidP="00D36EAE">
      <w:r w:rsidRPr="008C68AE">
        <w:t>And perhaps most importantly, it supports those at risk of becoming homeless, with a raft of measures designed to provide more modern, safe and secure social housing.</w:t>
      </w:r>
    </w:p>
    <w:p w:rsidR="00C11F82" w:rsidRPr="008C68AE" w:rsidRDefault="00B70103" w:rsidP="00D36EAE">
      <w:r w:rsidRPr="008C68AE">
        <w:t xml:space="preserve">Maintaining </w:t>
      </w:r>
      <w:r w:rsidR="00C11F82" w:rsidRPr="008C68AE">
        <w:t>Victoria</w:t>
      </w:r>
      <w:r w:rsidR="00CC00D2" w:rsidRPr="008C68AE">
        <w:t>’</w:t>
      </w:r>
      <w:r w:rsidR="00C11F82" w:rsidRPr="008C68AE">
        <w:t>s natural resources and cu</w:t>
      </w:r>
      <w:r w:rsidR="00EB23DE" w:rsidRPr="008C68AE">
        <w:t xml:space="preserve">ltural gems is </w:t>
      </w:r>
      <w:r w:rsidRPr="008C68AE">
        <w:t xml:space="preserve">also </w:t>
      </w:r>
      <w:r w:rsidR="00EB23DE" w:rsidRPr="008C68AE">
        <w:t>paramount. This b</w:t>
      </w:r>
      <w:r w:rsidR="00C11F82" w:rsidRPr="008C68AE">
        <w:t xml:space="preserve">udget provides </w:t>
      </w:r>
      <w:r w:rsidR="00000C36" w:rsidRPr="008C68AE">
        <w:t xml:space="preserve">more than </w:t>
      </w:r>
      <w:r w:rsidR="0078609C" w:rsidRPr="008C68AE">
        <w:t>$</w:t>
      </w:r>
      <w:r w:rsidR="00A643B3" w:rsidRPr="008C68AE">
        <w:t>79</w:t>
      </w:r>
      <w:r w:rsidR="0078609C" w:rsidRPr="008C68AE">
        <w:t>8</w:t>
      </w:r>
      <w:r w:rsidR="007D544D" w:rsidRPr="008C68AE">
        <w:t> </w:t>
      </w:r>
      <w:r w:rsidR="00C11F82" w:rsidRPr="008C68AE">
        <w:t>million to care for our environment</w:t>
      </w:r>
      <w:r w:rsidR="009D1327" w:rsidRPr="008C68AE">
        <w:t xml:space="preserve"> and</w:t>
      </w:r>
      <w:r w:rsidR="00C11F82" w:rsidRPr="008C68AE">
        <w:t xml:space="preserve"> manage our water resources.</w:t>
      </w:r>
    </w:p>
    <w:p w:rsidR="00C2263C" w:rsidRPr="008C68AE" w:rsidRDefault="00C2263C" w:rsidP="00D36EAE">
      <w:r w:rsidRPr="008C68AE">
        <w:t xml:space="preserve">This is a government that believes in a fact-based approach to public policy. </w:t>
      </w:r>
    </w:p>
    <w:p w:rsidR="009F0388" w:rsidRPr="008C68AE" w:rsidRDefault="00B02110" w:rsidP="00D36EAE">
      <w:r w:rsidRPr="008C68AE">
        <w:t>We recognise c</w:t>
      </w:r>
      <w:r w:rsidR="00C2263C" w:rsidRPr="008C68AE">
        <w:t xml:space="preserve">limate change is a genuine threat, which is why </w:t>
      </w:r>
      <w:r w:rsidRPr="008C68AE">
        <w:t>we</w:t>
      </w:r>
      <w:r w:rsidR="00CC00D2" w:rsidRPr="008C68AE">
        <w:t>’</w:t>
      </w:r>
      <w:r w:rsidRPr="008C68AE">
        <w:t>re investing</w:t>
      </w:r>
      <w:r w:rsidR="002005A9">
        <w:t xml:space="preserve"> a further $25</w:t>
      </w:r>
      <w:r w:rsidR="00C2263C" w:rsidRPr="008C68AE">
        <w:t xml:space="preserve"> million in</w:t>
      </w:r>
      <w:r w:rsidR="009F0388" w:rsidRPr="008C68AE">
        <w:t xml:space="preserve"> our response to climate change.</w:t>
      </w:r>
    </w:p>
    <w:p w:rsidR="00C2263C" w:rsidRPr="008C68AE" w:rsidRDefault="009F0388" w:rsidP="00D36EAE">
      <w:r w:rsidRPr="008C68AE">
        <w:t>We</w:t>
      </w:r>
      <w:r w:rsidR="00CC00D2" w:rsidRPr="008C68AE">
        <w:t>’</w:t>
      </w:r>
      <w:r w:rsidRPr="008C68AE">
        <w:t xml:space="preserve">re also </w:t>
      </w:r>
      <w:r w:rsidR="00C2263C" w:rsidRPr="008C68AE">
        <w:t>allocating additional funding to biodiversity programs, Victoria</w:t>
      </w:r>
      <w:r w:rsidR="00CC00D2" w:rsidRPr="008C68AE">
        <w:t>’</w:t>
      </w:r>
      <w:r w:rsidR="00C2263C" w:rsidRPr="008C68AE">
        <w:t>s parks, and the E</w:t>
      </w:r>
      <w:r w:rsidR="00B02110" w:rsidRPr="008C68AE">
        <w:t xml:space="preserve">nvironment </w:t>
      </w:r>
      <w:r w:rsidR="00C2263C" w:rsidRPr="008C68AE">
        <w:t>P</w:t>
      </w:r>
      <w:r w:rsidR="00B02110" w:rsidRPr="008C68AE">
        <w:t xml:space="preserve">rotection </w:t>
      </w:r>
      <w:r w:rsidR="00C2263C" w:rsidRPr="008C68AE">
        <w:t>A</w:t>
      </w:r>
      <w:r w:rsidR="00B02110" w:rsidRPr="008C68AE">
        <w:t>uthority</w:t>
      </w:r>
      <w:r w:rsidR="00C2263C" w:rsidRPr="008C68AE">
        <w:t>.</w:t>
      </w:r>
    </w:p>
    <w:p w:rsidR="00154D8A" w:rsidRPr="008C68AE" w:rsidRDefault="002005A9" w:rsidP="00D36EAE">
      <w:r>
        <w:t xml:space="preserve">The budget </w:t>
      </w:r>
      <w:r w:rsidR="00154D8A" w:rsidRPr="008C68AE">
        <w:t>allocates $</w:t>
      </w:r>
      <w:r w:rsidR="00957651" w:rsidRPr="008C68AE">
        <w:t>25</w:t>
      </w:r>
      <w:r w:rsidR="00154D8A" w:rsidRPr="008C68AE">
        <w:t xml:space="preserve"> million for Visit Victoria to attract tourists, driving jobs growth in our visitor economy, while showcasing the best of Victoria to the world.</w:t>
      </w:r>
    </w:p>
    <w:p w:rsidR="00C11F82" w:rsidRPr="008C68AE" w:rsidRDefault="00370815" w:rsidP="00D36EAE">
      <w:r w:rsidRPr="008C68AE">
        <w:t>It</w:t>
      </w:r>
      <w:r w:rsidR="00C11F82" w:rsidRPr="008C68AE">
        <w:t xml:space="preserve"> cements our status as the nation</w:t>
      </w:r>
      <w:r w:rsidR="00CC00D2" w:rsidRPr="008C68AE">
        <w:t>’</w:t>
      </w:r>
      <w:r w:rsidR="00C11F82" w:rsidRPr="008C68AE">
        <w:t xml:space="preserve">s creative capital, with </w:t>
      </w:r>
      <w:r w:rsidR="00A902DC" w:rsidRPr="008C68AE">
        <w:t xml:space="preserve">funding of $106 million </w:t>
      </w:r>
      <w:r w:rsidR="00C11F82" w:rsidRPr="008C68AE">
        <w:t xml:space="preserve">for </w:t>
      </w:r>
      <w:r w:rsidR="00A902DC" w:rsidRPr="008C68AE">
        <w:t xml:space="preserve">our creative industries, including </w:t>
      </w:r>
      <w:r w:rsidR="00C11F82" w:rsidRPr="008C68AE">
        <w:t>exhibitions at the National Gallery of Victoria, upgrades to our iconic Arts Centre and redevelopments of the Australian Centre for the Movi</w:t>
      </w:r>
      <w:r w:rsidR="001318F6" w:rsidRPr="008C68AE">
        <w:t>ng Image and the State Library</w:t>
      </w:r>
      <w:r w:rsidR="00957651" w:rsidRPr="008C68AE">
        <w:t>.</w:t>
      </w:r>
    </w:p>
    <w:p w:rsidR="009F0388" w:rsidRPr="008C68AE" w:rsidRDefault="009F0388" w:rsidP="00D36EAE">
      <w:r w:rsidRPr="008C68AE">
        <w:t xml:space="preserve">Sport is central to our way of life and the Australian Open tennis is one of </w:t>
      </w:r>
      <w:r w:rsidR="002005A9">
        <w:t xml:space="preserve">our </w:t>
      </w:r>
      <w:r w:rsidRPr="008C68AE">
        <w:t>many premium international offerings</w:t>
      </w:r>
      <w:r w:rsidR="002005A9">
        <w:t>.</w:t>
      </w:r>
    </w:p>
    <w:p w:rsidR="00C11F82" w:rsidRPr="008C68AE" w:rsidRDefault="00EB23DE" w:rsidP="008C68AE">
      <w:pPr>
        <w:ind w:right="-170"/>
      </w:pPr>
      <w:r w:rsidRPr="008C68AE">
        <w:t>This b</w:t>
      </w:r>
      <w:r w:rsidR="00C11F82" w:rsidRPr="008C68AE">
        <w:t>udget provides $2</w:t>
      </w:r>
      <w:r w:rsidR="00957651" w:rsidRPr="008C68AE">
        <w:t>7</w:t>
      </w:r>
      <w:r w:rsidR="00C11F82" w:rsidRPr="008C68AE">
        <w:t>2 million for the final stage of the Melbourne Park redevelopment, an investment that will sec</w:t>
      </w:r>
      <w:r w:rsidR="00C80074" w:rsidRPr="008C68AE">
        <w:t xml:space="preserve">ure the tournament until 2036. </w:t>
      </w:r>
    </w:p>
    <w:p w:rsidR="0080513B" w:rsidRPr="008C68AE" w:rsidRDefault="00C11F82" w:rsidP="00D36EAE">
      <w:r w:rsidRPr="008C68AE">
        <w:t>We won</w:t>
      </w:r>
      <w:r w:rsidR="00CC00D2" w:rsidRPr="008C68AE">
        <w:t>’</w:t>
      </w:r>
      <w:r w:rsidRPr="008C68AE">
        <w:t xml:space="preserve">t neglect grass roots sporting clubs either – so often the bedrock of our suburbs and towns </w:t>
      </w:r>
      <w:r w:rsidR="001318F6" w:rsidRPr="008C68AE">
        <w:t>–</w:t>
      </w:r>
      <w:r w:rsidRPr="008C68AE">
        <w:t xml:space="preserve"> with funding to upgrade facilities</w:t>
      </w:r>
      <w:r w:rsidR="00A93B6B" w:rsidRPr="008C68AE">
        <w:t xml:space="preserve">, especially for </w:t>
      </w:r>
      <w:r w:rsidR="007D544D" w:rsidRPr="008C68AE">
        <w:t>women and girls.</w:t>
      </w:r>
    </w:p>
    <w:p w:rsidR="00C11F82" w:rsidRPr="008C68AE" w:rsidRDefault="00C11F82" w:rsidP="00D36EAE">
      <w:r w:rsidRPr="008C68AE">
        <w:t xml:space="preserve">Speaker, </w:t>
      </w:r>
      <w:r w:rsidR="00212FCF" w:rsidRPr="008C68AE">
        <w:t>b</w:t>
      </w:r>
      <w:r w:rsidRPr="008C68AE">
        <w:t>udgets are ultimately about people and communities</w:t>
      </w:r>
      <w:r w:rsidR="007D544D" w:rsidRPr="008C68AE">
        <w:t>.</w:t>
      </w:r>
    </w:p>
    <w:p w:rsidR="00BA59BF" w:rsidRPr="008C68AE" w:rsidRDefault="00BA59BF" w:rsidP="00BA59BF">
      <w:r w:rsidRPr="008C68AE">
        <w:t xml:space="preserve">This is a budget that delivers choice, control and vocational and educational opportunities for Victorians with a permanent disability, as well as support for their families and carers. </w:t>
      </w:r>
    </w:p>
    <w:p w:rsidR="006E0CF3" w:rsidRPr="008C68AE" w:rsidRDefault="00797BD1" w:rsidP="00D36EAE">
      <w:r w:rsidRPr="008C68AE">
        <w:t>This is</w:t>
      </w:r>
      <w:r w:rsidR="006E0CF3" w:rsidRPr="008C68AE">
        <w:t xml:space="preserve"> a budget that funds vital work with Aboriginal Victorians – more than $68 million to build the foundations for self-determination, to empower communities, to create jobs and to support cultural links.</w:t>
      </w:r>
    </w:p>
    <w:p w:rsidR="006130F1" w:rsidRPr="008C68AE" w:rsidRDefault="006130F1" w:rsidP="00D36EAE">
      <w:r w:rsidRPr="008C68AE">
        <w:t xml:space="preserve">The Andrews Labor Government is listening to Aboriginal </w:t>
      </w:r>
      <w:r w:rsidR="00797BD1" w:rsidRPr="008C68AE">
        <w:t>communities</w:t>
      </w:r>
      <w:r w:rsidRPr="008C68AE">
        <w:t>. We believe genuine change can only occur when Aboriginal Victorians have control over the decisions that affect their lives.</w:t>
      </w:r>
    </w:p>
    <w:p w:rsidR="00D56CD8" w:rsidRPr="008C68AE" w:rsidRDefault="006E0CF3" w:rsidP="00D36EAE">
      <w:r w:rsidRPr="008C68AE">
        <w:lastRenderedPageBreak/>
        <w:t>As former Prime Minister Paul Keating said in his Redfern speech nearly a quarter of a ce</w:t>
      </w:r>
      <w:r w:rsidR="00D56CD8" w:rsidRPr="008C68AE">
        <w:t xml:space="preserve">ntury ago, we should endeavour </w:t>
      </w:r>
      <w:r w:rsidR="00CC00D2" w:rsidRPr="008C68AE">
        <w:t>‘</w:t>
      </w:r>
      <w:r w:rsidRPr="008C68AE">
        <w:t>to bring the dispossessed out of the shadows, to recognise that they are part of us</w:t>
      </w:r>
      <w:r w:rsidR="00CC00D2" w:rsidRPr="008C68AE">
        <w:t>’</w:t>
      </w:r>
      <w:r w:rsidR="00101466" w:rsidRPr="008C68AE">
        <w:t>.</w:t>
      </w:r>
    </w:p>
    <w:p w:rsidR="006E0CF3" w:rsidRPr="008C68AE" w:rsidRDefault="006E0CF3" w:rsidP="008C68AE">
      <w:pPr>
        <w:ind w:right="-113"/>
      </w:pPr>
      <w:r w:rsidRPr="008C68AE">
        <w:t>It</w:t>
      </w:r>
      <w:r w:rsidR="00CC00D2" w:rsidRPr="008C68AE">
        <w:t>’</w:t>
      </w:r>
      <w:r w:rsidRPr="008C68AE">
        <w:t>s this commitment that perhaps best defines us, shows us who we are and what we value.</w:t>
      </w:r>
    </w:p>
    <w:p w:rsidR="00C11F82" w:rsidRPr="008C68AE" w:rsidRDefault="00C11F82" w:rsidP="00D36EAE">
      <w:r w:rsidRPr="008C68AE">
        <w:t xml:space="preserve">Speaker, when we were elected in 2014, we were upfront </w:t>
      </w:r>
      <w:r w:rsidR="00D56CD8" w:rsidRPr="008C68AE">
        <w:t xml:space="preserve">about </w:t>
      </w:r>
      <w:r w:rsidR="00C80074" w:rsidRPr="008C68AE">
        <w:t>what we stood for.</w:t>
      </w:r>
    </w:p>
    <w:p w:rsidR="00C11F82" w:rsidRPr="008C68AE" w:rsidRDefault="006130F1" w:rsidP="00D36EAE">
      <w:r w:rsidRPr="008C68AE">
        <w:t>T</w:t>
      </w:r>
      <w:r w:rsidR="00C11F82" w:rsidRPr="008C68AE">
        <w:t xml:space="preserve">his </w:t>
      </w:r>
      <w:r w:rsidR="00EC62F8" w:rsidRPr="008C68AE">
        <w:t>b</w:t>
      </w:r>
      <w:r w:rsidR="00C11F82" w:rsidRPr="008C68AE">
        <w:t>u</w:t>
      </w:r>
      <w:r w:rsidR="00C80074" w:rsidRPr="008C68AE">
        <w:t xml:space="preserve">dget reaffirms </w:t>
      </w:r>
      <w:r w:rsidR="008B1C19" w:rsidRPr="008C68AE">
        <w:t>those</w:t>
      </w:r>
      <w:r w:rsidR="00C80074" w:rsidRPr="008C68AE">
        <w:t xml:space="preserve"> values. </w:t>
      </w:r>
    </w:p>
    <w:p w:rsidR="00C11F82" w:rsidRPr="008C68AE" w:rsidRDefault="00C11F82" w:rsidP="00D36EAE">
      <w:r w:rsidRPr="008C68AE">
        <w:t>It</w:t>
      </w:r>
      <w:r w:rsidR="00CC00D2" w:rsidRPr="008C68AE">
        <w:t>’</w:t>
      </w:r>
      <w:r w:rsidRPr="008C68AE">
        <w:t xml:space="preserve">s a responsible </w:t>
      </w:r>
      <w:r w:rsidR="00212FCF" w:rsidRPr="008C68AE">
        <w:t>b</w:t>
      </w:r>
      <w:r w:rsidRPr="008C68AE">
        <w:t xml:space="preserve">udget, a fair </w:t>
      </w:r>
      <w:r w:rsidR="00212FCF" w:rsidRPr="008C68AE">
        <w:t>b</w:t>
      </w:r>
      <w:r w:rsidRPr="008C68AE">
        <w:t xml:space="preserve">udget, a </w:t>
      </w:r>
      <w:r w:rsidR="00212FCF" w:rsidRPr="008C68AE">
        <w:t>b</w:t>
      </w:r>
      <w:r w:rsidRPr="008C68AE">
        <w:t>udget for all Victorians.</w:t>
      </w:r>
    </w:p>
    <w:p w:rsidR="00CC5174" w:rsidRPr="008C68AE" w:rsidRDefault="008B1C19" w:rsidP="00D36EAE">
      <w:r w:rsidRPr="008C68AE">
        <w:t xml:space="preserve">I believe </w:t>
      </w:r>
      <w:r w:rsidR="00CC5174" w:rsidRPr="008C68AE">
        <w:t xml:space="preserve">the greatest failure in public life is </w:t>
      </w:r>
      <w:r w:rsidR="00E671ED" w:rsidRPr="008C68AE">
        <w:t>a</w:t>
      </w:r>
      <w:r w:rsidR="00CC5174" w:rsidRPr="008C68AE">
        <w:t xml:space="preserve"> failure of effort.</w:t>
      </w:r>
      <w:r w:rsidR="00E671ED" w:rsidRPr="008C68AE">
        <w:t xml:space="preserve"> We will never fall short by that measure</w:t>
      </w:r>
      <w:r w:rsidR="00937408" w:rsidRPr="008C68AE">
        <w:t>.</w:t>
      </w:r>
    </w:p>
    <w:p w:rsidR="00AE4955" w:rsidRPr="008C68AE" w:rsidRDefault="00AE4955" w:rsidP="008C68AE">
      <w:pPr>
        <w:ind w:right="-170"/>
      </w:pPr>
      <w:r w:rsidRPr="008C68AE">
        <w:t>There is no virtue like necessity, and the Andrews Labor Government is resolutely focused on the things</w:t>
      </w:r>
      <w:r w:rsidR="00162AA7" w:rsidRPr="008C68AE">
        <w:t xml:space="preserve"> that really matter – </w:t>
      </w:r>
      <w:r w:rsidRPr="008C68AE">
        <w:t>the things that must be done to enhance our great state and the welfare of every one of its citizens.</w:t>
      </w:r>
    </w:p>
    <w:p w:rsidR="00CC5174" w:rsidRPr="008C68AE" w:rsidRDefault="006130F1" w:rsidP="00D36EAE">
      <w:r w:rsidRPr="008C68AE">
        <w:t>T</w:t>
      </w:r>
      <w:r w:rsidR="00CC5174" w:rsidRPr="008C68AE">
        <w:t>hat</w:t>
      </w:r>
      <w:r w:rsidR="00CC00D2" w:rsidRPr="008C68AE">
        <w:t>’</w:t>
      </w:r>
      <w:r w:rsidR="00C716EC" w:rsidRPr="008C68AE">
        <w:t>s why we</w:t>
      </w:r>
      <w:r w:rsidR="00CC00D2" w:rsidRPr="008C68AE">
        <w:t>’</w:t>
      </w:r>
      <w:r w:rsidR="00CC5174" w:rsidRPr="008C68AE">
        <w:t>re getting on with the job.</w:t>
      </w:r>
    </w:p>
    <w:p w:rsidR="00EA5C59" w:rsidRPr="008C68AE" w:rsidRDefault="00C11F82" w:rsidP="00D36EAE">
      <w:r w:rsidRPr="008C68AE">
        <w:t>I commend the Bill to the house.</w:t>
      </w:r>
    </w:p>
    <w:sectPr w:rsidR="00EA5C59" w:rsidRPr="008C68AE" w:rsidSect="00E17B8D">
      <w:footerReference w:type="even" r:id="rId17"/>
      <w:footerReference w:type="default" r:id="rId18"/>
      <w:type w:val="continuous"/>
      <w:pgSz w:w="9979" w:h="14175" w:code="9"/>
      <w:pgMar w:top="1134" w:right="1134" w:bottom="1134" w:left="1134" w:header="624" w:footer="567" w:gutter="0"/>
      <w:pgNumType w:start="1"/>
      <w:cols w:sep="1" w:space="567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0EF0" w:rsidRDefault="002B0EF0" w:rsidP="00474C53">
      <w:r>
        <w:separator/>
      </w:r>
    </w:p>
  </w:endnote>
  <w:endnote w:type="continuationSeparator" w:id="0">
    <w:p w:rsidR="002B0EF0" w:rsidRDefault="002B0EF0" w:rsidP="00474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VIC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572" w:rsidRDefault="00DF157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572" w:rsidRDefault="00DF157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572" w:rsidRDefault="00DF1572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86F" w:rsidRPr="00D90086" w:rsidRDefault="00E3386F" w:rsidP="00D90086">
    <w:pPr>
      <w:pStyle w:val="Footereven"/>
    </w:pPr>
    <w:r w:rsidRPr="00D90086">
      <w:rPr>
        <w:rStyle w:val="PageNumber"/>
        <w:rFonts w:asciiTheme="majorHAnsi" w:hAnsiTheme="majorHAnsi"/>
      </w:rPr>
      <w:fldChar w:fldCharType="begin"/>
    </w:r>
    <w:r w:rsidRPr="00D90086">
      <w:rPr>
        <w:rStyle w:val="PageNumber"/>
        <w:rFonts w:asciiTheme="majorHAnsi" w:hAnsiTheme="majorHAnsi"/>
      </w:rPr>
      <w:instrText xml:space="preserve"> PAGE </w:instrText>
    </w:r>
    <w:r w:rsidRPr="00D90086">
      <w:rPr>
        <w:rStyle w:val="PageNumber"/>
        <w:rFonts w:asciiTheme="majorHAnsi" w:hAnsiTheme="majorHAnsi"/>
      </w:rPr>
      <w:fldChar w:fldCharType="separate"/>
    </w:r>
    <w:r w:rsidR="00DF1572">
      <w:rPr>
        <w:rStyle w:val="PageNumber"/>
        <w:rFonts w:asciiTheme="majorHAnsi" w:hAnsiTheme="majorHAnsi"/>
        <w:noProof/>
      </w:rPr>
      <w:t>10</w:t>
    </w:r>
    <w:r w:rsidRPr="00D90086">
      <w:rPr>
        <w:rStyle w:val="PageNumber"/>
        <w:rFonts w:asciiTheme="majorHAnsi" w:hAnsiTheme="majorHAnsi"/>
      </w:rPr>
      <w:fldChar w:fldCharType="end"/>
    </w:r>
    <w:r w:rsidRPr="00D90086">
      <w:tab/>
    </w:r>
    <w:r>
      <w:t>2017-18</w:t>
    </w:r>
    <w:r>
      <w:rPr>
        <w:rStyle w:val="PageNumber"/>
        <w:rFonts w:asciiTheme="majorHAnsi" w:hAnsiTheme="majorHAnsi"/>
      </w:rPr>
      <w:t xml:space="preserve"> Treasurer</w:t>
    </w:r>
    <w:r w:rsidR="00CC00D2" w:rsidRPr="00CC00D2">
      <w:rPr>
        <w:rStyle w:val="PageNumber"/>
        <w:rFonts w:asciiTheme="majorHAnsi" w:hAnsiTheme="majorHAnsi"/>
        <w:i/>
      </w:rPr>
      <w:t>’</w:t>
    </w:r>
    <w:r>
      <w:rPr>
        <w:rStyle w:val="PageNumber"/>
        <w:rFonts w:asciiTheme="majorHAnsi" w:hAnsiTheme="majorHAnsi"/>
      </w:rPr>
      <w:t>s Speech</w:t>
    </w:r>
    <w:r w:rsidRPr="00D90086">
      <w:t xml:space="preserve"> 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86F" w:rsidRPr="00BA26F2" w:rsidRDefault="00E3386F" w:rsidP="008155D0">
    <w:pPr>
      <w:pStyle w:val="Footerodd"/>
    </w:pPr>
    <w:r>
      <w:rPr>
        <w:rStyle w:val="PageNumber"/>
        <w:rFonts w:asciiTheme="majorHAnsi" w:hAnsiTheme="majorHAnsi"/>
      </w:rPr>
      <w:t>2017-18 Treasurer</w:t>
    </w:r>
    <w:r w:rsidR="00CC00D2" w:rsidRPr="00CC00D2">
      <w:rPr>
        <w:rStyle w:val="PageNumber"/>
        <w:rFonts w:asciiTheme="majorHAnsi" w:hAnsiTheme="majorHAnsi"/>
        <w:i/>
      </w:rPr>
      <w:t>’</w:t>
    </w:r>
    <w:r>
      <w:rPr>
        <w:rStyle w:val="PageNumber"/>
        <w:rFonts w:asciiTheme="majorHAnsi" w:hAnsiTheme="majorHAnsi"/>
      </w:rPr>
      <w:t>s Speech</w:t>
    </w:r>
    <w:r w:rsidRPr="00BA26F2">
      <w:tab/>
    </w:r>
    <w:r w:rsidRPr="00BA26F2">
      <w:rPr>
        <w:rStyle w:val="PageNumber"/>
        <w:rFonts w:asciiTheme="majorHAnsi" w:hAnsiTheme="majorHAnsi"/>
      </w:rPr>
      <w:fldChar w:fldCharType="begin"/>
    </w:r>
    <w:r w:rsidRPr="00BA26F2">
      <w:rPr>
        <w:rStyle w:val="PageNumber"/>
        <w:rFonts w:asciiTheme="majorHAnsi" w:hAnsiTheme="majorHAnsi"/>
      </w:rPr>
      <w:instrText xml:space="preserve"> PAGE </w:instrText>
    </w:r>
    <w:r w:rsidRPr="00BA26F2">
      <w:rPr>
        <w:rStyle w:val="PageNumber"/>
        <w:rFonts w:asciiTheme="majorHAnsi" w:hAnsiTheme="majorHAnsi"/>
      </w:rPr>
      <w:fldChar w:fldCharType="separate"/>
    </w:r>
    <w:r w:rsidR="00DF1572">
      <w:rPr>
        <w:rStyle w:val="PageNumber"/>
        <w:rFonts w:asciiTheme="majorHAnsi" w:hAnsiTheme="majorHAnsi"/>
        <w:noProof/>
      </w:rPr>
      <w:t>1</w:t>
    </w:r>
    <w:r w:rsidRPr="00BA26F2">
      <w:rPr>
        <w:rStyle w:val="PageNumber"/>
        <w:rFonts w:asciiTheme="majorHAnsi" w:hAnsiTheme="majorHAnsi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0EF0" w:rsidRDefault="002B0EF0" w:rsidP="00474C53">
      <w:r>
        <w:separator/>
      </w:r>
    </w:p>
  </w:footnote>
  <w:footnote w:type="continuationSeparator" w:id="0">
    <w:p w:rsidR="002B0EF0" w:rsidRDefault="002B0EF0" w:rsidP="00474C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572" w:rsidRDefault="00DF157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572" w:rsidRDefault="00DF157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572" w:rsidRDefault="00DF157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9E20A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3C6E1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EE22E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DE70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514668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CAE811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3A211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21065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C385FF4"/>
    <w:lvl w:ilvl="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</w:abstractNum>
  <w:abstractNum w:abstractNumId="9">
    <w:nsid w:val="FFFFFF89"/>
    <w:multiLevelType w:val="singleLevel"/>
    <w:tmpl w:val="7FD451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0B7BBB"/>
    <w:multiLevelType w:val="multilevel"/>
    <w:tmpl w:val="42E253BE"/>
    <w:styleLink w:val="A"/>
    <w:lvl w:ilvl="0">
      <w:start w:val="1"/>
      <w:numFmt w:val="upperLetter"/>
      <w:lvlText w:val="(%1)"/>
      <w:lvlJc w:val="left"/>
      <w:pPr>
        <w:ind w:left="680" w:hanging="680"/>
      </w:pPr>
      <w:rPr>
        <w:rFonts w:asciiTheme="majorHAnsi" w:hAnsiTheme="majorHAnsi" w:hint="default"/>
      </w:rPr>
    </w:lvl>
    <w:lvl w:ilvl="1">
      <w:start w:val="1"/>
      <w:numFmt w:val="lowerLetter"/>
      <w:lvlText w:val="(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11">
    <w:nsid w:val="02A646B6"/>
    <w:multiLevelType w:val="multilevel"/>
    <w:tmpl w:val="7500EB92"/>
    <w:numStyleLink w:val="Number"/>
  </w:abstractNum>
  <w:abstractNum w:abstractNumId="12">
    <w:nsid w:val="06EE77F9"/>
    <w:multiLevelType w:val="multilevel"/>
    <w:tmpl w:val="F104AB12"/>
    <w:numStyleLink w:val="NumberedHeadings"/>
  </w:abstractNum>
  <w:abstractNum w:abstractNumId="13">
    <w:nsid w:val="074E70A1"/>
    <w:multiLevelType w:val="multilevel"/>
    <w:tmpl w:val="7500EB92"/>
    <w:numStyleLink w:val="Number"/>
  </w:abstractNum>
  <w:abstractNum w:abstractNumId="14">
    <w:nsid w:val="07A156A0"/>
    <w:multiLevelType w:val="multilevel"/>
    <w:tmpl w:val="5E22C0F8"/>
    <w:numStyleLink w:val="Bullet"/>
  </w:abstractNum>
  <w:abstractNum w:abstractNumId="15">
    <w:nsid w:val="07BB4F5A"/>
    <w:multiLevelType w:val="multilevel"/>
    <w:tmpl w:val="0C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086425FB"/>
    <w:multiLevelType w:val="multilevel"/>
    <w:tmpl w:val="F104AB12"/>
    <w:numStyleLink w:val="NumberedHeadings"/>
  </w:abstractNum>
  <w:abstractNum w:abstractNumId="17">
    <w:nsid w:val="0A621573"/>
    <w:multiLevelType w:val="multilevel"/>
    <w:tmpl w:val="5E22C0F8"/>
    <w:numStyleLink w:val="Bullet"/>
  </w:abstractNum>
  <w:abstractNum w:abstractNumId="18">
    <w:nsid w:val="0A7F4C25"/>
    <w:multiLevelType w:val="multilevel"/>
    <w:tmpl w:val="5E22C0F8"/>
    <w:numStyleLink w:val="Bullet"/>
  </w:abstractNum>
  <w:abstractNum w:abstractNumId="19">
    <w:nsid w:val="0D4007B3"/>
    <w:multiLevelType w:val="multilevel"/>
    <w:tmpl w:val="42E253BE"/>
    <w:numStyleLink w:val="A"/>
  </w:abstractNum>
  <w:abstractNum w:abstractNumId="20">
    <w:nsid w:val="1309013F"/>
    <w:multiLevelType w:val="multilevel"/>
    <w:tmpl w:val="7500EB92"/>
    <w:numStyleLink w:val="Number"/>
  </w:abstractNum>
  <w:abstractNum w:abstractNumId="21">
    <w:nsid w:val="14594DEF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208F57F2"/>
    <w:multiLevelType w:val="multilevel"/>
    <w:tmpl w:val="42E253BE"/>
    <w:numStyleLink w:val="A"/>
  </w:abstractNum>
  <w:abstractNum w:abstractNumId="23">
    <w:nsid w:val="25E502B5"/>
    <w:multiLevelType w:val="multilevel"/>
    <w:tmpl w:val="4C385FF4"/>
    <w:lvl w:ilvl="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7ED5E27"/>
    <w:multiLevelType w:val="hybridMultilevel"/>
    <w:tmpl w:val="7B04D764"/>
    <w:lvl w:ilvl="0" w:tplc="0C090015">
      <w:start w:val="1"/>
      <w:numFmt w:val="upp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8DD716F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2A901256"/>
    <w:multiLevelType w:val="multilevel"/>
    <w:tmpl w:val="B36E24D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7">
    <w:nsid w:val="2B050B75"/>
    <w:multiLevelType w:val="multilevel"/>
    <w:tmpl w:val="03F6783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8">
    <w:nsid w:val="306123F3"/>
    <w:multiLevelType w:val="multilevel"/>
    <w:tmpl w:val="5E22C0F8"/>
    <w:numStyleLink w:val="Bullet"/>
  </w:abstractNum>
  <w:abstractNum w:abstractNumId="29">
    <w:nsid w:val="30D81DD3"/>
    <w:multiLevelType w:val="multilevel"/>
    <w:tmpl w:val="5E22C0F8"/>
    <w:numStyleLink w:val="Bullet"/>
  </w:abstractNum>
  <w:abstractNum w:abstractNumId="30">
    <w:nsid w:val="32940CD5"/>
    <w:multiLevelType w:val="multilevel"/>
    <w:tmpl w:val="5E22C0F8"/>
    <w:styleLink w:val="Bullet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ind w:left="568" w:hanging="284"/>
      </w:pPr>
      <w:rPr>
        <w:rFonts w:ascii="Arial" w:hAnsi="Arial" w:hint="default"/>
      </w:rPr>
    </w:lvl>
    <w:lvl w:ilvl="2">
      <w:start w:val="1"/>
      <w:numFmt w:val="bullet"/>
      <w:pStyle w:val="ListBullet3"/>
      <w:lvlText w:val=""/>
      <w:lvlJc w:val="left"/>
      <w:pPr>
        <w:ind w:left="852" w:hanging="284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31">
    <w:nsid w:val="36B50A7B"/>
    <w:multiLevelType w:val="multilevel"/>
    <w:tmpl w:val="42E253BE"/>
    <w:numStyleLink w:val="A"/>
  </w:abstractNum>
  <w:abstractNum w:abstractNumId="32">
    <w:nsid w:val="474F7386"/>
    <w:multiLevelType w:val="multilevel"/>
    <w:tmpl w:val="7500EB92"/>
    <w:styleLink w:val="Number"/>
    <w:lvl w:ilvl="0">
      <w:start w:val="1"/>
      <w:numFmt w:val="decimal"/>
      <w:pStyle w:val="ListNumber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pStyle w:val="ListNumber4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pStyle w:val="ListNumber5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33">
    <w:nsid w:val="4A0D1EA1"/>
    <w:multiLevelType w:val="hybridMultilevel"/>
    <w:tmpl w:val="8AB83C72"/>
    <w:lvl w:ilvl="0" w:tplc="3A66BD7A">
      <w:start w:val="1"/>
      <w:numFmt w:val="bullet"/>
      <w:pStyle w:val="NoteDash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B6367C4"/>
    <w:multiLevelType w:val="multilevel"/>
    <w:tmpl w:val="F104AB12"/>
    <w:styleLink w:val="NumberedHeadings"/>
    <w:lvl w:ilvl="0">
      <w:start w:val="1"/>
      <w:numFmt w:val="decimal"/>
      <w:pStyle w:val="Heading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851" w:hanging="851"/>
      </w:pPr>
    </w:lvl>
    <w:lvl w:ilvl="3">
      <w:start w:val="1"/>
      <w:numFmt w:val="decimal"/>
      <w:lvlText w:val="%1.%2.%3.%4"/>
      <w:lvlJc w:val="left"/>
      <w:pPr>
        <w:ind w:left="1247" w:hanging="124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5">
    <w:nsid w:val="4B695180"/>
    <w:multiLevelType w:val="multilevel"/>
    <w:tmpl w:val="5E22C0F8"/>
    <w:numStyleLink w:val="Bullet"/>
  </w:abstractNum>
  <w:abstractNum w:abstractNumId="36">
    <w:nsid w:val="65246199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>
    <w:nsid w:val="6CFF3731"/>
    <w:multiLevelType w:val="multilevel"/>
    <w:tmpl w:val="7500EB92"/>
    <w:numStyleLink w:val="Number"/>
  </w:abstractNum>
  <w:abstractNum w:abstractNumId="38">
    <w:nsid w:val="71755C89"/>
    <w:multiLevelType w:val="multilevel"/>
    <w:tmpl w:val="7500EB92"/>
    <w:numStyleLink w:val="Number"/>
  </w:abstractNum>
  <w:abstractNum w:abstractNumId="39">
    <w:nsid w:val="763118D5"/>
    <w:multiLevelType w:val="multilevel"/>
    <w:tmpl w:val="42E253BE"/>
    <w:numStyleLink w:val="A"/>
  </w:abstractNum>
  <w:abstractNum w:abstractNumId="40">
    <w:nsid w:val="77AA1739"/>
    <w:multiLevelType w:val="multilevel"/>
    <w:tmpl w:val="42E253BE"/>
    <w:numStyleLink w:val="A"/>
  </w:abstractNum>
  <w:abstractNum w:abstractNumId="41">
    <w:nsid w:val="797F561D"/>
    <w:multiLevelType w:val="multilevel"/>
    <w:tmpl w:val="7500EB92"/>
    <w:numStyleLink w:val="Number"/>
  </w:abstractNum>
  <w:abstractNum w:abstractNumId="42">
    <w:nsid w:val="7A1A1C18"/>
    <w:multiLevelType w:val="multilevel"/>
    <w:tmpl w:val="42E253BE"/>
    <w:numStyleLink w:val="A"/>
  </w:abstractNum>
  <w:abstractNum w:abstractNumId="43">
    <w:nsid w:val="7DE7493C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4"/>
  </w:num>
  <w:num w:numId="2">
    <w:abstractNumId w:val="10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2"/>
  </w:num>
  <w:num w:numId="5">
    <w:abstractNumId w:val="39"/>
  </w:num>
  <w:num w:numId="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0"/>
  </w:num>
  <w:num w:numId="8">
    <w:abstractNumId w:val="7"/>
  </w:num>
  <w:num w:numId="9">
    <w:abstractNumId w:val="18"/>
  </w:num>
  <w:num w:numId="10">
    <w:abstractNumId w:val="29"/>
  </w:num>
  <w:num w:numId="11">
    <w:abstractNumId w:val="9"/>
  </w:num>
  <w:num w:numId="12">
    <w:abstractNumId w:val="43"/>
  </w:num>
  <w:num w:numId="13">
    <w:abstractNumId w:val="40"/>
  </w:num>
  <w:num w:numId="14">
    <w:abstractNumId w:val="31"/>
    <w:lvlOverride w:ilvl="1">
      <w:lvl w:ilvl="1">
        <w:start w:val="1"/>
        <w:numFmt w:val="lowerLetter"/>
        <w:lvlText w:val="(%2)"/>
        <w:lvlJc w:val="left"/>
        <w:pPr>
          <w:ind w:left="1080" w:hanging="360"/>
        </w:pPr>
        <w:rPr>
          <w:rFonts w:hint="default"/>
        </w:rPr>
      </w:lvl>
    </w:lvlOverride>
  </w:num>
  <w:num w:numId="15">
    <w:abstractNumId w:val="8"/>
  </w:num>
  <w:num w:numId="16">
    <w:abstractNumId w:val="19"/>
  </w:num>
  <w:num w:numId="17">
    <w:abstractNumId w:val="23"/>
  </w:num>
  <w:num w:numId="18">
    <w:abstractNumId w:val="33"/>
  </w:num>
  <w:num w:numId="19">
    <w:abstractNumId w:val="26"/>
  </w:num>
  <w:num w:numId="20">
    <w:abstractNumId w:val="26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</w:num>
  <w:num w:numId="22">
    <w:abstractNumId w:val="21"/>
  </w:num>
  <w:num w:numId="23">
    <w:abstractNumId w:val="6"/>
  </w:num>
  <w:num w:numId="24">
    <w:abstractNumId w:val="28"/>
  </w:num>
  <w:num w:numId="25">
    <w:abstractNumId w:val="17"/>
  </w:num>
  <w:num w:numId="26">
    <w:abstractNumId w:val="3"/>
  </w:num>
  <w:num w:numId="27">
    <w:abstractNumId w:val="32"/>
  </w:num>
  <w:num w:numId="28">
    <w:abstractNumId w:val="2"/>
  </w:num>
  <w:num w:numId="29">
    <w:abstractNumId w:val="1"/>
  </w:num>
  <w:num w:numId="30">
    <w:abstractNumId w:val="0"/>
  </w:num>
  <w:num w:numId="31">
    <w:abstractNumId w:val="41"/>
  </w:num>
  <w:num w:numId="32">
    <w:abstractNumId w:val="20"/>
  </w:num>
  <w:num w:numId="33">
    <w:abstractNumId w:val="13"/>
  </w:num>
  <w:num w:numId="34">
    <w:abstractNumId w:val="14"/>
  </w:num>
  <w:num w:numId="35">
    <w:abstractNumId w:val="38"/>
  </w:num>
  <w:num w:numId="36">
    <w:abstractNumId w:val="11"/>
  </w:num>
  <w:num w:numId="37">
    <w:abstractNumId w:val="27"/>
  </w:num>
  <w:num w:numId="38">
    <w:abstractNumId w:val="27"/>
  </w:num>
  <w:num w:numId="39">
    <w:abstractNumId w:val="34"/>
  </w:num>
  <w:num w:numId="40">
    <w:abstractNumId w:val="35"/>
  </w:num>
  <w:num w:numId="41">
    <w:abstractNumId w:val="37"/>
  </w:num>
  <w:num w:numId="42">
    <w:abstractNumId w:val="34"/>
  </w:num>
  <w:num w:numId="43">
    <w:abstractNumId w:val="5"/>
  </w:num>
  <w:num w:numId="44">
    <w:abstractNumId w:val="4"/>
  </w:num>
  <w:num w:numId="45">
    <w:abstractNumId w:val="25"/>
  </w:num>
  <w:num w:numId="46">
    <w:abstractNumId w:val="15"/>
  </w:num>
  <w:num w:numId="47">
    <w:abstractNumId w:val="36"/>
  </w:num>
  <w:num w:numId="48">
    <w:abstractNumId w:val="16"/>
  </w:num>
  <w:num w:numId="4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20"/>
  <w:evenAndOddHeaders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D98"/>
    <w:rsid w:val="0000098C"/>
    <w:rsid w:val="00000C36"/>
    <w:rsid w:val="000017FB"/>
    <w:rsid w:val="00001A3C"/>
    <w:rsid w:val="000068BC"/>
    <w:rsid w:val="00013FB3"/>
    <w:rsid w:val="00014DC2"/>
    <w:rsid w:val="00015491"/>
    <w:rsid w:val="00015997"/>
    <w:rsid w:val="00017EF2"/>
    <w:rsid w:val="00021DE9"/>
    <w:rsid w:val="00023C7A"/>
    <w:rsid w:val="00025259"/>
    <w:rsid w:val="000256AE"/>
    <w:rsid w:val="00026622"/>
    <w:rsid w:val="000303ED"/>
    <w:rsid w:val="00031D8C"/>
    <w:rsid w:val="00034DE2"/>
    <w:rsid w:val="0003780A"/>
    <w:rsid w:val="00040A67"/>
    <w:rsid w:val="00041D56"/>
    <w:rsid w:val="00042ABE"/>
    <w:rsid w:val="0004415E"/>
    <w:rsid w:val="00054EF7"/>
    <w:rsid w:val="00055A63"/>
    <w:rsid w:val="00056736"/>
    <w:rsid w:val="00056A6A"/>
    <w:rsid w:val="00057459"/>
    <w:rsid w:val="00057D89"/>
    <w:rsid w:val="00057EFB"/>
    <w:rsid w:val="00061D5D"/>
    <w:rsid w:val="00064F49"/>
    <w:rsid w:val="00073219"/>
    <w:rsid w:val="00073EFA"/>
    <w:rsid w:val="0007491F"/>
    <w:rsid w:val="00081D91"/>
    <w:rsid w:val="00082872"/>
    <w:rsid w:val="00082D1F"/>
    <w:rsid w:val="00085AAF"/>
    <w:rsid w:val="000879FE"/>
    <w:rsid w:val="0009147C"/>
    <w:rsid w:val="000915C9"/>
    <w:rsid w:val="000921AD"/>
    <w:rsid w:val="0009424E"/>
    <w:rsid w:val="000968FB"/>
    <w:rsid w:val="00096E72"/>
    <w:rsid w:val="00097252"/>
    <w:rsid w:val="000A03F9"/>
    <w:rsid w:val="000A07AD"/>
    <w:rsid w:val="000A2CDF"/>
    <w:rsid w:val="000B02EC"/>
    <w:rsid w:val="000B04B0"/>
    <w:rsid w:val="000B187E"/>
    <w:rsid w:val="000B1C5B"/>
    <w:rsid w:val="000B1DBA"/>
    <w:rsid w:val="000B24BC"/>
    <w:rsid w:val="000B2C0D"/>
    <w:rsid w:val="000B61EF"/>
    <w:rsid w:val="000C137D"/>
    <w:rsid w:val="000C1B0B"/>
    <w:rsid w:val="000C32F0"/>
    <w:rsid w:val="000C43CD"/>
    <w:rsid w:val="000C5EA3"/>
    <w:rsid w:val="000C5FE8"/>
    <w:rsid w:val="000C68FD"/>
    <w:rsid w:val="000C6A23"/>
    <w:rsid w:val="000D0ECF"/>
    <w:rsid w:val="000D2A07"/>
    <w:rsid w:val="000D53D5"/>
    <w:rsid w:val="000D5949"/>
    <w:rsid w:val="000D7C0D"/>
    <w:rsid w:val="000E037E"/>
    <w:rsid w:val="000E04E7"/>
    <w:rsid w:val="000E1A6C"/>
    <w:rsid w:val="000E2126"/>
    <w:rsid w:val="000E2364"/>
    <w:rsid w:val="000E28B3"/>
    <w:rsid w:val="000E39AA"/>
    <w:rsid w:val="000E3CA4"/>
    <w:rsid w:val="000F1287"/>
    <w:rsid w:val="000F140B"/>
    <w:rsid w:val="000F23D7"/>
    <w:rsid w:val="000F34B0"/>
    <w:rsid w:val="000F3696"/>
    <w:rsid w:val="000F5BCA"/>
    <w:rsid w:val="000F5EAE"/>
    <w:rsid w:val="00101466"/>
    <w:rsid w:val="00103DE5"/>
    <w:rsid w:val="00104A3D"/>
    <w:rsid w:val="00104F1A"/>
    <w:rsid w:val="00110E33"/>
    <w:rsid w:val="00111637"/>
    <w:rsid w:val="00112ABF"/>
    <w:rsid w:val="00113667"/>
    <w:rsid w:val="00120B97"/>
    <w:rsid w:val="001212DB"/>
    <w:rsid w:val="001213D6"/>
    <w:rsid w:val="00121783"/>
    <w:rsid w:val="00124F13"/>
    <w:rsid w:val="00125338"/>
    <w:rsid w:val="00126E3C"/>
    <w:rsid w:val="001270DB"/>
    <w:rsid w:val="00131712"/>
    <w:rsid w:val="001318F6"/>
    <w:rsid w:val="00132069"/>
    <w:rsid w:val="00135693"/>
    <w:rsid w:val="00135C56"/>
    <w:rsid w:val="00145BD6"/>
    <w:rsid w:val="0014726C"/>
    <w:rsid w:val="001474D5"/>
    <w:rsid w:val="00150302"/>
    <w:rsid w:val="001506B1"/>
    <w:rsid w:val="00154D8A"/>
    <w:rsid w:val="00157D89"/>
    <w:rsid w:val="00160DB5"/>
    <w:rsid w:val="00160F54"/>
    <w:rsid w:val="00161F5B"/>
    <w:rsid w:val="00162AA7"/>
    <w:rsid w:val="00166699"/>
    <w:rsid w:val="001675E6"/>
    <w:rsid w:val="00173C88"/>
    <w:rsid w:val="001808F7"/>
    <w:rsid w:val="001814B5"/>
    <w:rsid w:val="00181BD7"/>
    <w:rsid w:val="001845E1"/>
    <w:rsid w:val="00185B60"/>
    <w:rsid w:val="00191D6C"/>
    <w:rsid w:val="00192025"/>
    <w:rsid w:val="001A5BE7"/>
    <w:rsid w:val="001A5F2F"/>
    <w:rsid w:val="001B04ED"/>
    <w:rsid w:val="001B3B72"/>
    <w:rsid w:val="001C0651"/>
    <w:rsid w:val="001D3C6F"/>
    <w:rsid w:val="001D434C"/>
    <w:rsid w:val="001D4CB1"/>
    <w:rsid w:val="001D559F"/>
    <w:rsid w:val="001D65E9"/>
    <w:rsid w:val="001D6A1D"/>
    <w:rsid w:val="001D7A51"/>
    <w:rsid w:val="001E4B15"/>
    <w:rsid w:val="001E6E6F"/>
    <w:rsid w:val="001F4F51"/>
    <w:rsid w:val="001F5075"/>
    <w:rsid w:val="001F5260"/>
    <w:rsid w:val="001F64C1"/>
    <w:rsid w:val="001F701F"/>
    <w:rsid w:val="001F711A"/>
    <w:rsid w:val="002005A9"/>
    <w:rsid w:val="0020145A"/>
    <w:rsid w:val="002033F8"/>
    <w:rsid w:val="00203FFB"/>
    <w:rsid w:val="0020457F"/>
    <w:rsid w:val="002065D0"/>
    <w:rsid w:val="00206A4F"/>
    <w:rsid w:val="00207B1B"/>
    <w:rsid w:val="00210496"/>
    <w:rsid w:val="00212222"/>
    <w:rsid w:val="00212FCF"/>
    <w:rsid w:val="00213CB5"/>
    <w:rsid w:val="00213DE7"/>
    <w:rsid w:val="00214AB1"/>
    <w:rsid w:val="00220042"/>
    <w:rsid w:val="00220E35"/>
    <w:rsid w:val="00222883"/>
    <w:rsid w:val="0022677C"/>
    <w:rsid w:val="00226912"/>
    <w:rsid w:val="00231269"/>
    <w:rsid w:val="002365D2"/>
    <w:rsid w:val="0023697D"/>
    <w:rsid w:val="00237563"/>
    <w:rsid w:val="002377F3"/>
    <w:rsid w:val="00241752"/>
    <w:rsid w:val="00241BC9"/>
    <w:rsid w:val="00244485"/>
    <w:rsid w:val="00244AB0"/>
    <w:rsid w:val="0024697E"/>
    <w:rsid w:val="00247670"/>
    <w:rsid w:val="00251E3B"/>
    <w:rsid w:val="00253619"/>
    <w:rsid w:val="00254584"/>
    <w:rsid w:val="00255619"/>
    <w:rsid w:val="00255A9A"/>
    <w:rsid w:val="0025669F"/>
    <w:rsid w:val="00257E89"/>
    <w:rsid w:val="00260DE7"/>
    <w:rsid w:val="0026188E"/>
    <w:rsid w:val="00271E79"/>
    <w:rsid w:val="00276380"/>
    <w:rsid w:val="00280246"/>
    <w:rsid w:val="002832D8"/>
    <w:rsid w:val="0028569C"/>
    <w:rsid w:val="00285F5B"/>
    <w:rsid w:val="00286102"/>
    <w:rsid w:val="00290355"/>
    <w:rsid w:val="0029302A"/>
    <w:rsid w:val="00294556"/>
    <w:rsid w:val="002959EA"/>
    <w:rsid w:val="00295E0F"/>
    <w:rsid w:val="00296CF7"/>
    <w:rsid w:val="002A0391"/>
    <w:rsid w:val="002A0868"/>
    <w:rsid w:val="002A3C0A"/>
    <w:rsid w:val="002A4580"/>
    <w:rsid w:val="002A57BB"/>
    <w:rsid w:val="002B0EF0"/>
    <w:rsid w:val="002B145B"/>
    <w:rsid w:val="002B1B54"/>
    <w:rsid w:val="002B353C"/>
    <w:rsid w:val="002B3B34"/>
    <w:rsid w:val="002B3B71"/>
    <w:rsid w:val="002B3E8C"/>
    <w:rsid w:val="002B526C"/>
    <w:rsid w:val="002B7235"/>
    <w:rsid w:val="002B7C98"/>
    <w:rsid w:val="002B7DE4"/>
    <w:rsid w:val="002C1B9D"/>
    <w:rsid w:val="002C3386"/>
    <w:rsid w:val="002C3B94"/>
    <w:rsid w:val="002C3F1B"/>
    <w:rsid w:val="002C3F78"/>
    <w:rsid w:val="002C5BE1"/>
    <w:rsid w:val="002C6CED"/>
    <w:rsid w:val="002C6EA8"/>
    <w:rsid w:val="002D040C"/>
    <w:rsid w:val="002D0562"/>
    <w:rsid w:val="002D05DB"/>
    <w:rsid w:val="002D0A0A"/>
    <w:rsid w:val="002D127E"/>
    <w:rsid w:val="002D3FA8"/>
    <w:rsid w:val="002D47C9"/>
    <w:rsid w:val="002D6EC7"/>
    <w:rsid w:val="002D7D27"/>
    <w:rsid w:val="002E1199"/>
    <w:rsid w:val="002E5FE7"/>
    <w:rsid w:val="002E628D"/>
    <w:rsid w:val="002E712D"/>
    <w:rsid w:val="002E7368"/>
    <w:rsid w:val="002F5566"/>
    <w:rsid w:val="002F62CB"/>
    <w:rsid w:val="002F6999"/>
    <w:rsid w:val="002F7BBC"/>
    <w:rsid w:val="00301106"/>
    <w:rsid w:val="00306EAE"/>
    <w:rsid w:val="00311352"/>
    <w:rsid w:val="003122D9"/>
    <w:rsid w:val="0031648D"/>
    <w:rsid w:val="00317776"/>
    <w:rsid w:val="0032329C"/>
    <w:rsid w:val="00323D93"/>
    <w:rsid w:val="003245B2"/>
    <w:rsid w:val="00324817"/>
    <w:rsid w:val="00332826"/>
    <w:rsid w:val="00332A84"/>
    <w:rsid w:val="0033562C"/>
    <w:rsid w:val="0033621D"/>
    <w:rsid w:val="003371B4"/>
    <w:rsid w:val="00337317"/>
    <w:rsid w:val="0034185B"/>
    <w:rsid w:val="00343667"/>
    <w:rsid w:val="00344915"/>
    <w:rsid w:val="003469EF"/>
    <w:rsid w:val="00347922"/>
    <w:rsid w:val="00351022"/>
    <w:rsid w:val="003521CC"/>
    <w:rsid w:val="003558D6"/>
    <w:rsid w:val="003575DB"/>
    <w:rsid w:val="00357A69"/>
    <w:rsid w:val="00357C4E"/>
    <w:rsid w:val="00360393"/>
    <w:rsid w:val="003624E3"/>
    <w:rsid w:val="00363B60"/>
    <w:rsid w:val="003654EC"/>
    <w:rsid w:val="00366FFF"/>
    <w:rsid w:val="003703D1"/>
    <w:rsid w:val="00370815"/>
    <w:rsid w:val="00372009"/>
    <w:rsid w:val="003720CB"/>
    <w:rsid w:val="00372315"/>
    <w:rsid w:val="003737E9"/>
    <w:rsid w:val="003741F4"/>
    <w:rsid w:val="0037430B"/>
    <w:rsid w:val="00377B81"/>
    <w:rsid w:val="00377C7E"/>
    <w:rsid w:val="003805EF"/>
    <w:rsid w:val="003815FA"/>
    <w:rsid w:val="003825F8"/>
    <w:rsid w:val="00390A50"/>
    <w:rsid w:val="0039128B"/>
    <w:rsid w:val="0039234B"/>
    <w:rsid w:val="00395FF7"/>
    <w:rsid w:val="00396EAC"/>
    <w:rsid w:val="00397E96"/>
    <w:rsid w:val="003A0816"/>
    <w:rsid w:val="003A1578"/>
    <w:rsid w:val="003A1BBB"/>
    <w:rsid w:val="003A1DC3"/>
    <w:rsid w:val="003A5819"/>
    <w:rsid w:val="003A5886"/>
    <w:rsid w:val="003A699D"/>
    <w:rsid w:val="003A7C4D"/>
    <w:rsid w:val="003B3D64"/>
    <w:rsid w:val="003B4D2A"/>
    <w:rsid w:val="003B4F96"/>
    <w:rsid w:val="003C0E86"/>
    <w:rsid w:val="003C5DBD"/>
    <w:rsid w:val="003C75BF"/>
    <w:rsid w:val="003D279B"/>
    <w:rsid w:val="003D2EC6"/>
    <w:rsid w:val="003D3199"/>
    <w:rsid w:val="003D6E84"/>
    <w:rsid w:val="003D7FD7"/>
    <w:rsid w:val="003E17D0"/>
    <w:rsid w:val="003E2DD7"/>
    <w:rsid w:val="003E4988"/>
    <w:rsid w:val="003E58E4"/>
    <w:rsid w:val="003E68E6"/>
    <w:rsid w:val="003E756E"/>
    <w:rsid w:val="003E7CD9"/>
    <w:rsid w:val="003F02F8"/>
    <w:rsid w:val="003F0AC4"/>
    <w:rsid w:val="003F5AC5"/>
    <w:rsid w:val="00401FD8"/>
    <w:rsid w:val="00402880"/>
    <w:rsid w:val="00403881"/>
    <w:rsid w:val="00407B77"/>
    <w:rsid w:val="00407F41"/>
    <w:rsid w:val="004165F2"/>
    <w:rsid w:val="0042008E"/>
    <w:rsid w:val="00421C60"/>
    <w:rsid w:val="00422AFC"/>
    <w:rsid w:val="00422BAE"/>
    <w:rsid w:val="00423170"/>
    <w:rsid w:val="00424473"/>
    <w:rsid w:val="00424959"/>
    <w:rsid w:val="00431546"/>
    <w:rsid w:val="00432BD8"/>
    <w:rsid w:val="004364B8"/>
    <w:rsid w:val="00440433"/>
    <w:rsid w:val="00440EB3"/>
    <w:rsid w:val="004419CD"/>
    <w:rsid w:val="00441DF0"/>
    <w:rsid w:val="00441FC3"/>
    <w:rsid w:val="00442FF3"/>
    <w:rsid w:val="00444400"/>
    <w:rsid w:val="00445C3B"/>
    <w:rsid w:val="00450141"/>
    <w:rsid w:val="004509BB"/>
    <w:rsid w:val="004519D9"/>
    <w:rsid w:val="00454513"/>
    <w:rsid w:val="00454DD9"/>
    <w:rsid w:val="00455382"/>
    <w:rsid w:val="00457C73"/>
    <w:rsid w:val="00464953"/>
    <w:rsid w:val="00471ED2"/>
    <w:rsid w:val="00474A9F"/>
    <w:rsid w:val="00474C53"/>
    <w:rsid w:val="00475223"/>
    <w:rsid w:val="00475D53"/>
    <w:rsid w:val="0048771F"/>
    <w:rsid w:val="00490940"/>
    <w:rsid w:val="00493C2E"/>
    <w:rsid w:val="004951A9"/>
    <w:rsid w:val="004964EC"/>
    <w:rsid w:val="00496B0F"/>
    <w:rsid w:val="004A465A"/>
    <w:rsid w:val="004A59F9"/>
    <w:rsid w:val="004A7FE8"/>
    <w:rsid w:val="004B1258"/>
    <w:rsid w:val="004B1AE5"/>
    <w:rsid w:val="004B1F1F"/>
    <w:rsid w:val="004B2EF5"/>
    <w:rsid w:val="004B35DA"/>
    <w:rsid w:val="004B3B25"/>
    <w:rsid w:val="004B5462"/>
    <w:rsid w:val="004C0AD1"/>
    <w:rsid w:val="004C1F0B"/>
    <w:rsid w:val="004C3BE0"/>
    <w:rsid w:val="004C59E7"/>
    <w:rsid w:val="004C7949"/>
    <w:rsid w:val="004C7A83"/>
    <w:rsid w:val="004D22D2"/>
    <w:rsid w:val="004D4CEA"/>
    <w:rsid w:val="004E25A8"/>
    <w:rsid w:val="004E25FF"/>
    <w:rsid w:val="004E5C31"/>
    <w:rsid w:val="004F2F5C"/>
    <w:rsid w:val="004F3EFD"/>
    <w:rsid w:val="004F4FA2"/>
    <w:rsid w:val="004F5AD4"/>
    <w:rsid w:val="004F67E6"/>
    <w:rsid w:val="004F6DBA"/>
    <w:rsid w:val="004F6FFF"/>
    <w:rsid w:val="004F738A"/>
    <w:rsid w:val="004F7AC5"/>
    <w:rsid w:val="00500DAE"/>
    <w:rsid w:val="0050137C"/>
    <w:rsid w:val="00502381"/>
    <w:rsid w:val="005038C1"/>
    <w:rsid w:val="00504026"/>
    <w:rsid w:val="0050539D"/>
    <w:rsid w:val="00506F6E"/>
    <w:rsid w:val="005112D3"/>
    <w:rsid w:val="0051761C"/>
    <w:rsid w:val="005229B4"/>
    <w:rsid w:val="00523EAB"/>
    <w:rsid w:val="005243EA"/>
    <w:rsid w:val="00526837"/>
    <w:rsid w:val="00526D2C"/>
    <w:rsid w:val="005271FE"/>
    <w:rsid w:val="005276E9"/>
    <w:rsid w:val="005307AA"/>
    <w:rsid w:val="00530E93"/>
    <w:rsid w:val="0053103E"/>
    <w:rsid w:val="00531EF1"/>
    <w:rsid w:val="00533F1B"/>
    <w:rsid w:val="005342E3"/>
    <w:rsid w:val="00535247"/>
    <w:rsid w:val="00536ACD"/>
    <w:rsid w:val="0054083D"/>
    <w:rsid w:val="00540AA9"/>
    <w:rsid w:val="00541C6D"/>
    <w:rsid w:val="005424EE"/>
    <w:rsid w:val="00542B89"/>
    <w:rsid w:val="005459D2"/>
    <w:rsid w:val="00545C39"/>
    <w:rsid w:val="005463D6"/>
    <w:rsid w:val="00546A7B"/>
    <w:rsid w:val="005536D8"/>
    <w:rsid w:val="00553C57"/>
    <w:rsid w:val="005563E9"/>
    <w:rsid w:val="00556B3E"/>
    <w:rsid w:val="00556FB3"/>
    <w:rsid w:val="0056004E"/>
    <w:rsid w:val="00560E01"/>
    <w:rsid w:val="005657B2"/>
    <w:rsid w:val="00566049"/>
    <w:rsid w:val="00566692"/>
    <w:rsid w:val="00566DA7"/>
    <w:rsid w:val="00570C9C"/>
    <w:rsid w:val="00572CDC"/>
    <w:rsid w:val="00573BEC"/>
    <w:rsid w:val="00573F75"/>
    <w:rsid w:val="00574728"/>
    <w:rsid w:val="00576314"/>
    <w:rsid w:val="00576C73"/>
    <w:rsid w:val="00577C80"/>
    <w:rsid w:val="00580399"/>
    <w:rsid w:val="005809ED"/>
    <w:rsid w:val="00582A36"/>
    <w:rsid w:val="00582C07"/>
    <w:rsid w:val="005852CA"/>
    <w:rsid w:val="0058536D"/>
    <w:rsid w:val="005870B0"/>
    <w:rsid w:val="005903BA"/>
    <w:rsid w:val="00590569"/>
    <w:rsid w:val="005909FB"/>
    <w:rsid w:val="00590D8A"/>
    <w:rsid w:val="0059128E"/>
    <w:rsid w:val="0059218E"/>
    <w:rsid w:val="00593629"/>
    <w:rsid w:val="005A0BEB"/>
    <w:rsid w:val="005A2B23"/>
    <w:rsid w:val="005A359D"/>
    <w:rsid w:val="005A3B07"/>
    <w:rsid w:val="005A6586"/>
    <w:rsid w:val="005A68D4"/>
    <w:rsid w:val="005B2AD1"/>
    <w:rsid w:val="005B3C0B"/>
    <w:rsid w:val="005B7BE3"/>
    <w:rsid w:val="005C0288"/>
    <w:rsid w:val="005C09D4"/>
    <w:rsid w:val="005C2823"/>
    <w:rsid w:val="005C3E16"/>
    <w:rsid w:val="005C443A"/>
    <w:rsid w:val="005C5734"/>
    <w:rsid w:val="005C62C6"/>
    <w:rsid w:val="005C6867"/>
    <w:rsid w:val="005C6A3C"/>
    <w:rsid w:val="005C6BF2"/>
    <w:rsid w:val="005D0A3F"/>
    <w:rsid w:val="005D0AEC"/>
    <w:rsid w:val="005D108E"/>
    <w:rsid w:val="005D116B"/>
    <w:rsid w:val="005F3267"/>
    <w:rsid w:val="005F4C7A"/>
    <w:rsid w:val="005F6D7E"/>
    <w:rsid w:val="005F79DA"/>
    <w:rsid w:val="00600C46"/>
    <w:rsid w:val="0060498B"/>
    <w:rsid w:val="00605A27"/>
    <w:rsid w:val="00605F39"/>
    <w:rsid w:val="00606611"/>
    <w:rsid w:val="00606FE3"/>
    <w:rsid w:val="00612683"/>
    <w:rsid w:val="006130F1"/>
    <w:rsid w:val="006135D1"/>
    <w:rsid w:val="0061407E"/>
    <w:rsid w:val="00617210"/>
    <w:rsid w:val="00617936"/>
    <w:rsid w:val="0062070B"/>
    <w:rsid w:val="00621EC9"/>
    <w:rsid w:val="00623F65"/>
    <w:rsid w:val="006243FE"/>
    <w:rsid w:val="0062613A"/>
    <w:rsid w:val="00627C2B"/>
    <w:rsid w:val="00627FCD"/>
    <w:rsid w:val="006307B0"/>
    <w:rsid w:val="00635722"/>
    <w:rsid w:val="00636B4B"/>
    <w:rsid w:val="0064019E"/>
    <w:rsid w:val="00643CE8"/>
    <w:rsid w:val="00644B4A"/>
    <w:rsid w:val="006479D1"/>
    <w:rsid w:val="006517D1"/>
    <w:rsid w:val="00651946"/>
    <w:rsid w:val="0065280D"/>
    <w:rsid w:val="00655A93"/>
    <w:rsid w:val="006566E8"/>
    <w:rsid w:val="00664667"/>
    <w:rsid w:val="0066512E"/>
    <w:rsid w:val="00670D6C"/>
    <w:rsid w:val="0067443F"/>
    <w:rsid w:val="00674A97"/>
    <w:rsid w:val="00674F52"/>
    <w:rsid w:val="00676AAC"/>
    <w:rsid w:val="006773B4"/>
    <w:rsid w:val="00677990"/>
    <w:rsid w:val="00681C14"/>
    <w:rsid w:val="0068714A"/>
    <w:rsid w:val="006909D9"/>
    <w:rsid w:val="0069205C"/>
    <w:rsid w:val="0069404D"/>
    <w:rsid w:val="00695751"/>
    <w:rsid w:val="006A1F6F"/>
    <w:rsid w:val="006A2A7F"/>
    <w:rsid w:val="006A35C1"/>
    <w:rsid w:val="006B12AE"/>
    <w:rsid w:val="006B5893"/>
    <w:rsid w:val="006C00EB"/>
    <w:rsid w:val="006C1DD4"/>
    <w:rsid w:val="006C505F"/>
    <w:rsid w:val="006D1B14"/>
    <w:rsid w:val="006D32C9"/>
    <w:rsid w:val="006D4F41"/>
    <w:rsid w:val="006D5FD0"/>
    <w:rsid w:val="006D66BA"/>
    <w:rsid w:val="006E0CF3"/>
    <w:rsid w:val="006E1EEA"/>
    <w:rsid w:val="006E2ADF"/>
    <w:rsid w:val="006E2BC5"/>
    <w:rsid w:val="006E301C"/>
    <w:rsid w:val="006E400E"/>
    <w:rsid w:val="006E6F37"/>
    <w:rsid w:val="006F1D47"/>
    <w:rsid w:val="006F1F28"/>
    <w:rsid w:val="006F23B1"/>
    <w:rsid w:val="006F66D2"/>
    <w:rsid w:val="006F7091"/>
    <w:rsid w:val="00704EFE"/>
    <w:rsid w:val="00705B7B"/>
    <w:rsid w:val="00707560"/>
    <w:rsid w:val="00710F84"/>
    <w:rsid w:val="007116A2"/>
    <w:rsid w:val="00720B4C"/>
    <w:rsid w:val="00722E77"/>
    <w:rsid w:val="00723E38"/>
    <w:rsid w:val="0072414F"/>
    <w:rsid w:val="00725696"/>
    <w:rsid w:val="00725906"/>
    <w:rsid w:val="00726975"/>
    <w:rsid w:val="007269F3"/>
    <w:rsid w:val="00726F1F"/>
    <w:rsid w:val="00727E4F"/>
    <w:rsid w:val="00731598"/>
    <w:rsid w:val="007346C0"/>
    <w:rsid w:val="007349CB"/>
    <w:rsid w:val="007349DF"/>
    <w:rsid w:val="007352B3"/>
    <w:rsid w:val="007354B1"/>
    <w:rsid w:val="00737FCE"/>
    <w:rsid w:val="00740BFB"/>
    <w:rsid w:val="00741825"/>
    <w:rsid w:val="00743CE4"/>
    <w:rsid w:val="00745121"/>
    <w:rsid w:val="00747972"/>
    <w:rsid w:val="007508ED"/>
    <w:rsid w:val="00751550"/>
    <w:rsid w:val="00753E64"/>
    <w:rsid w:val="007575FF"/>
    <w:rsid w:val="00762702"/>
    <w:rsid w:val="0076376B"/>
    <w:rsid w:val="00765294"/>
    <w:rsid w:val="007676F1"/>
    <w:rsid w:val="00770C97"/>
    <w:rsid w:val="00771A05"/>
    <w:rsid w:val="00773F07"/>
    <w:rsid w:val="00777577"/>
    <w:rsid w:val="0078609C"/>
    <w:rsid w:val="00786B17"/>
    <w:rsid w:val="007871E1"/>
    <w:rsid w:val="00790E40"/>
    <w:rsid w:val="00790FB8"/>
    <w:rsid w:val="007919BA"/>
    <w:rsid w:val="007925EF"/>
    <w:rsid w:val="00794C4A"/>
    <w:rsid w:val="0079507A"/>
    <w:rsid w:val="0079603A"/>
    <w:rsid w:val="00797209"/>
    <w:rsid w:val="00797BD1"/>
    <w:rsid w:val="00797CD1"/>
    <w:rsid w:val="007A0D8B"/>
    <w:rsid w:val="007A1CC8"/>
    <w:rsid w:val="007A38BF"/>
    <w:rsid w:val="007A4996"/>
    <w:rsid w:val="007A5BD1"/>
    <w:rsid w:val="007A6744"/>
    <w:rsid w:val="007A7854"/>
    <w:rsid w:val="007A7975"/>
    <w:rsid w:val="007B1D6D"/>
    <w:rsid w:val="007B51DD"/>
    <w:rsid w:val="007B52F4"/>
    <w:rsid w:val="007C17F0"/>
    <w:rsid w:val="007C1B64"/>
    <w:rsid w:val="007C2744"/>
    <w:rsid w:val="007C3BDB"/>
    <w:rsid w:val="007C3C50"/>
    <w:rsid w:val="007D27AE"/>
    <w:rsid w:val="007D30D9"/>
    <w:rsid w:val="007D3C61"/>
    <w:rsid w:val="007D4A14"/>
    <w:rsid w:val="007D544D"/>
    <w:rsid w:val="007D6D1A"/>
    <w:rsid w:val="007E087B"/>
    <w:rsid w:val="007E1A50"/>
    <w:rsid w:val="007E476F"/>
    <w:rsid w:val="007E6855"/>
    <w:rsid w:val="007F0D1F"/>
    <w:rsid w:val="007F1AAF"/>
    <w:rsid w:val="007F26E9"/>
    <w:rsid w:val="007F4979"/>
    <w:rsid w:val="007F5507"/>
    <w:rsid w:val="007F783D"/>
    <w:rsid w:val="00801518"/>
    <w:rsid w:val="00801B7F"/>
    <w:rsid w:val="0080479F"/>
    <w:rsid w:val="00805061"/>
    <w:rsid w:val="0080513B"/>
    <w:rsid w:val="008073E5"/>
    <w:rsid w:val="008122F1"/>
    <w:rsid w:val="008134BE"/>
    <w:rsid w:val="00813A48"/>
    <w:rsid w:val="00813C11"/>
    <w:rsid w:val="00814A7C"/>
    <w:rsid w:val="008155D0"/>
    <w:rsid w:val="0081612F"/>
    <w:rsid w:val="00820AFD"/>
    <w:rsid w:val="00821D46"/>
    <w:rsid w:val="00822A9E"/>
    <w:rsid w:val="008316A4"/>
    <w:rsid w:val="00831AE5"/>
    <w:rsid w:val="0083463B"/>
    <w:rsid w:val="00847E91"/>
    <w:rsid w:val="00850B50"/>
    <w:rsid w:val="00851C78"/>
    <w:rsid w:val="008534EB"/>
    <w:rsid w:val="00853750"/>
    <w:rsid w:val="00856401"/>
    <w:rsid w:val="008569EF"/>
    <w:rsid w:val="0086442A"/>
    <w:rsid w:val="0086647D"/>
    <w:rsid w:val="0086682D"/>
    <w:rsid w:val="00872817"/>
    <w:rsid w:val="00875B62"/>
    <w:rsid w:val="00882CBC"/>
    <w:rsid w:val="00884633"/>
    <w:rsid w:val="008858B2"/>
    <w:rsid w:val="008866C5"/>
    <w:rsid w:val="00886DF7"/>
    <w:rsid w:val="0089207D"/>
    <w:rsid w:val="00893855"/>
    <w:rsid w:val="008A1A56"/>
    <w:rsid w:val="008A31B1"/>
    <w:rsid w:val="008A5A91"/>
    <w:rsid w:val="008A5F0E"/>
    <w:rsid w:val="008A6796"/>
    <w:rsid w:val="008B1C19"/>
    <w:rsid w:val="008B2412"/>
    <w:rsid w:val="008B29EE"/>
    <w:rsid w:val="008B4CEB"/>
    <w:rsid w:val="008B6F67"/>
    <w:rsid w:val="008B7644"/>
    <w:rsid w:val="008B7B5B"/>
    <w:rsid w:val="008C0AA8"/>
    <w:rsid w:val="008C36D2"/>
    <w:rsid w:val="008C4A35"/>
    <w:rsid w:val="008C68AE"/>
    <w:rsid w:val="008C7209"/>
    <w:rsid w:val="008C73D2"/>
    <w:rsid w:val="008D0B2A"/>
    <w:rsid w:val="008D128E"/>
    <w:rsid w:val="008D29E5"/>
    <w:rsid w:val="008D2A77"/>
    <w:rsid w:val="008D37BD"/>
    <w:rsid w:val="008D5DD6"/>
    <w:rsid w:val="008D760B"/>
    <w:rsid w:val="008E0503"/>
    <w:rsid w:val="008E1571"/>
    <w:rsid w:val="008E1E48"/>
    <w:rsid w:val="008E3105"/>
    <w:rsid w:val="008E3254"/>
    <w:rsid w:val="008E347F"/>
    <w:rsid w:val="008E4156"/>
    <w:rsid w:val="008E469A"/>
    <w:rsid w:val="008E554D"/>
    <w:rsid w:val="008E62CD"/>
    <w:rsid w:val="008E72A6"/>
    <w:rsid w:val="008F21FD"/>
    <w:rsid w:val="008F46AB"/>
    <w:rsid w:val="008F4764"/>
    <w:rsid w:val="008F5C79"/>
    <w:rsid w:val="008F65C1"/>
    <w:rsid w:val="00900DF0"/>
    <w:rsid w:val="00901B8C"/>
    <w:rsid w:val="00901DD6"/>
    <w:rsid w:val="00903544"/>
    <w:rsid w:val="0090445F"/>
    <w:rsid w:val="009046BD"/>
    <w:rsid w:val="009047F0"/>
    <w:rsid w:val="009077AB"/>
    <w:rsid w:val="009103EC"/>
    <w:rsid w:val="00911E58"/>
    <w:rsid w:val="00915D12"/>
    <w:rsid w:val="009174A7"/>
    <w:rsid w:val="00917D22"/>
    <w:rsid w:val="009209EE"/>
    <w:rsid w:val="009220F5"/>
    <w:rsid w:val="00923CFD"/>
    <w:rsid w:val="00924B15"/>
    <w:rsid w:val="0092724E"/>
    <w:rsid w:val="009341F1"/>
    <w:rsid w:val="00934FFB"/>
    <w:rsid w:val="00937408"/>
    <w:rsid w:val="00943EAD"/>
    <w:rsid w:val="00947417"/>
    <w:rsid w:val="009479BF"/>
    <w:rsid w:val="00950409"/>
    <w:rsid w:val="00950FB1"/>
    <w:rsid w:val="00952665"/>
    <w:rsid w:val="00953503"/>
    <w:rsid w:val="00954946"/>
    <w:rsid w:val="009556A3"/>
    <w:rsid w:val="00956C3C"/>
    <w:rsid w:val="00957651"/>
    <w:rsid w:val="00962BAF"/>
    <w:rsid w:val="009679E9"/>
    <w:rsid w:val="00972445"/>
    <w:rsid w:val="00972D07"/>
    <w:rsid w:val="009738D5"/>
    <w:rsid w:val="00973E5E"/>
    <w:rsid w:val="009754F2"/>
    <w:rsid w:val="0098338B"/>
    <w:rsid w:val="009839F4"/>
    <w:rsid w:val="00983AF0"/>
    <w:rsid w:val="00984AF3"/>
    <w:rsid w:val="00985F8C"/>
    <w:rsid w:val="009862B3"/>
    <w:rsid w:val="0099396A"/>
    <w:rsid w:val="00994E14"/>
    <w:rsid w:val="009968DF"/>
    <w:rsid w:val="0099789A"/>
    <w:rsid w:val="009A100A"/>
    <w:rsid w:val="009A39D7"/>
    <w:rsid w:val="009A3B47"/>
    <w:rsid w:val="009A5388"/>
    <w:rsid w:val="009A6CD7"/>
    <w:rsid w:val="009B022E"/>
    <w:rsid w:val="009B0758"/>
    <w:rsid w:val="009B080A"/>
    <w:rsid w:val="009B090E"/>
    <w:rsid w:val="009B185C"/>
    <w:rsid w:val="009B2855"/>
    <w:rsid w:val="009B6D9E"/>
    <w:rsid w:val="009B75B5"/>
    <w:rsid w:val="009B7B27"/>
    <w:rsid w:val="009C13B0"/>
    <w:rsid w:val="009C41D0"/>
    <w:rsid w:val="009C4417"/>
    <w:rsid w:val="009C6904"/>
    <w:rsid w:val="009C7E23"/>
    <w:rsid w:val="009C7EC6"/>
    <w:rsid w:val="009D1327"/>
    <w:rsid w:val="009D177C"/>
    <w:rsid w:val="009D297C"/>
    <w:rsid w:val="009D34D2"/>
    <w:rsid w:val="009D44E6"/>
    <w:rsid w:val="009E0938"/>
    <w:rsid w:val="009E0A47"/>
    <w:rsid w:val="009E1F58"/>
    <w:rsid w:val="009E302E"/>
    <w:rsid w:val="009E4D20"/>
    <w:rsid w:val="009E4D30"/>
    <w:rsid w:val="009E513C"/>
    <w:rsid w:val="009E6EDF"/>
    <w:rsid w:val="009F0388"/>
    <w:rsid w:val="009F07A5"/>
    <w:rsid w:val="009F160B"/>
    <w:rsid w:val="009F405F"/>
    <w:rsid w:val="009F6886"/>
    <w:rsid w:val="009F6D73"/>
    <w:rsid w:val="00A015F0"/>
    <w:rsid w:val="00A01920"/>
    <w:rsid w:val="00A01AC9"/>
    <w:rsid w:val="00A01D0F"/>
    <w:rsid w:val="00A04346"/>
    <w:rsid w:val="00A105F2"/>
    <w:rsid w:val="00A108C4"/>
    <w:rsid w:val="00A119C9"/>
    <w:rsid w:val="00A12A2B"/>
    <w:rsid w:val="00A171DC"/>
    <w:rsid w:val="00A20782"/>
    <w:rsid w:val="00A2094F"/>
    <w:rsid w:val="00A20F1E"/>
    <w:rsid w:val="00A21C10"/>
    <w:rsid w:val="00A240D0"/>
    <w:rsid w:val="00A264FE"/>
    <w:rsid w:val="00A30D6D"/>
    <w:rsid w:val="00A30F50"/>
    <w:rsid w:val="00A30FF5"/>
    <w:rsid w:val="00A33244"/>
    <w:rsid w:val="00A3490F"/>
    <w:rsid w:val="00A34DFE"/>
    <w:rsid w:val="00A40680"/>
    <w:rsid w:val="00A42771"/>
    <w:rsid w:val="00A42C66"/>
    <w:rsid w:val="00A43089"/>
    <w:rsid w:val="00A45111"/>
    <w:rsid w:val="00A469CD"/>
    <w:rsid w:val="00A47629"/>
    <w:rsid w:val="00A50C8B"/>
    <w:rsid w:val="00A52F2A"/>
    <w:rsid w:val="00A53E00"/>
    <w:rsid w:val="00A545AB"/>
    <w:rsid w:val="00A54748"/>
    <w:rsid w:val="00A572F2"/>
    <w:rsid w:val="00A63051"/>
    <w:rsid w:val="00A637FA"/>
    <w:rsid w:val="00A643B3"/>
    <w:rsid w:val="00A72634"/>
    <w:rsid w:val="00A75888"/>
    <w:rsid w:val="00A75FEE"/>
    <w:rsid w:val="00A82676"/>
    <w:rsid w:val="00A8483D"/>
    <w:rsid w:val="00A85FA2"/>
    <w:rsid w:val="00A86D98"/>
    <w:rsid w:val="00A902DC"/>
    <w:rsid w:val="00A91FCB"/>
    <w:rsid w:val="00A924A9"/>
    <w:rsid w:val="00A9345E"/>
    <w:rsid w:val="00A93B6B"/>
    <w:rsid w:val="00A94122"/>
    <w:rsid w:val="00A94A6D"/>
    <w:rsid w:val="00A94E87"/>
    <w:rsid w:val="00A9529F"/>
    <w:rsid w:val="00A977EF"/>
    <w:rsid w:val="00AA3534"/>
    <w:rsid w:val="00AA6047"/>
    <w:rsid w:val="00AB0C55"/>
    <w:rsid w:val="00AB5FA5"/>
    <w:rsid w:val="00AB724F"/>
    <w:rsid w:val="00AC0BE1"/>
    <w:rsid w:val="00AC10E5"/>
    <w:rsid w:val="00AC4001"/>
    <w:rsid w:val="00AC76D9"/>
    <w:rsid w:val="00AC792D"/>
    <w:rsid w:val="00AD26A9"/>
    <w:rsid w:val="00AD38F8"/>
    <w:rsid w:val="00AD39C5"/>
    <w:rsid w:val="00AD5551"/>
    <w:rsid w:val="00AE22F6"/>
    <w:rsid w:val="00AE4955"/>
    <w:rsid w:val="00AE502F"/>
    <w:rsid w:val="00AF3C7B"/>
    <w:rsid w:val="00AF472B"/>
    <w:rsid w:val="00AF5018"/>
    <w:rsid w:val="00AF6157"/>
    <w:rsid w:val="00AF722B"/>
    <w:rsid w:val="00AF7DCE"/>
    <w:rsid w:val="00B01510"/>
    <w:rsid w:val="00B02110"/>
    <w:rsid w:val="00B04832"/>
    <w:rsid w:val="00B121BD"/>
    <w:rsid w:val="00B1295B"/>
    <w:rsid w:val="00B13696"/>
    <w:rsid w:val="00B146AC"/>
    <w:rsid w:val="00B14D88"/>
    <w:rsid w:val="00B15EC7"/>
    <w:rsid w:val="00B17122"/>
    <w:rsid w:val="00B20F9D"/>
    <w:rsid w:val="00B24AB2"/>
    <w:rsid w:val="00B3223B"/>
    <w:rsid w:val="00B34A89"/>
    <w:rsid w:val="00B35263"/>
    <w:rsid w:val="00B35A91"/>
    <w:rsid w:val="00B41C64"/>
    <w:rsid w:val="00B43652"/>
    <w:rsid w:val="00B44256"/>
    <w:rsid w:val="00B46BFF"/>
    <w:rsid w:val="00B4755F"/>
    <w:rsid w:val="00B50616"/>
    <w:rsid w:val="00B51BDA"/>
    <w:rsid w:val="00B52BD8"/>
    <w:rsid w:val="00B5377C"/>
    <w:rsid w:val="00B5457E"/>
    <w:rsid w:val="00B555A4"/>
    <w:rsid w:val="00B56791"/>
    <w:rsid w:val="00B56B25"/>
    <w:rsid w:val="00B56C73"/>
    <w:rsid w:val="00B5797D"/>
    <w:rsid w:val="00B6100C"/>
    <w:rsid w:val="00B65214"/>
    <w:rsid w:val="00B70103"/>
    <w:rsid w:val="00B70D99"/>
    <w:rsid w:val="00B71500"/>
    <w:rsid w:val="00B72498"/>
    <w:rsid w:val="00B72F14"/>
    <w:rsid w:val="00B73D4B"/>
    <w:rsid w:val="00B75212"/>
    <w:rsid w:val="00B75751"/>
    <w:rsid w:val="00B77344"/>
    <w:rsid w:val="00B809CD"/>
    <w:rsid w:val="00B83597"/>
    <w:rsid w:val="00B85A04"/>
    <w:rsid w:val="00B862F0"/>
    <w:rsid w:val="00B90D8D"/>
    <w:rsid w:val="00B91C7F"/>
    <w:rsid w:val="00B926EC"/>
    <w:rsid w:val="00B92A91"/>
    <w:rsid w:val="00B936B8"/>
    <w:rsid w:val="00B945F5"/>
    <w:rsid w:val="00BA0A62"/>
    <w:rsid w:val="00BA0DC7"/>
    <w:rsid w:val="00BA26F2"/>
    <w:rsid w:val="00BA2EEB"/>
    <w:rsid w:val="00BA35C5"/>
    <w:rsid w:val="00BA442E"/>
    <w:rsid w:val="00BA5935"/>
    <w:rsid w:val="00BA59BF"/>
    <w:rsid w:val="00BA7E94"/>
    <w:rsid w:val="00BB037D"/>
    <w:rsid w:val="00BB1BC1"/>
    <w:rsid w:val="00BB2087"/>
    <w:rsid w:val="00BC1376"/>
    <w:rsid w:val="00BC315F"/>
    <w:rsid w:val="00BC43EB"/>
    <w:rsid w:val="00BC4DDF"/>
    <w:rsid w:val="00BC6329"/>
    <w:rsid w:val="00BC6724"/>
    <w:rsid w:val="00BD03D5"/>
    <w:rsid w:val="00BD0D9B"/>
    <w:rsid w:val="00BD1E81"/>
    <w:rsid w:val="00BD2A8E"/>
    <w:rsid w:val="00BD2AB3"/>
    <w:rsid w:val="00BD49B2"/>
    <w:rsid w:val="00BD5E5D"/>
    <w:rsid w:val="00BD7762"/>
    <w:rsid w:val="00BE018E"/>
    <w:rsid w:val="00BE0E1F"/>
    <w:rsid w:val="00BE12EA"/>
    <w:rsid w:val="00BE2FBB"/>
    <w:rsid w:val="00BE610D"/>
    <w:rsid w:val="00BF07FE"/>
    <w:rsid w:val="00BF08BC"/>
    <w:rsid w:val="00BF2C03"/>
    <w:rsid w:val="00BF448E"/>
    <w:rsid w:val="00BF6D40"/>
    <w:rsid w:val="00BF6E17"/>
    <w:rsid w:val="00BF6F87"/>
    <w:rsid w:val="00C00568"/>
    <w:rsid w:val="00C020C5"/>
    <w:rsid w:val="00C034B6"/>
    <w:rsid w:val="00C036F5"/>
    <w:rsid w:val="00C0462D"/>
    <w:rsid w:val="00C04F08"/>
    <w:rsid w:val="00C115E8"/>
    <w:rsid w:val="00C11F82"/>
    <w:rsid w:val="00C13073"/>
    <w:rsid w:val="00C1308C"/>
    <w:rsid w:val="00C134E2"/>
    <w:rsid w:val="00C20DEC"/>
    <w:rsid w:val="00C2116C"/>
    <w:rsid w:val="00C2263C"/>
    <w:rsid w:val="00C32D27"/>
    <w:rsid w:val="00C343E1"/>
    <w:rsid w:val="00C34FE3"/>
    <w:rsid w:val="00C35DF9"/>
    <w:rsid w:val="00C360BD"/>
    <w:rsid w:val="00C36FCD"/>
    <w:rsid w:val="00C461A9"/>
    <w:rsid w:val="00C4714D"/>
    <w:rsid w:val="00C479AD"/>
    <w:rsid w:val="00C5037B"/>
    <w:rsid w:val="00C510DF"/>
    <w:rsid w:val="00C52B82"/>
    <w:rsid w:val="00C55E51"/>
    <w:rsid w:val="00C56C88"/>
    <w:rsid w:val="00C56C91"/>
    <w:rsid w:val="00C573F8"/>
    <w:rsid w:val="00C65BE3"/>
    <w:rsid w:val="00C661B9"/>
    <w:rsid w:val="00C67450"/>
    <w:rsid w:val="00C70964"/>
    <w:rsid w:val="00C716EC"/>
    <w:rsid w:val="00C72D96"/>
    <w:rsid w:val="00C77439"/>
    <w:rsid w:val="00C77D7E"/>
    <w:rsid w:val="00C80074"/>
    <w:rsid w:val="00C80D95"/>
    <w:rsid w:val="00C80F40"/>
    <w:rsid w:val="00C845AC"/>
    <w:rsid w:val="00C846D4"/>
    <w:rsid w:val="00C86220"/>
    <w:rsid w:val="00C8749B"/>
    <w:rsid w:val="00C90B98"/>
    <w:rsid w:val="00C910DE"/>
    <w:rsid w:val="00C931BD"/>
    <w:rsid w:val="00CA41CF"/>
    <w:rsid w:val="00CA4410"/>
    <w:rsid w:val="00CA4F8B"/>
    <w:rsid w:val="00CA6435"/>
    <w:rsid w:val="00CB0D85"/>
    <w:rsid w:val="00CB20F9"/>
    <w:rsid w:val="00CB2B3F"/>
    <w:rsid w:val="00CB43A2"/>
    <w:rsid w:val="00CB56DD"/>
    <w:rsid w:val="00CC00D2"/>
    <w:rsid w:val="00CC3DD5"/>
    <w:rsid w:val="00CC5174"/>
    <w:rsid w:val="00CC5836"/>
    <w:rsid w:val="00CC76DC"/>
    <w:rsid w:val="00CD1FEA"/>
    <w:rsid w:val="00CD2372"/>
    <w:rsid w:val="00CD4B22"/>
    <w:rsid w:val="00CD6B20"/>
    <w:rsid w:val="00CD6F54"/>
    <w:rsid w:val="00CE0698"/>
    <w:rsid w:val="00CE1E64"/>
    <w:rsid w:val="00CE30BD"/>
    <w:rsid w:val="00CE34A0"/>
    <w:rsid w:val="00CE3ED2"/>
    <w:rsid w:val="00CE4B69"/>
    <w:rsid w:val="00CE5CF8"/>
    <w:rsid w:val="00CE697A"/>
    <w:rsid w:val="00CE6A19"/>
    <w:rsid w:val="00CE763C"/>
    <w:rsid w:val="00CF2B70"/>
    <w:rsid w:val="00CF46A7"/>
    <w:rsid w:val="00CF5E6F"/>
    <w:rsid w:val="00CF69D8"/>
    <w:rsid w:val="00D0402F"/>
    <w:rsid w:val="00D05507"/>
    <w:rsid w:val="00D05C09"/>
    <w:rsid w:val="00D064CD"/>
    <w:rsid w:val="00D07E7D"/>
    <w:rsid w:val="00D10BCC"/>
    <w:rsid w:val="00D11A1E"/>
    <w:rsid w:val="00D11F0D"/>
    <w:rsid w:val="00D135C3"/>
    <w:rsid w:val="00D15B4C"/>
    <w:rsid w:val="00D16C3E"/>
    <w:rsid w:val="00D171B6"/>
    <w:rsid w:val="00D31177"/>
    <w:rsid w:val="00D341DE"/>
    <w:rsid w:val="00D3519E"/>
    <w:rsid w:val="00D36EAE"/>
    <w:rsid w:val="00D372B5"/>
    <w:rsid w:val="00D376E7"/>
    <w:rsid w:val="00D379C4"/>
    <w:rsid w:val="00D379D9"/>
    <w:rsid w:val="00D40B15"/>
    <w:rsid w:val="00D429FE"/>
    <w:rsid w:val="00D43731"/>
    <w:rsid w:val="00D451B9"/>
    <w:rsid w:val="00D46347"/>
    <w:rsid w:val="00D51716"/>
    <w:rsid w:val="00D56CD8"/>
    <w:rsid w:val="00D609E8"/>
    <w:rsid w:val="00D62212"/>
    <w:rsid w:val="00D63655"/>
    <w:rsid w:val="00D70677"/>
    <w:rsid w:val="00D71612"/>
    <w:rsid w:val="00D719E5"/>
    <w:rsid w:val="00D72277"/>
    <w:rsid w:val="00D7231C"/>
    <w:rsid w:val="00D75173"/>
    <w:rsid w:val="00D75608"/>
    <w:rsid w:val="00D75A85"/>
    <w:rsid w:val="00D760FE"/>
    <w:rsid w:val="00D76ED5"/>
    <w:rsid w:val="00D81A4E"/>
    <w:rsid w:val="00D827B1"/>
    <w:rsid w:val="00D862F9"/>
    <w:rsid w:val="00D8656D"/>
    <w:rsid w:val="00D86E1A"/>
    <w:rsid w:val="00D90086"/>
    <w:rsid w:val="00D91520"/>
    <w:rsid w:val="00D93F50"/>
    <w:rsid w:val="00D949FF"/>
    <w:rsid w:val="00D95590"/>
    <w:rsid w:val="00D95F19"/>
    <w:rsid w:val="00D97443"/>
    <w:rsid w:val="00D977CF"/>
    <w:rsid w:val="00DA2876"/>
    <w:rsid w:val="00DA769F"/>
    <w:rsid w:val="00DB009C"/>
    <w:rsid w:val="00DB2A52"/>
    <w:rsid w:val="00DB5D17"/>
    <w:rsid w:val="00DB6426"/>
    <w:rsid w:val="00DB6898"/>
    <w:rsid w:val="00DB7BB3"/>
    <w:rsid w:val="00DC06D4"/>
    <w:rsid w:val="00DC1B6D"/>
    <w:rsid w:val="00DC2931"/>
    <w:rsid w:val="00DC323C"/>
    <w:rsid w:val="00DC731E"/>
    <w:rsid w:val="00DD1082"/>
    <w:rsid w:val="00DD14BD"/>
    <w:rsid w:val="00DD4F9A"/>
    <w:rsid w:val="00DD6304"/>
    <w:rsid w:val="00DD7B83"/>
    <w:rsid w:val="00DE03D8"/>
    <w:rsid w:val="00DE3014"/>
    <w:rsid w:val="00DE38D7"/>
    <w:rsid w:val="00DE59E8"/>
    <w:rsid w:val="00DE6BF3"/>
    <w:rsid w:val="00DE7A19"/>
    <w:rsid w:val="00DE7ED9"/>
    <w:rsid w:val="00DF14C0"/>
    <w:rsid w:val="00DF1572"/>
    <w:rsid w:val="00DF4B2E"/>
    <w:rsid w:val="00DF739C"/>
    <w:rsid w:val="00E00C9D"/>
    <w:rsid w:val="00E01AB1"/>
    <w:rsid w:val="00E108FF"/>
    <w:rsid w:val="00E114BA"/>
    <w:rsid w:val="00E12CCA"/>
    <w:rsid w:val="00E146E8"/>
    <w:rsid w:val="00E173B6"/>
    <w:rsid w:val="00E17B8D"/>
    <w:rsid w:val="00E243A0"/>
    <w:rsid w:val="00E244F1"/>
    <w:rsid w:val="00E25D65"/>
    <w:rsid w:val="00E3184F"/>
    <w:rsid w:val="00E32FD9"/>
    <w:rsid w:val="00E3322D"/>
    <w:rsid w:val="00E3386F"/>
    <w:rsid w:val="00E34095"/>
    <w:rsid w:val="00E361CA"/>
    <w:rsid w:val="00E363A8"/>
    <w:rsid w:val="00E36DAC"/>
    <w:rsid w:val="00E40EDA"/>
    <w:rsid w:val="00E41328"/>
    <w:rsid w:val="00E42052"/>
    <w:rsid w:val="00E46301"/>
    <w:rsid w:val="00E46DD4"/>
    <w:rsid w:val="00E46E4F"/>
    <w:rsid w:val="00E52A0F"/>
    <w:rsid w:val="00E53986"/>
    <w:rsid w:val="00E62A93"/>
    <w:rsid w:val="00E64B5D"/>
    <w:rsid w:val="00E64CBF"/>
    <w:rsid w:val="00E64E90"/>
    <w:rsid w:val="00E65539"/>
    <w:rsid w:val="00E671ED"/>
    <w:rsid w:val="00E709BA"/>
    <w:rsid w:val="00E70C46"/>
    <w:rsid w:val="00E7185E"/>
    <w:rsid w:val="00E721D9"/>
    <w:rsid w:val="00E73BF7"/>
    <w:rsid w:val="00E74ABE"/>
    <w:rsid w:val="00E75212"/>
    <w:rsid w:val="00E75D88"/>
    <w:rsid w:val="00E76BF6"/>
    <w:rsid w:val="00E76E3B"/>
    <w:rsid w:val="00E7779B"/>
    <w:rsid w:val="00E815F9"/>
    <w:rsid w:val="00E8244C"/>
    <w:rsid w:val="00E8486E"/>
    <w:rsid w:val="00E874C6"/>
    <w:rsid w:val="00E942DA"/>
    <w:rsid w:val="00E947AE"/>
    <w:rsid w:val="00EA3D43"/>
    <w:rsid w:val="00EA4E6B"/>
    <w:rsid w:val="00EA5C59"/>
    <w:rsid w:val="00EA633E"/>
    <w:rsid w:val="00EB23DE"/>
    <w:rsid w:val="00EB2DF9"/>
    <w:rsid w:val="00EB4924"/>
    <w:rsid w:val="00EB6173"/>
    <w:rsid w:val="00EB68A5"/>
    <w:rsid w:val="00EC3EAA"/>
    <w:rsid w:val="00EC62F8"/>
    <w:rsid w:val="00EC7040"/>
    <w:rsid w:val="00ED06E6"/>
    <w:rsid w:val="00ED07D6"/>
    <w:rsid w:val="00ED3271"/>
    <w:rsid w:val="00ED5415"/>
    <w:rsid w:val="00ED5C6C"/>
    <w:rsid w:val="00ED5DFC"/>
    <w:rsid w:val="00ED7C66"/>
    <w:rsid w:val="00EE0ACF"/>
    <w:rsid w:val="00EE12F0"/>
    <w:rsid w:val="00EE3840"/>
    <w:rsid w:val="00EE643E"/>
    <w:rsid w:val="00EE702A"/>
    <w:rsid w:val="00EE7EB7"/>
    <w:rsid w:val="00EF0A38"/>
    <w:rsid w:val="00EF1245"/>
    <w:rsid w:val="00EF3C02"/>
    <w:rsid w:val="00EF3D48"/>
    <w:rsid w:val="00EF5ED4"/>
    <w:rsid w:val="00F0128E"/>
    <w:rsid w:val="00F063C0"/>
    <w:rsid w:val="00F110B5"/>
    <w:rsid w:val="00F12601"/>
    <w:rsid w:val="00F12718"/>
    <w:rsid w:val="00F15367"/>
    <w:rsid w:val="00F15DE6"/>
    <w:rsid w:val="00F26624"/>
    <w:rsid w:val="00F270C7"/>
    <w:rsid w:val="00F27238"/>
    <w:rsid w:val="00F323C7"/>
    <w:rsid w:val="00F34038"/>
    <w:rsid w:val="00F3421F"/>
    <w:rsid w:val="00F345D9"/>
    <w:rsid w:val="00F36C92"/>
    <w:rsid w:val="00F3781C"/>
    <w:rsid w:val="00F4185A"/>
    <w:rsid w:val="00F420E3"/>
    <w:rsid w:val="00F435FA"/>
    <w:rsid w:val="00F46F4B"/>
    <w:rsid w:val="00F476D0"/>
    <w:rsid w:val="00F515C5"/>
    <w:rsid w:val="00F55881"/>
    <w:rsid w:val="00F55D36"/>
    <w:rsid w:val="00F55D39"/>
    <w:rsid w:val="00F56B77"/>
    <w:rsid w:val="00F6286D"/>
    <w:rsid w:val="00F6561A"/>
    <w:rsid w:val="00F65FF9"/>
    <w:rsid w:val="00F70757"/>
    <w:rsid w:val="00F709FE"/>
    <w:rsid w:val="00F7254C"/>
    <w:rsid w:val="00F741F2"/>
    <w:rsid w:val="00F743CF"/>
    <w:rsid w:val="00F74BC1"/>
    <w:rsid w:val="00F80969"/>
    <w:rsid w:val="00F83CD7"/>
    <w:rsid w:val="00F849A6"/>
    <w:rsid w:val="00F858E5"/>
    <w:rsid w:val="00F85F90"/>
    <w:rsid w:val="00F86148"/>
    <w:rsid w:val="00F86387"/>
    <w:rsid w:val="00F877D4"/>
    <w:rsid w:val="00F91B72"/>
    <w:rsid w:val="00F91FC1"/>
    <w:rsid w:val="00F928DD"/>
    <w:rsid w:val="00F954DA"/>
    <w:rsid w:val="00F9559A"/>
    <w:rsid w:val="00F96025"/>
    <w:rsid w:val="00FA2082"/>
    <w:rsid w:val="00FA3262"/>
    <w:rsid w:val="00FA366C"/>
    <w:rsid w:val="00FA68DF"/>
    <w:rsid w:val="00FA7C2E"/>
    <w:rsid w:val="00FA7DB1"/>
    <w:rsid w:val="00FA7EB3"/>
    <w:rsid w:val="00FB0E76"/>
    <w:rsid w:val="00FB1BDF"/>
    <w:rsid w:val="00FB22D2"/>
    <w:rsid w:val="00FB2A00"/>
    <w:rsid w:val="00FB4563"/>
    <w:rsid w:val="00FC05D4"/>
    <w:rsid w:val="00FC214B"/>
    <w:rsid w:val="00FC3B6B"/>
    <w:rsid w:val="00FC5E1B"/>
    <w:rsid w:val="00FC7CFB"/>
    <w:rsid w:val="00FD279A"/>
    <w:rsid w:val="00FD36E3"/>
    <w:rsid w:val="00FD4336"/>
    <w:rsid w:val="00FF3B45"/>
    <w:rsid w:val="00FF6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89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before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semiHidden="0" w:uiPriority="9" w:unhideWhenUsed="0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91"/>
    <w:lsdException w:name="toc 2" w:uiPriority="91"/>
    <w:lsdException w:name="toc 3" w:uiPriority="91" w:unhideWhenUsed="0"/>
    <w:lsdException w:name="toc 4" w:uiPriority="39" w:unhideWhenUsed="0"/>
    <w:lsdException w:name="toc 5" w:uiPriority="96" w:unhideWhenUsed="0"/>
    <w:lsdException w:name="toc 6" w:uiPriority="96" w:unhideWhenUsed="0"/>
    <w:lsdException w:name="toc 7" w:uiPriority="96" w:unhideWhenUsed="0"/>
    <w:lsdException w:name="toc 8" w:uiPriority="96" w:unhideWhenUsed="0"/>
    <w:lsdException w:name="toc 9" w:uiPriority="91"/>
    <w:lsdException w:name="header" w:uiPriority="85"/>
    <w:lsdException w:name="footer" w:uiPriority="0"/>
    <w:lsdException w:name="caption" w:uiPriority="35"/>
    <w:lsdException w:name="page number" w:uiPriority="0"/>
    <w:lsdException w:name="List" w:semiHidden="0" w:uiPriority="29" w:unhideWhenUsed="0"/>
    <w:lsdException w:name="List Bullet" w:uiPriority="19" w:qFormat="1"/>
    <w:lsdException w:name="List Number" w:semiHidden="0" w:uiPriority="19" w:unhideWhenUsed="0" w:qFormat="1"/>
    <w:lsdException w:name="List 2" w:uiPriority="29" w:unhideWhenUsed="0"/>
    <w:lsdException w:name="List 3" w:uiPriority="29"/>
    <w:lsdException w:name="List 4" w:uiPriority="29"/>
    <w:lsdException w:name="List 5" w:uiPriority="29"/>
    <w:lsdException w:name="List Bullet 2" w:uiPriority="19"/>
    <w:lsdException w:name="List Bullet 3" w:uiPriority="19"/>
    <w:lsdException w:name="List Bullet 4" w:uiPriority="19"/>
    <w:lsdException w:name="List Bullet 5" w:uiPriority="19"/>
    <w:lsdException w:name="List Number 2" w:semiHidden="0" w:uiPriority="19" w:unhideWhenUsed="0"/>
    <w:lsdException w:name="List Number 3" w:uiPriority="19"/>
    <w:lsdException w:name="List Number 4" w:uiPriority="19"/>
    <w:lsdException w:name="List Number 5" w:uiPriority="19"/>
    <w:lsdException w:name="Title" w:uiPriority="10" w:unhideWhenUsed="0"/>
    <w:lsdException w:name="Default Paragraph Font" w:uiPriority="1"/>
    <w:lsdException w:name="Body Text" w:uiPriority="4"/>
    <w:lsdException w:name="List Continue" w:semiHidden="0" w:uiPriority="24" w:unhideWhenUsed="0" w:qFormat="1"/>
    <w:lsdException w:name="List Continue 2" w:semiHidden="0" w:uiPriority="24" w:unhideWhenUsed="0"/>
    <w:lsdException w:name="List Continue 3" w:uiPriority="24"/>
    <w:lsdException w:name="List Continue 4" w:uiPriority="24"/>
    <w:lsdException w:name="List Continue 5" w:uiPriority="24"/>
    <w:lsdException w:name="Subtitle" w:uiPriority="11" w:unhideWhenUsed="0"/>
    <w:lsdException w:name="Strong" w:uiPriority="98" w:unhideWhenUsed="0"/>
    <w:lsdException w:name="Emphasis" w:uiPriority="98" w:unhideWhenUsed="0"/>
    <w:lsdException w:name="Table Grid" w:semiHidden="0" w:uiPriority="59" w:unhideWhenUsed="0"/>
    <w:lsdException w:name="Placeholder Text" w:unhideWhenUsed="0"/>
    <w:lsdException w:name="No Spacing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uiPriority="29" w:unhideWhenUsed="0"/>
    <w:lsdException w:name="Intense Quote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/>
    <w:lsdException w:name="Intense Emphasis" w:uiPriority="98" w:unhideWhenUsed="0"/>
    <w:lsdException w:name="Subtle Reference" w:uiPriority="31" w:unhideWhenUsed="0"/>
    <w:lsdException w:name="Intense Reference" w:uiPriority="32" w:unhideWhenUsed="0"/>
    <w:lsdException w:name="Book Title" w:uiPriority="33" w:unhideWhenUsed="0"/>
    <w:lsdException w:name="Bibliography" w:uiPriority="37"/>
    <w:lsdException w:name="TOC Heading" w:uiPriority="90"/>
  </w:latentStyles>
  <w:style w:type="paragraph" w:default="1" w:styleId="Normal">
    <w:name w:val="Normal"/>
    <w:qFormat/>
    <w:rsid w:val="00D36EAE"/>
    <w:pPr>
      <w:keepLines/>
      <w:spacing w:before="160" w:line="264" w:lineRule="auto"/>
    </w:pPr>
  </w:style>
  <w:style w:type="paragraph" w:styleId="Heading10">
    <w:name w:val="heading 1"/>
    <w:next w:val="Normal"/>
    <w:link w:val="Heading1Char"/>
    <w:uiPriority w:val="9"/>
    <w:qFormat/>
    <w:rsid w:val="00E46E4F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b/>
      <w:bCs/>
      <w:caps/>
      <w:spacing w:val="-2"/>
      <w:sz w:val="26"/>
      <w:szCs w:val="28"/>
    </w:rPr>
  </w:style>
  <w:style w:type="paragraph" w:styleId="Heading20">
    <w:name w:val="heading 2"/>
    <w:basedOn w:val="Heading10"/>
    <w:next w:val="Normal"/>
    <w:link w:val="Heading2Char"/>
    <w:uiPriority w:val="9"/>
    <w:qFormat/>
    <w:rsid w:val="00612683"/>
    <w:pPr>
      <w:numPr>
        <w:ilvl w:val="1"/>
      </w:numPr>
      <w:tabs>
        <w:tab w:val="right" w:pos="9582"/>
      </w:tabs>
      <w:spacing w:before="240"/>
      <w:outlineLvl w:val="1"/>
    </w:pPr>
    <w:rPr>
      <w:bCs w:val="0"/>
      <w:caps w:val="0"/>
      <w:szCs w:val="26"/>
    </w:rPr>
  </w:style>
  <w:style w:type="paragraph" w:styleId="Heading30">
    <w:name w:val="heading 3"/>
    <w:basedOn w:val="Heading20"/>
    <w:next w:val="Normal"/>
    <w:link w:val="Heading3Char"/>
    <w:uiPriority w:val="9"/>
    <w:qFormat/>
    <w:rsid w:val="0037430B"/>
    <w:pPr>
      <w:numPr>
        <w:ilvl w:val="2"/>
      </w:numPr>
      <w:outlineLvl w:val="2"/>
    </w:pPr>
    <w:rPr>
      <w:bCs/>
      <w:sz w:val="22"/>
    </w:rPr>
  </w:style>
  <w:style w:type="paragraph" w:styleId="Heading4">
    <w:name w:val="heading 4"/>
    <w:basedOn w:val="Heading30"/>
    <w:next w:val="Normal"/>
    <w:link w:val="Heading4Char"/>
    <w:uiPriority w:val="9"/>
    <w:rsid w:val="003741F4"/>
    <w:pPr>
      <w:numPr>
        <w:ilvl w:val="3"/>
      </w:numPr>
      <w:spacing w:before="180"/>
      <w:outlineLvl w:val="3"/>
    </w:pPr>
    <w:rPr>
      <w:b w:val="0"/>
      <w:bCs w:val="0"/>
      <w:i/>
      <w:iCs/>
      <w:spacing w:val="0"/>
    </w:rPr>
  </w:style>
  <w:style w:type="paragraph" w:styleId="Heading5">
    <w:name w:val="heading 5"/>
    <w:basedOn w:val="Heading4"/>
    <w:next w:val="Normal"/>
    <w:link w:val="Heading5Char"/>
    <w:uiPriority w:val="9"/>
    <w:semiHidden/>
    <w:unhideWhenUsed/>
    <w:rsid w:val="00DE3014"/>
    <w:pPr>
      <w:numPr>
        <w:ilvl w:val="4"/>
      </w:numPr>
      <w:outlineLvl w:val="4"/>
    </w:pPr>
    <w:rPr>
      <w:b/>
      <w:i w:val="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E36DAC"/>
    <w:pPr>
      <w:keepNext/>
      <w:numPr>
        <w:ilvl w:val="5"/>
        <w:numId w:val="19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003152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E36DAC"/>
    <w:pPr>
      <w:keepNext/>
      <w:numPr>
        <w:ilvl w:val="6"/>
        <w:numId w:val="1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E36DAC"/>
    <w:pPr>
      <w:keepNext/>
      <w:numPr>
        <w:ilvl w:val="7"/>
        <w:numId w:val="1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E36DAC"/>
    <w:pPr>
      <w:keepNext/>
      <w:numPr>
        <w:ilvl w:val="8"/>
        <w:numId w:val="1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0"/>
    <w:uiPriority w:val="9"/>
    <w:rsid w:val="00E46E4F"/>
    <w:rPr>
      <w:rFonts w:asciiTheme="majorHAnsi" w:eastAsiaTheme="majorEastAsia" w:hAnsiTheme="majorHAnsi" w:cstheme="majorBidi"/>
      <w:b/>
      <w:bCs/>
      <w:caps/>
      <w:spacing w:val="-2"/>
      <w:sz w:val="26"/>
      <w:szCs w:val="28"/>
    </w:rPr>
  </w:style>
  <w:style w:type="paragraph" w:customStyle="1" w:styleId="Chapterheading">
    <w:name w:val="Chapter heading"/>
    <w:basedOn w:val="Normal"/>
    <w:next w:val="Heading10"/>
    <w:uiPriority w:val="89"/>
    <w:rsid w:val="0061407E"/>
    <w:pPr>
      <w:keepNext/>
      <w:pBdr>
        <w:bottom w:val="single" w:sz="12" w:space="1" w:color="auto"/>
      </w:pBdr>
      <w:spacing w:before="1440" w:after="360"/>
      <w:outlineLvl w:val="0"/>
    </w:pPr>
    <w:rPr>
      <w:rFonts w:asciiTheme="majorHAnsi" w:eastAsiaTheme="majorEastAsia" w:hAnsiTheme="majorHAnsi" w:cstheme="majorBidi"/>
      <w:b/>
      <w:bCs/>
      <w:caps/>
      <w:spacing w:val="-2"/>
      <w:sz w:val="36"/>
      <w:szCs w:val="28"/>
    </w:rPr>
  </w:style>
  <w:style w:type="character" w:customStyle="1" w:styleId="Heading3Char">
    <w:name w:val="Heading 3 Char"/>
    <w:basedOn w:val="DefaultParagraphFont"/>
    <w:link w:val="Heading30"/>
    <w:uiPriority w:val="9"/>
    <w:rsid w:val="0037430B"/>
    <w:rPr>
      <w:rFonts w:asciiTheme="majorHAnsi" w:eastAsiaTheme="majorEastAsia" w:hAnsiTheme="majorHAnsi" w:cstheme="majorBidi"/>
      <w:b/>
      <w:bCs/>
      <w:spacing w:val="-2"/>
      <w:szCs w:val="26"/>
    </w:rPr>
  </w:style>
  <w:style w:type="character" w:customStyle="1" w:styleId="Heading2Char">
    <w:name w:val="Heading 2 Char"/>
    <w:basedOn w:val="DefaultParagraphFont"/>
    <w:link w:val="Heading20"/>
    <w:uiPriority w:val="9"/>
    <w:rsid w:val="00612683"/>
    <w:rPr>
      <w:rFonts w:asciiTheme="majorHAnsi" w:eastAsiaTheme="majorEastAsia" w:hAnsiTheme="majorHAnsi" w:cstheme="majorBidi"/>
      <w:b/>
      <w:spacing w:val="-2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3741F4"/>
    <w:rPr>
      <w:rFonts w:asciiTheme="majorHAnsi" w:eastAsiaTheme="majorEastAsia" w:hAnsiTheme="majorHAnsi" w:cstheme="majorBidi"/>
      <w:i/>
      <w:iCs/>
      <w:szCs w:val="26"/>
    </w:rPr>
  </w:style>
  <w:style w:type="character" w:customStyle="1" w:styleId="Heading2Char0">
    <w:name w:val="Heading 2 (#) Char"/>
    <w:basedOn w:val="Heading2Char"/>
    <w:link w:val="Heading2"/>
    <w:uiPriority w:val="14"/>
    <w:rsid w:val="0037430B"/>
    <w:rPr>
      <w:rFonts w:asciiTheme="majorHAnsi" w:eastAsiaTheme="majorEastAsia" w:hAnsiTheme="majorHAnsi" w:cstheme="majorBidi"/>
      <w:b/>
      <w:spacing w:val="-2"/>
      <w:sz w:val="26"/>
      <w:szCs w:val="26"/>
    </w:rPr>
  </w:style>
  <w:style w:type="paragraph" w:customStyle="1" w:styleId="Source">
    <w:name w:val="Source"/>
    <w:basedOn w:val="Normal"/>
    <w:next w:val="Note"/>
    <w:uiPriority w:val="51"/>
    <w:qFormat/>
    <w:rsid w:val="006F23B1"/>
    <w:pPr>
      <w:spacing w:before="20" w:after="60"/>
    </w:pPr>
    <w:rPr>
      <w:rFonts w:asciiTheme="majorHAnsi" w:hAnsiTheme="majorHAnsi"/>
      <w:i/>
      <w:spacing w:val="-2"/>
      <w:sz w:val="14"/>
    </w:rPr>
  </w:style>
  <w:style w:type="paragraph" w:customStyle="1" w:styleId="Note">
    <w:name w:val="Note"/>
    <w:basedOn w:val="Normal"/>
    <w:link w:val="NoteChar"/>
    <w:uiPriority w:val="52"/>
    <w:qFormat/>
    <w:rsid w:val="006F23B1"/>
    <w:pPr>
      <w:spacing w:before="20"/>
      <w:ind w:left="284" w:hanging="284"/>
      <w:contextualSpacing/>
    </w:pPr>
    <w:rPr>
      <w:rFonts w:asciiTheme="majorHAnsi" w:hAnsiTheme="majorHAnsi"/>
      <w:i/>
      <w:spacing w:val="-2"/>
      <w:sz w:val="14"/>
    </w:rPr>
  </w:style>
  <w:style w:type="numbering" w:customStyle="1" w:styleId="A">
    <w:name w:val="(A)"/>
    <w:uiPriority w:val="99"/>
    <w:rsid w:val="00ED06E6"/>
    <w:pPr>
      <w:numPr>
        <w:numId w:val="2"/>
      </w:numPr>
    </w:pPr>
  </w:style>
  <w:style w:type="paragraph" w:customStyle="1" w:styleId="HighlightBoxText">
    <w:name w:val="Highlight Box Text"/>
    <w:basedOn w:val="Normal"/>
    <w:uiPriority w:val="60"/>
    <w:qFormat/>
    <w:rsid w:val="00D451B9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hd w:val="clear" w:color="auto" w:fill="F2F2F2" w:themeFill="background1" w:themeFillShade="F2"/>
    </w:pPr>
  </w:style>
  <w:style w:type="table" w:styleId="TableGrid">
    <w:name w:val="Table Grid"/>
    <w:basedOn w:val="TableNormal"/>
    <w:uiPriority w:val="59"/>
    <w:rsid w:val="00AF50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357C4E"/>
    <w:rPr>
      <w:color w:val="004A7C" w:themeColor="accent1" w:themeShade="BF"/>
    </w:rPr>
    <w:tblPr>
      <w:tblStyleRowBandSize w:val="1"/>
      <w:tblStyleColBandSize w:val="1"/>
      <w:tblBorders>
        <w:top w:val="single" w:sz="8" w:space="0" w:color="0063A6" w:themeColor="accent1"/>
        <w:bottom w:val="single" w:sz="8" w:space="0" w:color="0063A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3A6" w:themeColor="accent1"/>
          <w:left w:val="nil"/>
          <w:bottom w:val="single" w:sz="8" w:space="0" w:color="0063A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3A6" w:themeColor="accent1"/>
          <w:left w:val="nil"/>
          <w:bottom w:val="single" w:sz="8" w:space="0" w:color="0063A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DC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ADCFF" w:themeFill="accent1" w:themeFillTint="3F"/>
      </w:tcPr>
    </w:tblStylePr>
  </w:style>
  <w:style w:type="table" w:styleId="LightShading">
    <w:name w:val="Light Shading"/>
    <w:basedOn w:val="TableNormal"/>
    <w:uiPriority w:val="60"/>
    <w:rsid w:val="00113667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4">
    <w:name w:val="Light Shading Accent 4"/>
    <w:basedOn w:val="TableNormal"/>
    <w:uiPriority w:val="60"/>
    <w:rsid w:val="00113667"/>
    <w:rPr>
      <w:color w:val="00559A" w:themeColor="accent4" w:themeShade="BF"/>
    </w:rPr>
    <w:tblPr>
      <w:tblStyleRowBandSize w:val="1"/>
      <w:tblStyleColBandSize w:val="1"/>
      <w:tblBorders>
        <w:top w:val="single" w:sz="8" w:space="0" w:color="0072CE" w:themeColor="accent4"/>
        <w:bottom w:val="single" w:sz="8" w:space="0" w:color="0072CE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2CE" w:themeColor="accent4"/>
          <w:left w:val="nil"/>
          <w:bottom w:val="single" w:sz="8" w:space="0" w:color="0072CE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2CE" w:themeColor="accent4"/>
          <w:left w:val="nil"/>
          <w:bottom w:val="single" w:sz="8" w:space="0" w:color="0072CE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DD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DDFF" w:themeFill="accent4" w:themeFillTint="3F"/>
      </w:tcPr>
    </w:tblStylePr>
  </w:style>
  <w:style w:type="paragraph" w:customStyle="1" w:styleId="DecimalAligned">
    <w:name w:val="Decimal Aligned"/>
    <w:basedOn w:val="Normal"/>
    <w:uiPriority w:val="40"/>
    <w:semiHidden/>
    <w:rsid w:val="00363B60"/>
    <w:pPr>
      <w:tabs>
        <w:tab w:val="decimal" w:pos="360"/>
      </w:tabs>
      <w:spacing w:after="200" w:line="276" w:lineRule="auto"/>
    </w:pPr>
    <w:rPr>
      <w:lang w:val="en-US" w:eastAsia="ja-JP"/>
    </w:rPr>
  </w:style>
  <w:style w:type="paragraph" w:styleId="FootnoteText">
    <w:name w:val="footnote text"/>
    <w:basedOn w:val="Normal"/>
    <w:link w:val="FootnoteTextChar"/>
    <w:uiPriority w:val="99"/>
    <w:semiHidden/>
    <w:rsid w:val="00363B60"/>
    <w:rPr>
      <w:rFonts w:eastAsiaTheme="minorEastAsia"/>
      <w:lang w:val="en-US"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93855"/>
    <w:rPr>
      <w:rFonts w:eastAsiaTheme="minorEastAsia"/>
      <w:sz w:val="20"/>
      <w:szCs w:val="20"/>
      <w:lang w:val="en-US" w:eastAsia="ja-JP"/>
    </w:rPr>
  </w:style>
  <w:style w:type="character" w:styleId="SubtleEmphasis">
    <w:name w:val="Subtle Emphasis"/>
    <w:basedOn w:val="DefaultParagraphFont"/>
    <w:uiPriority w:val="98"/>
    <w:semiHidden/>
    <w:rsid w:val="00363B60"/>
    <w:rPr>
      <w:i/>
      <w:iCs/>
      <w:color w:val="7F7F7F" w:themeColor="text1" w:themeTint="80"/>
    </w:rPr>
  </w:style>
  <w:style w:type="table" w:styleId="MediumShading2-Accent5">
    <w:name w:val="Medium Shading 2 Accent 5"/>
    <w:basedOn w:val="TableNormal"/>
    <w:uiPriority w:val="64"/>
    <w:rsid w:val="00363B60"/>
    <w:rPr>
      <w:rFonts w:eastAsiaTheme="minorEastAsia"/>
      <w:lang w:val="en-US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CD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CD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CD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Header">
    <w:name w:val="header"/>
    <w:link w:val="HeaderChar"/>
    <w:uiPriority w:val="85"/>
    <w:rsid w:val="00CA41CF"/>
    <w:pPr>
      <w:spacing w:after="180"/>
    </w:pPr>
    <w:rPr>
      <w:rFonts w:asciiTheme="majorHAnsi" w:hAnsiTheme="majorHAnsi"/>
      <w:b/>
      <w:caps/>
      <w:color w:val="53565A"/>
    </w:rPr>
  </w:style>
  <w:style w:type="character" w:customStyle="1" w:styleId="HeaderChar">
    <w:name w:val="Header Char"/>
    <w:basedOn w:val="DefaultParagraphFont"/>
    <w:link w:val="Header"/>
    <w:uiPriority w:val="97"/>
    <w:rsid w:val="00CA41CF"/>
    <w:rPr>
      <w:rFonts w:asciiTheme="majorHAnsi" w:hAnsiTheme="majorHAnsi"/>
      <w:b/>
      <w:caps/>
      <w:color w:val="53565A"/>
    </w:rPr>
  </w:style>
  <w:style w:type="numbering" w:styleId="111111">
    <w:name w:val="Outline List 2"/>
    <w:basedOn w:val="NoList"/>
    <w:uiPriority w:val="99"/>
    <w:semiHidden/>
    <w:unhideWhenUsed/>
    <w:rsid w:val="00C00568"/>
    <w:pPr>
      <w:numPr>
        <w:numId w:val="45"/>
      </w:numPr>
    </w:pPr>
  </w:style>
  <w:style w:type="character" w:customStyle="1" w:styleId="FooteroddChar">
    <w:name w:val="Footer (odd) Char"/>
    <w:basedOn w:val="DefaultParagraphFont"/>
    <w:link w:val="Footerodd"/>
    <w:uiPriority w:val="84"/>
    <w:rsid w:val="008155D0"/>
    <w:rPr>
      <w:rFonts w:asciiTheme="majorHAnsi" w:hAnsiTheme="majorHAnsi"/>
      <w:sz w:val="18"/>
    </w:rPr>
  </w:style>
  <w:style w:type="paragraph" w:customStyle="1" w:styleId="Footerodd">
    <w:name w:val="Footer (odd)"/>
    <w:basedOn w:val="Footer"/>
    <w:link w:val="FooteroddChar"/>
    <w:uiPriority w:val="84"/>
    <w:rsid w:val="008155D0"/>
    <w:pPr>
      <w:pBdr>
        <w:top w:val="single" w:sz="6" w:space="1" w:color="auto"/>
      </w:pBdr>
      <w:tabs>
        <w:tab w:val="clear" w:pos="4513"/>
        <w:tab w:val="clear" w:pos="9026"/>
        <w:tab w:val="right" w:pos="7710"/>
      </w:tabs>
    </w:pPr>
    <w:rPr>
      <w:rFonts w:asciiTheme="majorHAnsi" w:hAnsiTheme="majorHAnsi"/>
      <w:sz w:val="18"/>
    </w:rPr>
  </w:style>
  <w:style w:type="paragraph" w:customStyle="1" w:styleId="NoteDash">
    <w:name w:val="Note Dash"/>
    <w:basedOn w:val="Note"/>
    <w:next w:val="Note"/>
    <w:uiPriority w:val="53"/>
    <w:rsid w:val="00E46DD4"/>
    <w:pPr>
      <w:numPr>
        <w:numId w:val="18"/>
      </w:numPr>
      <w:ind w:left="568" w:hanging="284"/>
    </w:pPr>
  </w:style>
  <w:style w:type="character" w:customStyle="1" w:styleId="NoteChar">
    <w:name w:val="Note Char"/>
    <w:basedOn w:val="DefaultParagraphFont"/>
    <w:link w:val="Note"/>
    <w:uiPriority w:val="52"/>
    <w:rsid w:val="006F23B1"/>
    <w:rPr>
      <w:rFonts w:asciiTheme="majorHAnsi" w:hAnsiTheme="majorHAnsi"/>
      <w:i/>
      <w:spacing w:val="-2"/>
      <w:sz w:val="14"/>
    </w:rPr>
  </w:style>
  <w:style w:type="paragraph" w:styleId="TOC1">
    <w:name w:val="toc 1"/>
    <w:basedOn w:val="Normal"/>
    <w:next w:val="Normal"/>
    <w:uiPriority w:val="91"/>
    <w:rsid w:val="008D37BD"/>
    <w:pPr>
      <w:tabs>
        <w:tab w:val="right" w:leader="dot" w:pos="9639"/>
      </w:tabs>
    </w:pPr>
    <w:rPr>
      <w:rFonts w:asciiTheme="majorHAnsi" w:hAnsiTheme="majorHAnsi"/>
      <w:b/>
      <w:spacing w:val="-2"/>
      <w:szCs w:val="19"/>
    </w:rPr>
  </w:style>
  <w:style w:type="paragraph" w:styleId="ListNumber2">
    <w:name w:val="List Number 2"/>
    <w:basedOn w:val="ListNumber"/>
    <w:uiPriority w:val="19"/>
    <w:rsid w:val="00D451B9"/>
    <w:pPr>
      <w:numPr>
        <w:ilvl w:val="1"/>
      </w:numPr>
    </w:pPr>
  </w:style>
  <w:style w:type="numbering" w:customStyle="1" w:styleId="Bullet">
    <w:name w:val="Bullet"/>
    <w:uiPriority w:val="99"/>
    <w:rsid w:val="00CE5CF8"/>
    <w:pPr>
      <w:numPr>
        <w:numId w:val="7"/>
      </w:numPr>
    </w:pPr>
  </w:style>
  <w:style w:type="paragraph" w:styleId="ListParagraph">
    <w:name w:val="List Paragraph"/>
    <w:basedOn w:val="Normal"/>
    <w:uiPriority w:val="34"/>
    <w:semiHidden/>
    <w:rsid w:val="006C505F"/>
    <w:pPr>
      <w:ind w:left="720"/>
      <w:contextualSpacing/>
    </w:pPr>
  </w:style>
  <w:style w:type="paragraph" w:styleId="ListBullet2">
    <w:name w:val="List Bullet 2"/>
    <w:basedOn w:val="ListBullet"/>
    <w:uiPriority w:val="19"/>
    <w:rsid w:val="003805EF"/>
    <w:pPr>
      <w:numPr>
        <w:ilvl w:val="1"/>
      </w:numPr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DE3014"/>
    <w:rPr>
      <w:rFonts w:asciiTheme="majorHAnsi" w:eastAsiaTheme="majorEastAsia" w:hAnsiTheme="majorHAnsi" w:cstheme="majorBidi"/>
      <w:i/>
      <w:iCs/>
      <w:spacing w:val="-2"/>
      <w:szCs w:val="26"/>
    </w:rPr>
  </w:style>
  <w:style w:type="paragraph" w:styleId="ListBullet">
    <w:name w:val="List Bullet"/>
    <w:basedOn w:val="Normal"/>
    <w:uiPriority w:val="19"/>
    <w:qFormat/>
    <w:rsid w:val="00CE5CF8"/>
    <w:pPr>
      <w:numPr>
        <w:numId w:val="40"/>
      </w:numPr>
      <w:spacing w:before="60"/>
    </w:pPr>
  </w:style>
  <w:style w:type="paragraph" w:styleId="List">
    <w:name w:val="List"/>
    <w:basedOn w:val="Normal"/>
    <w:uiPriority w:val="29"/>
    <w:unhideWhenUsed/>
    <w:rsid w:val="008A5A91"/>
    <w:pPr>
      <w:keepLines w:val="0"/>
      <w:tabs>
        <w:tab w:val="left" w:pos="284"/>
        <w:tab w:val="left" w:pos="567"/>
        <w:tab w:val="left" w:pos="851"/>
      </w:tabs>
    </w:pPr>
  </w:style>
  <w:style w:type="paragraph" w:styleId="ListContinue">
    <w:name w:val="List Continue"/>
    <w:basedOn w:val="Normal"/>
    <w:uiPriority w:val="24"/>
    <w:qFormat/>
    <w:rsid w:val="006C00EB"/>
    <w:pPr>
      <w:spacing w:before="60"/>
      <w:ind w:left="284"/>
    </w:pPr>
  </w:style>
  <w:style w:type="paragraph" w:styleId="ListContinue2">
    <w:name w:val="List Continue 2"/>
    <w:basedOn w:val="Normal"/>
    <w:uiPriority w:val="24"/>
    <w:rsid w:val="006C00EB"/>
    <w:pPr>
      <w:spacing w:before="60"/>
      <w:ind w:left="567"/>
    </w:pPr>
  </w:style>
  <w:style w:type="paragraph" w:styleId="ListNumber">
    <w:name w:val="List Number"/>
    <w:basedOn w:val="Normal"/>
    <w:uiPriority w:val="19"/>
    <w:qFormat/>
    <w:rsid w:val="00CE5CF8"/>
    <w:pPr>
      <w:numPr>
        <w:numId w:val="41"/>
      </w:numPr>
      <w:spacing w:before="60"/>
    </w:pPr>
  </w:style>
  <w:style w:type="paragraph" w:styleId="Footer">
    <w:name w:val="footer"/>
    <w:basedOn w:val="Normal"/>
    <w:link w:val="FooterChar"/>
    <w:semiHidden/>
    <w:rsid w:val="004419CD"/>
    <w:pPr>
      <w:tabs>
        <w:tab w:val="center" w:pos="4513"/>
        <w:tab w:val="right" w:pos="9026"/>
      </w:tabs>
      <w:spacing w:before="0"/>
    </w:pPr>
  </w:style>
  <w:style w:type="paragraph" w:styleId="TOC2">
    <w:name w:val="toc 2"/>
    <w:basedOn w:val="TOC1"/>
    <w:next w:val="Normal"/>
    <w:uiPriority w:val="91"/>
    <w:rsid w:val="008D37BD"/>
    <w:pPr>
      <w:spacing w:before="60" w:after="60"/>
      <w:ind w:left="284" w:right="567"/>
    </w:pPr>
    <w:rPr>
      <w:b w:val="0"/>
      <w:noProof/>
    </w:rPr>
  </w:style>
  <w:style w:type="character" w:styleId="PageNumber">
    <w:name w:val="page number"/>
    <w:semiHidden/>
    <w:rsid w:val="000A03F9"/>
    <w:rPr>
      <w:rFonts w:asciiTheme="minorHAnsi" w:hAnsiTheme="minorHAnsi"/>
      <w:sz w:val="18"/>
    </w:rPr>
  </w:style>
  <w:style w:type="paragraph" w:styleId="TOC3">
    <w:name w:val="toc 3"/>
    <w:basedOn w:val="Normal"/>
    <w:next w:val="Normal"/>
    <w:uiPriority w:val="91"/>
    <w:semiHidden/>
    <w:rsid w:val="00402880"/>
    <w:pPr>
      <w:spacing w:after="100"/>
      <w:ind w:left="420"/>
    </w:pPr>
  </w:style>
  <w:style w:type="paragraph" w:styleId="TOC4">
    <w:name w:val="toc 4"/>
    <w:next w:val="Normal"/>
    <w:uiPriority w:val="96"/>
    <w:semiHidden/>
    <w:rsid w:val="000E2126"/>
    <w:pPr>
      <w:tabs>
        <w:tab w:val="left" w:pos="1021"/>
        <w:tab w:val="right" w:leader="dot" w:pos="9072"/>
      </w:tabs>
      <w:spacing w:after="100"/>
    </w:pPr>
    <w:rPr>
      <w:rFonts w:asciiTheme="majorHAnsi" w:hAnsiTheme="majorHAnsi"/>
      <w:spacing w:val="2"/>
    </w:rPr>
  </w:style>
  <w:style w:type="character" w:styleId="Hyperlink">
    <w:name w:val="Hyperlink"/>
    <w:uiPriority w:val="99"/>
    <w:rsid w:val="00924B1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4B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4B15"/>
    <w:rPr>
      <w:rFonts w:ascii="Tahoma" w:hAnsi="Tahoma" w:cs="Tahoma"/>
      <w:spacing w:val="2"/>
      <w:sz w:val="16"/>
      <w:szCs w:val="16"/>
    </w:rPr>
  </w:style>
  <w:style w:type="paragraph" w:customStyle="1" w:styleId="HighlightBoxHeading">
    <w:name w:val="Highlight Box Heading"/>
    <w:basedOn w:val="HighlightBoxText"/>
    <w:next w:val="HighlightBoxText"/>
    <w:uiPriority w:val="59"/>
    <w:qFormat/>
    <w:rsid w:val="00AB5FA5"/>
    <w:pPr>
      <w:keepNext/>
    </w:pPr>
    <w:rPr>
      <w:rFonts w:asciiTheme="majorHAnsi" w:hAnsiTheme="majorHAnsi"/>
      <w:i/>
    </w:rPr>
  </w:style>
  <w:style w:type="paragraph" w:customStyle="1" w:styleId="HighlightBoxBullet">
    <w:name w:val="Highlight Box Bullet"/>
    <w:basedOn w:val="ListBullet"/>
    <w:uiPriority w:val="61"/>
    <w:qFormat/>
    <w:rsid w:val="00AB5FA5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hd w:val="clear" w:color="auto" w:fill="F2F2F2" w:themeFill="background1" w:themeFillShade="F2"/>
    </w:pPr>
  </w:style>
  <w:style w:type="character" w:customStyle="1" w:styleId="Heading6Char">
    <w:name w:val="Heading 6 Char"/>
    <w:basedOn w:val="DefaultParagraphFont"/>
    <w:link w:val="Heading6"/>
    <w:uiPriority w:val="9"/>
    <w:semiHidden/>
    <w:rsid w:val="00E36DAC"/>
    <w:rPr>
      <w:rFonts w:asciiTheme="majorHAnsi" w:eastAsiaTheme="majorEastAsia" w:hAnsiTheme="majorHAnsi" w:cstheme="majorBidi"/>
      <w:i/>
      <w:iCs/>
      <w:color w:val="003152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6DA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6DA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6DA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leHeading">
    <w:name w:val="Table Heading"/>
    <w:basedOn w:val="Normal"/>
    <w:next w:val="Normal"/>
    <w:uiPriority w:val="49"/>
    <w:qFormat/>
    <w:rsid w:val="00903544"/>
    <w:pPr>
      <w:keepNext/>
      <w:tabs>
        <w:tab w:val="left" w:pos="1134"/>
        <w:tab w:val="right" w:pos="9639"/>
        <w:tab w:val="right" w:pos="14742"/>
      </w:tabs>
      <w:spacing w:before="240" w:after="120"/>
      <w:ind w:left="1134" w:hanging="1134"/>
    </w:pPr>
    <w:rPr>
      <w:rFonts w:asciiTheme="majorHAnsi" w:hAnsiTheme="majorHAnsi"/>
      <w:b/>
      <w:sz w:val="20"/>
      <w:szCs w:val="20"/>
    </w:rPr>
  </w:style>
  <w:style w:type="table" w:styleId="LightShading-Accent2">
    <w:name w:val="Light Shading Accent 2"/>
    <w:basedOn w:val="TableNormal"/>
    <w:uiPriority w:val="60"/>
    <w:rsid w:val="00A9345E"/>
    <w:rPr>
      <w:color w:val="00365B" w:themeColor="accent2" w:themeShade="BF"/>
    </w:rPr>
    <w:tblPr>
      <w:tblStyleRowBandSize w:val="1"/>
      <w:tblStyleColBandSize w:val="1"/>
      <w:tblBorders>
        <w:top w:val="single" w:sz="8" w:space="0" w:color="00497A" w:themeColor="accent2"/>
        <w:bottom w:val="single" w:sz="8" w:space="0" w:color="00497A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97A" w:themeColor="accent2"/>
          <w:left w:val="nil"/>
          <w:bottom w:val="single" w:sz="8" w:space="0" w:color="00497A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97A" w:themeColor="accent2"/>
          <w:left w:val="nil"/>
          <w:bottom w:val="single" w:sz="8" w:space="0" w:color="00497A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FD8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FD8FF" w:themeFill="accent2" w:themeFillTint="3F"/>
      </w:tcPr>
    </w:tblStylePr>
  </w:style>
  <w:style w:type="paragraph" w:styleId="ListBullet3">
    <w:name w:val="List Bullet 3"/>
    <w:basedOn w:val="ListBullet2"/>
    <w:uiPriority w:val="19"/>
    <w:unhideWhenUsed/>
    <w:rsid w:val="00D451B9"/>
    <w:pPr>
      <w:numPr>
        <w:ilvl w:val="2"/>
      </w:numPr>
    </w:pPr>
  </w:style>
  <w:style w:type="numbering" w:customStyle="1" w:styleId="Number">
    <w:name w:val="Number"/>
    <w:uiPriority w:val="99"/>
    <w:rsid w:val="00CE5CF8"/>
    <w:pPr>
      <w:numPr>
        <w:numId w:val="27"/>
      </w:numPr>
    </w:pPr>
  </w:style>
  <w:style w:type="character" w:customStyle="1" w:styleId="Heading1Char0">
    <w:name w:val="Heading 1 (#) Char"/>
    <w:basedOn w:val="Heading1Char"/>
    <w:link w:val="Heading1"/>
    <w:uiPriority w:val="14"/>
    <w:rsid w:val="003E68E6"/>
    <w:rPr>
      <w:rFonts w:asciiTheme="majorHAnsi" w:eastAsiaTheme="majorEastAsia" w:hAnsiTheme="majorHAnsi" w:cstheme="majorBidi"/>
      <w:b/>
      <w:bCs/>
      <w:caps/>
      <w:spacing w:val="-2"/>
      <w:sz w:val="26"/>
      <w:szCs w:val="28"/>
    </w:rPr>
  </w:style>
  <w:style w:type="table" w:styleId="LightList">
    <w:name w:val="Light List"/>
    <w:basedOn w:val="TableNormal"/>
    <w:uiPriority w:val="61"/>
    <w:rsid w:val="00651946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TOC9">
    <w:name w:val="toc 9"/>
    <w:basedOn w:val="Normal"/>
    <w:next w:val="Normal"/>
    <w:autoRedefine/>
    <w:uiPriority w:val="91"/>
    <w:rsid w:val="00B56C73"/>
    <w:pPr>
      <w:tabs>
        <w:tab w:val="left" w:pos="567"/>
        <w:tab w:val="right" w:leader="dot" w:pos="3629"/>
      </w:tabs>
      <w:spacing w:after="100"/>
      <w:ind w:left="567" w:right="340" w:hanging="567"/>
    </w:pPr>
    <w:rPr>
      <w:spacing w:val="-2"/>
    </w:rPr>
  </w:style>
  <w:style w:type="paragraph" w:customStyle="1" w:styleId="Footereven">
    <w:name w:val="Footer (even)"/>
    <w:basedOn w:val="Footer"/>
    <w:link w:val="FooterevenChar"/>
    <w:uiPriority w:val="84"/>
    <w:rsid w:val="008155D0"/>
    <w:pPr>
      <w:pBdr>
        <w:top w:val="single" w:sz="6" w:space="1" w:color="auto"/>
      </w:pBdr>
      <w:tabs>
        <w:tab w:val="clear" w:pos="4513"/>
        <w:tab w:val="clear" w:pos="9026"/>
        <w:tab w:val="right" w:pos="7710"/>
      </w:tabs>
    </w:pPr>
    <w:rPr>
      <w:rFonts w:asciiTheme="majorHAnsi" w:hAnsiTheme="majorHAnsi"/>
      <w:sz w:val="18"/>
    </w:rPr>
  </w:style>
  <w:style w:type="table" w:customStyle="1" w:styleId="DTFTable">
    <w:name w:val="DTF Table"/>
    <w:basedOn w:val="TableNormal"/>
    <w:uiPriority w:val="99"/>
    <w:rsid w:val="00A637FA"/>
    <w:pPr>
      <w:spacing w:before="20" w:after="20"/>
      <w:jc w:val="right"/>
    </w:pPr>
    <w:rPr>
      <w:rFonts w:asciiTheme="majorHAnsi" w:hAnsiTheme="majorHAnsi"/>
      <w:sz w:val="17"/>
    </w:rPr>
    <w:tblPr>
      <w:tblStyleRowBandSize w:val="1"/>
      <w:tblStyleColBandSize w:val="1"/>
      <w:tblInd w:w="28" w:type="dxa"/>
      <w:tblBorders>
        <w:bottom w:val="single" w:sz="12" w:space="0" w:color="auto"/>
      </w:tblBorders>
      <w:tblCellMar>
        <w:left w:w="57" w:type="dxa"/>
        <w:right w:w="57" w:type="dxa"/>
      </w:tblCellMar>
    </w:tblPr>
    <w:trPr>
      <w:cantSplit/>
    </w:trPr>
    <w:tblStylePr w:type="firstRow">
      <w:rPr>
        <w:i/>
      </w:rPr>
      <w:tblPr/>
      <w:trPr>
        <w:cantSplit w:val="0"/>
      </w:trPr>
      <w:tcPr>
        <w:shd w:val="clear" w:color="auto" w:fill="000000" w:themeFill="text1"/>
        <w:vAlign w:val="bottom"/>
      </w:tcPr>
    </w:tblStylePr>
    <w:tblStylePr w:type="lastRow">
      <w:rPr>
        <w:b/>
      </w:rPr>
      <w:tblPr/>
      <w:tcPr>
        <w:tcBorders>
          <w:top w:val="single" w:sz="6" w:space="0" w:color="000000" w:themeColor="text1"/>
          <w:left w:val="nil"/>
          <w:bottom w:val="single" w:sz="12" w:space="0" w:color="000000" w:themeColor="text1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spacing w:line="240" w:lineRule="auto"/>
        <w:ind w:leftChars="0" w:left="170" w:rightChars="0" w:right="0" w:firstLineChars="0" w:hanging="170"/>
        <w:jc w:val="left"/>
      </w:pPr>
    </w:tblStylePr>
    <w:tblStylePr w:type="lastCol">
      <w:rPr>
        <w:b/>
      </w:rPr>
      <w:tblPr/>
      <w:tcPr>
        <w:shd w:val="clear" w:color="auto" w:fill="F2F2F2" w:themeFill="background1" w:themeFillShade="F2"/>
      </w:tcPr>
    </w:tblStylePr>
    <w:tblStylePr w:type="band1Vert">
      <w:tblPr/>
      <w:tcPr>
        <w:shd w:val="clear" w:color="auto" w:fill="EBEBEB" w:themeFill="background2"/>
      </w:tcPr>
    </w:tblStylePr>
    <w:tblStylePr w:type="band1Horz">
      <w:tblPr/>
      <w:tcPr>
        <w:shd w:val="clear" w:color="auto" w:fill="EBEBEB" w:themeFill="background2"/>
      </w:tcPr>
    </w:tblStylePr>
    <w:tblStylePr w:type="band2Horz">
      <w:tblPr/>
      <w:tcPr>
        <w:shd w:val="clear" w:color="auto" w:fill="FFFFFF" w:themeFill="background1"/>
      </w:tcPr>
    </w:tblStylePr>
  </w:style>
  <w:style w:type="paragraph" w:styleId="ListNumber3">
    <w:name w:val="List Number 3"/>
    <w:basedOn w:val="Normal"/>
    <w:uiPriority w:val="19"/>
    <w:unhideWhenUsed/>
    <w:rsid w:val="002C3386"/>
    <w:pPr>
      <w:numPr>
        <w:ilvl w:val="2"/>
        <w:numId w:val="41"/>
      </w:numPr>
      <w:spacing w:before="60"/>
      <w:ind w:left="851"/>
    </w:pPr>
  </w:style>
  <w:style w:type="paragraph" w:styleId="ListNumber4">
    <w:name w:val="List Number 4"/>
    <w:basedOn w:val="Normal"/>
    <w:uiPriority w:val="19"/>
    <w:semiHidden/>
    <w:unhideWhenUsed/>
    <w:rsid w:val="00CE5CF8"/>
    <w:pPr>
      <w:numPr>
        <w:ilvl w:val="3"/>
        <w:numId w:val="41"/>
      </w:numPr>
      <w:contextualSpacing/>
    </w:pPr>
  </w:style>
  <w:style w:type="paragraph" w:styleId="ListNumber5">
    <w:name w:val="List Number 5"/>
    <w:basedOn w:val="Normal"/>
    <w:uiPriority w:val="19"/>
    <w:semiHidden/>
    <w:unhideWhenUsed/>
    <w:rsid w:val="00CE5CF8"/>
    <w:pPr>
      <w:numPr>
        <w:ilvl w:val="4"/>
        <w:numId w:val="41"/>
      </w:numPr>
      <w:contextualSpacing/>
    </w:pPr>
  </w:style>
  <w:style w:type="paragraph" w:styleId="ListContinue3">
    <w:name w:val="List Continue 3"/>
    <w:basedOn w:val="ListContinue2"/>
    <w:uiPriority w:val="24"/>
    <w:semiHidden/>
    <w:unhideWhenUsed/>
    <w:rsid w:val="000915C9"/>
    <w:pPr>
      <w:ind w:left="1191"/>
    </w:pPr>
  </w:style>
  <w:style w:type="paragraph" w:customStyle="1" w:styleId="Heading1">
    <w:name w:val="Heading 1 (#)"/>
    <w:basedOn w:val="Heading10"/>
    <w:link w:val="Heading1Char0"/>
    <w:uiPriority w:val="14"/>
    <w:qFormat/>
    <w:rsid w:val="003E68E6"/>
    <w:pPr>
      <w:numPr>
        <w:numId w:val="49"/>
      </w:numPr>
    </w:pPr>
  </w:style>
  <w:style w:type="paragraph" w:customStyle="1" w:styleId="Heading2">
    <w:name w:val="Heading 2 (#)"/>
    <w:basedOn w:val="Heading20"/>
    <w:link w:val="Heading2Char0"/>
    <w:uiPriority w:val="14"/>
    <w:qFormat/>
    <w:rsid w:val="00771A05"/>
    <w:pPr>
      <w:numPr>
        <w:numId w:val="49"/>
      </w:numPr>
    </w:pPr>
  </w:style>
  <w:style w:type="numbering" w:customStyle="1" w:styleId="NumberedHeadings">
    <w:name w:val="Numbered Headings"/>
    <w:uiPriority w:val="99"/>
    <w:rsid w:val="004B1258"/>
    <w:pPr>
      <w:numPr>
        <w:numId w:val="39"/>
      </w:numPr>
    </w:pPr>
  </w:style>
  <w:style w:type="paragraph" w:customStyle="1" w:styleId="Heading3">
    <w:name w:val="Heading 3 (#)"/>
    <w:basedOn w:val="Heading30"/>
    <w:next w:val="Normal"/>
    <w:link w:val="Heading3Char0"/>
    <w:uiPriority w:val="14"/>
    <w:rsid w:val="0037430B"/>
    <w:pPr>
      <w:numPr>
        <w:numId w:val="49"/>
      </w:numPr>
      <w:spacing w:after="120"/>
    </w:pPr>
  </w:style>
  <w:style w:type="character" w:customStyle="1" w:styleId="Heading3Char0">
    <w:name w:val="Heading 3 (#) Char"/>
    <w:basedOn w:val="Heading3Char"/>
    <w:link w:val="Heading3"/>
    <w:uiPriority w:val="14"/>
    <w:rsid w:val="0037430B"/>
    <w:rPr>
      <w:rFonts w:asciiTheme="majorHAnsi" w:eastAsiaTheme="majorEastAsia" w:hAnsiTheme="majorHAnsi" w:cstheme="majorBidi"/>
      <w:b/>
      <w:bCs/>
      <w:spacing w:val="-2"/>
      <w:szCs w:val="26"/>
    </w:rPr>
  </w:style>
  <w:style w:type="paragraph" w:styleId="ListBullet4">
    <w:name w:val="List Bullet 4"/>
    <w:basedOn w:val="Normal"/>
    <w:uiPriority w:val="19"/>
    <w:semiHidden/>
    <w:unhideWhenUsed/>
    <w:rsid w:val="002F7BBC"/>
    <w:pPr>
      <w:numPr>
        <w:numId w:val="43"/>
      </w:numPr>
      <w:contextualSpacing/>
    </w:pPr>
  </w:style>
  <w:style w:type="paragraph" w:styleId="ListBullet5">
    <w:name w:val="List Bullet 5"/>
    <w:basedOn w:val="Normal"/>
    <w:uiPriority w:val="19"/>
    <w:semiHidden/>
    <w:unhideWhenUsed/>
    <w:rsid w:val="002F7BBC"/>
    <w:pPr>
      <w:numPr>
        <w:numId w:val="44"/>
      </w:numPr>
      <w:contextualSpacing/>
    </w:pPr>
  </w:style>
  <w:style w:type="paragraph" w:styleId="ListContinue4">
    <w:name w:val="List Continue 4"/>
    <w:basedOn w:val="Normal"/>
    <w:uiPriority w:val="24"/>
    <w:semiHidden/>
    <w:unhideWhenUsed/>
    <w:rsid w:val="002F7BBC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24"/>
    <w:semiHidden/>
    <w:unhideWhenUsed/>
    <w:rsid w:val="002F7BBC"/>
    <w:pPr>
      <w:spacing w:after="120"/>
      <w:ind w:left="1415"/>
      <w:contextualSpacing/>
    </w:pPr>
  </w:style>
  <w:style w:type="character" w:customStyle="1" w:styleId="FooterChar">
    <w:name w:val="Footer Char"/>
    <w:basedOn w:val="DefaultParagraphFont"/>
    <w:link w:val="Footer"/>
    <w:semiHidden/>
    <w:rsid w:val="00644B4A"/>
  </w:style>
  <w:style w:type="paragraph" w:styleId="TOC7">
    <w:name w:val="toc 7"/>
    <w:basedOn w:val="Normal"/>
    <w:next w:val="Normal"/>
    <w:autoRedefine/>
    <w:uiPriority w:val="96"/>
    <w:semiHidden/>
    <w:rsid w:val="001213D6"/>
    <w:pPr>
      <w:spacing w:after="100"/>
      <w:ind w:left="1320"/>
    </w:pPr>
  </w:style>
  <w:style w:type="numbering" w:styleId="1ai">
    <w:name w:val="Outline List 1"/>
    <w:basedOn w:val="NoList"/>
    <w:uiPriority w:val="99"/>
    <w:semiHidden/>
    <w:unhideWhenUsed/>
    <w:rsid w:val="00C00568"/>
    <w:pPr>
      <w:numPr>
        <w:numId w:val="46"/>
      </w:numPr>
    </w:pPr>
  </w:style>
  <w:style w:type="numbering" w:styleId="ArticleSection">
    <w:name w:val="Outline List 3"/>
    <w:basedOn w:val="NoList"/>
    <w:uiPriority w:val="99"/>
    <w:semiHidden/>
    <w:unhideWhenUsed/>
    <w:rsid w:val="00C00568"/>
    <w:pPr>
      <w:numPr>
        <w:numId w:val="47"/>
      </w:numPr>
    </w:pPr>
  </w:style>
  <w:style w:type="paragraph" w:styleId="Bibliography">
    <w:name w:val="Bibliography"/>
    <w:basedOn w:val="Normal"/>
    <w:next w:val="Normal"/>
    <w:uiPriority w:val="37"/>
    <w:semiHidden/>
    <w:unhideWhenUsed/>
    <w:rsid w:val="00C00568"/>
  </w:style>
  <w:style w:type="paragraph" w:styleId="BlockText">
    <w:name w:val="Block Text"/>
    <w:basedOn w:val="Normal"/>
    <w:uiPriority w:val="99"/>
    <w:semiHidden/>
    <w:unhideWhenUsed/>
    <w:rsid w:val="00C00568"/>
    <w:pPr>
      <w:pBdr>
        <w:top w:val="single" w:sz="2" w:space="10" w:color="0063A6" w:themeColor="accent1" w:shadow="1"/>
        <w:left w:val="single" w:sz="2" w:space="10" w:color="0063A6" w:themeColor="accent1" w:shadow="1"/>
        <w:bottom w:val="single" w:sz="2" w:space="10" w:color="0063A6" w:themeColor="accent1" w:shadow="1"/>
        <w:right w:val="single" w:sz="2" w:space="10" w:color="0063A6" w:themeColor="accent1" w:shadow="1"/>
      </w:pBdr>
      <w:ind w:left="1152" w:right="1152"/>
    </w:pPr>
    <w:rPr>
      <w:rFonts w:eastAsiaTheme="minorEastAsia"/>
      <w:i/>
      <w:iCs/>
      <w:color w:val="0063A6" w:themeColor="accent1"/>
    </w:rPr>
  </w:style>
  <w:style w:type="paragraph" w:styleId="BodyText">
    <w:name w:val="Body Text"/>
    <w:basedOn w:val="Normal"/>
    <w:link w:val="BodyTextChar"/>
    <w:uiPriority w:val="4"/>
    <w:semiHidden/>
    <w:unhideWhenUsed/>
    <w:rsid w:val="00C0056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4"/>
    <w:semiHidden/>
    <w:rsid w:val="00C00568"/>
  </w:style>
  <w:style w:type="paragraph" w:styleId="BodyText2">
    <w:name w:val="Body Text 2"/>
    <w:basedOn w:val="Normal"/>
    <w:link w:val="BodyText2Char"/>
    <w:uiPriority w:val="99"/>
    <w:semiHidden/>
    <w:unhideWhenUsed/>
    <w:rsid w:val="00C0056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00568"/>
  </w:style>
  <w:style w:type="paragraph" w:styleId="BodyText3">
    <w:name w:val="Body Text 3"/>
    <w:basedOn w:val="Normal"/>
    <w:link w:val="BodyText3Char"/>
    <w:uiPriority w:val="99"/>
    <w:semiHidden/>
    <w:unhideWhenUsed/>
    <w:rsid w:val="00C0056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00568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C00568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C00568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0056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00568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C00568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00568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0056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00568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0056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00568"/>
    <w:rPr>
      <w:sz w:val="16"/>
      <w:szCs w:val="16"/>
    </w:rPr>
  </w:style>
  <w:style w:type="character" w:styleId="BookTitle">
    <w:name w:val="Book Title"/>
    <w:basedOn w:val="DefaultParagraphFont"/>
    <w:uiPriority w:val="33"/>
    <w:semiHidden/>
    <w:rsid w:val="00C00568"/>
    <w:rPr>
      <w:b/>
      <w:b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C00568"/>
    <w:pPr>
      <w:spacing w:before="0" w:after="200"/>
    </w:pPr>
    <w:rPr>
      <w:b/>
      <w:bCs/>
      <w:color w:val="0063A6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C00568"/>
    <w:pPr>
      <w:spacing w:before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C00568"/>
  </w:style>
  <w:style w:type="table" w:styleId="ColorfulGrid">
    <w:name w:val="Colorful Grid"/>
    <w:basedOn w:val="TableNormal"/>
    <w:uiPriority w:val="73"/>
    <w:rsid w:val="00C00568"/>
    <w:pPr>
      <w:spacing w:before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00568"/>
    <w:pPr>
      <w:spacing w:before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AE3FF" w:themeFill="accent1" w:themeFillTint="33"/>
    </w:tcPr>
    <w:tblStylePr w:type="firstRow">
      <w:rPr>
        <w:b/>
        <w:bCs/>
      </w:rPr>
      <w:tblPr/>
      <w:tcPr>
        <w:shd w:val="clear" w:color="auto" w:fill="75C7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5C7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4A7C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4A7C" w:themeFill="accent1" w:themeFillShade="BF"/>
      </w:tcPr>
    </w:tblStylePr>
    <w:tblStylePr w:type="band1Vert">
      <w:tblPr/>
      <w:tcPr>
        <w:shd w:val="clear" w:color="auto" w:fill="53B9FF" w:themeFill="accent1" w:themeFillTint="7F"/>
      </w:tcPr>
    </w:tblStylePr>
    <w:tblStylePr w:type="band1Horz">
      <w:tblPr/>
      <w:tcPr>
        <w:shd w:val="clear" w:color="auto" w:fill="53B9FF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00568"/>
    <w:pPr>
      <w:spacing w:before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1DFFF" w:themeFill="accent2" w:themeFillTint="33"/>
    </w:tcPr>
    <w:tblStylePr w:type="firstRow">
      <w:rPr>
        <w:b/>
        <w:bCs/>
      </w:rPr>
      <w:tblPr/>
      <w:tcPr>
        <w:shd w:val="clear" w:color="auto" w:fill="63C0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3C0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65B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65B" w:themeFill="accent2" w:themeFillShade="BF"/>
      </w:tcPr>
    </w:tblStylePr>
    <w:tblStylePr w:type="band1Vert">
      <w:tblPr/>
      <w:tcPr>
        <w:shd w:val="clear" w:color="auto" w:fill="3DB0FF" w:themeFill="accent2" w:themeFillTint="7F"/>
      </w:tcPr>
    </w:tblStylePr>
    <w:tblStylePr w:type="band1Horz">
      <w:tblPr/>
      <w:tcPr>
        <w:shd w:val="clear" w:color="auto" w:fill="3DB0FF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00568"/>
    <w:pPr>
      <w:spacing w:before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BF4" w:themeFill="accent3" w:themeFillTint="33"/>
    </w:tcPr>
    <w:tblStylePr w:type="firstRow">
      <w:rPr>
        <w:b/>
        <w:bCs/>
      </w:rPr>
      <w:tblPr/>
      <w:tcPr>
        <w:shd w:val="clear" w:color="auto" w:fill="C7D7E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D7E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273A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273AA" w:themeFill="accent3" w:themeFillShade="BF"/>
      </w:tcPr>
    </w:tblStylePr>
    <w:tblStylePr w:type="band1Vert">
      <w:tblPr/>
      <w:tcPr>
        <w:shd w:val="clear" w:color="auto" w:fill="B9CDE4" w:themeFill="accent3" w:themeFillTint="7F"/>
      </w:tcPr>
    </w:tblStylePr>
    <w:tblStylePr w:type="band1Horz">
      <w:tblPr/>
      <w:tcPr>
        <w:shd w:val="clear" w:color="auto" w:fill="B9CDE4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00568"/>
    <w:pPr>
      <w:spacing w:before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2E3FF" w:themeFill="accent4" w:themeFillTint="33"/>
    </w:tcPr>
    <w:tblStylePr w:type="firstRow">
      <w:rPr>
        <w:b/>
        <w:bCs/>
      </w:rPr>
      <w:tblPr/>
      <w:tcPr>
        <w:shd w:val="clear" w:color="auto" w:fill="85C8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C8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559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559A" w:themeFill="accent4" w:themeFillShade="BF"/>
      </w:tcPr>
    </w:tblStylePr>
    <w:tblStylePr w:type="band1Vert">
      <w:tblPr/>
      <w:tcPr>
        <w:shd w:val="clear" w:color="auto" w:fill="67BBFF" w:themeFill="accent4" w:themeFillTint="7F"/>
      </w:tcPr>
    </w:tblStylePr>
    <w:tblStylePr w:type="band1Horz">
      <w:tblPr/>
      <w:tcPr>
        <w:shd w:val="clear" w:color="auto" w:fill="67BBFF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00568"/>
    <w:pPr>
      <w:spacing w:before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EDFF" w:themeFill="accent5" w:themeFillTint="33"/>
    </w:tcPr>
    <w:tblStylePr w:type="firstRow">
      <w:rPr>
        <w:b/>
        <w:bCs/>
      </w:rPr>
      <w:tblPr/>
      <w:tcPr>
        <w:shd w:val="clear" w:color="auto" w:fill="8BDCF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BDCF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0074A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0074A6" w:themeFill="accent5" w:themeFillShade="BF"/>
      </w:tcPr>
    </w:tblStylePr>
    <w:tblStylePr w:type="band1Vert">
      <w:tblPr/>
      <w:tcPr>
        <w:shd w:val="clear" w:color="auto" w:fill="6FD4FF" w:themeFill="accent5" w:themeFillTint="7F"/>
      </w:tcPr>
    </w:tblStylePr>
    <w:tblStylePr w:type="band1Horz">
      <w:tblPr/>
      <w:tcPr>
        <w:shd w:val="clear" w:color="auto" w:fill="6FD4FF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00568"/>
    <w:pPr>
      <w:spacing w:before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CCCC" w:themeFill="accent6" w:themeFillTint="33"/>
    </w:tcPr>
    <w:tblStylePr w:type="firstRow">
      <w:rPr>
        <w:b/>
        <w:bCs/>
      </w:rPr>
      <w:tblPr/>
      <w:tcPr>
        <w:shd w:val="clear" w:color="auto" w:fill="E0999A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999A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71F2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71F20" w:themeFill="accent6" w:themeFillShade="BF"/>
      </w:tcPr>
    </w:tblStylePr>
    <w:tblStylePr w:type="band1Vert">
      <w:tblPr/>
      <w:tcPr>
        <w:shd w:val="clear" w:color="auto" w:fill="D88081" w:themeFill="accent6" w:themeFillTint="7F"/>
      </w:tcPr>
    </w:tblStylePr>
    <w:tblStylePr w:type="band1Horz">
      <w:tblPr/>
      <w:tcPr>
        <w:shd w:val="clear" w:color="auto" w:fill="D88081" w:themeFill="accent6" w:themeFillTint="7F"/>
      </w:tcPr>
    </w:tblStylePr>
  </w:style>
  <w:style w:type="table" w:styleId="ColorfulList">
    <w:name w:val="Colorful List"/>
    <w:basedOn w:val="TableNormal"/>
    <w:uiPriority w:val="72"/>
    <w:rsid w:val="00C00568"/>
    <w:pPr>
      <w:spacing w:before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3A61" w:themeFill="accent2" w:themeFillShade="CC"/>
      </w:tcPr>
    </w:tblStylePr>
    <w:tblStylePr w:type="lastRow">
      <w:rPr>
        <w:b/>
        <w:bCs/>
        <w:color w:val="003A6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00568"/>
    <w:pPr>
      <w:spacing w:before="0"/>
    </w:pPr>
    <w:rPr>
      <w:color w:val="000000" w:themeColor="text1"/>
    </w:rPr>
    <w:tblPr>
      <w:tblStyleRowBandSize w:val="1"/>
      <w:tblStyleColBandSize w:val="1"/>
    </w:tblPr>
    <w:tcPr>
      <w:shd w:val="clear" w:color="auto" w:fill="DDF1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3A61" w:themeFill="accent2" w:themeFillShade="CC"/>
      </w:tcPr>
    </w:tblStylePr>
    <w:tblStylePr w:type="lastRow">
      <w:rPr>
        <w:b/>
        <w:bCs/>
        <w:color w:val="003A6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DCFF" w:themeFill="accent1" w:themeFillTint="3F"/>
      </w:tcPr>
    </w:tblStylePr>
    <w:tblStylePr w:type="band1Horz">
      <w:tblPr/>
      <w:tcPr>
        <w:shd w:val="clear" w:color="auto" w:fill="BAE3FF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00568"/>
    <w:pPr>
      <w:spacing w:before="0"/>
    </w:pPr>
    <w:rPr>
      <w:color w:val="000000" w:themeColor="text1"/>
    </w:rPr>
    <w:tblPr>
      <w:tblStyleRowBandSize w:val="1"/>
      <w:tblStyleColBandSize w:val="1"/>
    </w:tblPr>
    <w:tcPr>
      <w:shd w:val="clear" w:color="auto" w:fill="D8EF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3A61" w:themeFill="accent2" w:themeFillShade="CC"/>
      </w:tcPr>
    </w:tblStylePr>
    <w:tblStylePr w:type="lastRow">
      <w:rPr>
        <w:b/>
        <w:bCs/>
        <w:color w:val="003A6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FD8FF" w:themeFill="accent2" w:themeFillTint="3F"/>
      </w:tcPr>
    </w:tblStylePr>
    <w:tblStylePr w:type="band1Horz">
      <w:tblPr/>
      <w:tcPr>
        <w:shd w:val="clear" w:color="auto" w:fill="B1DFFF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00568"/>
    <w:pPr>
      <w:spacing w:before="0"/>
    </w:pPr>
    <w:rPr>
      <w:color w:val="000000" w:themeColor="text1"/>
    </w:rPr>
    <w:tblPr>
      <w:tblStyleRowBandSize w:val="1"/>
      <w:tblStyleColBandSize w:val="1"/>
    </w:tblPr>
    <w:tcPr>
      <w:shd w:val="clear" w:color="auto" w:fill="F1F5F9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BA4" w:themeFill="accent4" w:themeFillShade="CC"/>
      </w:tcPr>
    </w:tblStylePr>
    <w:tblStylePr w:type="lastRow">
      <w:rPr>
        <w:b/>
        <w:bCs/>
        <w:color w:val="005BA4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6F1" w:themeFill="accent3" w:themeFillTint="3F"/>
      </w:tcPr>
    </w:tblStylePr>
    <w:tblStylePr w:type="band1Horz">
      <w:tblPr/>
      <w:tcPr>
        <w:shd w:val="clear" w:color="auto" w:fill="E3EBF4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00568"/>
    <w:pPr>
      <w:spacing w:before="0"/>
    </w:pPr>
    <w:rPr>
      <w:color w:val="000000" w:themeColor="text1"/>
    </w:rPr>
    <w:tblPr>
      <w:tblStyleRowBandSize w:val="1"/>
      <w:tblStyleColBandSize w:val="1"/>
    </w:tblPr>
    <w:tcPr>
      <w:shd w:val="clear" w:color="auto" w:fill="E1F1F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77BB6" w:themeFill="accent3" w:themeFillShade="CC"/>
      </w:tcPr>
    </w:tblStylePr>
    <w:tblStylePr w:type="lastRow">
      <w:rPr>
        <w:b/>
        <w:bCs/>
        <w:color w:val="477BB6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DDFF" w:themeFill="accent4" w:themeFillTint="3F"/>
      </w:tcPr>
    </w:tblStylePr>
    <w:tblStylePr w:type="band1Horz">
      <w:tblPr/>
      <w:tcPr>
        <w:shd w:val="clear" w:color="auto" w:fill="C2E3FF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00568"/>
    <w:pPr>
      <w:spacing w:before="0"/>
    </w:pPr>
    <w:rPr>
      <w:color w:val="000000" w:themeColor="text1"/>
    </w:rPr>
    <w:tblPr>
      <w:tblStyleRowBandSize w:val="1"/>
      <w:tblStyleColBandSize w:val="1"/>
    </w:tblPr>
    <w:tcPr>
      <w:shd w:val="clear" w:color="auto" w:fill="E2F6F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E2122" w:themeFill="accent6" w:themeFillShade="CC"/>
      </w:tcPr>
    </w:tblStylePr>
    <w:tblStylePr w:type="lastRow">
      <w:rPr>
        <w:b/>
        <w:bCs/>
        <w:color w:val="6E2122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9FF" w:themeFill="accent5" w:themeFillTint="3F"/>
      </w:tcPr>
    </w:tblStylePr>
    <w:tblStylePr w:type="band1Horz">
      <w:tblPr/>
      <w:tcPr>
        <w:shd w:val="clear" w:color="auto" w:fill="C5EDFF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00568"/>
    <w:pPr>
      <w:spacing w:before="0"/>
    </w:pPr>
    <w:rPr>
      <w:color w:val="000000" w:themeColor="text1"/>
    </w:rPr>
    <w:tblPr>
      <w:tblStyleRowBandSize w:val="1"/>
      <w:tblStyleColBandSize w:val="1"/>
    </w:tblPr>
    <w:tcPr>
      <w:shd w:val="clear" w:color="auto" w:fill="F7E5E5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CB1" w:themeFill="accent5" w:themeFillShade="CC"/>
      </w:tcPr>
    </w:tblStylePr>
    <w:tblStylePr w:type="lastRow">
      <w:rPr>
        <w:b/>
        <w:bCs/>
        <w:color w:val="007CB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0C0" w:themeFill="accent6" w:themeFillTint="3F"/>
      </w:tcPr>
    </w:tblStylePr>
    <w:tblStylePr w:type="band1Horz">
      <w:tblPr/>
      <w:tcPr>
        <w:shd w:val="clear" w:color="auto" w:fill="EFCCCC" w:themeFill="accent6" w:themeFillTint="33"/>
      </w:tcPr>
    </w:tblStylePr>
  </w:style>
  <w:style w:type="table" w:styleId="ColorfulShading">
    <w:name w:val="Colorful Shading"/>
    <w:basedOn w:val="TableNormal"/>
    <w:uiPriority w:val="71"/>
    <w:rsid w:val="00C00568"/>
    <w:pPr>
      <w:spacing w:before="0"/>
    </w:pPr>
    <w:rPr>
      <w:color w:val="000000" w:themeColor="text1"/>
    </w:rPr>
    <w:tblPr>
      <w:tblStyleRowBandSize w:val="1"/>
      <w:tblStyleColBandSize w:val="1"/>
      <w:tblBorders>
        <w:top w:val="single" w:sz="24" w:space="0" w:color="00497A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497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00568"/>
    <w:pPr>
      <w:spacing w:before="0"/>
    </w:pPr>
    <w:rPr>
      <w:color w:val="000000" w:themeColor="text1"/>
    </w:rPr>
    <w:tblPr>
      <w:tblStyleRowBandSize w:val="1"/>
      <w:tblStyleColBandSize w:val="1"/>
      <w:tblBorders>
        <w:top w:val="single" w:sz="24" w:space="0" w:color="00497A" w:themeColor="accent2"/>
        <w:left w:val="single" w:sz="4" w:space="0" w:color="0063A6" w:themeColor="accent1"/>
        <w:bottom w:val="single" w:sz="4" w:space="0" w:color="0063A6" w:themeColor="accent1"/>
        <w:right w:val="single" w:sz="4" w:space="0" w:color="0063A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1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497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B63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B63" w:themeColor="accent1" w:themeShade="99"/>
          <w:insideV w:val="nil"/>
        </w:tcBorders>
        <w:shd w:val="clear" w:color="auto" w:fill="003B63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B63" w:themeFill="accent1" w:themeFillShade="99"/>
      </w:tcPr>
    </w:tblStylePr>
    <w:tblStylePr w:type="band1Vert">
      <w:tblPr/>
      <w:tcPr>
        <w:shd w:val="clear" w:color="auto" w:fill="75C7FF" w:themeFill="accent1" w:themeFillTint="66"/>
      </w:tcPr>
    </w:tblStylePr>
    <w:tblStylePr w:type="band1Horz">
      <w:tblPr/>
      <w:tcPr>
        <w:shd w:val="clear" w:color="auto" w:fill="53B9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00568"/>
    <w:pPr>
      <w:spacing w:before="0"/>
    </w:pPr>
    <w:rPr>
      <w:color w:val="000000" w:themeColor="text1"/>
    </w:rPr>
    <w:tblPr>
      <w:tblStyleRowBandSize w:val="1"/>
      <w:tblStyleColBandSize w:val="1"/>
      <w:tblBorders>
        <w:top w:val="single" w:sz="24" w:space="0" w:color="00497A" w:themeColor="accent2"/>
        <w:left w:val="single" w:sz="4" w:space="0" w:color="00497A" w:themeColor="accent2"/>
        <w:bottom w:val="single" w:sz="4" w:space="0" w:color="00497A" w:themeColor="accent2"/>
        <w:right w:val="single" w:sz="4" w:space="0" w:color="00497A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F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497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2B4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2B49" w:themeColor="accent2" w:themeShade="99"/>
          <w:insideV w:val="nil"/>
        </w:tcBorders>
        <w:shd w:val="clear" w:color="auto" w:fill="002B4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B49" w:themeFill="accent2" w:themeFillShade="99"/>
      </w:tcPr>
    </w:tblStylePr>
    <w:tblStylePr w:type="band1Vert">
      <w:tblPr/>
      <w:tcPr>
        <w:shd w:val="clear" w:color="auto" w:fill="63C0FF" w:themeFill="accent2" w:themeFillTint="66"/>
      </w:tcPr>
    </w:tblStylePr>
    <w:tblStylePr w:type="band1Horz">
      <w:tblPr/>
      <w:tcPr>
        <w:shd w:val="clear" w:color="auto" w:fill="3DB0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00568"/>
    <w:pPr>
      <w:spacing w:before="0"/>
    </w:pPr>
    <w:rPr>
      <w:color w:val="000000" w:themeColor="text1"/>
    </w:rPr>
    <w:tblPr>
      <w:tblStyleRowBandSize w:val="1"/>
      <w:tblStyleColBandSize w:val="1"/>
      <w:tblBorders>
        <w:top w:val="single" w:sz="24" w:space="0" w:color="0072CE" w:themeColor="accent4"/>
        <w:left w:val="single" w:sz="4" w:space="0" w:color="749CC9" w:themeColor="accent3"/>
        <w:bottom w:val="single" w:sz="4" w:space="0" w:color="749CC9" w:themeColor="accent3"/>
        <w:right w:val="single" w:sz="4" w:space="0" w:color="749CC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5F9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72C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55C8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55C88" w:themeColor="accent3" w:themeShade="99"/>
          <w:insideV w:val="nil"/>
        </w:tcBorders>
        <w:shd w:val="clear" w:color="auto" w:fill="355C8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55C88" w:themeFill="accent3" w:themeFillShade="99"/>
      </w:tcPr>
    </w:tblStylePr>
    <w:tblStylePr w:type="band1Vert">
      <w:tblPr/>
      <w:tcPr>
        <w:shd w:val="clear" w:color="auto" w:fill="C7D7E9" w:themeFill="accent3" w:themeFillTint="66"/>
      </w:tcPr>
    </w:tblStylePr>
    <w:tblStylePr w:type="band1Horz">
      <w:tblPr/>
      <w:tcPr>
        <w:shd w:val="clear" w:color="auto" w:fill="B9CDE4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00568"/>
    <w:pPr>
      <w:spacing w:before="0"/>
    </w:pPr>
    <w:rPr>
      <w:color w:val="000000" w:themeColor="text1"/>
    </w:rPr>
    <w:tblPr>
      <w:tblStyleRowBandSize w:val="1"/>
      <w:tblStyleColBandSize w:val="1"/>
      <w:tblBorders>
        <w:top w:val="single" w:sz="24" w:space="0" w:color="749CC9" w:themeColor="accent3"/>
        <w:left w:val="single" w:sz="4" w:space="0" w:color="0072CE" w:themeColor="accent4"/>
        <w:bottom w:val="single" w:sz="4" w:space="0" w:color="0072CE" w:themeColor="accent4"/>
        <w:right w:val="single" w:sz="4" w:space="0" w:color="0072CE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1F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49CC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47B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47B" w:themeColor="accent4" w:themeShade="99"/>
          <w:insideV w:val="nil"/>
        </w:tcBorders>
        <w:shd w:val="clear" w:color="auto" w:fill="00447B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47B" w:themeFill="accent4" w:themeFillShade="99"/>
      </w:tcPr>
    </w:tblStylePr>
    <w:tblStylePr w:type="band1Vert">
      <w:tblPr/>
      <w:tcPr>
        <w:shd w:val="clear" w:color="auto" w:fill="85C8FF" w:themeFill="accent4" w:themeFillTint="66"/>
      </w:tcPr>
    </w:tblStylePr>
    <w:tblStylePr w:type="band1Horz">
      <w:tblPr/>
      <w:tcPr>
        <w:shd w:val="clear" w:color="auto" w:fill="67BB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00568"/>
    <w:pPr>
      <w:spacing w:before="0"/>
    </w:pPr>
    <w:rPr>
      <w:color w:val="000000" w:themeColor="text1"/>
    </w:rPr>
    <w:tblPr>
      <w:tblStyleRowBandSize w:val="1"/>
      <w:tblStyleColBandSize w:val="1"/>
      <w:tblBorders>
        <w:top w:val="single" w:sz="24" w:space="0" w:color="8A2A2B" w:themeColor="accent6"/>
        <w:left w:val="single" w:sz="4" w:space="0" w:color="009CDE" w:themeColor="accent5"/>
        <w:bottom w:val="single" w:sz="4" w:space="0" w:color="009CDE" w:themeColor="accent5"/>
        <w:right w:val="single" w:sz="4" w:space="0" w:color="009CDE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6F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A2A2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D85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D85" w:themeColor="accent5" w:themeShade="99"/>
          <w:insideV w:val="nil"/>
        </w:tcBorders>
        <w:shd w:val="clear" w:color="auto" w:fill="005D85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D85" w:themeFill="accent5" w:themeFillShade="99"/>
      </w:tcPr>
    </w:tblStylePr>
    <w:tblStylePr w:type="band1Vert">
      <w:tblPr/>
      <w:tcPr>
        <w:shd w:val="clear" w:color="auto" w:fill="8BDCFF" w:themeFill="accent5" w:themeFillTint="66"/>
      </w:tcPr>
    </w:tblStylePr>
    <w:tblStylePr w:type="band1Horz">
      <w:tblPr/>
      <w:tcPr>
        <w:shd w:val="clear" w:color="auto" w:fill="6FD4F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00568"/>
    <w:pPr>
      <w:spacing w:before="0"/>
    </w:pPr>
    <w:rPr>
      <w:color w:val="000000" w:themeColor="text1"/>
    </w:rPr>
    <w:tblPr>
      <w:tblStyleRowBandSize w:val="1"/>
      <w:tblStyleColBandSize w:val="1"/>
      <w:tblBorders>
        <w:top w:val="single" w:sz="24" w:space="0" w:color="009CDE" w:themeColor="accent5"/>
        <w:left w:val="single" w:sz="4" w:space="0" w:color="8A2A2B" w:themeColor="accent6"/>
        <w:bottom w:val="single" w:sz="4" w:space="0" w:color="8A2A2B" w:themeColor="accent6"/>
        <w:right w:val="single" w:sz="4" w:space="0" w:color="8A2A2B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E5E5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CD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1919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1919" w:themeColor="accent6" w:themeShade="99"/>
          <w:insideV w:val="nil"/>
        </w:tcBorders>
        <w:shd w:val="clear" w:color="auto" w:fill="521919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1919" w:themeFill="accent6" w:themeFillShade="99"/>
      </w:tcPr>
    </w:tblStylePr>
    <w:tblStylePr w:type="band1Vert">
      <w:tblPr/>
      <w:tcPr>
        <w:shd w:val="clear" w:color="auto" w:fill="E0999A" w:themeFill="accent6" w:themeFillTint="66"/>
      </w:tcPr>
    </w:tblStylePr>
    <w:tblStylePr w:type="band1Horz">
      <w:tblPr/>
      <w:tcPr>
        <w:shd w:val="clear" w:color="auto" w:fill="D88081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C005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056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05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05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0568"/>
    <w:rPr>
      <w:b/>
      <w:bCs/>
      <w:sz w:val="20"/>
      <w:szCs w:val="20"/>
    </w:rPr>
  </w:style>
  <w:style w:type="table" w:styleId="DarkList">
    <w:name w:val="Dark List"/>
    <w:basedOn w:val="TableNormal"/>
    <w:uiPriority w:val="70"/>
    <w:rsid w:val="00C00568"/>
    <w:pPr>
      <w:spacing w:before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00568"/>
    <w:pPr>
      <w:spacing w:before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63A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152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A7C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A7C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A7C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A7C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00568"/>
    <w:pPr>
      <w:spacing w:before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497A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43C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65B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65B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65B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65B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00568"/>
    <w:pPr>
      <w:spacing w:before="0"/>
    </w:pPr>
    <w:rPr>
      <w:color w:val="FFFFFF" w:themeColor="background1"/>
    </w:rPr>
    <w:tblPr>
      <w:tblStyleRowBandSize w:val="1"/>
      <w:tblStyleColBandSize w:val="1"/>
    </w:tblPr>
    <w:tcPr>
      <w:shd w:val="clear" w:color="auto" w:fill="749CC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C4C7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273A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273A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73A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73A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00568"/>
    <w:pPr>
      <w:spacing w:before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72CE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866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59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59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9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9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00568"/>
    <w:pPr>
      <w:spacing w:before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9CDE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D6E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4A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4A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4A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4A6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00568"/>
    <w:pPr>
      <w:spacing w:before="0"/>
    </w:pPr>
    <w:rPr>
      <w:color w:val="FFFFFF" w:themeColor="background1"/>
    </w:rPr>
    <w:tblPr>
      <w:tblStyleRowBandSize w:val="1"/>
      <w:tblStyleColBandSize w:val="1"/>
    </w:tblPr>
    <w:tcPr>
      <w:shd w:val="clear" w:color="auto" w:fill="8A2A2B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1515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71F2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71F2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1F2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1F20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C00568"/>
  </w:style>
  <w:style w:type="character" w:customStyle="1" w:styleId="DateChar">
    <w:name w:val="Date Char"/>
    <w:basedOn w:val="DefaultParagraphFont"/>
    <w:link w:val="Date"/>
    <w:uiPriority w:val="99"/>
    <w:semiHidden/>
    <w:rsid w:val="00C00568"/>
  </w:style>
  <w:style w:type="paragraph" w:styleId="DocumentMap">
    <w:name w:val="Document Map"/>
    <w:basedOn w:val="Normal"/>
    <w:link w:val="DocumentMapChar"/>
    <w:uiPriority w:val="99"/>
    <w:semiHidden/>
    <w:unhideWhenUsed/>
    <w:rsid w:val="00C00568"/>
    <w:pPr>
      <w:spacing w:before="0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00568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C00568"/>
    <w:pPr>
      <w:spacing w:before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00568"/>
  </w:style>
  <w:style w:type="character" w:styleId="Emphasis">
    <w:name w:val="Emphasis"/>
    <w:basedOn w:val="DefaultParagraphFont"/>
    <w:uiPriority w:val="98"/>
    <w:semiHidden/>
    <w:rsid w:val="00C00568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C00568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00568"/>
    <w:pPr>
      <w:spacing w:before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00568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C00568"/>
    <w:pPr>
      <w:framePr w:w="7920" w:h="1980" w:hRule="exact" w:hSpace="180" w:wrap="auto" w:hAnchor="page" w:xAlign="center" w:yAlign="bottom"/>
      <w:spacing w:before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C00568"/>
    <w:pPr>
      <w:spacing w:before="0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00568"/>
    <w:rPr>
      <w:color w:val="8A2A2B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C00568"/>
    <w:rPr>
      <w:vertAlign w:val="superscript"/>
    </w:rPr>
  </w:style>
  <w:style w:type="character" w:styleId="HTMLAcronym">
    <w:name w:val="HTML Acronym"/>
    <w:basedOn w:val="DefaultParagraphFont"/>
    <w:uiPriority w:val="99"/>
    <w:semiHidden/>
    <w:unhideWhenUsed/>
    <w:rsid w:val="00C00568"/>
  </w:style>
  <w:style w:type="paragraph" w:styleId="HTMLAddress">
    <w:name w:val="HTML Address"/>
    <w:basedOn w:val="Normal"/>
    <w:link w:val="HTMLAddressChar"/>
    <w:uiPriority w:val="99"/>
    <w:semiHidden/>
    <w:unhideWhenUsed/>
    <w:rsid w:val="00C00568"/>
    <w:pPr>
      <w:spacing w:before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00568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C00568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C00568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C00568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C00568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00568"/>
    <w:pPr>
      <w:spacing w:before="0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00568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C00568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C00568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C00568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00568"/>
    <w:pPr>
      <w:spacing w:before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00568"/>
    <w:pPr>
      <w:spacing w:before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00568"/>
    <w:pPr>
      <w:spacing w:before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00568"/>
    <w:pPr>
      <w:spacing w:before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00568"/>
    <w:pPr>
      <w:spacing w:before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00568"/>
    <w:pPr>
      <w:spacing w:before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00568"/>
    <w:pPr>
      <w:spacing w:before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00568"/>
    <w:pPr>
      <w:spacing w:before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00568"/>
    <w:pPr>
      <w:spacing w:before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C00568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8"/>
    <w:semiHidden/>
    <w:rsid w:val="00C00568"/>
    <w:rPr>
      <w:b/>
      <w:bCs/>
      <w:i/>
      <w:iCs/>
      <w:color w:val="0063A6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C00568"/>
    <w:pPr>
      <w:pBdr>
        <w:bottom w:val="single" w:sz="4" w:space="4" w:color="0063A6" w:themeColor="accent1"/>
      </w:pBdr>
      <w:spacing w:before="200" w:after="280"/>
      <w:ind w:left="936" w:right="936"/>
    </w:pPr>
    <w:rPr>
      <w:b/>
      <w:bCs/>
      <w:i/>
      <w:iCs/>
      <w:color w:val="0063A6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C00568"/>
    <w:rPr>
      <w:b/>
      <w:bCs/>
      <w:i/>
      <w:iCs/>
      <w:color w:val="0063A6" w:themeColor="accent1"/>
    </w:rPr>
  </w:style>
  <w:style w:type="character" w:styleId="IntenseReference">
    <w:name w:val="Intense Reference"/>
    <w:basedOn w:val="DefaultParagraphFont"/>
    <w:uiPriority w:val="32"/>
    <w:semiHidden/>
    <w:rsid w:val="00C00568"/>
    <w:rPr>
      <w:b/>
      <w:bCs/>
      <w:smallCaps/>
      <w:color w:val="00497A" w:themeColor="accent2"/>
      <w:spacing w:val="5"/>
      <w:u w:val="single"/>
    </w:rPr>
  </w:style>
  <w:style w:type="table" w:styleId="LightGrid">
    <w:name w:val="Light Grid"/>
    <w:basedOn w:val="TableNormal"/>
    <w:uiPriority w:val="62"/>
    <w:rsid w:val="00C00568"/>
    <w:pPr>
      <w:spacing w:before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00568"/>
    <w:pPr>
      <w:spacing w:before="0"/>
    </w:pPr>
    <w:tblPr>
      <w:tblStyleRowBandSize w:val="1"/>
      <w:tblStyleColBandSize w:val="1"/>
      <w:tblBorders>
        <w:top w:val="single" w:sz="8" w:space="0" w:color="0063A6" w:themeColor="accent1"/>
        <w:left w:val="single" w:sz="8" w:space="0" w:color="0063A6" w:themeColor="accent1"/>
        <w:bottom w:val="single" w:sz="8" w:space="0" w:color="0063A6" w:themeColor="accent1"/>
        <w:right w:val="single" w:sz="8" w:space="0" w:color="0063A6" w:themeColor="accent1"/>
        <w:insideH w:val="single" w:sz="8" w:space="0" w:color="0063A6" w:themeColor="accent1"/>
        <w:insideV w:val="single" w:sz="8" w:space="0" w:color="0063A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3A6" w:themeColor="accent1"/>
          <w:left w:val="single" w:sz="8" w:space="0" w:color="0063A6" w:themeColor="accent1"/>
          <w:bottom w:val="single" w:sz="18" w:space="0" w:color="0063A6" w:themeColor="accent1"/>
          <w:right w:val="single" w:sz="8" w:space="0" w:color="0063A6" w:themeColor="accent1"/>
          <w:insideH w:val="nil"/>
          <w:insideV w:val="single" w:sz="8" w:space="0" w:color="0063A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63A6" w:themeColor="accent1"/>
          <w:left w:val="single" w:sz="8" w:space="0" w:color="0063A6" w:themeColor="accent1"/>
          <w:bottom w:val="single" w:sz="8" w:space="0" w:color="0063A6" w:themeColor="accent1"/>
          <w:right w:val="single" w:sz="8" w:space="0" w:color="0063A6" w:themeColor="accent1"/>
          <w:insideH w:val="nil"/>
          <w:insideV w:val="single" w:sz="8" w:space="0" w:color="0063A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3A6" w:themeColor="accent1"/>
          <w:left w:val="single" w:sz="8" w:space="0" w:color="0063A6" w:themeColor="accent1"/>
          <w:bottom w:val="single" w:sz="8" w:space="0" w:color="0063A6" w:themeColor="accent1"/>
          <w:right w:val="single" w:sz="8" w:space="0" w:color="0063A6" w:themeColor="accent1"/>
        </w:tcBorders>
      </w:tcPr>
    </w:tblStylePr>
    <w:tblStylePr w:type="band1Vert">
      <w:tblPr/>
      <w:tcPr>
        <w:tcBorders>
          <w:top w:val="single" w:sz="8" w:space="0" w:color="0063A6" w:themeColor="accent1"/>
          <w:left w:val="single" w:sz="8" w:space="0" w:color="0063A6" w:themeColor="accent1"/>
          <w:bottom w:val="single" w:sz="8" w:space="0" w:color="0063A6" w:themeColor="accent1"/>
          <w:right w:val="single" w:sz="8" w:space="0" w:color="0063A6" w:themeColor="accent1"/>
        </w:tcBorders>
        <w:shd w:val="clear" w:color="auto" w:fill="AADCFF" w:themeFill="accent1" w:themeFillTint="3F"/>
      </w:tcPr>
    </w:tblStylePr>
    <w:tblStylePr w:type="band1Horz">
      <w:tblPr/>
      <w:tcPr>
        <w:tcBorders>
          <w:top w:val="single" w:sz="8" w:space="0" w:color="0063A6" w:themeColor="accent1"/>
          <w:left w:val="single" w:sz="8" w:space="0" w:color="0063A6" w:themeColor="accent1"/>
          <w:bottom w:val="single" w:sz="8" w:space="0" w:color="0063A6" w:themeColor="accent1"/>
          <w:right w:val="single" w:sz="8" w:space="0" w:color="0063A6" w:themeColor="accent1"/>
          <w:insideV w:val="single" w:sz="8" w:space="0" w:color="0063A6" w:themeColor="accent1"/>
        </w:tcBorders>
        <w:shd w:val="clear" w:color="auto" w:fill="AADCFF" w:themeFill="accent1" w:themeFillTint="3F"/>
      </w:tcPr>
    </w:tblStylePr>
    <w:tblStylePr w:type="band2Horz">
      <w:tblPr/>
      <w:tcPr>
        <w:tcBorders>
          <w:top w:val="single" w:sz="8" w:space="0" w:color="0063A6" w:themeColor="accent1"/>
          <w:left w:val="single" w:sz="8" w:space="0" w:color="0063A6" w:themeColor="accent1"/>
          <w:bottom w:val="single" w:sz="8" w:space="0" w:color="0063A6" w:themeColor="accent1"/>
          <w:right w:val="single" w:sz="8" w:space="0" w:color="0063A6" w:themeColor="accent1"/>
          <w:insideV w:val="single" w:sz="8" w:space="0" w:color="0063A6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00568"/>
    <w:pPr>
      <w:spacing w:before="0"/>
    </w:pPr>
    <w:tblPr>
      <w:tblStyleRowBandSize w:val="1"/>
      <w:tblStyleColBandSize w:val="1"/>
      <w:tblBorders>
        <w:top w:val="single" w:sz="8" w:space="0" w:color="00497A" w:themeColor="accent2"/>
        <w:left w:val="single" w:sz="8" w:space="0" w:color="00497A" w:themeColor="accent2"/>
        <w:bottom w:val="single" w:sz="8" w:space="0" w:color="00497A" w:themeColor="accent2"/>
        <w:right w:val="single" w:sz="8" w:space="0" w:color="00497A" w:themeColor="accent2"/>
        <w:insideH w:val="single" w:sz="8" w:space="0" w:color="00497A" w:themeColor="accent2"/>
        <w:insideV w:val="single" w:sz="8" w:space="0" w:color="00497A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497A" w:themeColor="accent2"/>
          <w:left w:val="single" w:sz="8" w:space="0" w:color="00497A" w:themeColor="accent2"/>
          <w:bottom w:val="single" w:sz="18" w:space="0" w:color="00497A" w:themeColor="accent2"/>
          <w:right w:val="single" w:sz="8" w:space="0" w:color="00497A" w:themeColor="accent2"/>
          <w:insideH w:val="nil"/>
          <w:insideV w:val="single" w:sz="8" w:space="0" w:color="00497A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497A" w:themeColor="accent2"/>
          <w:left w:val="single" w:sz="8" w:space="0" w:color="00497A" w:themeColor="accent2"/>
          <w:bottom w:val="single" w:sz="8" w:space="0" w:color="00497A" w:themeColor="accent2"/>
          <w:right w:val="single" w:sz="8" w:space="0" w:color="00497A" w:themeColor="accent2"/>
          <w:insideH w:val="nil"/>
          <w:insideV w:val="single" w:sz="8" w:space="0" w:color="00497A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497A" w:themeColor="accent2"/>
          <w:left w:val="single" w:sz="8" w:space="0" w:color="00497A" w:themeColor="accent2"/>
          <w:bottom w:val="single" w:sz="8" w:space="0" w:color="00497A" w:themeColor="accent2"/>
          <w:right w:val="single" w:sz="8" w:space="0" w:color="00497A" w:themeColor="accent2"/>
        </w:tcBorders>
      </w:tcPr>
    </w:tblStylePr>
    <w:tblStylePr w:type="band1Vert">
      <w:tblPr/>
      <w:tcPr>
        <w:tcBorders>
          <w:top w:val="single" w:sz="8" w:space="0" w:color="00497A" w:themeColor="accent2"/>
          <w:left w:val="single" w:sz="8" w:space="0" w:color="00497A" w:themeColor="accent2"/>
          <w:bottom w:val="single" w:sz="8" w:space="0" w:color="00497A" w:themeColor="accent2"/>
          <w:right w:val="single" w:sz="8" w:space="0" w:color="00497A" w:themeColor="accent2"/>
        </w:tcBorders>
        <w:shd w:val="clear" w:color="auto" w:fill="9FD8FF" w:themeFill="accent2" w:themeFillTint="3F"/>
      </w:tcPr>
    </w:tblStylePr>
    <w:tblStylePr w:type="band1Horz">
      <w:tblPr/>
      <w:tcPr>
        <w:tcBorders>
          <w:top w:val="single" w:sz="8" w:space="0" w:color="00497A" w:themeColor="accent2"/>
          <w:left w:val="single" w:sz="8" w:space="0" w:color="00497A" w:themeColor="accent2"/>
          <w:bottom w:val="single" w:sz="8" w:space="0" w:color="00497A" w:themeColor="accent2"/>
          <w:right w:val="single" w:sz="8" w:space="0" w:color="00497A" w:themeColor="accent2"/>
          <w:insideV w:val="single" w:sz="8" w:space="0" w:color="00497A" w:themeColor="accent2"/>
        </w:tcBorders>
        <w:shd w:val="clear" w:color="auto" w:fill="9FD8FF" w:themeFill="accent2" w:themeFillTint="3F"/>
      </w:tcPr>
    </w:tblStylePr>
    <w:tblStylePr w:type="band2Horz">
      <w:tblPr/>
      <w:tcPr>
        <w:tcBorders>
          <w:top w:val="single" w:sz="8" w:space="0" w:color="00497A" w:themeColor="accent2"/>
          <w:left w:val="single" w:sz="8" w:space="0" w:color="00497A" w:themeColor="accent2"/>
          <w:bottom w:val="single" w:sz="8" w:space="0" w:color="00497A" w:themeColor="accent2"/>
          <w:right w:val="single" w:sz="8" w:space="0" w:color="00497A" w:themeColor="accent2"/>
          <w:insideV w:val="single" w:sz="8" w:space="0" w:color="00497A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00568"/>
    <w:pPr>
      <w:spacing w:before="0"/>
    </w:pPr>
    <w:tblPr>
      <w:tblStyleRowBandSize w:val="1"/>
      <w:tblStyleColBandSize w:val="1"/>
      <w:tblBorders>
        <w:top w:val="single" w:sz="8" w:space="0" w:color="749CC9" w:themeColor="accent3"/>
        <w:left w:val="single" w:sz="8" w:space="0" w:color="749CC9" w:themeColor="accent3"/>
        <w:bottom w:val="single" w:sz="8" w:space="0" w:color="749CC9" w:themeColor="accent3"/>
        <w:right w:val="single" w:sz="8" w:space="0" w:color="749CC9" w:themeColor="accent3"/>
        <w:insideH w:val="single" w:sz="8" w:space="0" w:color="749CC9" w:themeColor="accent3"/>
        <w:insideV w:val="single" w:sz="8" w:space="0" w:color="749CC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49CC9" w:themeColor="accent3"/>
          <w:left w:val="single" w:sz="8" w:space="0" w:color="749CC9" w:themeColor="accent3"/>
          <w:bottom w:val="single" w:sz="18" w:space="0" w:color="749CC9" w:themeColor="accent3"/>
          <w:right w:val="single" w:sz="8" w:space="0" w:color="749CC9" w:themeColor="accent3"/>
          <w:insideH w:val="nil"/>
          <w:insideV w:val="single" w:sz="8" w:space="0" w:color="749CC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49CC9" w:themeColor="accent3"/>
          <w:left w:val="single" w:sz="8" w:space="0" w:color="749CC9" w:themeColor="accent3"/>
          <w:bottom w:val="single" w:sz="8" w:space="0" w:color="749CC9" w:themeColor="accent3"/>
          <w:right w:val="single" w:sz="8" w:space="0" w:color="749CC9" w:themeColor="accent3"/>
          <w:insideH w:val="nil"/>
          <w:insideV w:val="single" w:sz="8" w:space="0" w:color="749CC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49CC9" w:themeColor="accent3"/>
          <w:left w:val="single" w:sz="8" w:space="0" w:color="749CC9" w:themeColor="accent3"/>
          <w:bottom w:val="single" w:sz="8" w:space="0" w:color="749CC9" w:themeColor="accent3"/>
          <w:right w:val="single" w:sz="8" w:space="0" w:color="749CC9" w:themeColor="accent3"/>
        </w:tcBorders>
      </w:tcPr>
    </w:tblStylePr>
    <w:tblStylePr w:type="band1Vert">
      <w:tblPr/>
      <w:tcPr>
        <w:tcBorders>
          <w:top w:val="single" w:sz="8" w:space="0" w:color="749CC9" w:themeColor="accent3"/>
          <w:left w:val="single" w:sz="8" w:space="0" w:color="749CC9" w:themeColor="accent3"/>
          <w:bottom w:val="single" w:sz="8" w:space="0" w:color="749CC9" w:themeColor="accent3"/>
          <w:right w:val="single" w:sz="8" w:space="0" w:color="749CC9" w:themeColor="accent3"/>
        </w:tcBorders>
        <w:shd w:val="clear" w:color="auto" w:fill="DCE6F1" w:themeFill="accent3" w:themeFillTint="3F"/>
      </w:tcPr>
    </w:tblStylePr>
    <w:tblStylePr w:type="band1Horz">
      <w:tblPr/>
      <w:tcPr>
        <w:tcBorders>
          <w:top w:val="single" w:sz="8" w:space="0" w:color="749CC9" w:themeColor="accent3"/>
          <w:left w:val="single" w:sz="8" w:space="0" w:color="749CC9" w:themeColor="accent3"/>
          <w:bottom w:val="single" w:sz="8" w:space="0" w:color="749CC9" w:themeColor="accent3"/>
          <w:right w:val="single" w:sz="8" w:space="0" w:color="749CC9" w:themeColor="accent3"/>
          <w:insideV w:val="single" w:sz="8" w:space="0" w:color="749CC9" w:themeColor="accent3"/>
        </w:tcBorders>
        <w:shd w:val="clear" w:color="auto" w:fill="DCE6F1" w:themeFill="accent3" w:themeFillTint="3F"/>
      </w:tcPr>
    </w:tblStylePr>
    <w:tblStylePr w:type="band2Horz">
      <w:tblPr/>
      <w:tcPr>
        <w:tcBorders>
          <w:top w:val="single" w:sz="8" w:space="0" w:color="749CC9" w:themeColor="accent3"/>
          <w:left w:val="single" w:sz="8" w:space="0" w:color="749CC9" w:themeColor="accent3"/>
          <w:bottom w:val="single" w:sz="8" w:space="0" w:color="749CC9" w:themeColor="accent3"/>
          <w:right w:val="single" w:sz="8" w:space="0" w:color="749CC9" w:themeColor="accent3"/>
          <w:insideV w:val="single" w:sz="8" w:space="0" w:color="749CC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00568"/>
    <w:pPr>
      <w:spacing w:before="0"/>
    </w:pPr>
    <w:tblPr>
      <w:tblStyleRowBandSize w:val="1"/>
      <w:tblStyleColBandSize w:val="1"/>
      <w:tblBorders>
        <w:top w:val="single" w:sz="8" w:space="0" w:color="0072CE" w:themeColor="accent4"/>
        <w:left w:val="single" w:sz="8" w:space="0" w:color="0072CE" w:themeColor="accent4"/>
        <w:bottom w:val="single" w:sz="8" w:space="0" w:color="0072CE" w:themeColor="accent4"/>
        <w:right w:val="single" w:sz="8" w:space="0" w:color="0072CE" w:themeColor="accent4"/>
        <w:insideH w:val="single" w:sz="8" w:space="0" w:color="0072CE" w:themeColor="accent4"/>
        <w:insideV w:val="single" w:sz="8" w:space="0" w:color="0072CE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2CE" w:themeColor="accent4"/>
          <w:left w:val="single" w:sz="8" w:space="0" w:color="0072CE" w:themeColor="accent4"/>
          <w:bottom w:val="single" w:sz="18" w:space="0" w:color="0072CE" w:themeColor="accent4"/>
          <w:right w:val="single" w:sz="8" w:space="0" w:color="0072CE" w:themeColor="accent4"/>
          <w:insideH w:val="nil"/>
          <w:insideV w:val="single" w:sz="8" w:space="0" w:color="0072CE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2CE" w:themeColor="accent4"/>
          <w:left w:val="single" w:sz="8" w:space="0" w:color="0072CE" w:themeColor="accent4"/>
          <w:bottom w:val="single" w:sz="8" w:space="0" w:color="0072CE" w:themeColor="accent4"/>
          <w:right w:val="single" w:sz="8" w:space="0" w:color="0072CE" w:themeColor="accent4"/>
          <w:insideH w:val="nil"/>
          <w:insideV w:val="single" w:sz="8" w:space="0" w:color="0072CE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2CE" w:themeColor="accent4"/>
          <w:left w:val="single" w:sz="8" w:space="0" w:color="0072CE" w:themeColor="accent4"/>
          <w:bottom w:val="single" w:sz="8" w:space="0" w:color="0072CE" w:themeColor="accent4"/>
          <w:right w:val="single" w:sz="8" w:space="0" w:color="0072CE" w:themeColor="accent4"/>
        </w:tcBorders>
      </w:tcPr>
    </w:tblStylePr>
    <w:tblStylePr w:type="band1Vert">
      <w:tblPr/>
      <w:tcPr>
        <w:tcBorders>
          <w:top w:val="single" w:sz="8" w:space="0" w:color="0072CE" w:themeColor="accent4"/>
          <w:left w:val="single" w:sz="8" w:space="0" w:color="0072CE" w:themeColor="accent4"/>
          <w:bottom w:val="single" w:sz="8" w:space="0" w:color="0072CE" w:themeColor="accent4"/>
          <w:right w:val="single" w:sz="8" w:space="0" w:color="0072CE" w:themeColor="accent4"/>
        </w:tcBorders>
        <w:shd w:val="clear" w:color="auto" w:fill="B3DDFF" w:themeFill="accent4" w:themeFillTint="3F"/>
      </w:tcPr>
    </w:tblStylePr>
    <w:tblStylePr w:type="band1Horz">
      <w:tblPr/>
      <w:tcPr>
        <w:tcBorders>
          <w:top w:val="single" w:sz="8" w:space="0" w:color="0072CE" w:themeColor="accent4"/>
          <w:left w:val="single" w:sz="8" w:space="0" w:color="0072CE" w:themeColor="accent4"/>
          <w:bottom w:val="single" w:sz="8" w:space="0" w:color="0072CE" w:themeColor="accent4"/>
          <w:right w:val="single" w:sz="8" w:space="0" w:color="0072CE" w:themeColor="accent4"/>
          <w:insideV w:val="single" w:sz="8" w:space="0" w:color="0072CE" w:themeColor="accent4"/>
        </w:tcBorders>
        <w:shd w:val="clear" w:color="auto" w:fill="B3DDFF" w:themeFill="accent4" w:themeFillTint="3F"/>
      </w:tcPr>
    </w:tblStylePr>
    <w:tblStylePr w:type="band2Horz">
      <w:tblPr/>
      <w:tcPr>
        <w:tcBorders>
          <w:top w:val="single" w:sz="8" w:space="0" w:color="0072CE" w:themeColor="accent4"/>
          <w:left w:val="single" w:sz="8" w:space="0" w:color="0072CE" w:themeColor="accent4"/>
          <w:bottom w:val="single" w:sz="8" w:space="0" w:color="0072CE" w:themeColor="accent4"/>
          <w:right w:val="single" w:sz="8" w:space="0" w:color="0072CE" w:themeColor="accent4"/>
          <w:insideV w:val="single" w:sz="8" w:space="0" w:color="0072CE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00568"/>
    <w:pPr>
      <w:spacing w:before="0"/>
    </w:pPr>
    <w:tblPr>
      <w:tblStyleRowBandSize w:val="1"/>
      <w:tblStyleColBandSize w:val="1"/>
      <w:tblBorders>
        <w:top w:val="single" w:sz="8" w:space="0" w:color="009CDE" w:themeColor="accent5"/>
        <w:left w:val="single" w:sz="8" w:space="0" w:color="009CDE" w:themeColor="accent5"/>
        <w:bottom w:val="single" w:sz="8" w:space="0" w:color="009CDE" w:themeColor="accent5"/>
        <w:right w:val="single" w:sz="8" w:space="0" w:color="009CDE" w:themeColor="accent5"/>
        <w:insideH w:val="single" w:sz="8" w:space="0" w:color="009CDE" w:themeColor="accent5"/>
        <w:insideV w:val="single" w:sz="8" w:space="0" w:color="009CDE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CDE" w:themeColor="accent5"/>
          <w:left w:val="single" w:sz="8" w:space="0" w:color="009CDE" w:themeColor="accent5"/>
          <w:bottom w:val="single" w:sz="18" w:space="0" w:color="009CDE" w:themeColor="accent5"/>
          <w:right w:val="single" w:sz="8" w:space="0" w:color="009CDE" w:themeColor="accent5"/>
          <w:insideH w:val="nil"/>
          <w:insideV w:val="single" w:sz="8" w:space="0" w:color="009CDE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CDE" w:themeColor="accent5"/>
          <w:left w:val="single" w:sz="8" w:space="0" w:color="009CDE" w:themeColor="accent5"/>
          <w:bottom w:val="single" w:sz="8" w:space="0" w:color="009CDE" w:themeColor="accent5"/>
          <w:right w:val="single" w:sz="8" w:space="0" w:color="009CDE" w:themeColor="accent5"/>
          <w:insideH w:val="nil"/>
          <w:insideV w:val="single" w:sz="8" w:space="0" w:color="009CDE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CDE" w:themeColor="accent5"/>
          <w:left w:val="single" w:sz="8" w:space="0" w:color="009CDE" w:themeColor="accent5"/>
          <w:bottom w:val="single" w:sz="8" w:space="0" w:color="009CDE" w:themeColor="accent5"/>
          <w:right w:val="single" w:sz="8" w:space="0" w:color="009CDE" w:themeColor="accent5"/>
        </w:tcBorders>
      </w:tcPr>
    </w:tblStylePr>
    <w:tblStylePr w:type="band1Vert">
      <w:tblPr/>
      <w:tcPr>
        <w:tcBorders>
          <w:top w:val="single" w:sz="8" w:space="0" w:color="009CDE" w:themeColor="accent5"/>
          <w:left w:val="single" w:sz="8" w:space="0" w:color="009CDE" w:themeColor="accent5"/>
          <w:bottom w:val="single" w:sz="8" w:space="0" w:color="009CDE" w:themeColor="accent5"/>
          <w:right w:val="single" w:sz="8" w:space="0" w:color="009CDE" w:themeColor="accent5"/>
        </w:tcBorders>
        <w:shd w:val="clear" w:color="auto" w:fill="B7E9FF" w:themeFill="accent5" w:themeFillTint="3F"/>
      </w:tcPr>
    </w:tblStylePr>
    <w:tblStylePr w:type="band1Horz">
      <w:tblPr/>
      <w:tcPr>
        <w:tcBorders>
          <w:top w:val="single" w:sz="8" w:space="0" w:color="009CDE" w:themeColor="accent5"/>
          <w:left w:val="single" w:sz="8" w:space="0" w:color="009CDE" w:themeColor="accent5"/>
          <w:bottom w:val="single" w:sz="8" w:space="0" w:color="009CDE" w:themeColor="accent5"/>
          <w:right w:val="single" w:sz="8" w:space="0" w:color="009CDE" w:themeColor="accent5"/>
          <w:insideV w:val="single" w:sz="8" w:space="0" w:color="009CDE" w:themeColor="accent5"/>
        </w:tcBorders>
        <w:shd w:val="clear" w:color="auto" w:fill="B7E9FF" w:themeFill="accent5" w:themeFillTint="3F"/>
      </w:tcPr>
    </w:tblStylePr>
    <w:tblStylePr w:type="band2Horz">
      <w:tblPr/>
      <w:tcPr>
        <w:tcBorders>
          <w:top w:val="single" w:sz="8" w:space="0" w:color="009CDE" w:themeColor="accent5"/>
          <w:left w:val="single" w:sz="8" w:space="0" w:color="009CDE" w:themeColor="accent5"/>
          <w:bottom w:val="single" w:sz="8" w:space="0" w:color="009CDE" w:themeColor="accent5"/>
          <w:right w:val="single" w:sz="8" w:space="0" w:color="009CDE" w:themeColor="accent5"/>
          <w:insideV w:val="single" w:sz="8" w:space="0" w:color="009CDE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00568"/>
    <w:pPr>
      <w:spacing w:before="0"/>
    </w:pPr>
    <w:tblPr>
      <w:tblStyleRowBandSize w:val="1"/>
      <w:tblStyleColBandSize w:val="1"/>
      <w:tblBorders>
        <w:top w:val="single" w:sz="8" w:space="0" w:color="8A2A2B" w:themeColor="accent6"/>
        <w:left w:val="single" w:sz="8" w:space="0" w:color="8A2A2B" w:themeColor="accent6"/>
        <w:bottom w:val="single" w:sz="8" w:space="0" w:color="8A2A2B" w:themeColor="accent6"/>
        <w:right w:val="single" w:sz="8" w:space="0" w:color="8A2A2B" w:themeColor="accent6"/>
        <w:insideH w:val="single" w:sz="8" w:space="0" w:color="8A2A2B" w:themeColor="accent6"/>
        <w:insideV w:val="single" w:sz="8" w:space="0" w:color="8A2A2B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2A2B" w:themeColor="accent6"/>
          <w:left w:val="single" w:sz="8" w:space="0" w:color="8A2A2B" w:themeColor="accent6"/>
          <w:bottom w:val="single" w:sz="18" w:space="0" w:color="8A2A2B" w:themeColor="accent6"/>
          <w:right w:val="single" w:sz="8" w:space="0" w:color="8A2A2B" w:themeColor="accent6"/>
          <w:insideH w:val="nil"/>
          <w:insideV w:val="single" w:sz="8" w:space="0" w:color="8A2A2B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2A2B" w:themeColor="accent6"/>
          <w:left w:val="single" w:sz="8" w:space="0" w:color="8A2A2B" w:themeColor="accent6"/>
          <w:bottom w:val="single" w:sz="8" w:space="0" w:color="8A2A2B" w:themeColor="accent6"/>
          <w:right w:val="single" w:sz="8" w:space="0" w:color="8A2A2B" w:themeColor="accent6"/>
          <w:insideH w:val="nil"/>
          <w:insideV w:val="single" w:sz="8" w:space="0" w:color="8A2A2B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2A2B" w:themeColor="accent6"/>
          <w:left w:val="single" w:sz="8" w:space="0" w:color="8A2A2B" w:themeColor="accent6"/>
          <w:bottom w:val="single" w:sz="8" w:space="0" w:color="8A2A2B" w:themeColor="accent6"/>
          <w:right w:val="single" w:sz="8" w:space="0" w:color="8A2A2B" w:themeColor="accent6"/>
        </w:tcBorders>
      </w:tcPr>
    </w:tblStylePr>
    <w:tblStylePr w:type="band1Vert">
      <w:tblPr/>
      <w:tcPr>
        <w:tcBorders>
          <w:top w:val="single" w:sz="8" w:space="0" w:color="8A2A2B" w:themeColor="accent6"/>
          <w:left w:val="single" w:sz="8" w:space="0" w:color="8A2A2B" w:themeColor="accent6"/>
          <w:bottom w:val="single" w:sz="8" w:space="0" w:color="8A2A2B" w:themeColor="accent6"/>
          <w:right w:val="single" w:sz="8" w:space="0" w:color="8A2A2B" w:themeColor="accent6"/>
        </w:tcBorders>
        <w:shd w:val="clear" w:color="auto" w:fill="ECC0C0" w:themeFill="accent6" w:themeFillTint="3F"/>
      </w:tcPr>
    </w:tblStylePr>
    <w:tblStylePr w:type="band1Horz">
      <w:tblPr/>
      <w:tcPr>
        <w:tcBorders>
          <w:top w:val="single" w:sz="8" w:space="0" w:color="8A2A2B" w:themeColor="accent6"/>
          <w:left w:val="single" w:sz="8" w:space="0" w:color="8A2A2B" w:themeColor="accent6"/>
          <w:bottom w:val="single" w:sz="8" w:space="0" w:color="8A2A2B" w:themeColor="accent6"/>
          <w:right w:val="single" w:sz="8" w:space="0" w:color="8A2A2B" w:themeColor="accent6"/>
          <w:insideV w:val="single" w:sz="8" w:space="0" w:color="8A2A2B" w:themeColor="accent6"/>
        </w:tcBorders>
        <w:shd w:val="clear" w:color="auto" w:fill="ECC0C0" w:themeFill="accent6" w:themeFillTint="3F"/>
      </w:tcPr>
    </w:tblStylePr>
    <w:tblStylePr w:type="band2Horz">
      <w:tblPr/>
      <w:tcPr>
        <w:tcBorders>
          <w:top w:val="single" w:sz="8" w:space="0" w:color="8A2A2B" w:themeColor="accent6"/>
          <w:left w:val="single" w:sz="8" w:space="0" w:color="8A2A2B" w:themeColor="accent6"/>
          <w:bottom w:val="single" w:sz="8" w:space="0" w:color="8A2A2B" w:themeColor="accent6"/>
          <w:right w:val="single" w:sz="8" w:space="0" w:color="8A2A2B" w:themeColor="accent6"/>
          <w:insideV w:val="single" w:sz="8" w:space="0" w:color="8A2A2B" w:themeColor="accent6"/>
        </w:tcBorders>
      </w:tcPr>
    </w:tblStylePr>
  </w:style>
  <w:style w:type="table" w:styleId="LightList-Accent1">
    <w:name w:val="Light List Accent 1"/>
    <w:basedOn w:val="TableNormal"/>
    <w:uiPriority w:val="61"/>
    <w:rsid w:val="00C00568"/>
    <w:pPr>
      <w:spacing w:before="0"/>
    </w:pPr>
    <w:tblPr>
      <w:tblStyleRowBandSize w:val="1"/>
      <w:tblStyleColBandSize w:val="1"/>
      <w:tblBorders>
        <w:top w:val="single" w:sz="8" w:space="0" w:color="0063A6" w:themeColor="accent1"/>
        <w:left w:val="single" w:sz="8" w:space="0" w:color="0063A6" w:themeColor="accent1"/>
        <w:bottom w:val="single" w:sz="8" w:space="0" w:color="0063A6" w:themeColor="accent1"/>
        <w:right w:val="single" w:sz="8" w:space="0" w:color="0063A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3A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3A6" w:themeColor="accent1"/>
          <w:left w:val="single" w:sz="8" w:space="0" w:color="0063A6" w:themeColor="accent1"/>
          <w:bottom w:val="single" w:sz="8" w:space="0" w:color="0063A6" w:themeColor="accent1"/>
          <w:right w:val="single" w:sz="8" w:space="0" w:color="0063A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3A6" w:themeColor="accent1"/>
          <w:left w:val="single" w:sz="8" w:space="0" w:color="0063A6" w:themeColor="accent1"/>
          <w:bottom w:val="single" w:sz="8" w:space="0" w:color="0063A6" w:themeColor="accent1"/>
          <w:right w:val="single" w:sz="8" w:space="0" w:color="0063A6" w:themeColor="accent1"/>
        </w:tcBorders>
      </w:tcPr>
    </w:tblStylePr>
    <w:tblStylePr w:type="band1Horz">
      <w:tblPr/>
      <w:tcPr>
        <w:tcBorders>
          <w:top w:val="single" w:sz="8" w:space="0" w:color="0063A6" w:themeColor="accent1"/>
          <w:left w:val="single" w:sz="8" w:space="0" w:color="0063A6" w:themeColor="accent1"/>
          <w:bottom w:val="single" w:sz="8" w:space="0" w:color="0063A6" w:themeColor="accent1"/>
          <w:right w:val="single" w:sz="8" w:space="0" w:color="0063A6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00568"/>
    <w:pPr>
      <w:spacing w:before="0"/>
    </w:pPr>
    <w:tblPr>
      <w:tblStyleRowBandSize w:val="1"/>
      <w:tblStyleColBandSize w:val="1"/>
      <w:tblBorders>
        <w:top w:val="single" w:sz="8" w:space="0" w:color="00497A" w:themeColor="accent2"/>
        <w:left w:val="single" w:sz="8" w:space="0" w:color="00497A" w:themeColor="accent2"/>
        <w:bottom w:val="single" w:sz="8" w:space="0" w:color="00497A" w:themeColor="accent2"/>
        <w:right w:val="single" w:sz="8" w:space="0" w:color="00497A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497A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497A" w:themeColor="accent2"/>
          <w:left w:val="single" w:sz="8" w:space="0" w:color="00497A" w:themeColor="accent2"/>
          <w:bottom w:val="single" w:sz="8" w:space="0" w:color="00497A" w:themeColor="accent2"/>
          <w:right w:val="single" w:sz="8" w:space="0" w:color="00497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497A" w:themeColor="accent2"/>
          <w:left w:val="single" w:sz="8" w:space="0" w:color="00497A" w:themeColor="accent2"/>
          <w:bottom w:val="single" w:sz="8" w:space="0" w:color="00497A" w:themeColor="accent2"/>
          <w:right w:val="single" w:sz="8" w:space="0" w:color="00497A" w:themeColor="accent2"/>
        </w:tcBorders>
      </w:tcPr>
    </w:tblStylePr>
    <w:tblStylePr w:type="band1Horz">
      <w:tblPr/>
      <w:tcPr>
        <w:tcBorders>
          <w:top w:val="single" w:sz="8" w:space="0" w:color="00497A" w:themeColor="accent2"/>
          <w:left w:val="single" w:sz="8" w:space="0" w:color="00497A" w:themeColor="accent2"/>
          <w:bottom w:val="single" w:sz="8" w:space="0" w:color="00497A" w:themeColor="accent2"/>
          <w:right w:val="single" w:sz="8" w:space="0" w:color="00497A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00568"/>
    <w:pPr>
      <w:spacing w:before="0"/>
    </w:pPr>
    <w:tblPr>
      <w:tblStyleRowBandSize w:val="1"/>
      <w:tblStyleColBandSize w:val="1"/>
      <w:tblBorders>
        <w:top w:val="single" w:sz="8" w:space="0" w:color="749CC9" w:themeColor="accent3"/>
        <w:left w:val="single" w:sz="8" w:space="0" w:color="749CC9" w:themeColor="accent3"/>
        <w:bottom w:val="single" w:sz="8" w:space="0" w:color="749CC9" w:themeColor="accent3"/>
        <w:right w:val="single" w:sz="8" w:space="0" w:color="749CC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49CC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49CC9" w:themeColor="accent3"/>
          <w:left w:val="single" w:sz="8" w:space="0" w:color="749CC9" w:themeColor="accent3"/>
          <w:bottom w:val="single" w:sz="8" w:space="0" w:color="749CC9" w:themeColor="accent3"/>
          <w:right w:val="single" w:sz="8" w:space="0" w:color="749CC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49CC9" w:themeColor="accent3"/>
          <w:left w:val="single" w:sz="8" w:space="0" w:color="749CC9" w:themeColor="accent3"/>
          <w:bottom w:val="single" w:sz="8" w:space="0" w:color="749CC9" w:themeColor="accent3"/>
          <w:right w:val="single" w:sz="8" w:space="0" w:color="749CC9" w:themeColor="accent3"/>
        </w:tcBorders>
      </w:tcPr>
    </w:tblStylePr>
    <w:tblStylePr w:type="band1Horz">
      <w:tblPr/>
      <w:tcPr>
        <w:tcBorders>
          <w:top w:val="single" w:sz="8" w:space="0" w:color="749CC9" w:themeColor="accent3"/>
          <w:left w:val="single" w:sz="8" w:space="0" w:color="749CC9" w:themeColor="accent3"/>
          <w:bottom w:val="single" w:sz="8" w:space="0" w:color="749CC9" w:themeColor="accent3"/>
          <w:right w:val="single" w:sz="8" w:space="0" w:color="749CC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00568"/>
    <w:pPr>
      <w:spacing w:before="0"/>
    </w:pPr>
    <w:tblPr>
      <w:tblStyleRowBandSize w:val="1"/>
      <w:tblStyleColBandSize w:val="1"/>
      <w:tblBorders>
        <w:top w:val="single" w:sz="8" w:space="0" w:color="0072CE" w:themeColor="accent4"/>
        <w:left w:val="single" w:sz="8" w:space="0" w:color="0072CE" w:themeColor="accent4"/>
        <w:bottom w:val="single" w:sz="8" w:space="0" w:color="0072CE" w:themeColor="accent4"/>
        <w:right w:val="single" w:sz="8" w:space="0" w:color="0072CE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72C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2CE" w:themeColor="accent4"/>
          <w:left w:val="single" w:sz="8" w:space="0" w:color="0072CE" w:themeColor="accent4"/>
          <w:bottom w:val="single" w:sz="8" w:space="0" w:color="0072CE" w:themeColor="accent4"/>
          <w:right w:val="single" w:sz="8" w:space="0" w:color="0072C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2CE" w:themeColor="accent4"/>
          <w:left w:val="single" w:sz="8" w:space="0" w:color="0072CE" w:themeColor="accent4"/>
          <w:bottom w:val="single" w:sz="8" w:space="0" w:color="0072CE" w:themeColor="accent4"/>
          <w:right w:val="single" w:sz="8" w:space="0" w:color="0072CE" w:themeColor="accent4"/>
        </w:tcBorders>
      </w:tcPr>
    </w:tblStylePr>
    <w:tblStylePr w:type="band1Horz">
      <w:tblPr/>
      <w:tcPr>
        <w:tcBorders>
          <w:top w:val="single" w:sz="8" w:space="0" w:color="0072CE" w:themeColor="accent4"/>
          <w:left w:val="single" w:sz="8" w:space="0" w:color="0072CE" w:themeColor="accent4"/>
          <w:bottom w:val="single" w:sz="8" w:space="0" w:color="0072CE" w:themeColor="accent4"/>
          <w:right w:val="single" w:sz="8" w:space="0" w:color="0072CE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00568"/>
    <w:pPr>
      <w:spacing w:before="0"/>
    </w:pPr>
    <w:tblPr>
      <w:tblStyleRowBandSize w:val="1"/>
      <w:tblStyleColBandSize w:val="1"/>
      <w:tblBorders>
        <w:top w:val="single" w:sz="8" w:space="0" w:color="009CDE" w:themeColor="accent5"/>
        <w:left w:val="single" w:sz="8" w:space="0" w:color="009CDE" w:themeColor="accent5"/>
        <w:bottom w:val="single" w:sz="8" w:space="0" w:color="009CDE" w:themeColor="accent5"/>
        <w:right w:val="single" w:sz="8" w:space="0" w:color="009CDE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CD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CDE" w:themeColor="accent5"/>
          <w:left w:val="single" w:sz="8" w:space="0" w:color="009CDE" w:themeColor="accent5"/>
          <w:bottom w:val="single" w:sz="8" w:space="0" w:color="009CDE" w:themeColor="accent5"/>
          <w:right w:val="single" w:sz="8" w:space="0" w:color="009CD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CDE" w:themeColor="accent5"/>
          <w:left w:val="single" w:sz="8" w:space="0" w:color="009CDE" w:themeColor="accent5"/>
          <w:bottom w:val="single" w:sz="8" w:space="0" w:color="009CDE" w:themeColor="accent5"/>
          <w:right w:val="single" w:sz="8" w:space="0" w:color="009CDE" w:themeColor="accent5"/>
        </w:tcBorders>
      </w:tcPr>
    </w:tblStylePr>
    <w:tblStylePr w:type="band1Horz">
      <w:tblPr/>
      <w:tcPr>
        <w:tcBorders>
          <w:top w:val="single" w:sz="8" w:space="0" w:color="009CDE" w:themeColor="accent5"/>
          <w:left w:val="single" w:sz="8" w:space="0" w:color="009CDE" w:themeColor="accent5"/>
          <w:bottom w:val="single" w:sz="8" w:space="0" w:color="009CDE" w:themeColor="accent5"/>
          <w:right w:val="single" w:sz="8" w:space="0" w:color="009CDE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00568"/>
    <w:pPr>
      <w:spacing w:before="0"/>
    </w:pPr>
    <w:tblPr>
      <w:tblStyleRowBandSize w:val="1"/>
      <w:tblStyleColBandSize w:val="1"/>
      <w:tblBorders>
        <w:top w:val="single" w:sz="8" w:space="0" w:color="8A2A2B" w:themeColor="accent6"/>
        <w:left w:val="single" w:sz="8" w:space="0" w:color="8A2A2B" w:themeColor="accent6"/>
        <w:bottom w:val="single" w:sz="8" w:space="0" w:color="8A2A2B" w:themeColor="accent6"/>
        <w:right w:val="single" w:sz="8" w:space="0" w:color="8A2A2B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2A2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2A2B" w:themeColor="accent6"/>
          <w:left w:val="single" w:sz="8" w:space="0" w:color="8A2A2B" w:themeColor="accent6"/>
          <w:bottom w:val="single" w:sz="8" w:space="0" w:color="8A2A2B" w:themeColor="accent6"/>
          <w:right w:val="single" w:sz="8" w:space="0" w:color="8A2A2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2A2B" w:themeColor="accent6"/>
          <w:left w:val="single" w:sz="8" w:space="0" w:color="8A2A2B" w:themeColor="accent6"/>
          <w:bottom w:val="single" w:sz="8" w:space="0" w:color="8A2A2B" w:themeColor="accent6"/>
          <w:right w:val="single" w:sz="8" w:space="0" w:color="8A2A2B" w:themeColor="accent6"/>
        </w:tcBorders>
      </w:tcPr>
    </w:tblStylePr>
    <w:tblStylePr w:type="band1Horz">
      <w:tblPr/>
      <w:tcPr>
        <w:tcBorders>
          <w:top w:val="single" w:sz="8" w:space="0" w:color="8A2A2B" w:themeColor="accent6"/>
          <w:left w:val="single" w:sz="8" w:space="0" w:color="8A2A2B" w:themeColor="accent6"/>
          <w:bottom w:val="single" w:sz="8" w:space="0" w:color="8A2A2B" w:themeColor="accent6"/>
          <w:right w:val="single" w:sz="8" w:space="0" w:color="8A2A2B" w:themeColor="accent6"/>
        </w:tcBorders>
      </w:tcPr>
    </w:tblStylePr>
  </w:style>
  <w:style w:type="table" w:styleId="LightShading-Accent3">
    <w:name w:val="Light Shading Accent 3"/>
    <w:basedOn w:val="TableNormal"/>
    <w:uiPriority w:val="60"/>
    <w:rsid w:val="00C00568"/>
    <w:pPr>
      <w:spacing w:before="0"/>
    </w:pPr>
    <w:rPr>
      <w:color w:val="4273AA" w:themeColor="accent3" w:themeShade="BF"/>
    </w:rPr>
    <w:tblPr>
      <w:tblStyleRowBandSize w:val="1"/>
      <w:tblStyleColBandSize w:val="1"/>
      <w:tblBorders>
        <w:top w:val="single" w:sz="8" w:space="0" w:color="749CC9" w:themeColor="accent3"/>
        <w:bottom w:val="single" w:sz="8" w:space="0" w:color="749CC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49CC9" w:themeColor="accent3"/>
          <w:left w:val="nil"/>
          <w:bottom w:val="single" w:sz="8" w:space="0" w:color="749CC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49CC9" w:themeColor="accent3"/>
          <w:left w:val="nil"/>
          <w:bottom w:val="single" w:sz="8" w:space="0" w:color="749CC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6F1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E6F1" w:themeFill="accent3" w:themeFillTint="3F"/>
      </w:tcPr>
    </w:tblStylePr>
  </w:style>
  <w:style w:type="table" w:styleId="LightShading-Accent5">
    <w:name w:val="Light Shading Accent 5"/>
    <w:basedOn w:val="TableNormal"/>
    <w:uiPriority w:val="60"/>
    <w:rsid w:val="00C00568"/>
    <w:pPr>
      <w:spacing w:before="0"/>
    </w:pPr>
    <w:rPr>
      <w:color w:val="0074A6" w:themeColor="accent5" w:themeShade="BF"/>
    </w:rPr>
    <w:tblPr>
      <w:tblStyleRowBandSize w:val="1"/>
      <w:tblStyleColBandSize w:val="1"/>
      <w:tblBorders>
        <w:top w:val="single" w:sz="8" w:space="0" w:color="009CDE" w:themeColor="accent5"/>
        <w:bottom w:val="single" w:sz="8" w:space="0" w:color="009CD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CDE" w:themeColor="accent5"/>
          <w:left w:val="nil"/>
          <w:bottom w:val="single" w:sz="8" w:space="0" w:color="009CD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CDE" w:themeColor="accent5"/>
          <w:left w:val="nil"/>
          <w:bottom w:val="single" w:sz="8" w:space="0" w:color="009CD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9F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9FF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C00568"/>
    <w:pPr>
      <w:spacing w:before="0"/>
    </w:pPr>
    <w:rPr>
      <w:color w:val="671F20" w:themeColor="accent6" w:themeShade="BF"/>
    </w:rPr>
    <w:tblPr>
      <w:tblStyleRowBandSize w:val="1"/>
      <w:tblStyleColBandSize w:val="1"/>
      <w:tblBorders>
        <w:top w:val="single" w:sz="8" w:space="0" w:color="8A2A2B" w:themeColor="accent6"/>
        <w:bottom w:val="single" w:sz="8" w:space="0" w:color="8A2A2B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2A2B" w:themeColor="accent6"/>
          <w:left w:val="nil"/>
          <w:bottom w:val="single" w:sz="8" w:space="0" w:color="8A2A2B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2A2B" w:themeColor="accent6"/>
          <w:left w:val="nil"/>
          <w:bottom w:val="single" w:sz="8" w:space="0" w:color="8A2A2B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C0C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CC0C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C00568"/>
  </w:style>
  <w:style w:type="paragraph" w:styleId="List2">
    <w:name w:val="List 2"/>
    <w:basedOn w:val="Normal"/>
    <w:uiPriority w:val="29"/>
    <w:semiHidden/>
    <w:rsid w:val="00C00568"/>
    <w:pPr>
      <w:ind w:left="566" w:hanging="283"/>
      <w:contextualSpacing/>
    </w:pPr>
  </w:style>
  <w:style w:type="paragraph" w:styleId="List3">
    <w:name w:val="List 3"/>
    <w:basedOn w:val="Normal"/>
    <w:uiPriority w:val="29"/>
    <w:semiHidden/>
    <w:unhideWhenUsed/>
    <w:rsid w:val="00C00568"/>
    <w:pPr>
      <w:ind w:left="849" w:hanging="283"/>
      <w:contextualSpacing/>
    </w:pPr>
  </w:style>
  <w:style w:type="paragraph" w:styleId="List4">
    <w:name w:val="List 4"/>
    <w:basedOn w:val="Normal"/>
    <w:uiPriority w:val="29"/>
    <w:semiHidden/>
    <w:unhideWhenUsed/>
    <w:rsid w:val="00C00568"/>
    <w:pPr>
      <w:ind w:left="1132" w:hanging="283"/>
      <w:contextualSpacing/>
    </w:pPr>
  </w:style>
  <w:style w:type="paragraph" w:styleId="List5">
    <w:name w:val="List 5"/>
    <w:basedOn w:val="Normal"/>
    <w:uiPriority w:val="29"/>
    <w:semiHidden/>
    <w:unhideWhenUsed/>
    <w:rsid w:val="00C00568"/>
    <w:pPr>
      <w:ind w:left="1415" w:hanging="283"/>
      <w:contextualSpacing/>
    </w:pPr>
  </w:style>
  <w:style w:type="paragraph" w:styleId="MacroText">
    <w:name w:val="macro"/>
    <w:link w:val="MacroTextChar"/>
    <w:uiPriority w:val="99"/>
    <w:semiHidden/>
    <w:unhideWhenUsed/>
    <w:rsid w:val="00C00568"/>
    <w:pPr>
      <w:keepLines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00568"/>
    <w:rPr>
      <w:rFonts w:ascii="Consolas" w:hAnsi="Consolas" w:cs="Consolas"/>
      <w:sz w:val="20"/>
      <w:szCs w:val="20"/>
    </w:rPr>
  </w:style>
  <w:style w:type="table" w:styleId="MediumGrid1">
    <w:name w:val="Medium Grid 1"/>
    <w:basedOn w:val="TableNormal"/>
    <w:uiPriority w:val="67"/>
    <w:rsid w:val="00C00568"/>
    <w:pPr>
      <w:spacing w:before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00568"/>
    <w:pPr>
      <w:spacing w:before="0"/>
    </w:pPr>
    <w:tblPr>
      <w:tblStyleRowBandSize w:val="1"/>
      <w:tblStyleColBandSize w:val="1"/>
      <w:tblBorders>
        <w:top w:val="single" w:sz="8" w:space="0" w:color="0096FC" w:themeColor="accent1" w:themeTint="BF"/>
        <w:left w:val="single" w:sz="8" w:space="0" w:color="0096FC" w:themeColor="accent1" w:themeTint="BF"/>
        <w:bottom w:val="single" w:sz="8" w:space="0" w:color="0096FC" w:themeColor="accent1" w:themeTint="BF"/>
        <w:right w:val="single" w:sz="8" w:space="0" w:color="0096FC" w:themeColor="accent1" w:themeTint="BF"/>
        <w:insideH w:val="single" w:sz="8" w:space="0" w:color="0096FC" w:themeColor="accent1" w:themeTint="BF"/>
        <w:insideV w:val="single" w:sz="8" w:space="0" w:color="0096FC" w:themeColor="accent1" w:themeTint="BF"/>
      </w:tblBorders>
    </w:tblPr>
    <w:tcPr>
      <w:shd w:val="clear" w:color="auto" w:fill="AADC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96F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3B9FF" w:themeFill="accent1" w:themeFillTint="7F"/>
      </w:tcPr>
    </w:tblStylePr>
    <w:tblStylePr w:type="band1Horz">
      <w:tblPr/>
      <w:tcPr>
        <w:shd w:val="clear" w:color="auto" w:fill="53B9FF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00568"/>
    <w:pPr>
      <w:spacing w:before="0"/>
    </w:pPr>
    <w:tblPr>
      <w:tblStyleRowBandSize w:val="1"/>
      <w:tblStyleColBandSize w:val="1"/>
      <w:tblBorders>
        <w:top w:val="single" w:sz="8" w:space="0" w:color="0082DB" w:themeColor="accent2" w:themeTint="BF"/>
        <w:left w:val="single" w:sz="8" w:space="0" w:color="0082DB" w:themeColor="accent2" w:themeTint="BF"/>
        <w:bottom w:val="single" w:sz="8" w:space="0" w:color="0082DB" w:themeColor="accent2" w:themeTint="BF"/>
        <w:right w:val="single" w:sz="8" w:space="0" w:color="0082DB" w:themeColor="accent2" w:themeTint="BF"/>
        <w:insideH w:val="single" w:sz="8" w:space="0" w:color="0082DB" w:themeColor="accent2" w:themeTint="BF"/>
        <w:insideV w:val="single" w:sz="8" w:space="0" w:color="0082DB" w:themeColor="accent2" w:themeTint="BF"/>
      </w:tblBorders>
    </w:tblPr>
    <w:tcPr>
      <w:shd w:val="clear" w:color="auto" w:fill="9FD8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82DB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DB0FF" w:themeFill="accent2" w:themeFillTint="7F"/>
      </w:tcPr>
    </w:tblStylePr>
    <w:tblStylePr w:type="band1Horz">
      <w:tblPr/>
      <w:tcPr>
        <w:shd w:val="clear" w:color="auto" w:fill="3DB0FF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00568"/>
    <w:pPr>
      <w:spacing w:before="0"/>
    </w:pPr>
    <w:tblPr>
      <w:tblStyleRowBandSize w:val="1"/>
      <w:tblStyleColBandSize w:val="1"/>
      <w:tblBorders>
        <w:top w:val="single" w:sz="8" w:space="0" w:color="96B4D6" w:themeColor="accent3" w:themeTint="BF"/>
        <w:left w:val="single" w:sz="8" w:space="0" w:color="96B4D6" w:themeColor="accent3" w:themeTint="BF"/>
        <w:bottom w:val="single" w:sz="8" w:space="0" w:color="96B4D6" w:themeColor="accent3" w:themeTint="BF"/>
        <w:right w:val="single" w:sz="8" w:space="0" w:color="96B4D6" w:themeColor="accent3" w:themeTint="BF"/>
        <w:insideH w:val="single" w:sz="8" w:space="0" w:color="96B4D6" w:themeColor="accent3" w:themeTint="BF"/>
        <w:insideV w:val="single" w:sz="8" w:space="0" w:color="96B4D6" w:themeColor="accent3" w:themeTint="BF"/>
      </w:tblBorders>
    </w:tblPr>
    <w:tcPr>
      <w:shd w:val="clear" w:color="auto" w:fill="DCE6F1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6B4D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CDE4" w:themeFill="accent3" w:themeFillTint="7F"/>
      </w:tcPr>
    </w:tblStylePr>
    <w:tblStylePr w:type="band1Horz">
      <w:tblPr/>
      <w:tcPr>
        <w:shd w:val="clear" w:color="auto" w:fill="B9CDE4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00568"/>
    <w:pPr>
      <w:spacing w:before="0"/>
    </w:pPr>
    <w:tblPr>
      <w:tblStyleRowBandSize w:val="1"/>
      <w:tblStyleColBandSize w:val="1"/>
      <w:tblBorders>
        <w:top w:val="single" w:sz="8" w:space="0" w:color="1B99FF" w:themeColor="accent4" w:themeTint="BF"/>
        <w:left w:val="single" w:sz="8" w:space="0" w:color="1B99FF" w:themeColor="accent4" w:themeTint="BF"/>
        <w:bottom w:val="single" w:sz="8" w:space="0" w:color="1B99FF" w:themeColor="accent4" w:themeTint="BF"/>
        <w:right w:val="single" w:sz="8" w:space="0" w:color="1B99FF" w:themeColor="accent4" w:themeTint="BF"/>
        <w:insideH w:val="single" w:sz="8" w:space="0" w:color="1B99FF" w:themeColor="accent4" w:themeTint="BF"/>
        <w:insideV w:val="single" w:sz="8" w:space="0" w:color="1B99FF" w:themeColor="accent4" w:themeTint="BF"/>
      </w:tblBorders>
    </w:tblPr>
    <w:tcPr>
      <w:shd w:val="clear" w:color="auto" w:fill="B3DDF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B99F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BBFF" w:themeFill="accent4" w:themeFillTint="7F"/>
      </w:tcPr>
    </w:tblStylePr>
    <w:tblStylePr w:type="band1Horz">
      <w:tblPr/>
      <w:tcPr>
        <w:shd w:val="clear" w:color="auto" w:fill="67BBFF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00568"/>
    <w:pPr>
      <w:spacing w:before="0"/>
    </w:pPr>
    <w:tblPr>
      <w:tblStyleRowBandSize w:val="1"/>
      <w:tblStyleColBandSize w:val="1"/>
      <w:tblBorders>
        <w:top w:val="single" w:sz="8" w:space="0" w:color="27BEFF" w:themeColor="accent5" w:themeTint="BF"/>
        <w:left w:val="single" w:sz="8" w:space="0" w:color="27BEFF" w:themeColor="accent5" w:themeTint="BF"/>
        <w:bottom w:val="single" w:sz="8" w:space="0" w:color="27BEFF" w:themeColor="accent5" w:themeTint="BF"/>
        <w:right w:val="single" w:sz="8" w:space="0" w:color="27BEFF" w:themeColor="accent5" w:themeTint="BF"/>
        <w:insideH w:val="single" w:sz="8" w:space="0" w:color="27BEFF" w:themeColor="accent5" w:themeTint="BF"/>
        <w:insideV w:val="single" w:sz="8" w:space="0" w:color="27BEFF" w:themeColor="accent5" w:themeTint="BF"/>
      </w:tblBorders>
    </w:tblPr>
    <w:tcPr>
      <w:shd w:val="clear" w:color="auto" w:fill="B7E9F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7BEF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4FF" w:themeFill="accent5" w:themeFillTint="7F"/>
      </w:tcPr>
    </w:tblStylePr>
    <w:tblStylePr w:type="band1Horz">
      <w:tblPr/>
      <w:tcPr>
        <w:shd w:val="clear" w:color="auto" w:fill="6FD4FF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00568"/>
    <w:pPr>
      <w:spacing w:before="0"/>
    </w:pPr>
    <w:tblPr>
      <w:tblStyleRowBandSize w:val="1"/>
      <w:tblStyleColBandSize w:val="1"/>
      <w:tblBorders>
        <w:top w:val="single" w:sz="8" w:space="0" w:color="C54142" w:themeColor="accent6" w:themeTint="BF"/>
        <w:left w:val="single" w:sz="8" w:space="0" w:color="C54142" w:themeColor="accent6" w:themeTint="BF"/>
        <w:bottom w:val="single" w:sz="8" w:space="0" w:color="C54142" w:themeColor="accent6" w:themeTint="BF"/>
        <w:right w:val="single" w:sz="8" w:space="0" w:color="C54142" w:themeColor="accent6" w:themeTint="BF"/>
        <w:insideH w:val="single" w:sz="8" w:space="0" w:color="C54142" w:themeColor="accent6" w:themeTint="BF"/>
        <w:insideV w:val="single" w:sz="8" w:space="0" w:color="C54142" w:themeColor="accent6" w:themeTint="BF"/>
      </w:tblBorders>
    </w:tblPr>
    <w:tcPr>
      <w:shd w:val="clear" w:color="auto" w:fill="ECC0C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5414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8081" w:themeFill="accent6" w:themeFillTint="7F"/>
      </w:tcPr>
    </w:tblStylePr>
    <w:tblStylePr w:type="band1Horz">
      <w:tblPr/>
      <w:tcPr>
        <w:shd w:val="clear" w:color="auto" w:fill="D88081" w:themeFill="accent6" w:themeFillTint="7F"/>
      </w:tcPr>
    </w:tblStylePr>
  </w:style>
  <w:style w:type="table" w:styleId="MediumGrid2">
    <w:name w:val="Medium Grid 2"/>
    <w:basedOn w:val="TableNormal"/>
    <w:uiPriority w:val="68"/>
    <w:rsid w:val="00C00568"/>
    <w:pPr>
      <w:spacing w:before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00568"/>
    <w:pPr>
      <w:spacing w:before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3A6" w:themeColor="accent1"/>
        <w:left w:val="single" w:sz="8" w:space="0" w:color="0063A6" w:themeColor="accent1"/>
        <w:bottom w:val="single" w:sz="8" w:space="0" w:color="0063A6" w:themeColor="accent1"/>
        <w:right w:val="single" w:sz="8" w:space="0" w:color="0063A6" w:themeColor="accent1"/>
        <w:insideH w:val="single" w:sz="8" w:space="0" w:color="0063A6" w:themeColor="accent1"/>
        <w:insideV w:val="single" w:sz="8" w:space="0" w:color="0063A6" w:themeColor="accent1"/>
      </w:tblBorders>
    </w:tblPr>
    <w:tcPr>
      <w:shd w:val="clear" w:color="auto" w:fill="AADC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DF1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E3FF" w:themeFill="accent1" w:themeFillTint="33"/>
      </w:tcPr>
    </w:tblStylePr>
    <w:tblStylePr w:type="band1Vert">
      <w:tblPr/>
      <w:tcPr>
        <w:shd w:val="clear" w:color="auto" w:fill="53B9FF" w:themeFill="accent1" w:themeFillTint="7F"/>
      </w:tcPr>
    </w:tblStylePr>
    <w:tblStylePr w:type="band1Horz">
      <w:tblPr/>
      <w:tcPr>
        <w:tcBorders>
          <w:insideH w:val="single" w:sz="6" w:space="0" w:color="0063A6" w:themeColor="accent1"/>
          <w:insideV w:val="single" w:sz="6" w:space="0" w:color="0063A6" w:themeColor="accent1"/>
        </w:tcBorders>
        <w:shd w:val="clear" w:color="auto" w:fill="53B9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00568"/>
    <w:pPr>
      <w:spacing w:before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497A" w:themeColor="accent2"/>
        <w:left w:val="single" w:sz="8" w:space="0" w:color="00497A" w:themeColor="accent2"/>
        <w:bottom w:val="single" w:sz="8" w:space="0" w:color="00497A" w:themeColor="accent2"/>
        <w:right w:val="single" w:sz="8" w:space="0" w:color="00497A" w:themeColor="accent2"/>
        <w:insideH w:val="single" w:sz="8" w:space="0" w:color="00497A" w:themeColor="accent2"/>
        <w:insideV w:val="single" w:sz="8" w:space="0" w:color="00497A" w:themeColor="accent2"/>
      </w:tblBorders>
    </w:tblPr>
    <w:tcPr>
      <w:shd w:val="clear" w:color="auto" w:fill="9FD8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8EF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DFFF" w:themeFill="accent2" w:themeFillTint="33"/>
      </w:tcPr>
    </w:tblStylePr>
    <w:tblStylePr w:type="band1Vert">
      <w:tblPr/>
      <w:tcPr>
        <w:shd w:val="clear" w:color="auto" w:fill="3DB0FF" w:themeFill="accent2" w:themeFillTint="7F"/>
      </w:tcPr>
    </w:tblStylePr>
    <w:tblStylePr w:type="band1Horz">
      <w:tblPr/>
      <w:tcPr>
        <w:tcBorders>
          <w:insideH w:val="single" w:sz="6" w:space="0" w:color="00497A" w:themeColor="accent2"/>
          <w:insideV w:val="single" w:sz="6" w:space="0" w:color="00497A" w:themeColor="accent2"/>
        </w:tcBorders>
        <w:shd w:val="clear" w:color="auto" w:fill="3DB0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00568"/>
    <w:pPr>
      <w:spacing w:before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49CC9" w:themeColor="accent3"/>
        <w:left w:val="single" w:sz="8" w:space="0" w:color="749CC9" w:themeColor="accent3"/>
        <w:bottom w:val="single" w:sz="8" w:space="0" w:color="749CC9" w:themeColor="accent3"/>
        <w:right w:val="single" w:sz="8" w:space="0" w:color="749CC9" w:themeColor="accent3"/>
        <w:insideH w:val="single" w:sz="8" w:space="0" w:color="749CC9" w:themeColor="accent3"/>
        <w:insideV w:val="single" w:sz="8" w:space="0" w:color="749CC9" w:themeColor="accent3"/>
      </w:tblBorders>
    </w:tblPr>
    <w:tcPr>
      <w:shd w:val="clear" w:color="auto" w:fill="DCE6F1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1F5F9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BF4" w:themeFill="accent3" w:themeFillTint="33"/>
      </w:tcPr>
    </w:tblStylePr>
    <w:tblStylePr w:type="band1Vert">
      <w:tblPr/>
      <w:tcPr>
        <w:shd w:val="clear" w:color="auto" w:fill="B9CDE4" w:themeFill="accent3" w:themeFillTint="7F"/>
      </w:tcPr>
    </w:tblStylePr>
    <w:tblStylePr w:type="band1Horz">
      <w:tblPr/>
      <w:tcPr>
        <w:tcBorders>
          <w:insideH w:val="single" w:sz="6" w:space="0" w:color="749CC9" w:themeColor="accent3"/>
          <w:insideV w:val="single" w:sz="6" w:space="0" w:color="749CC9" w:themeColor="accent3"/>
        </w:tcBorders>
        <w:shd w:val="clear" w:color="auto" w:fill="B9CDE4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00568"/>
    <w:pPr>
      <w:spacing w:before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72CE" w:themeColor="accent4"/>
        <w:left w:val="single" w:sz="8" w:space="0" w:color="0072CE" w:themeColor="accent4"/>
        <w:bottom w:val="single" w:sz="8" w:space="0" w:color="0072CE" w:themeColor="accent4"/>
        <w:right w:val="single" w:sz="8" w:space="0" w:color="0072CE" w:themeColor="accent4"/>
        <w:insideH w:val="single" w:sz="8" w:space="0" w:color="0072CE" w:themeColor="accent4"/>
        <w:insideV w:val="single" w:sz="8" w:space="0" w:color="0072CE" w:themeColor="accent4"/>
      </w:tblBorders>
    </w:tblPr>
    <w:tcPr>
      <w:shd w:val="clear" w:color="auto" w:fill="B3DDF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1F1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E3FF" w:themeFill="accent4" w:themeFillTint="33"/>
      </w:tcPr>
    </w:tblStylePr>
    <w:tblStylePr w:type="band1Vert">
      <w:tblPr/>
      <w:tcPr>
        <w:shd w:val="clear" w:color="auto" w:fill="67BBFF" w:themeFill="accent4" w:themeFillTint="7F"/>
      </w:tcPr>
    </w:tblStylePr>
    <w:tblStylePr w:type="band1Horz">
      <w:tblPr/>
      <w:tcPr>
        <w:tcBorders>
          <w:insideH w:val="single" w:sz="6" w:space="0" w:color="0072CE" w:themeColor="accent4"/>
          <w:insideV w:val="single" w:sz="6" w:space="0" w:color="0072CE" w:themeColor="accent4"/>
        </w:tcBorders>
        <w:shd w:val="clear" w:color="auto" w:fill="67BB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00568"/>
    <w:pPr>
      <w:spacing w:before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CDE" w:themeColor="accent5"/>
        <w:left w:val="single" w:sz="8" w:space="0" w:color="009CDE" w:themeColor="accent5"/>
        <w:bottom w:val="single" w:sz="8" w:space="0" w:color="009CDE" w:themeColor="accent5"/>
        <w:right w:val="single" w:sz="8" w:space="0" w:color="009CDE" w:themeColor="accent5"/>
        <w:insideH w:val="single" w:sz="8" w:space="0" w:color="009CDE" w:themeColor="accent5"/>
        <w:insideV w:val="single" w:sz="8" w:space="0" w:color="009CDE" w:themeColor="accent5"/>
      </w:tblBorders>
    </w:tblPr>
    <w:tcPr>
      <w:shd w:val="clear" w:color="auto" w:fill="B7E9F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2F6F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EDFF" w:themeFill="accent5" w:themeFillTint="33"/>
      </w:tcPr>
    </w:tblStylePr>
    <w:tblStylePr w:type="band1Vert">
      <w:tblPr/>
      <w:tcPr>
        <w:shd w:val="clear" w:color="auto" w:fill="6FD4FF" w:themeFill="accent5" w:themeFillTint="7F"/>
      </w:tcPr>
    </w:tblStylePr>
    <w:tblStylePr w:type="band1Horz">
      <w:tblPr/>
      <w:tcPr>
        <w:tcBorders>
          <w:insideH w:val="single" w:sz="6" w:space="0" w:color="009CDE" w:themeColor="accent5"/>
          <w:insideV w:val="single" w:sz="6" w:space="0" w:color="009CDE" w:themeColor="accent5"/>
        </w:tcBorders>
        <w:shd w:val="clear" w:color="auto" w:fill="6FD4F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00568"/>
    <w:pPr>
      <w:spacing w:before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2A2B" w:themeColor="accent6"/>
        <w:left w:val="single" w:sz="8" w:space="0" w:color="8A2A2B" w:themeColor="accent6"/>
        <w:bottom w:val="single" w:sz="8" w:space="0" w:color="8A2A2B" w:themeColor="accent6"/>
        <w:right w:val="single" w:sz="8" w:space="0" w:color="8A2A2B" w:themeColor="accent6"/>
        <w:insideH w:val="single" w:sz="8" w:space="0" w:color="8A2A2B" w:themeColor="accent6"/>
        <w:insideV w:val="single" w:sz="8" w:space="0" w:color="8A2A2B" w:themeColor="accent6"/>
      </w:tblBorders>
    </w:tblPr>
    <w:tcPr>
      <w:shd w:val="clear" w:color="auto" w:fill="ECC0C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7E5E5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CCC" w:themeFill="accent6" w:themeFillTint="33"/>
      </w:tcPr>
    </w:tblStylePr>
    <w:tblStylePr w:type="band1Vert">
      <w:tblPr/>
      <w:tcPr>
        <w:shd w:val="clear" w:color="auto" w:fill="D88081" w:themeFill="accent6" w:themeFillTint="7F"/>
      </w:tcPr>
    </w:tblStylePr>
    <w:tblStylePr w:type="band1Horz">
      <w:tblPr/>
      <w:tcPr>
        <w:tcBorders>
          <w:insideH w:val="single" w:sz="6" w:space="0" w:color="8A2A2B" w:themeColor="accent6"/>
          <w:insideV w:val="single" w:sz="6" w:space="0" w:color="8A2A2B" w:themeColor="accent6"/>
        </w:tcBorders>
        <w:shd w:val="clear" w:color="auto" w:fill="D88081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00568"/>
    <w:pPr>
      <w:spacing w:before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00568"/>
    <w:pPr>
      <w:spacing w:before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ADC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3A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3A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3A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3A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3B9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3B9FF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00568"/>
    <w:pPr>
      <w:spacing w:before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FD8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497A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497A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497A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497A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DB0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DB0FF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00568"/>
    <w:pPr>
      <w:spacing w:before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CE6F1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49CC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49CC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49CC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49CC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9CDE4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9CDE4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00568"/>
    <w:pPr>
      <w:spacing w:before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DDF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2CE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2CE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72CE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72CE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BB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BBFF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00568"/>
    <w:pPr>
      <w:spacing w:before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9F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CDE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CDE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CDE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CDE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4F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4FF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00568"/>
    <w:pPr>
      <w:spacing w:before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CC0C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2A2B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2A2B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2A2B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2A2B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8081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8081" w:themeFill="accent6" w:themeFillTint="7F"/>
      </w:tcPr>
    </w:tblStylePr>
  </w:style>
  <w:style w:type="table" w:styleId="MediumList1">
    <w:name w:val="Medium List 1"/>
    <w:basedOn w:val="TableNormal"/>
    <w:uiPriority w:val="65"/>
    <w:rsid w:val="00C00568"/>
    <w:pPr>
      <w:spacing w:before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201547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00568"/>
    <w:pPr>
      <w:spacing w:before="0"/>
    </w:pPr>
    <w:rPr>
      <w:color w:val="000000" w:themeColor="text1"/>
    </w:rPr>
    <w:tblPr>
      <w:tblStyleRowBandSize w:val="1"/>
      <w:tblStyleColBandSize w:val="1"/>
      <w:tblBorders>
        <w:top w:val="single" w:sz="8" w:space="0" w:color="0063A6" w:themeColor="accent1"/>
        <w:bottom w:val="single" w:sz="8" w:space="0" w:color="0063A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63A6" w:themeColor="accent1"/>
        </w:tcBorders>
      </w:tcPr>
    </w:tblStylePr>
    <w:tblStylePr w:type="lastRow">
      <w:rPr>
        <w:b/>
        <w:bCs/>
        <w:color w:val="201547" w:themeColor="text2"/>
      </w:rPr>
      <w:tblPr/>
      <w:tcPr>
        <w:tcBorders>
          <w:top w:val="single" w:sz="8" w:space="0" w:color="0063A6" w:themeColor="accent1"/>
          <w:bottom w:val="single" w:sz="8" w:space="0" w:color="0063A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63A6" w:themeColor="accent1"/>
          <w:bottom w:val="single" w:sz="8" w:space="0" w:color="0063A6" w:themeColor="accent1"/>
        </w:tcBorders>
      </w:tcPr>
    </w:tblStylePr>
    <w:tblStylePr w:type="band1Vert">
      <w:tblPr/>
      <w:tcPr>
        <w:shd w:val="clear" w:color="auto" w:fill="AADCFF" w:themeFill="accent1" w:themeFillTint="3F"/>
      </w:tcPr>
    </w:tblStylePr>
    <w:tblStylePr w:type="band1Horz">
      <w:tblPr/>
      <w:tcPr>
        <w:shd w:val="clear" w:color="auto" w:fill="AADCFF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00568"/>
    <w:pPr>
      <w:spacing w:before="0"/>
    </w:pPr>
    <w:rPr>
      <w:color w:val="000000" w:themeColor="text1"/>
    </w:rPr>
    <w:tblPr>
      <w:tblStyleRowBandSize w:val="1"/>
      <w:tblStyleColBandSize w:val="1"/>
      <w:tblBorders>
        <w:top w:val="single" w:sz="8" w:space="0" w:color="00497A" w:themeColor="accent2"/>
        <w:bottom w:val="single" w:sz="8" w:space="0" w:color="00497A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497A" w:themeColor="accent2"/>
        </w:tcBorders>
      </w:tcPr>
    </w:tblStylePr>
    <w:tblStylePr w:type="lastRow">
      <w:rPr>
        <w:b/>
        <w:bCs/>
        <w:color w:val="201547" w:themeColor="text2"/>
      </w:rPr>
      <w:tblPr/>
      <w:tcPr>
        <w:tcBorders>
          <w:top w:val="single" w:sz="8" w:space="0" w:color="00497A" w:themeColor="accent2"/>
          <w:bottom w:val="single" w:sz="8" w:space="0" w:color="00497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497A" w:themeColor="accent2"/>
          <w:bottom w:val="single" w:sz="8" w:space="0" w:color="00497A" w:themeColor="accent2"/>
        </w:tcBorders>
      </w:tcPr>
    </w:tblStylePr>
    <w:tblStylePr w:type="band1Vert">
      <w:tblPr/>
      <w:tcPr>
        <w:shd w:val="clear" w:color="auto" w:fill="9FD8FF" w:themeFill="accent2" w:themeFillTint="3F"/>
      </w:tcPr>
    </w:tblStylePr>
    <w:tblStylePr w:type="band1Horz">
      <w:tblPr/>
      <w:tcPr>
        <w:shd w:val="clear" w:color="auto" w:fill="9FD8FF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00568"/>
    <w:pPr>
      <w:spacing w:before="0"/>
    </w:pPr>
    <w:rPr>
      <w:color w:val="000000" w:themeColor="text1"/>
    </w:rPr>
    <w:tblPr>
      <w:tblStyleRowBandSize w:val="1"/>
      <w:tblStyleColBandSize w:val="1"/>
      <w:tblBorders>
        <w:top w:val="single" w:sz="8" w:space="0" w:color="749CC9" w:themeColor="accent3"/>
        <w:bottom w:val="single" w:sz="8" w:space="0" w:color="749CC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49CC9" w:themeColor="accent3"/>
        </w:tcBorders>
      </w:tcPr>
    </w:tblStylePr>
    <w:tblStylePr w:type="lastRow">
      <w:rPr>
        <w:b/>
        <w:bCs/>
        <w:color w:val="201547" w:themeColor="text2"/>
      </w:rPr>
      <w:tblPr/>
      <w:tcPr>
        <w:tcBorders>
          <w:top w:val="single" w:sz="8" w:space="0" w:color="749CC9" w:themeColor="accent3"/>
          <w:bottom w:val="single" w:sz="8" w:space="0" w:color="749CC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49CC9" w:themeColor="accent3"/>
          <w:bottom w:val="single" w:sz="8" w:space="0" w:color="749CC9" w:themeColor="accent3"/>
        </w:tcBorders>
      </w:tcPr>
    </w:tblStylePr>
    <w:tblStylePr w:type="band1Vert">
      <w:tblPr/>
      <w:tcPr>
        <w:shd w:val="clear" w:color="auto" w:fill="DCE6F1" w:themeFill="accent3" w:themeFillTint="3F"/>
      </w:tcPr>
    </w:tblStylePr>
    <w:tblStylePr w:type="band1Horz">
      <w:tblPr/>
      <w:tcPr>
        <w:shd w:val="clear" w:color="auto" w:fill="DCE6F1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00568"/>
    <w:pPr>
      <w:spacing w:before="0"/>
    </w:pPr>
    <w:rPr>
      <w:color w:val="000000" w:themeColor="text1"/>
    </w:rPr>
    <w:tblPr>
      <w:tblStyleRowBandSize w:val="1"/>
      <w:tblStyleColBandSize w:val="1"/>
      <w:tblBorders>
        <w:top w:val="single" w:sz="8" w:space="0" w:color="0072CE" w:themeColor="accent4"/>
        <w:bottom w:val="single" w:sz="8" w:space="0" w:color="0072CE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2CE" w:themeColor="accent4"/>
        </w:tcBorders>
      </w:tcPr>
    </w:tblStylePr>
    <w:tblStylePr w:type="lastRow">
      <w:rPr>
        <w:b/>
        <w:bCs/>
        <w:color w:val="201547" w:themeColor="text2"/>
      </w:rPr>
      <w:tblPr/>
      <w:tcPr>
        <w:tcBorders>
          <w:top w:val="single" w:sz="8" w:space="0" w:color="0072CE" w:themeColor="accent4"/>
          <w:bottom w:val="single" w:sz="8" w:space="0" w:color="0072C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2CE" w:themeColor="accent4"/>
          <w:bottom w:val="single" w:sz="8" w:space="0" w:color="0072CE" w:themeColor="accent4"/>
        </w:tcBorders>
      </w:tcPr>
    </w:tblStylePr>
    <w:tblStylePr w:type="band1Vert">
      <w:tblPr/>
      <w:tcPr>
        <w:shd w:val="clear" w:color="auto" w:fill="B3DDFF" w:themeFill="accent4" w:themeFillTint="3F"/>
      </w:tcPr>
    </w:tblStylePr>
    <w:tblStylePr w:type="band1Horz">
      <w:tblPr/>
      <w:tcPr>
        <w:shd w:val="clear" w:color="auto" w:fill="B3DDFF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00568"/>
    <w:pPr>
      <w:spacing w:before="0"/>
    </w:pPr>
    <w:rPr>
      <w:color w:val="000000" w:themeColor="text1"/>
    </w:rPr>
    <w:tblPr>
      <w:tblStyleRowBandSize w:val="1"/>
      <w:tblStyleColBandSize w:val="1"/>
      <w:tblBorders>
        <w:top w:val="single" w:sz="8" w:space="0" w:color="009CDE" w:themeColor="accent5"/>
        <w:bottom w:val="single" w:sz="8" w:space="0" w:color="009CDE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CDE" w:themeColor="accent5"/>
        </w:tcBorders>
      </w:tcPr>
    </w:tblStylePr>
    <w:tblStylePr w:type="lastRow">
      <w:rPr>
        <w:b/>
        <w:bCs/>
        <w:color w:val="201547" w:themeColor="text2"/>
      </w:rPr>
      <w:tblPr/>
      <w:tcPr>
        <w:tcBorders>
          <w:top w:val="single" w:sz="8" w:space="0" w:color="009CDE" w:themeColor="accent5"/>
          <w:bottom w:val="single" w:sz="8" w:space="0" w:color="009CD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CDE" w:themeColor="accent5"/>
          <w:bottom w:val="single" w:sz="8" w:space="0" w:color="009CDE" w:themeColor="accent5"/>
        </w:tcBorders>
      </w:tcPr>
    </w:tblStylePr>
    <w:tblStylePr w:type="band1Vert">
      <w:tblPr/>
      <w:tcPr>
        <w:shd w:val="clear" w:color="auto" w:fill="B7E9FF" w:themeFill="accent5" w:themeFillTint="3F"/>
      </w:tcPr>
    </w:tblStylePr>
    <w:tblStylePr w:type="band1Horz">
      <w:tblPr/>
      <w:tcPr>
        <w:shd w:val="clear" w:color="auto" w:fill="B7E9FF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00568"/>
    <w:pPr>
      <w:spacing w:before="0"/>
    </w:pPr>
    <w:rPr>
      <w:color w:val="000000" w:themeColor="text1"/>
    </w:rPr>
    <w:tblPr>
      <w:tblStyleRowBandSize w:val="1"/>
      <w:tblStyleColBandSize w:val="1"/>
      <w:tblBorders>
        <w:top w:val="single" w:sz="8" w:space="0" w:color="8A2A2B" w:themeColor="accent6"/>
        <w:bottom w:val="single" w:sz="8" w:space="0" w:color="8A2A2B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2A2B" w:themeColor="accent6"/>
        </w:tcBorders>
      </w:tcPr>
    </w:tblStylePr>
    <w:tblStylePr w:type="lastRow">
      <w:rPr>
        <w:b/>
        <w:bCs/>
        <w:color w:val="201547" w:themeColor="text2"/>
      </w:rPr>
      <w:tblPr/>
      <w:tcPr>
        <w:tcBorders>
          <w:top w:val="single" w:sz="8" w:space="0" w:color="8A2A2B" w:themeColor="accent6"/>
          <w:bottom w:val="single" w:sz="8" w:space="0" w:color="8A2A2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2A2B" w:themeColor="accent6"/>
          <w:bottom w:val="single" w:sz="8" w:space="0" w:color="8A2A2B" w:themeColor="accent6"/>
        </w:tcBorders>
      </w:tcPr>
    </w:tblStylePr>
    <w:tblStylePr w:type="band1Vert">
      <w:tblPr/>
      <w:tcPr>
        <w:shd w:val="clear" w:color="auto" w:fill="ECC0C0" w:themeFill="accent6" w:themeFillTint="3F"/>
      </w:tcPr>
    </w:tblStylePr>
    <w:tblStylePr w:type="band1Horz">
      <w:tblPr/>
      <w:tcPr>
        <w:shd w:val="clear" w:color="auto" w:fill="ECC0C0" w:themeFill="accent6" w:themeFillTint="3F"/>
      </w:tcPr>
    </w:tblStylePr>
  </w:style>
  <w:style w:type="table" w:styleId="MediumList2">
    <w:name w:val="Medium List 2"/>
    <w:basedOn w:val="TableNormal"/>
    <w:uiPriority w:val="66"/>
    <w:rsid w:val="00C00568"/>
    <w:pPr>
      <w:spacing w:before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00568"/>
    <w:pPr>
      <w:spacing w:before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3A6" w:themeColor="accent1"/>
        <w:left w:val="single" w:sz="8" w:space="0" w:color="0063A6" w:themeColor="accent1"/>
        <w:bottom w:val="single" w:sz="8" w:space="0" w:color="0063A6" w:themeColor="accent1"/>
        <w:right w:val="single" w:sz="8" w:space="0" w:color="0063A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3A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63A6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3A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3A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DC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ADC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00568"/>
    <w:pPr>
      <w:spacing w:before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497A" w:themeColor="accent2"/>
        <w:left w:val="single" w:sz="8" w:space="0" w:color="00497A" w:themeColor="accent2"/>
        <w:bottom w:val="single" w:sz="8" w:space="0" w:color="00497A" w:themeColor="accent2"/>
        <w:right w:val="single" w:sz="8" w:space="0" w:color="00497A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497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497A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497A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497A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FD8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FD8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00568"/>
    <w:pPr>
      <w:spacing w:before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49CC9" w:themeColor="accent3"/>
        <w:left w:val="single" w:sz="8" w:space="0" w:color="749CC9" w:themeColor="accent3"/>
        <w:bottom w:val="single" w:sz="8" w:space="0" w:color="749CC9" w:themeColor="accent3"/>
        <w:right w:val="single" w:sz="8" w:space="0" w:color="749CC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49CC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49CC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49CC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49CC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6F1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CE6F1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00568"/>
    <w:pPr>
      <w:spacing w:before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72CE" w:themeColor="accent4"/>
        <w:left w:val="single" w:sz="8" w:space="0" w:color="0072CE" w:themeColor="accent4"/>
        <w:bottom w:val="single" w:sz="8" w:space="0" w:color="0072CE" w:themeColor="accent4"/>
        <w:right w:val="single" w:sz="8" w:space="0" w:color="0072CE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2C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72CE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2CE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72CE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DD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DD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00568"/>
    <w:pPr>
      <w:spacing w:before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CDE" w:themeColor="accent5"/>
        <w:left w:val="single" w:sz="8" w:space="0" w:color="009CDE" w:themeColor="accent5"/>
        <w:bottom w:val="single" w:sz="8" w:space="0" w:color="009CDE" w:themeColor="accent5"/>
        <w:right w:val="single" w:sz="8" w:space="0" w:color="009CDE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CD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CDE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CDE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CDE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9F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9F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00568"/>
    <w:pPr>
      <w:spacing w:before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2A2B" w:themeColor="accent6"/>
        <w:left w:val="single" w:sz="8" w:space="0" w:color="8A2A2B" w:themeColor="accent6"/>
        <w:bottom w:val="single" w:sz="8" w:space="0" w:color="8A2A2B" w:themeColor="accent6"/>
        <w:right w:val="single" w:sz="8" w:space="0" w:color="8A2A2B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2A2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A2A2B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2A2B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2A2B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C0C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CC0C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C00568"/>
    <w:pPr>
      <w:spacing w:before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00568"/>
    <w:pPr>
      <w:spacing w:before="0"/>
    </w:pPr>
    <w:tblPr>
      <w:tblStyleRowBandSize w:val="1"/>
      <w:tblStyleColBandSize w:val="1"/>
      <w:tblBorders>
        <w:top w:val="single" w:sz="8" w:space="0" w:color="0096FC" w:themeColor="accent1" w:themeTint="BF"/>
        <w:left w:val="single" w:sz="8" w:space="0" w:color="0096FC" w:themeColor="accent1" w:themeTint="BF"/>
        <w:bottom w:val="single" w:sz="8" w:space="0" w:color="0096FC" w:themeColor="accent1" w:themeTint="BF"/>
        <w:right w:val="single" w:sz="8" w:space="0" w:color="0096FC" w:themeColor="accent1" w:themeTint="BF"/>
        <w:insideH w:val="single" w:sz="8" w:space="0" w:color="0096F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96FC" w:themeColor="accent1" w:themeTint="BF"/>
          <w:left w:val="single" w:sz="8" w:space="0" w:color="0096FC" w:themeColor="accent1" w:themeTint="BF"/>
          <w:bottom w:val="single" w:sz="8" w:space="0" w:color="0096FC" w:themeColor="accent1" w:themeTint="BF"/>
          <w:right w:val="single" w:sz="8" w:space="0" w:color="0096FC" w:themeColor="accent1" w:themeTint="BF"/>
          <w:insideH w:val="nil"/>
          <w:insideV w:val="nil"/>
        </w:tcBorders>
        <w:shd w:val="clear" w:color="auto" w:fill="0063A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6FC" w:themeColor="accent1" w:themeTint="BF"/>
          <w:left w:val="single" w:sz="8" w:space="0" w:color="0096FC" w:themeColor="accent1" w:themeTint="BF"/>
          <w:bottom w:val="single" w:sz="8" w:space="0" w:color="0096FC" w:themeColor="accent1" w:themeTint="BF"/>
          <w:right w:val="single" w:sz="8" w:space="0" w:color="0096F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DC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ADC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00568"/>
    <w:pPr>
      <w:spacing w:before="0"/>
    </w:pPr>
    <w:tblPr>
      <w:tblStyleRowBandSize w:val="1"/>
      <w:tblStyleColBandSize w:val="1"/>
      <w:tblBorders>
        <w:top w:val="single" w:sz="8" w:space="0" w:color="0082DB" w:themeColor="accent2" w:themeTint="BF"/>
        <w:left w:val="single" w:sz="8" w:space="0" w:color="0082DB" w:themeColor="accent2" w:themeTint="BF"/>
        <w:bottom w:val="single" w:sz="8" w:space="0" w:color="0082DB" w:themeColor="accent2" w:themeTint="BF"/>
        <w:right w:val="single" w:sz="8" w:space="0" w:color="0082DB" w:themeColor="accent2" w:themeTint="BF"/>
        <w:insideH w:val="single" w:sz="8" w:space="0" w:color="0082DB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82DB" w:themeColor="accent2" w:themeTint="BF"/>
          <w:left w:val="single" w:sz="8" w:space="0" w:color="0082DB" w:themeColor="accent2" w:themeTint="BF"/>
          <w:bottom w:val="single" w:sz="8" w:space="0" w:color="0082DB" w:themeColor="accent2" w:themeTint="BF"/>
          <w:right w:val="single" w:sz="8" w:space="0" w:color="0082DB" w:themeColor="accent2" w:themeTint="BF"/>
          <w:insideH w:val="nil"/>
          <w:insideV w:val="nil"/>
        </w:tcBorders>
        <w:shd w:val="clear" w:color="auto" w:fill="00497A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2DB" w:themeColor="accent2" w:themeTint="BF"/>
          <w:left w:val="single" w:sz="8" w:space="0" w:color="0082DB" w:themeColor="accent2" w:themeTint="BF"/>
          <w:bottom w:val="single" w:sz="8" w:space="0" w:color="0082DB" w:themeColor="accent2" w:themeTint="BF"/>
          <w:right w:val="single" w:sz="8" w:space="0" w:color="0082DB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FD8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FD8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00568"/>
    <w:pPr>
      <w:spacing w:before="0"/>
    </w:pPr>
    <w:tblPr>
      <w:tblStyleRowBandSize w:val="1"/>
      <w:tblStyleColBandSize w:val="1"/>
      <w:tblBorders>
        <w:top w:val="single" w:sz="8" w:space="0" w:color="96B4D6" w:themeColor="accent3" w:themeTint="BF"/>
        <w:left w:val="single" w:sz="8" w:space="0" w:color="96B4D6" w:themeColor="accent3" w:themeTint="BF"/>
        <w:bottom w:val="single" w:sz="8" w:space="0" w:color="96B4D6" w:themeColor="accent3" w:themeTint="BF"/>
        <w:right w:val="single" w:sz="8" w:space="0" w:color="96B4D6" w:themeColor="accent3" w:themeTint="BF"/>
        <w:insideH w:val="single" w:sz="8" w:space="0" w:color="96B4D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6B4D6" w:themeColor="accent3" w:themeTint="BF"/>
          <w:left w:val="single" w:sz="8" w:space="0" w:color="96B4D6" w:themeColor="accent3" w:themeTint="BF"/>
          <w:bottom w:val="single" w:sz="8" w:space="0" w:color="96B4D6" w:themeColor="accent3" w:themeTint="BF"/>
          <w:right w:val="single" w:sz="8" w:space="0" w:color="96B4D6" w:themeColor="accent3" w:themeTint="BF"/>
          <w:insideH w:val="nil"/>
          <w:insideV w:val="nil"/>
        </w:tcBorders>
        <w:shd w:val="clear" w:color="auto" w:fill="749CC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B4D6" w:themeColor="accent3" w:themeTint="BF"/>
          <w:left w:val="single" w:sz="8" w:space="0" w:color="96B4D6" w:themeColor="accent3" w:themeTint="BF"/>
          <w:bottom w:val="single" w:sz="8" w:space="0" w:color="96B4D6" w:themeColor="accent3" w:themeTint="BF"/>
          <w:right w:val="single" w:sz="8" w:space="0" w:color="96B4D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6F1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CE6F1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00568"/>
    <w:pPr>
      <w:spacing w:before="0"/>
    </w:pPr>
    <w:tblPr>
      <w:tblStyleRowBandSize w:val="1"/>
      <w:tblStyleColBandSize w:val="1"/>
      <w:tblBorders>
        <w:top w:val="single" w:sz="8" w:space="0" w:color="1B99FF" w:themeColor="accent4" w:themeTint="BF"/>
        <w:left w:val="single" w:sz="8" w:space="0" w:color="1B99FF" w:themeColor="accent4" w:themeTint="BF"/>
        <w:bottom w:val="single" w:sz="8" w:space="0" w:color="1B99FF" w:themeColor="accent4" w:themeTint="BF"/>
        <w:right w:val="single" w:sz="8" w:space="0" w:color="1B99FF" w:themeColor="accent4" w:themeTint="BF"/>
        <w:insideH w:val="single" w:sz="8" w:space="0" w:color="1B99F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B99FF" w:themeColor="accent4" w:themeTint="BF"/>
          <w:left w:val="single" w:sz="8" w:space="0" w:color="1B99FF" w:themeColor="accent4" w:themeTint="BF"/>
          <w:bottom w:val="single" w:sz="8" w:space="0" w:color="1B99FF" w:themeColor="accent4" w:themeTint="BF"/>
          <w:right w:val="single" w:sz="8" w:space="0" w:color="1B99FF" w:themeColor="accent4" w:themeTint="BF"/>
          <w:insideH w:val="nil"/>
          <w:insideV w:val="nil"/>
        </w:tcBorders>
        <w:shd w:val="clear" w:color="auto" w:fill="0072C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B99FF" w:themeColor="accent4" w:themeTint="BF"/>
          <w:left w:val="single" w:sz="8" w:space="0" w:color="1B99FF" w:themeColor="accent4" w:themeTint="BF"/>
          <w:bottom w:val="single" w:sz="8" w:space="0" w:color="1B99FF" w:themeColor="accent4" w:themeTint="BF"/>
          <w:right w:val="single" w:sz="8" w:space="0" w:color="1B99F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DD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DD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00568"/>
    <w:pPr>
      <w:spacing w:before="0"/>
    </w:pPr>
    <w:tblPr>
      <w:tblStyleRowBandSize w:val="1"/>
      <w:tblStyleColBandSize w:val="1"/>
      <w:tblBorders>
        <w:top w:val="single" w:sz="8" w:space="0" w:color="27BEFF" w:themeColor="accent5" w:themeTint="BF"/>
        <w:left w:val="single" w:sz="8" w:space="0" w:color="27BEFF" w:themeColor="accent5" w:themeTint="BF"/>
        <w:bottom w:val="single" w:sz="8" w:space="0" w:color="27BEFF" w:themeColor="accent5" w:themeTint="BF"/>
        <w:right w:val="single" w:sz="8" w:space="0" w:color="27BEFF" w:themeColor="accent5" w:themeTint="BF"/>
        <w:insideH w:val="single" w:sz="8" w:space="0" w:color="27BEF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7BEFF" w:themeColor="accent5" w:themeTint="BF"/>
          <w:left w:val="single" w:sz="8" w:space="0" w:color="27BEFF" w:themeColor="accent5" w:themeTint="BF"/>
          <w:bottom w:val="single" w:sz="8" w:space="0" w:color="27BEFF" w:themeColor="accent5" w:themeTint="BF"/>
          <w:right w:val="single" w:sz="8" w:space="0" w:color="27BEFF" w:themeColor="accent5" w:themeTint="BF"/>
          <w:insideH w:val="nil"/>
          <w:insideV w:val="nil"/>
        </w:tcBorders>
        <w:shd w:val="clear" w:color="auto" w:fill="009CD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7BEFF" w:themeColor="accent5" w:themeTint="BF"/>
          <w:left w:val="single" w:sz="8" w:space="0" w:color="27BEFF" w:themeColor="accent5" w:themeTint="BF"/>
          <w:bottom w:val="single" w:sz="8" w:space="0" w:color="27BEFF" w:themeColor="accent5" w:themeTint="BF"/>
          <w:right w:val="single" w:sz="8" w:space="0" w:color="27BEF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9F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9F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00568"/>
    <w:pPr>
      <w:spacing w:before="0"/>
    </w:pPr>
    <w:tblPr>
      <w:tblStyleRowBandSize w:val="1"/>
      <w:tblStyleColBandSize w:val="1"/>
      <w:tblBorders>
        <w:top w:val="single" w:sz="8" w:space="0" w:color="C54142" w:themeColor="accent6" w:themeTint="BF"/>
        <w:left w:val="single" w:sz="8" w:space="0" w:color="C54142" w:themeColor="accent6" w:themeTint="BF"/>
        <w:bottom w:val="single" w:sz="8" w:space="0" w:color="C54142" w:themeColor="accent6" w:themeTint="BF"/>
        <w:right w:val="single" w:sz="8" w:space="0" w:color="C54142" w:themeColor="accent6" w:themeTint="BF"/>
        <w:insideH w:val="single" w:sz="8" w:space="0" w:color="C5414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54142" w:themeColor="accent6" w:themeTint="BF"/>
          <w:left w:val="single" w:sz="8" w:space="0" w:color="C54142" w:themeColor="accent6" w:themeTint="BF"/>
          <w:bottom w:val="single" w:sz="8" w:space="0" w:color="C54142" w:themeColor="accent6" w:themeTint="BF"/>
          <w:right w:val="single" w:sz="8" w:space="0" w:color="C54142" w:themeColor="accent6" w:themeTint="BF"/>
          <w:insideH w:val="nil"/>
          <w:insideV w:val="nil"/>
        </w:tcBorders>
        <w:shd w:val="clear" w:color="auto" w:fill="8A2A2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4142" w:themeColor="accent6" w:themeTint="BF"/>
          <w:left w:val="single" w:sz="8" w:space="0" w:color="C54142" w:themeColor="accent6" w:themeTint="BF"/>
          <w:bottom w:val="single" w:sz="8" w:space="0" w:color="C54142" w:themeColor="accent6" w:themeTint="BF"/>
          <w:right w:val="single" w:sz="8" w:space="0" w:color="C5414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0C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CC0C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00568"/>
    <w:pPr>
      <w:spacing w:before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00568"/>
    <w:pPr>
      <w:spacing w:before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3A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3A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63A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00568"/>
    <w:pPr>
      <w:spacing w:before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97A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97A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497A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00568"/>
    <w:pPr>
      <w:spacing w:before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49CC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49CC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49CC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00568"/>
    <w:pPr>
      <w:spacing w:before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CE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C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2CE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00568"/>
    <w:pPr>
      <w:spacing w:before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2A2B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2A2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2A2B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C0056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0056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rsid w:val="00C00568"/>
    <w:pPr>
      <w:keepLines/>
      <w:spacing w:before="0"/>
    </w:pPr>
  </w:style>
  <w:style w:type="paragraph" w:styleId="NormalWeb">
    <w:name w:val="Normal (Web)"/>
    <w:basedOn w:val="Normal"/>
    <w:uiPriority w:val="99"/>
    <w:semiHidden/>
    <w:unhideWhenUsed/>
    <w:rsid w:val="00C00568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C0056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C00568"/>
    <w:pPr>
      <w:spacing w:before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00568"/>
  </w:style>
  <w:style w:type="character" w:styleId="PlaceholderText">
    <w:name w:val="Placeholder Text"/>
    <w:basedOn w:val="DefaultParagraphFont"/>
    <w:uiPriority w:val="99"/>
    <w:semiHidden/>
    <w:rsid w:val="00C00568"/>
    <w:rPr>
      <w:color w:val="80808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00568"/>
    <w:pPr>
      <w:spacing w:before="0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00568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rsid w:val="00C00568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C00568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C0056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00568"/>
  </w:style>
  <w:style w:type="paragraph" w:styleId="Signature">
    <w:name w:val="Signature"/>
    <w:basedOn w:val="Normal"/>
    <w:link w:val="SignatureChar"/>
    <w:uiPriority w:val="99"/>
    <w:semiHidden/>
    <w:unhideWhenUsed/>
    <w:rsid w:val="00C00568"/>
    <w:pPr>
      <w:spacing w:before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C00568"/>
  </w:style>
  <w:style w:type="character" w:styleId="Strong">
    <w:name w:val="Strong"/>
    <w:basedOn w:val="DefaultParagraphFont"/>
    <w:uiPriority w:val="98"/>
    <w:semiHidden/>
    <w:rsid w:val="00C00568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C00568"/>
    <w:pPr>
      <w:numPr>
        <w:ilvl w:val="1"/>
      </w:numPr>
    </w:pPr>
    <w:rPr>
      <w:rFonts w:asciiTheme="majorHAnsi" w:eastAsiaTheme="majorEastAsia" w:hAnsiTheme="majorHAnsi" w:cstheme="majorBidi"/>
      <w:i/>
      <w:iCs/>
      <w:color w:val="0063A6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C00568"/>
    <w:rPr>
      <w:rFonts w:asciiTheme="majorHAnsi" w:eastAsiaTheme="majorEastAsia" w:hAnsiTheme="majorHAnsi" w:cstheme="majorBidi"/>
      <w:i/>
      <w:iCs/>
      <w:color w:val="0063A6" w:themeColor="accent1"/>
      <w:spacing w:val="15"/>
      <w:sz w:val="24"/>
      <w:szCs w:val="24"/>
    </w:rPr>
  </w:style>
  <w:style w:type="character" w:styleId="SubtleReference">
    <w:name w:val="Subtle Reference"/>
    <w:basedOn w:val="DefaultParagraphFont"/>
    <w:uiPriority w:val="31"/>
    <w:semiHidden/>
    <w:rsid w:val="00C00568"/>
    <w:rPr>
      <w:smallCaps/>
      <w:color w:val="00497A" w:themeColor="accent2"/>
      <w:u w:val="single"/>
    </w:rPr>
  </w:style>
  <w:style w:type="table" w:styleId="Table3Deffects1">
    <w:name w:val="Table 3D effects 1"/>
    <w:basedOn w:val="TableNormal"/>
    <w:uiPriority w:val="99"/>
    <w:semiHidden/>
    <w:unhideWhenUsed/>
    <w:rsid w:val="00C00568"/>
    <w:pPr>
      <w:keepLines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C00568"/>
    <w:pPr>
      <w:keepLines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C00568"/>
    <w:pPr>
      <w:keepLines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C00568"/>
    <w:pPr>
      <w:keepLines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C00568"/>
    <w:pPr>
      <w:keepLines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C00568"/>
    <w:pPr>
      <w:keepLines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C00568"/>
    <w:pPr>
      <w:keepLines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C00568"/>
    <w:pPr>
      <w:keepLines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C00568"/>
    <w:pPr>
      <w:keepLines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C00568"/>
    <w:pPr>
      <w:keepLines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C00568"/>
    <w:pPr>
      <w:keepLines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C00568"/>
    <w:pPr>
      <w:keepLines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C00568"/>
    <w:pPr>
      <w:keepLines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C00568"/>
    <w:pPr>
      <w:keepLines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C00568"/>
    <w:pPr>
      <w:keepLines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C00568"/>
    <w:pPr>
      <w:keepLines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C00568"/>
    <w:pPr>
      <w:keepLines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C00568"/>
    <w:pPr>
      <w:keepLines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C00568"/>
    <w:pPr>
      <w:keepLines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C00568"/>
    <w:pPr>
      <w:keepLines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C00568"/>
    <w:pPr>
      <w:keepLines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C00568"/>
    <w:pPr>
      <w:keepLines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C00568"/>
    <w:pPr>
      <w:keepLines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C00568"/>
    <w:pPr>
      <w:keepLines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C00568"/>
    <w:pPr>
      <w:keepLines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C00568"/>
    <w:pPr>
      <w:keepLines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C00568"/>
    <w:pPr>
      <w:keepLines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C00568"/>
    <w:pPr>
      <w:keepLines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C00568"/>
    <w:pPr>
      <w:keepLines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C00568"/>
    <w:pPr>
      <w:keepLines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C00568"/>
    <w:pPr>
      <w:keepLines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C00568"/>
    <w:pPr>
      <w:keepLines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C00568"/>
    <w:pPr>
      <w:keepLines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C00568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C00568"/>
  </w:style>
  <w:style w:type="table" w:styleId="TableProfessional">
    <w:name w:val="Table Professional"/>
    <w:basedOn w:val="TableNormal"/>
    <w:uiPriority w:val="99"/>
    <w:semiHidden/>
    <w:unhideWhenUsed/>
    <w:rsid w:val="00C00568"/>
    <w:pPr>
      <w:keepLines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C00568"/>
    <w:pPr>
      <w:keepLines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C00568"/>
    <w:pPr>
      <w:keepLines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C00568"/>
    <w:pPr>
      <w:keepLines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C00568"/>
    <w:pPr>
      <w:keepLines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C00568"/>
    <w:pPr>
      <w:keepLines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C00568"/>
    <w:pPr>
      <w:keepLine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C00568"/>
    <w:pPr>
      <w:keepLines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C00568"/>
    <w:pPr>
      <w:keepLines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C00568"/>
    <w:pPr>
      <w:keepLines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rsid w:val="00C00568"/>
    <w:pPr>
      <w:pBdr>
        <w:bottom w:val="single" w:sz="8" w:space="4" w:color="0063A6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0F34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C00568"/>
    <w:rPr>
      <w:rFonts w:asciiTheme="majorHAnsi" w:eastAsiaTheme="majorEastAsia" w:hAnsiTheme="majorHAnsi" w:cstheme="majorBidi"/>
      <w:color w:val="170F34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C00568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5">
    <w:name w:val="toc 5"/>
    <w:basedOn w:val="Normal"/>
    <w:next w:val="Normal"/>
    <w:autoRedefine/>
    <w:uiPriority w:val="96"/>
    <w:semiHidden/>
    <w:rsid w:val="00C00568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96"/>
    <w:semiHidden/>
    <w:rsid w:val="00C00568"/>
    <w:pPr>
      <w:spacing w:after="100"/>
      <w:ind w:left="1100"/>
    </w:pPr>
  </w:style>
  <w:style w:type="paragraph" w:styleId="TOC8">
    <w:name w:val="toc 8"/>
    <w:basedOn w:val="Normal"/>
    <w:next w:val="Normal"/>
    <w:autoRedefine/>
    <w:uiPriority w:val="96"/>
    <w:semiHidden/>
    <w:rsid w:val="00C00568"/>
    <w:pPr>
      <w:spacing w:after="100"/>
      <w:ind w:left="1540"/>
    </w:pPr>
  </w:style>
  <w:style w:type="paragraph" w:styleId="TOCHeading">
    <w:name w:val="TOC Heading"/>
    <w:basedOn w:val="Heading10"/>
    <w:next w:val="Normal"/>
    <w:uiPriority w:val="90"/>
    <w:semiHidden/>
    <w:unhideWhenUsed/>
    <w:rsid w:val="00C00568"/>
    <w:pPr>
      <w:spacing w:before="480"/>
      <w:outlineLvl w:val="9"/>
    </w:pPr>
    <w:rPr>
      <w:caps w:val="0"/>
      <w:color w:val="004A7C" w:themeColor="accent1" w:themeShade="BF"/>
      <w:spacing w:val="0"/>
      <w:sz w:val="28"/>
    </w:rPr>
  </w:style>
  <w:style w:type="table" w:customStyle="1" w:styleId="DTFTextTable">
    <w:name w:val="DTF Text Table"/>
    <w:basedOn w:val="DTFTable"/>
    <w:uiPriority w:val="99"/>
    <w:rsid w:val="00917D22"/>
    <w:pPr>
      <w:spacing w:after="120" w:line="216" w:lineRule="auto"/>
      <w:jc w:val="left"/>
    </w:pPr>
    <w:rPr>
      <w:sz w:val="20"/>
    </w:rPr>
    <w:tblPr/>
    <w:tblStylePr w:type="firstRow">
      <w:pPr>
        <w:wordWrap/>
        <w:spacing w:beforeLines="0" w:before="20" w:beforeAutospacing="0" w:afterLines="0" w:after="20" w:afterAutospacing="0" w:line="216" w:lineRule="auto"/>
        <w:jc w:val="left"/>
      </w:pPr>
      <w:rPr>
        <w:i/>
      </w:rPr>
      <w:tblPr/>
      <w:trPr>
        <w:cantSplit w:val="0"/>
      </w:trPr>
      <w:tcPr>
        <w:shd w:val="clear" w:color="auto" w:fill="000000" w:themeFill="text1"/>
        <w:vAlign w:val="bottom"/>
      </w:tcPr>
    </w:tblStylePr>
    <w:tblStylePr w:type="lastRow">
      <w:rPr>
        <w:b w:val="0"/>
      </w:rPr>
      <w:tblPr/>
      <w:tcPr>
        <w:tcBorders>
          <w:top w:val="single" w:sz="6" w:space="0" w:color="000000" w:themeColor="text1"/>
          <w:left w:val="nil"/>
          <w:bottom w:val="single" w:sz="12" w:space="0" w:color="000000" w:themeColor="text1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spacing w:line="240" w:lineRule="auto"/>
        <w:ind w:leftChars="0" w:left="170" w:rightChars="0" w:right="0" w:firstLineChars="0" w:hanging="170"/>
        <w:jc w:val="left"/>
      </w:pPr>
    </w:tblStylePr>
    <w:tblStylePr w:type="lastCol">
      <w:rPr>
        <w:b/>
      </w:rPr>
      <w:tblPr/>
      <w:tcPr>
        <w:shd w:val="clear" w:color="auto" w:fill="F2F2F2" w:themeFill="background1" w:themeFillShade="F2"/>
      </w:tcPr>
    </w:tblStylePr>
    <w:tblStylePr w:type="band1Vert">
      <w:tblPr/>
      <w:tcPr>
        <w:shd w:val="clear" w:color="auto" w:fill="EBEBEB" w:themeFill="background2"/>
      </w:tcPr>
    </w:tblStylePr>
    <w:tblStylePr w:type="band1Horz">
      <w:tblPr/>
      <w:tcPr>
        <w:tcBorders>
          <w:top w:val="nil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  <w:shd w:val="clear" w:color="auto" w:fill="EBEBEB" w:themeFill="background2"/>
      </w:tcPr>
    </w:tblStylePr>
    <w:tblStylePr w:type="band2Horz">
      <w:tblPr/>
      <w:tcPr>
        <w:tcBorders>
          <w:top w:val="nil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</w:style>
  <w:style w:type="character" w:customStyle="1" w:styleId="FooterevenChar">
    <w:name w:val="Footer (even) Char"/>
    <w:basedOn w:val="FooterChar"/>
    <w:link w:val="Footereven"/>
    <w:uiPriority w:val="84"/>
    <w:rsid w:val="008155D0"/>
    <w:rPr>
      <w:rFonts w:asciiTheme="majorHAnsi" w:hAnsiTheme="majorHAnsi"/>
      <w:sz w:val="18"/>
    </w:rPr>
  </w:style>
  <w:style w:type="paragraph" w:customStyle="1" w:styleId="ObjectiveHeading">
    <w:name w:val="Objective Heading"/>
    <w:basedOn w:val="Normal"/>
    <w:next w:val="Normal"/>
    <w:uiPriority w:val="62"/>
    <w:qFormat/>
    <w:rsid w:val="006E2BC5"/>
    <w:pPr>
      <w:keepNext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hd w:val="clear" w:color="auto" w:fill="F2F2F2" w:themeFill="background1" w:themeFillShade="F2"/>
    </w:pPr>
    <w:rPr>
      <w:rFonts w:asciiTheme="majorHAnsi" w:hAnsiTheme="majorHAnsi"/>
      <w:b/>
      <w:sz w:val="24"/>
    </w:rPr>
  </w:style>
  <w:style w:type="paragraph" w:customStyle="1" w:styleId="PerformanceMeasureNote">
    <w:name w:val="Performance Measure Note"/>
    <w:basedOn w:val="Normal"/>
    <w:uiPriority w:val="63"/>
    <w:qFormat/>
    <w:rsid w:val="00BC1376"/>
    <w:pPr>
      <w:spacing w:before="20" w:after="20"/>
      <w:ind w:left="170"/>
      <w:contextualSpacing/>
    </w:pPr>
    <w:rPr>
      <w:rFonts w:asciiTheme="majorHAnsi" w:hAnsiTheme="majorHAnsi"/>
      <w:i/>
      <w:spacing w:val="-2"/>
      <w:sz w:val="15"/>
      <w:szCs w:val="15"/>
    </w:rPr>
  </w:style>
  <w:style w:type="paragraph" w:customStyle="1" w:styleId="TableUnits">
    <w:name w:val="Table Units"/>
    <w:basedOn w:val="Normal"/>
    <w:next w:val="Normal"/>
    <w:uiPriority w:val="50"/>
    <w:qFormat/>
    <w:rsid w:val="0083463B"/>
    <w:pPr>
      <w:keepNext/>
      <w:tabs>
        <w:tab w:val="left" w:pos="567"/>
        <w:tab w:val="right" w:pos="9639"/>
        <w:tab w:val="right" w:pos="14742"/>
      </w:tabs>
      <w:spacing w:before="0" w:after="120"/>
      <w:ind w:left="1134" w:hanging="1134"/>
      <w:jc w:val="right"/>
    </w:pPr>
    <w:rPr>
      <w:rFonts w:asciiTheme="majorHAnsi" w:hAnsiTheme="majorHAnsi"/>
      <w:b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before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semiHidden="0" w:uiPriority="9" w:unhideWhenUsed="0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91"/>
    <w:lsdException w:name="toc 2" w:uiPriority="91"/>
    <w:lsdException w:name="toc 3" w:uiPriority="91" w:unhideWhenUsed="0"/>
    <w:lsdException w:name="toc 4" w:uiPriority="39" w:unhideWhenUsed="0"/>
    <w:lsdException w:name="toc 5" w:uiPriority="96" w:unhideWhenUsed="0"/>
    <w:lsdException w:name="toc 6" w:uiPriority="96" w:unhideWhenUsed="0"/>
    <w:lsdException w:name="toc 7" w:uiPriority="96" w:unhideWhenUsed="0"/>
    <w:lsdException w:name="toc 8" w:uiPriority="96" w:unhideWhenUsed="0"/>
    <w:lsdException w:name="toc 9" w:uiPriority="91"/>
    <w:lsdException w:name="header" w:uiPriority="85"/>
    <w:lsdException w:name="footer" w:uiPriority="0"/>
    <w:lsdException w:name="caption" w:uiPriority="35"/>
    <w:lsdException w:name="page number" w:uiPriority="0"/>
    <w:lsdException w:name="List" w:semiHidden="0" w:uiPriority="29" w:unhideWhenUsed="0"/>
    <w:lsdException w:name="List Bullet" w:uiPriority="19" w:qFormat="1"/>
    <w:lsdException w:name="List Number" w:semiHidden="0" w:uiPriority="19" w:unhideWhenUsed="0" w:qFormat="1"/>
    <w:lsdException w:name="List 2" w:uiPriority="29" w:unhideWhenUsed="0"/>
    <w:lsdException w:name="List 3" w:uiPriority="29"/>
    <w:lsdException w:name="List 4" w:uiPriority="29"/>
    <w:lsdException w:name="List 5" w:uiPriority="29"/>
    <w:lsdException w:name="List Bullet 2" w:uiPriority="19"/>
    <w:lsdException w:name="List Bullet 3" w:uiPriority="19"/>
    <w:lsdException w:name="List Bullet 4" w:uiPriority="19"/>
    <w:lsdException w:name="List Bullet 5" w:uiPriority="19"/>
    <w:lsdException w:name="List Number 2" w:semiHidden="0" w:uiPriority="19" w:unhideWhenUsed="0"/>
    <w:lsdException w:name="List Number 3" w:uiPriority="19"/>
    <w:lsdException w:name="List Number 4" w:uiPriority="19"/>
    <w:lsdException w:name="List Number 5" w:uiPriority="19"/>
    <w:lsdException w:name="Title" w:uiPriority="10" w:unhideWhenUsed="0"/>
    <w:lsdException w:name="Default Paragraph Font" w:uiPriority="1"/>
    <w:lsdException w:name="Body Text" w:uiPriority="4"/>
    <w:lsdException w:name="List Continue" w:semiHidden="0" w:uiPriority="24" w:unhideWhenUsed="0" w:qFormat="1"/>
    <w:lsdException w:name="List Continue 2" w:semiHidden="0" w:uiPriority="24" w:unhideWhenUsed="0"/>
    <w:lsdException w:name="List Continue 3" w:uiPriority="24"/>
    <w:lsdException w:name="List Continue 4" w:uiPriority="24"/>
    <w:lsdException w:name="List Continue 5" w:uiPriority="24"/>
    <w:lsdException w:name="Subtitle" w:uiPriority="11" w:unhideWhenUsed="0"/>
    <w:lsdException w:name="Strong" w:uiPriority="98" w:unhideWhenUsed="0"/>
    <w:lsdException w:name="Emphasis" w:uiPriority="98" w:unhideWhenUsed="0"/>
    <w:lsdException w:name="Table Grid" w:semiHidden="0" w:uiPriority="59" w:unhideWhenUsed="0"/>
    <w:lsdException w:name="Placeholder Text" w:unhideWhenUsed="0"/>
    <w:lsdException w:name="No Spacing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uiPriority="29" w:unhideWhenUsed="0"/>
    <w:lsdException w:name="Intense Quote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/>
    <w:lsdException w:name="Intense Emphasis" w:uiPriority="98" w:unhideWhenUsed="0"/>
    <w:lsdException w:name="Subtle Reference" w:uiPriority="31" w:unhideWhenUsed="0"/>
    <w:lsdException w:name="Intense Reference" w:uiPriority="32" w:unhideWhenUsed="0"/>
    <w:lsdException w:name="Book Title" w:uiPriority="33" w:unhideWhenUsed="0"/>
    <w:lsdException w:name="Bibliography" w:uiPriority="37"/>
    <w:lsdException w:name="TOC Heading" w:uiPriority="90"/>
  </w:latentStyles>
  <w:style w:type="paragraph" w:default="1" w:styleId="Normal">
    <w:name w:val="Normal"/>
    <w:qFormat/>
    <w:rsid w:val="00D36EAE"/>
    <w:pPr>
      <w:keepLines/>
      <w:spacing w:before="160" w:line="264" w:lineRule="auto"/>
    </w:pPr>
  </w:style>
  <w:style w:type="paragraph" w:styleId="Heading10">
    <w:name w:val="heading 1"/>
    <w:next w:val="Normal"/>
    <w:link w:val="Heading1Char"/>
    <w:uiPriority w:val="9"/>
    <w:qFormat/>
    <w:rsid w:val="00E46E4F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b/>
      <w:bCs/>
      <w:caps/>
      <w:spacing w:val="-2"/>
      <w:sz w:val="26"/>
      <w:szCs w:val="28"/>
    </w:rPr>
  </w:style>
  <w:style w:type="paragraph" w:styleId="Heading20">
    <w:name w:val="heading 2"/>
    <w:basedOn w:val="Heading10"/>
    <w:next w:val="Normal"/>
    <w:link w:val="Heading2Char"/>
    <w:uiPriority w:val="9"/>
    <w:qFormat/>
    <w:rsid w:val="00612683"/>
    <w:pPr>
      <w:numPr>
        <w:ilvl w:val="1"/>
      </w:numPr>
      <w:tabs>
        <w:tab w:val="right" w:pos="9582"/>
      </w:tabs>
      <w:spacing w:before="240"/>
      <w:outlineLvl w:val="1"/>
    </w:pPr>
    <w:rPr>
      <w:bCs w:val="0"/>
      <w:caps w:val="0"/>
      <w:szCs w:val="26"/>
    </w:rPr>
  </w:style>
  <w:style w:type="paragraph" w:styleId="Heading30">
    <w:name w:val="heading 3"/>
    <w:basedOn w:val="Heading20"/>
    <w:next w:val="Normal"/>
    <w:link w:val="Heading3Char"/>
    <w:uiPriority w:val="9"/>
    <w:qFormat/>
    <w:rsid w:val="0037430B"/>
    <w:pPr>
      <w:numPr>
        <w:ilvl w:val="2"/>
      </w:numPr>
      <w:outlineLvl w:val="2"/>
    </w:pPr>
    <w:rPr>
      <w:bCs/>
      <w:sz w:val="22"/>
    </w:rPr>
  </w:style>
  <w:style w:type="paragraph" w:styleId="Heading4">
    <w:name w:val="heading 4"/>
    <w:basedOn w:val="Heading30"/>
    <w:next w:val="Normal"/>
    <w:link w:val="Heading4Char"/>
    <w:uiPriority w:val="9"/>
    <w:rsid w:val="003741F4"/>
    <w:pPr>
      <w:numPr>
        <w:ilvl w:val="3"/>
      </w:numPr>
      <w:spacing w:before="180"/>
      <w:outlineLvl w:val="3"/>
    </w:pPr>
    <w:rPr>
      <w:b w:val="0"/>
      <w:bCs w:val="0"/>
      <w:i/>
      <w:iCs/>
      <w:spacing w:val="0"/>
    </w:rPr>
  </w:style>
  <w:style w:type="paragraph" w:styleId="Heading5">
    <w:name w:val="heading 5"/>
    <w:basedOn w:val="Heading4"/>
    <w:next w:val="Normal"/>
    <w:link w:val="Heading5Char"/>
    <w:uiPriority w:val="9"/>
    <w:semiHidden/>
    <w:unhideWhenUsed/>
    <w:rsid w:val="00DE3014"/>
    <w:pPr>
      <w:numPr>
        <w:ilvl w:val="4"/>
      </w:numPr>
      <w:outlineLvl w:val="4"/>
    </w:pPr>
    <w:rPr>
      <w:b/>
      <w:i w:val="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E36DAC"/>
    <w:pPr>
      <w:keepNext/>
      <w:numPr>
        <w:ilvl w:val="5"/>
        <w:numId w:val="19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003152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E36DAC"/>
    <w:pPr>
      <w:keepNext/>
      <w:numPr>
        <w:ilvl w:val="6"/>
        <w:numId w:val="1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E36DAC"/>
    <w:pPr>
      <w:keepNext/>
      <w:numPr>
        <w:ilvl w:val="7"/>
        <w:numId w:val="1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E36DAC"/>
    <w:pPr>
      <w:keepNext/>
      <w:numPr>
        <w:ilvl w:val="8"/>
        <w:numId w:val="1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0"/>
    <w:uiPriority w:val="9"/>
    <w:rsid w:val="00E46E4F"/>
    <w:rPr>
      <w:rFonts w:asciiTheme="majorHAnsi" w:eastAsiaTheme="majorEastAsia" w:hAnsiTheme="majorHAnsi" w:cstheme="majorBidi"/>
      <w:b/>
      <w:bCs/>
      <w:caps/>
      <w:spacing w:val="-2"/>
      <w:sz w:val="26"/>
      <w:szCs w:val="28"/>
    </w:rPr>
  </w:style>
  <w:style w:type="paragraph" w:customStyle="1" w:styleId="Chapterheading">
    <w:name w:val="Chapter heading"/>
    <w:basedOn w:val="Normal"/>
    <w:next w:val="Heading10"/>
    <w:uiPriority w:val="89"/>
    <w:rsid w:val="0061407E"/>
    <w:pPr>
      <w:keepNext/>
      <w:pBdr>
        <w:bottom w:val="single" w:sz="12" w:space="1" w:color="auto"/>
      </w:pBdr>
      <w:spacing w:before="1440" w:after="360"/>
      <w:outlineLvl w:val="0"/>
    </w:pPr>
    <w:rPr>
      <w:rFonts w:asciiTheme="majorHAnsi" w:eastAsiaTheme="majorEastAsia" w:hAnsiTheme="majorHAnsi" w:cstheme="majorBidi"/>
      <w:b/>
      <w:bCs/>
      <w:caps/>
      <w:spacing w:val="-2"/>
      <w:sz w:val="36"/>
      <w:szCs w:val="28"/>
    </w:rPr>
  </w:style>
  <w:style w:type="character" w:customStyle="1" w:styleId="Heading3Char">
    <w:name w:val="Heading 3 Char"/>
    <w:basedOn w:val="DefaultParagraphFont"/>
    <w:link w:val="Heading30"/>
    <w:uiPriority w:val="9"/>
    <w:rsid w:val="0037430B"/>
    <w:rPr>
      <w:rFonts w:asciiTheme="majorHAnsi" w:eastAsiaTheme="majorEastAsia" w:hAnsiTheme="majorHAnsi" w:cstheme="majorBidi"/>
      <w:b/>
      <w:bCs/>
      <w:spacing w:val="-2"/>
      <w:szCs w:val="26"/>
    </w:rPr>
  </w:style>
  <w:style w:type="character" w:customStyle="1" w:styleId="Heading2Char">
    <w:name w:val="Heading 2 Char"/>
    <w:basedOn w:val="DefaultParagraphFont"/>
    <w:link w:val="Heading20"/>
    <w:uiPriority w:val="9"/>
    <w:rsid w:val="00612683"/>
    <w:rPr>
      <w:rFonts w:asciiTheme="majorHAnsi" w:eastAsiaTheme="majorEastAsia" w:hAnsiTheme="majorHAnsi" w:cstheme="majorBidi"/>
      <w:b/>
      <w:spacing w:val="-2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3741F4"/>
    <w:rPr>
      <w:rFonts w:asciiTheme="majorHAnsi" w:eastAsiaTheme="majorEastAsia" w:hAnsiTheme="majorHAnsi" w:cstheme="majorBidi"/>
      <w:i/>
      <w:iCs/>
      <w:szCs w:val="26"/>
    </w:rPr>
  </w:style>
  <w:style w:type="character" w:customStyle="1" w:styleId="Heading2Char0">
    <w:name w:val="Heading 2 (#) Char"/>
    <w:basedOn w:val="Heading2Char"/>
    <w:link w:val="Heading2"/>
    <w:uiPriority w:val="14"/>
    <w:rsid w:val="0037430B"/>
    <w:rPr>
      <w:rFonts w:asciiTheme="majorHAnsi" w:eastAsiaTheme="majorEastAsia" w:hAnsiTheme="majorHAnsi" w:cstheme="majorBidi"/>
      <w:b/>
      <w:spacing w:val="-2"/>
      <w:sz w:val="26"/>
      <w:szCs w:val="26"/>
    </w:rPr>
  </w:style>
  <w:style w:type="paragraph" w:customStyle="1" w:styleId="Source">
    <w:name w:val="Source"/>
    <w:basedOn w:val="Normal"/>
    <w:next w:val="Note"/>
    <w:uiPriority w:val="51"/>
    <w:qFormat/>
    <w:rsid w:val="006F23B1"/>
    <w:pPr>
      <w:spacing w:before="20" w:after="60"/>
    </w:pPr>
    <w:rPr>
      <w:rFonts w:asciiTheme="majorHAnsi" w:hAnsiTheme="majorHAnsi"/>
      <w:i/>
      <w:spacing w:val="-2"/>
      <w:sz w:val="14"/>
    </w:rPr>
  </w:style>
  <w:style w:type="paragraph" w:customStyle="1" w:styleId="Note">
    <w:name w:val="Note"/>
    <w:basedOn w:val="Normal"/>
    <w:link w:val="NoteChar"/>
    <w:uiPriority w:val="52"/>
    <w:qFormat/>
    <w:rsid w:val="006F23B1"/>
    <w:pPr>
      <w:spacing w:before="20"/>
      <w:ind w:left="284" w:hanging="284"/>
      <w:contextualSpacing/>
    </w:pPr>
    <w:rPr>
      <w:rFonts w:asciiTheme="majorHAnsi" w:hAnsiTheme="majorHAnsi"/>
      <w:i/>
      <w:spacing w:val="-2"/>
      <w:sz w:val="14"/>
    </w:rPr>
  </w:style>
  <w:style w:type="numbering" w:customStyle="1" w:styleId="A">
    <w:name w:val="(A)"/>
    <w:uiPriority w:val="99"/>
    <w:rsid w:val="00ED06E6"/>
    <w:pPr>
      <w:numPr>
        <w:numId w:val="2"/>
      </w:numPr>
    </w:pPr>
  </w:style>
  <w:style w:type="paragraph" w:customStyle="1" w:styleId="HighlightBoxText">
    <w:name w:val="Highlight Box Text"/>
    <w:basedOn w:val="Normal"/>
    <w:uiPriority w:val="60"/>
    <w:qFormat/>
    <w:rsid w:val="00D451B9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hd w:val="clear" w:color="auto" w:fill="F2F2F2" w:themeFill="background1" w:themeFillShade="F2"/>
    </w:pPr>
  </w:style>
  <w:style w:type="table" w:styleId="TableGrid">
    <w:name w:val="Table Grid"/>
    <w:basedOn w:val="TableNormal"/>
    <w:uiPriority w:val="59"/>
    <w:rsid w:val="00AF50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357C4E"/>
    <w:rPr>
      <w:color w:val="004A7C" w:themeColor="accent1" w:themeShade="BF"/>
    </w:rPr>
    <w:tblPr>
      <w:tblStyleRowBandSize w:val="1"/>
      <w:tblStyleColBandSize w:val="1"/>
      <w:tblBorders>
        <w:top w:val="single" w:sz="8" w:space="0" w:color="0063A6" w:themeColor="accent1"/>
        <w:bottom w:val="single" w:sz="8" w:space="0" w:color="0063A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3A6" w:themeColor="accent1"/>
          <w:left w:val="nil"/>
          <w:bottom w:val="single" w:sz="8" w:space="0" w:color="0063A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3A6" w:themeColor="accent1"/>
          <w:left w:val="nil"/>
          <w:bottom w:val="single" w:sz="8" w:space="0" w:color="0063A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DC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ADCFF" w:themeFill="accent1" w:themeFillTint="3F"/>
      </w:tcPr>
    </w:tblStylePr>
  </w:style>
  <w:style w:type="table" w:styleId="LightShading">
    <w:name w:val="Light Shading"/>
    <w:basedOn w:val="TableNormal"/>
    <w:uiPriority w:val="60"/>
    <w:rsid w:val="00113667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4">
    <w:name w:val="Light Shading Accent 4"/>
    <w:basedOn w:val="TableNormal"/>
    <w:uiPriority w:val="60"/>
    <w:rsid w:val="00113667"/>
    <w:rPr>
      <w:color w:val="00559A" w:themeColor="accent4" w:themeShade="BF"/>
    </w:rPr>
    <w:tblPr>
      <w:tblStyleRowBandSize w:val="1"/>
      <w:tblStyleColBandSize w:val="1"/>
      <w:tblBorders>
        <w:top w:val="single" w:sz="8" w:space="0" w:color="0072CE" w:themeColor="accent4"/>
        <w:bottom w:val="single" w:sz="8" w:space="0" w:color="0072CE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2CE" w:themeColor="accent4"/>
          <w:left w:val="nil"/>
          <w:bottom w:val="single" w:sz="8" w:space="0" w:color="0072CE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2CE" w:themeColor="accent4"/>
          <w:left w:val="nil"/>
          <w:bottom w:val="single" w:sz="8" w:space="0" w:color="0072CE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DD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DDFF" w:themeFill="accent4" w:themeFillTint="3F"/>
      </w:tcPr>
    </w:tblStylePr>
  </w:style>
  <w:style w:type="paragraph" w:customStyle="1" w:styleId="DecimalAligned">
    <w:name w:val="Decimal Aligned"/>
    <w:basedOn w:val="Normal"/>
    <w:uiPriority w:val="40"/>
    <w:semiHidden/>
    <w:rsid w:val="00363B60"/>
    <w:pPr>
      <w:tabs>
        <w:tab w:val="decimal" w:pos="360"/>
      </w:tabs>
      <w:spacing w:after="200" w:line="276" w:lineRule="auto"/>
    </w:pPr>
    <w:rPr>
      <w:lang w:val="en-US" w:eastAsia="ja-JP"/>
    </w:rPr>
  </w:style>
  <w:style w:type="paragraph" w:styleId="FootnoteText">
    <w:name w:val="footnote text"/>
    <w:basedOn w:val="Normal"/>
    <w:link w:val="FootnoteTextChar"/>
    <w:uiPriority w:val="99"/>
    <w:semiHidden/>
    <w:rsid w:val="00363B60"/>
    <w:rPr>
      <w:rFonts w:eastAsiaTheme="minorEastAsia"/>
      <w:lang w:val="en-US"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93855"/>
    <w:rPr>
      <w:rFonts w:eastAsiaTheme="minorEastAsia"/>
      <w:sz w:val="20"/>
      <w:szCs w:val="20"/>
      <w:lang w:val="en-US" w:eastAsia="ja-JP"/>
    </w:rPr>
  </w:style>
  <w:style w:type="character" w:styleId="SubtleEmphasis">
    <w:name w:val="Subtle Emphasis"/>
    <w:basedOn w:val="DefaultParagraphFont"/>
    <w:uiPriority w:val="98"/>
    <w:semiHidden/>
    <w:rsid w:val="00363B60"/>
    <w:rPr>
      <w:i/>
      <w:iCs/>
      <w:color w:val="7F7F7F" w:themeColor="text1" w:themeTint="80"/>
    </w:rPr>
  </w:style>
  <w:style w:type="table" w:styleId="MediumShading2-Accent5">
    <w:name w:val="Medium Shading 2 Accent 5"/>
    <w:basedOn w:val="TableNormal"/>
    <w:uiPriority w:val="64"/>
    <w:rsid w:val="00363B60"/>
    <w:rPr>
      <w:rFonts w:eastAsiaTheme="minorEastAsia"/>
      <w:lang w:val="en-US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CD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CD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CD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Header">
    <w:name w:val="header"/>
    <w:link w:val="HeaderChar"/>
    <w:uiPriority w:val="85"/>
    <w:rsid w:val="00CA41CF"/>
    <w:pPr>
      <w:spacing w:after="180"/>
    </w:pPr>
    <w:rPr>
      <w:rFonts w:asciiTheme="majorHAnsi" w:hAnsiTheme="majorHAnsi"/>
      <w:b/>
      <w:caps/>
      <w:color w:val="53565A"/>
    </w:rPr>
  </w:style>
  <w:style w:type="character" w:customStyle="1" w:styleId="HeaderChar">
    <w:name w:val="Header Char"/>
    <w:basedOn w:val="DefaultParagraphFont"/>
    <w:link w:val="Header"/>
    <w:uiPriority w:val="97"/>
    <w:rsid w:val="00CA41CF"/>
    <w:rPr>
      <w:rFonts w:asciiTheme="majorHAnsi" w:hAnsiTheme="majorHAnsi"/>
      <w:b/>
      <w:caps/>
      <w:color w:val="53565A"/>
    </w:rPr>
  </w:style>
  <w:style w:type="numbering" w:styleId="111111">
    <w:name w:val="Outline List 2"/>
    <w:basedOn w:val="NoList"/>
    <w:uiPriority w:val="99"/>
    <w:semiHidden/>
    <w:unhideWhenUsed/>
    <w:rsid w:val="00C00568"/>
    <w:pPr>
      <w:numPr>
        <w:numId w:val="45"/>
      </w:numPr>
    </w:pPr>
  </w:style>
  <w:style w:type="character" w:customStyle="1" w:styleId="FooteroddChar">
    <w:name w:val="Footer (odd) Char"/>
    <w:basedOn w:val="DefaultParagraphFont"/>
    <w:link w:val="Footerodd"/>
    <w:uiPriority w:val="84"/>
    <w:rsid w:val="008155D0"/>
    <w:rPr>
      <w:rFonts w:asciiTheme="majorHAnsi" w:hAnsiTheme="majorHAnsi"/>
      <w:sz w:val="18"/>
    </w:rPr>
  </w:style>
  <w:style w:type="paragraph" w:customStyle="1" w:styleId="Footerodd">
    <w:name w:val="Footer (odd)"/>
    <w:basedOn w:val="Footer"/>
    <w:link w:val="FooteroddChar"/>
    <w:uiPriority w:val="84"/>
    <w:rsid w:val="008155D0"/>
    <w:pPr>
      <w:pBdr>
        <w:top w:val="single" w:sz="6" w:space="1" w:color="auto"/>
      </w:pBdr>
      <w:tabs>
        <w:tab w:val="clear" w:pos="4513"/>
        <w:tab w:val="clear" w:pos="9026"/>
        <w:tab w:val="right" w:pos="7710"/>
      </w:tabs>
    </w:pPr>
    <w:rPr>
      <w:rFonts w:asciiTheme="majorHAnsi" w:hAnsiTheme="majorHAnsi"/>
      <w:sz w:val="18"/>
    </w:rPr>
  </w:style>
  <w:style w:type="paragraph" w:customStyle="1" w:styleId="NoteDash">
    <w:name w:val="Note Dash"/>
    <w:basedOn w:val="Note"/>
    <w:next w:val="Note"/>
    <w:uiPriority w:val="53"/>
    <w:rsid w:val="00E46DD4"/>
    <w:pPr>
      <w:numPr>
        <w:numId w:val="18"/>
      </w:numPr>
      <w:ind w:left="568" w:hanging="284"/>
    </w:pPr>
  </w:style>
  <w:style w:type="character" w:customStyle="1" w:styleId="NoteChar">
    <w:name w:val="Note Char"/>
    <w:basedOn w:val="DefaultParagraphFont"/>
    <w:link w:val="Note"/>
    <w:uiPriority w:val="52"/>
    <w:rsid w:val="006F23B1"/>
    <w:rPr>
      <w:rFonts w:asciiTheme="majorHAnsi" w:hAnsiTheme="majorHAnsi"/>
      <w:i/>
      <w:spacing w:val="-2"/>
      <w:sz w:val="14"/>
    </w:rPr>
  </w:style>
  <w:style w:type="paragraph" w:styleId="TOC1">
    <w:name w:val="toc 1"/>
    <w:basedOn w:val="Normal"/>
    <w:next w:val="Normal"/>
    <w:uiPriority w:val="91"/>
    <w:rsid w:val="008D37BD"/>
    <w:pPr>
      <w:tabs>
        <w:tab w:val="right" w:leader="dot" w:pos="9639"/>
      </w:tabs>
    </w:pPr>
    <w:rPr>
      <w:rFonts w:asciiTheme="majorHAnsi" w:hAnsiTheme="majorHAnsi"/>
      <w:b/>
      <w:spacing w:val="-2"/>
      <w:szCs w:val="19"/>
    </w:rPr>
  </w:style>
  <w:style w:type="paragraph" w:styleId="ListNumber2">
    <w:name w:val="List Number 2"/>
    <w:basedOn w:val="ListNumber"/>
    <w:uiPriority w:val="19"/>
    <w:rsid w:val="00D451B9"/>
    <w:pPr>
      <w:numPr>
        <w:ilvl w:val="1"/>
      </w:numPr>
    </w:pPr>
  </w:style>
  <w:style w:type="numbering" w:customStyle="1" w:styleId="Bullet">
    <w:name w:val="Bullet"/>
    <w:uiPriority w:val="99"/>
    <w:rsid w:val="00CE5CF8"/>
    <w:pPr>
      <w:numPr>
        <w:numId w:val="7"/>
      </w:numPr>
    </w:pPr>
  </w:style>
  <w:style w:type="paragraph" w:styleId="ListParagraph">
    <w:name w:val="List Paragraph"/>
    <w:basedOn w:val="Normal"/>
    <w:uiPriority w:val="34"/>
    <w:semiHidden/>
    <w:rsid w:val="006C505F"/>
    <w:pPr>
      <w:ind w:left="720"/>
      <w:contextualSpacing/>
    </w:pPr>
  </w:style>
  <w:style w:type="paragraph" w:styleId="ListBullet2">
    <w:name w:val="List Bullet 2"/>
    <w:basedOn w:val="ListBullet"/>
    <w:uiPriority w:val="19"/>
    <w:rsid w:val="003805EF"/>
    <w:pPr>
      <w:numPr>
        <w:ilvl w:val="1"/>
      </w:numPr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DE3014"/>
    <w:rPr>
      <w:rFonts w:asciiTheme="majorHAnsi" w:eastAsiaTheme="majorEastAsia" w:hAnsiTheme="majorHAnsi" w:cstheme="majorBidi"/>
      <w:i/>
      <w:iCs/>
      <w:spacing w:val="-2"/>
      <w:szCs w:val="26"/>
    </w:rPr>
  </w:style>
  <w:style w:type="paragraph" w:styleId="ListBullet">
    <w:name w:val="List Bullet"/>
    <w:basedOn w:val="Normal"/>
    <w:uiPriority w:val="19"/>
    <w:qFormat/>
    <w:rsid w:val="00CE5CF8"/>
    <w:pPr>
      <w:numPr>
        <w:numId w:val="40"/>
      </w:numPr>
      <w:spacing w:before="60"/>
    </w:pPr>
  </w:style>
  <w:style w:type="paragraph" w:styleId="List">
    <w:name w:val="List"/>
    <w:basedOn w:val="Normal"/>
    <w:uiPriority w:val="29"/>
    <w:unhideWhenUsed/>
    <w:rsid w:val="008A5A91"/>
    <w:pPr>
      <w:keepLines w:val="0"/>
      <w:tabs>
        <w:tab w:val="left" w:pos="284"/>
        <w:tab w:val="left" w:pos="567"/>
        <w:tab w:val="left" w:pos="851"/>
      </w:tabs>
    </w:pPr>
  </w:style>
  <w:style w:type="paragraph" w:styleId="ListContinue">
    <w:name w:val="List Continue"/>
    <w:basedOn w:val="Normal"/>
    <w:uiPriority w:val="24"/>
    <w:qFormat/>
    <w:rsid w:val="006C00EB"/>
    <w:pPr>
      <w:spacing w:before="60"/>
      <w:ind w:left="284"/>
    </w:pPr>
  </w:style>
  <w:style w:type="paragraph" w:styleId="ListContinue2">
    <w:name w:val="List Continue 2"/>
    <w:basedOn w:val="Normal"/>
    <w:uiPriority w:val="24"/>
    <w:rsid w:val="006C00EB"/>
    <w:pPr>
      <w:spacing w:before="60"/>
      <w:ind w:left="567"/>
    </w:pPr>
  </w:style>
  <w:style w:type="paragraph" w:styleId="ListNumber">
    <w:name w:val="List Number"/>
    <w:basedOn w:val="Normal"/>
    <w:uiPriority w:val="19"/>
    <w:qFormat/>
    <w:rsid w:val="00CE5CF8"/>
    <w:pPr>
      <w:numPr>
        <w:numId w:val="41"/>
      </w:numPr>
      <w:spacing w:before="60"/>
    </w:pPr>
  </w:style>
  <w:style w:type="paragraph" w:styleId="Footer">
    <w:name w:val="footer"/>
    <w:basedOn w:val="Normal"/>
    <w:link w:val="FooterChar"/>
    <w:semiHidden/>
    <w:rsid w:val="004419CD"/>
    <w:pPr>
      <w:tabs>
        <w:tab w:val="center" w:pos="4513"/>
        <w:tab w:val="right" w:pos="9026"/>
      </w:tabs>
      <w:spacing w:before="0"/>
    </w:pPr>
  </w:style>
  <w:style w:type="paragraph" w:styleId="TOC2">
    <w:name w:val="toc 2"/>
    <w:basedOn w:val="TOC1"/>
    <w:next w:val="Normal"/>
    <w:uiPriority w:val="91"/>
    <w:rsid w:val="008D37BD"/>
    <w:pPr>
      <w:spacing w:before="60" w:after="60"/>
      <w:ind w:left="284" w:right="567"/>
    </w:pPr>
    <w:rPr>
      <w:b w:val="0"/>
      <w:noProof/>
    </w:rPr>
  </w:style>
  <w:style w:type="character" w:styleId="PageNumber">
    <w:name w:val="page number"/>
    <w:semiHidden/>
    <w:rsid w:val="000A03F9"/>
    <w:rPr>
      <w:rFonts w:asciiTheme="minorHAnsi" w:hAnsiTheme="minorHAnsi"/>
      <w:sz w:val="18"/>
    </w:rPr>
  </w:style>
  <w:style w:type="paragraph" w:styleId="TOC3">
    <w:name w:val="toc 3"/>
    <w:basedOn w:val="Normal"/>
    <w:next w:val="Normal"/>
    <w:uiPriority w:val="91"/>
    <w:semiHidden/>
    <w:rsid w:val="00402880"/>
    <w:pPr>
      <w:spacing w:after="100"/>
      <w:ind w:left="420"/>
    </w:pPr>
  </w:style>
  <w:style w:type="paragraph" w:styleId="TOC4">
    <w:name w:val="toc 4"/>
    <w:next w:val="Normal"/>
    <w:uiPriority w:val="96"/>
    <w:semiHidden/>
    <w:rsid w:val="000E2126"/>
    <w:pPr>
      <w:tabs>
        <w:tab w:val="left" w:pos="1021"/>
        <w:tab w:val="right" w:leader="dot" w:pos="9072"/>
      </w:tabs>
      <w:spacing w:after="100"/>
    </w:pPr>
    <w:rPr>
      <w:rFonts w:asciiTheme="majorHAnsi" w:hAnsiTheme="majorHAnsi"/>
      <w:spacing w:val="2"/>
    </w:rPr>
  </w:style>
  <w:style w:type="character" w:styleId="Hyperlink">
    <w:name w:val="Hyperlink"/>
    <w:uiPriority w:val="99"/>
    <w:rsid w:val="00924B1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4B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4B15"/>
    <w:rPr>
      <w:rFonts w:ascii="Tahoma" w:hAnsi="Tahoma" w:cs="Tahoma"/>
      <w:spacing w:val="2"/>
      <w:sz w:val="16"/>
      <w:szCs w:val="16"/>
    </w:rPr>
  </w:style>
  <w:style w:type="paragraph" w:customStyle="1" w:styleId="HighlightBoxHeading">
    <w:name w:val="Highlight Box Heading"/>
    <w:basedOn w:val="HighlightBoxText"/>
    <w:next w:val="HighlightBoxText"/>
    <w:uiPriority w:val="59"/>
    <w:qFormat/>
    <w:rsid w:val="00AB5FA5"/>
    <w:pPr>
      <w:keepNext/>
    </w:pPr>
    <w:rPr>
      <w:rFonts w:asciiTheme="majorHAnsi" w:hAnsiTheme="majorHAnsi"/>
      <w:i/>
    </w:rPr>
  </w:style>
  <w:style w:type="paragraph" w:customStyle="1" w:styleId="HighlightBoxBullet">
    <w:name w:val="Highlight Box Bullet"/>
    <w:basedOn w:val="ListBullet"/>
    <w:uiPriority w:val="61"/>
    <w:qFormat/>
    <w:rsid w:val="00AB5FA5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hd w:val="clear" w:color="auto" w:fill="F2F2F2" w:themeFill="background1" w:themeFillShade="F2"/>
    </w:pPr>
  </w:style>
  <w:style w:type="character" w:customStyle="1" w:styleId="Heading6Char">
    <w:name w:val="Heading 6 Char"/>
    <w:basedOn w:val="DefaultParagraphFont"/>
    <w:link w:val="Heading6"/>
    <w:uiPriority w:val="9"/>
    <w:semiHidden/>
    <w:rsid w:val="00E36DAC"/>
    <w:rPr>
      <w:rFonts w:asciiTheme="majorHAnsi" w:eastAsiaTheme="majorEastAsia" w:hAnsiTheme="majorHAnsi" w:cstheme="majorBidi"/>
      <w:i/>
      <w:iCs/>
      <w:color w:val="003152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6DA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6DA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6DA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leHeading">
    <w:name w:val="Table Heading"/>
    <w:basedOn w:val="Normal"/>
    <w:next w:val="Normal"/>
    <w:uiPriority w:val="49"/>
    <w:qFormat/>
    <w:rsid w:val="00903544"/>
    <w:pPr>
      <w:keepNext/>
      <w:tabs>
        <w:tab w:val="left" w:pos="1134"/>
        <w:tab w:val="right" w:pos="9639"/>
        <w:tab w:val="right" w:pos="14742"/>
      </w:tabs>
      <w:spacing w:before="240" w:after="120"/>
      <w:ind w:left="1134" w:hanging="1134"/>
    </w:pPr>
    <w:rPr>
      <w:rFonts w:asciiTheme="majorHAnsi" w:hAnsiTheme="majorHAnsi"/>
      <w:b/>
      <w:sz w:val="20"/>
      <w:szCs w:val="20"/>
    </w:rPr>
  </w:style>
  <w:style w:type="table" w:styleId="LightShading-Accent2">
    <w:name w:val="Light Shading Accent 2"/>
    <w:basedOn w:val="TableNormal"/>
    <w:uiPriority w:val="60"/>
    <w:rsid w:val="00A9345E"/>
    <w:rPr>
      <w:color w:val="00365B" w:themeColor="accent2" w:themeShade="BF"/>
    </w:rPr>
    <w:tblPr>
      <w:tblStyleRowBandSize w:val="1"/>
      <w:tblStyleColBandSize w:val="1"/>
      <w:tblBorders>
        <w:top w:val="single" w:sz="8" w:space="0" w:color="00497A" w:themeColor="accent2"/>
        <w:bottom w:val="single" w:sz="8" w:space="0" w:color="00497A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97A" w:themeColor="accent2"/>
          <w:left w:val="nil"/>
          <w:bottom w:val="single" w:sz="8" w:space="0" w:color="00497A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97A" w:themeColor="accent2"/>
          <w:left w:val="nil"/>
          <w:bottom w:val="single" w:sz="8" w:space="0" w:color="00497A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FD8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FD8FF" w:themeFill="accent2" w:themeFillTint="3F"/>
      </w:tcPr>
    </w:tblStylePr>
  </w:style>
  <w:style w:type="paragraph" w:styleId="ListBullet3">
    <w:name w:val="List Bullet 3"/>
    <w:basedOn w:val="ListBullet2"/>
    <w:uiPriority w:val="19"/>
    <w:unhideWhenUsed/>
    <w:rsid w:val="00D451B9"/>
    <w:pPr>
      <w:numPr>
        <w:ilvl w:val="2"/>
      </w:numPr>
    </w:pPr>
  </w:style>
  <w:style w:type="numbering" w:customStyle="1" w:styleId="Number">
    <w:name w:val="Number"/>
    <w:uiPriority w:val="99"/>
    <w:rsid w:val="00CE5CF8"/>
    <w:pPr>
      <w:numPr>
        <w:numId w:val="27"/>
      </w:numPr>
    </w:pPr>
  </w:style>
  <w:style w:type="character" w:customStyle="1" w:styleId="Heading1Char0">
    <w:name w:val="Heading 1 (#) Char"/>
    <w:basedOn w:val="Heading1Char"/>
    <w:link w:val="Heading1"/>
    <w:uiPriority w:val="14"/>
    <w:rsid w:val="003E68E6"/>
    <w:rPr>
      <w:rFonts w:asciiTheme="majorHAnsi" w:eastAsiaTheme="majorEastAsia" w:hAnsiTheme="majorHAnsi" w:cstheme="majorBidi"/>
      <w:b/>
      <w:bCs/>
      <w:caps/>
      <w:spacing w:val="-2"/>
      <w:sz w:val="26"/>
      <w:szCs w:val="28"/>
    </w:rPr>
  </w:style>
  <w:style w:type="table" w:styleId="LightList">
    <w:name w:val="Light List"/>
    <w:basedOn w:val="TableNormal"/>
    <w:uiPriority w:val="61"/>
    <w:rsid w:val="00651946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TOC9">
    <w:name w:val="toc 9"/>
    <w:basedOn w:val="Normal"/>
    <w:next w:val="Normal"/>
    <w:autoRedefine/>
    <w:uiPriority w:val="91"/>
    <w:rsid w:val="00B56C73"/>
    <w:pPr>
      <w:tabs>
        <w:tab w:val="left" w:pos="567"/>
        <w:tab w:val="right" w:leader="dot" w:pos="3629"/>
      </w:tabs>
      <w:spacing w:after="100"/>
      <w:ind w:left="567" w:right="340" w:hanging="567"/>
    </w:pPr>
    <w:rPr>
      <w:spacing w:val="-2"/>
    </w:rPr>
  </w:style>
  <w:style w:type="paragraph" w:customStyle="1" w:styleId="Footereven">
    <w:name w:val="Footer (even)"/>
    <w:basedOn w:val="Footer"/>
    <w:link w:val="FooterevenChar"/>
    <w:uiPriority w:val="84"/>
    <w:rsid w:val="008155D0"/>
    <w:pPr>
      <w:pBdr>
        <w:top w:val="single" w:sz="6" w:space="1" w:color="auto"/>
      </w:pBdr>
      <w:tabs>
        <w:tab w:val="clear" w:pos="4513"/>
        <w:tab w:val="clear" w:pos="9026"/>
        <w:tab w:val="right" w:pos="7710"/>
      </w:tabs>
    </w:pPr>
    <w:rPr>
      <w:rFonts w:asciiTheme="majorHAnsi" w:hAnsiTheme="majorHAnsi"/>
      <w:sz w:val="18"/>
    </w:rPr>
  </w:style>
  <w:style w:type="table" w:customStyle="1" w:styleId="DTFTable">
    <w:name w:val="DTF Table"/>
    <w:basedOn w:val="TableNormal"/>
    <w:uiPriority w:val="99"/>
    <w:rsid w:val="00A637FA"/>
    <w:pPr>
      <w:spacing w:before="20" w:after="20"/>
      <w:jc w:val="right"/>
    </w:pPr>
    <w:rPr>
      <w:rFonts w:asciiTheme="majorHAnsi" w:hAnsiTheme="majorHAnsi"/>
      <w:sz w:val="17"/>
    </w:rPr>
    <w:tblPr>
      <w:tblStyleRowBandSize w:val="1"/>
      <w:tblStyleColBandSize w:val="1"/>
      <w:tblInd w:w="28" w:type="dxa"/>
      <w:tblBorders>
        <w:bottom w:val="single" w:sz="12" w:space="0" w:color="auto"/>
      </w:tblBorders>
      <w:tblCellMar>
        <w:left w:w="57" w:type="dxa"/>
        <w:right w:w="57" w:type="dxa"/>
      </w:tblCellMar>
    </w:tblPr>
    <w:trPr>
      <w:cantSplit/>
    </w:trPr>
    <w:tblStylePr w:type="firstRow">
      <w:rPr>
        <w:i/>
      </w:rPr>
      <w:tblPr/>
      <w:trPr>
        <w:cantSplit w:val="0"/>
      </w:trPr>
      <w:tcPr>
        <w:shd w:val="clear" w:color="auto" w:fill="000000" w:themeFill="text1"/>
        <w:vAlign w:val="bottom"/>
      </w:tcPr>
    </w:tblStylePr>
    <w:tblStylePr w:type="lastRow">
      <w:rPr>
        <w:b/>
      </w:rPr>
      <w:tblPr/>
      <w:tcPr>
        <w:tcBorders>
          <w:top w:val="single" w:sz="6" w:space="0" w:color="000000" w:themeColor="text1"/>
          <w:left w:val="nil"/>
          <w:bottom w:val="single" w:sz="12" w:space="0" w:color="000000" w:themeColor="text1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spacing w:line="240" w:lineRule="auto"/>
        <w:ind w:leftChars="0" w:left="170" w:rightChars="0" w:right="0" w:firstLineChars="0" w:hanging="170"/>
        <w:jc w:val="left"/>
      </w:pPr>
    </w:tblStylePr>
    <w:tblStylePr w:type="lastCol">
      <w:rPr>
        <w:b/>
      </w:rPr>
      <w:tblPr/>
      <w:tcPr>
        <w:shd w:val="clear" w:color="auto" w:fill="F2F2F2" w:themeFill="background1" w:themeFillShade="F2"/>
      </w:tcPr>
    </w:tblStylePr>
    <w:tblStylePr w:type="band1Vert">
      <w:tblPr/>
      <w:tcPr>
        <w:shd w:val="clear" w:color="auto" w:fill="EBEBEB" w:themeFill="background2"/>
      </w:tcPr>
    </w:tblStylePr>
    <w:tblStylePr w:type="band1Horz">
      <w:tblPr/>
      <w:tcPr>
        <w:shd w:val="clear" w:color="auto" w:fill="EBEBEB" w:themeFill="background2"/>
      </w:tcPr>
    </w:tblStylePr>
    <w:tblStylePr w:type="band2Horz">
      <w:tblPr/>
      <w:tcPr>
        <w:shd w:val="clear" w:color="auto" w:fill="FFFFFF" w:themeFill="background1"/>
      </w:tcPr>
    </w:tblStylePr>
  </w:style>
  <w:style w:type="paragraph" w:styleId="ListNumber3">
    <w:name w:val="List Number 3"/>
    <w:basedOn w:val="Normal"/>
    <w:uiPriority w:val="19"/>
    <w:unhideWhenUsed/>
    <w:rsid w:val="002C3386"/>
    <w:pPr>
      <w:numPr>
        <w:ilvl w:val="2"/>
        <w:numId w:val="41"/>
      </w:numPr>
      <w:spacing w:before="60"/>
      <w:ind w:left="851"/>
    </w:pPr>
  </w:style>
  <w:style w:type="paragraph" w:styleId="ListNumber4">
    <w:name w:val="List Number 4"/>
    <w:basedOn w:val="Normal"/>
    <w:uiPriority w:val="19"/>
    <w:semiHidden/>
    <w:unhideWhenUsed/>
    <w:rsid w:val="00CE5CF8"/>
    <w:pPr>
      <w:numPr>
        <w:ilvl w:val="3"/>
        <w:numId w:val="41"/>
      </w:numPr>
      <w:contextualSpacing/>
    </w:pPr>
  </w:style>
  <w:style w:type="paragraph" w:styleId="ListNumber5">
    <w:name w:val="List Number 5"/>
    <w:basedOn w:val="Normal"/>
    <w:uiPriority w:val="19"/>
    <w:semiHidden/>
    <w:unhideWhenUsed/>
    <w:rsid w:val="00CE5CF8"/>
    <w:pPr>
      <w:numPr>
        <w:ilvl w:val="4"/>
        <w:numId w:val="41"/>
      </w:numPr>
      <w:contextualSpacing/>
    </w:pPr>
  </w:style>
  <w:style w:type="paragraph" w:styleId="ListContinue3">
    <w:name w:val="List Continue 3"/>
    <w:basedOn w:val="ListContinue2"/>
    <w:uiPriority w:val="24"/>
    <w:semiHidden/>
    <w:unhideWhenUsed/>
    <w:rsid w:val="000915C9"/>
    <w:pPr>
      <w:ind w:left="1191"/>
    </w:pPr>
  </w:style>
  <w:style w:type="paragraph" w:customStyle="1" w:styleId="Heading1">
    <w:name w:val="Heading 1 (#)"/>
    <w:basedOn w:val="Heading10"/>
    <w:link w:val="Heading1Char0"/>
    <w:uiPriority w:val="14"/>
    <w:qFormat/>
    <w:rsid w:val="003E68E6"/>
    <w:pPr>
      <w:numPr>
        <w:numId w:val="49"/>
      </w:numPr>
    </w:pPr>
  </w:style>
  <w:style w:type="paragraph" w:customStyle="1" w:styleId="Heading2">
    <w:name w:val="Heading 2 (#)"/>
    <w:basedOn w:val="Heading20"/>
    <w:link w:val="Heading2Char0"/>
    <w:uiPriority w:val="14"/>
    <w:qFormat/>
    <w:rsid w:val="00771A05"/>
    <w:pPr>
      <w:numPr>
        <w:numId w:val="49"/>
      </w:numPr>
    </w:pPr>
  </w:style>
  <w:style w:type="numbering" w:customStyle="1" w:styleId="NumberedHeadings">
    <w:name w:val="Numbered Headings"/>
    <w:uiPriority w:val="99"/>
    <w:rsid w:val="004B1258"/>
    <w:pPr>
      <w:numPr>
        <w:numId w:val="39"/>
      </w:numPr>
    </w:pPr>
  </w:style>
  <w:style w:type="paragraph" w:customStyle="1" w:styleId="Heading3">
    <w:name w:val="Heading 3 (#)"/>
    <w:basedOn w:val="Heading30"/>
    <w:next w:val="Normal"/>
    <w:link w:val="Heading3Char0"/>
    <w:uiPriority w:val="14"/>
    <w:rsid w:val="0037430B"/>
    <w:pPr>
      <w:numPr>
        <w:numId w:val="49"/>
      </w:numPr>
      <w:spacing w:after="120"/>
    </w:pPr>
  </w:style>
  <w:style w:type="character" w:customStyle="1" w:styleId="Heading3Char0">
    <w:name w:val="Heading 3 (#) Char"/>
    <w:basedOn w:val="Heading3Char"/>
    <w:link w:val="Heading3"/>
    <w:uiPriority w:val="14"/>
    <w:rsid w:val="0037430B"/>
    <w:rPr>
      <w:rFonts w:asciiTheme="majorHAnsi" w:eastAsiaTheme="majorEastAsia" w:hAnsiTheme="majorHAnsi" w:cstheme="majorBidi"/>
      <w:b/>
      <w:bCs/>
      <w:spacing w:val="-2"/>
      <w:szCs w:val="26"/>
    </w:rPr>
  </w:style>
  <w:style w:type="paragraph" w:styleId="ListBullet4">
    <w:name w:val="List Bullet 4"/>
    <w:basedOn w:val="Normal"/>
    <w:uiPriority w:val="19"/>
    <w:semiHidden/>
    <w:unhideWhenUsed/>
    <w:rsid w:val="002F7BBC"/>
    <w:pPr>
      <w:numPr>
        <w:numId w:val="43"/>
      </w:numPr>
      <w:contextualSpacing/>
    </w:pPr>
  </w:style>
  <w:style w:type="paragraph" w:styleId="ListBullet5">
    <w:name w:val="List Bullet 5"/>
    <w:basedOn w:val="Normal"/>
    <w:uiPriority w:val="19"/>
    <w:semiHidden/>
    <w:unhideWhenUsed/>
    <w:rsid w:val="002F7BBC"/>
    <w:pPr>
      <w:numPr>
        <w:numId w:val="44"/>
      </w:numPr>
      <w:contextualSpacing/>
    </w:pPr>
  </w:style>
  <w:style w:type="paragraph" w:styleId="ListContinue4">
    <w:name w:val="List Continue 4"/>
    <w:basedOn w:val="Normal"/>
    <w:uiPriority w:val="24"/>
    <w:semiHidden/>
    <w:unhideWhenUsed/>
    <w:rsid w:val="002F7BBC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24"/>
    <w:semiHidden/>
    <w:unhideWhenUsed/>
    <w:rsid w:val="002F7BBC"/>
    <w:pPr>
      <w:spacing w:after="120"/>
      <w:ind w:left="1415"/>
      <w:contextualSpacing/>
    </w:pPr>
  </w:style>
  <w:style w:type="character" w:customStyle="1" w:styleId="FooterChar">
    <w:name w:val="Footer Char"/>
    <w:basedOn w:val="DefaultParagraphFont"/>
    <w:link w:val="Footer"/>
    <w:semiHidden/>
    <w:rsid w:val="00644B4A"/>
  </w:style>
  <w:style w:type="paragraph" w:styleId="TOC7">
    <w:name w:val="toc 7"/>
    <w:basedOn w:val="Normal"/>
    <w:next w:val="Normal"/>
    <w:autoRedefine/>
    <w:uiPriority w:val="96"/>
    <w:semiHidden/>
    <w:rsid w:val="001213D6"/>
    <w:pPr>
      <w:spacing w:after="100"/>
      <w:ind w:left="1320"/>
    </w:pPr>
  </w:style>
  <w:style w:type="numbering" w:styleId="1ai">
    <w:name w:val="Outline List 1"/>
    <w:basedOn w:val="NoList"/>
    <w:uiPriority w:val="99"/>
    <w:semiHidden/>
    <w:unhideWhenUsed/>
    <w:rsid w:val="00C00568"/>
    <w:pPr>
      <w:numPr>
        <w:numId w:val="46"/>
      </w:numPr>
    </w:pPr>
  </w:style>
  <w:style w:type="numbering" w:styleId="ArticleSection">
    <w:name w:val="Outline List 3"/>
    <w:basedOn w:val="NoList"/>
    <w:uiPriority w:val="99"/>
    <w:semiHidden/>
    <w:unhideWhenUsed/>
    <w:rsid w:val="00C00568"/>
    <w:pPr>
      <w:numPr>
        <w:numId w:val="47"/>
      </w:numPr>
    </w:pPr>
  </w:style>
  <w:style w:type="paragraph" w:styleId="Bibliography">
    <w:name w:val="Bibliography"/>
    <w:basedOn w:val="Normal"/>
    <w:next w:val="Normal"/>
    <w:uiPriority w:val="37"/>
    <w:semiHidden/>
    <w:unhideWhenUsed/>
    <w:rsid w:val="00C00568"/>
  </w:style>
  <w:style w:type="paragraph" w:styleId="BlockText">
    <w:name w:val="Block Text"/>
    <w:basedOn w:val="Normal"/>
    <w:uiPriority w:val="99"/>
    <w:semiHidden/>
    <w:unhideWhenUsed/>
    <w:rsid w:val="00C00568"/>
    <w:pPr>
      <w:pBdr>
        <w:top w:val="single" w:sz="2" w:space="10" w:color="0063A6" w:themeColor="accent1" w:shadow="1"/>
        <w:left w:val="single" w:sz="2" w:space="10" w:color="0063A6" w:themeColor="accent1" w:shadow="1"/>
        <w:bottom w:val="single" w:sz="2" w:space="10" w:color="0063A6" w:themeColor="accent1" w:shadow="1"/>
        <w:right w:val="single" w:sz="2" w:space="10" w:color="0063A6" w:themeColor="accent1" w:shadow="1"/>
      </w:pBdr>
      <w:ind w:left="1152" w:right="1152"/>
    </w:pPr>
    <w:rPr>
      <w:rFonts w:eastAsiaTheme="minorEastAsia"/>
      <w:i/>
      <w:iCs/>
      <w:color w:val="0063A6" w:themeColor="accent1"/>
    </w:rPr>
  </w:style>
  <w:style w:type="paragraph" w:styleId="BodyText">
    <w:name w:val="Body Text"/>
    <w:basedOn w:val="Normal"/>
    <w:link w:val="BodyTextChar"/>
    <w:uiPriority w:val="4"/>
    <w:semiHidden/>
    <w:unhideWhenUsed/>
    <w:rsid w:val="00C0056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4"/>
    <w:semiHidden/>
    <w:rsid w:val="00C00568"/>
  </w:style>
  <w:style w:type="paragraph" w:styleId="BodyText2">
    <w:name w:val="Body Text 2"/>
    <w:basedOn w:val="Normal"/>
    <w:link w:val="BodyText2Char"/>
    <w:uiPriority w:val="99"/>
    <w:semiHidden/>
    <w:unhideWhenUsed/>
    <w:rsid w:val="00C0056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00568"/>
  </w:style>
  <w:style w:type="paragraph" w:styleId="BodyText3">
    <w:name w:val="Body Text 3"/>
    <w:basedOn w:val="Normal"/>
    <w:link w:val="BodyText3Char"/>
    <w:uiPriority w:val="99"/>
    <w:semiHidden/>
    <w:unhideWhenUsed/>
    <w:rsid w:val="00C0056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00568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C00568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C00568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0056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00568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C00568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00568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0056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00568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0056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00568"/>
    <w:rPr>
      <w:sz w:val="16"/>
      <w:szCs w:val="16"/>
    </w:rPr>
  </w:style>
  <w:style w:type="character" w:styleId="BookTitle">
    <w:name w:val="Book Title"/>
    <w:basedOn w:val="DefaultParagraphFont"/>
    <w:uiPriority w:val="33"/>
    <w:semiHidden/>
    <w:rsid w:val="00C00568"/>
    <w:rPr>
      <w:b/>
      <w:b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C00568"/>
    <w:pPr>
      <w:spacing w:before="0" w:after="200"/>
    </w:pPr>
    <w:rPr>
      <w:b/>
      <w:bCs/>
      <w:color w:val="0063A6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C00568"/>
    <w:pPr>
      <w:spacing w:before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C00568"/>
  </w:style>
  <w:style w:type="table" w:styleId="ColorfulGrid">
    <w:name w:val="Colorful Grid"/>
    <w:basedOn w:val="TableNormal"/>
    <w:uiPriority w:val="73"/>
    <w:rsid w:val="00C00568"/>
    <w:pPr>
      <w:spacing w:before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00568"/>
    <w:pPr>
      <w:spacing w:before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AE3FF" w:themeFill="accent1" w:themeFillTint="33"/>
    </w:tcPr>
    <w:tblStylePr w:type="firstRow">
      <w:rPr>
        <w:b/>
        <w:bCs/>
      </w:rPr>
      <w:tblPr/>
      <w:tcPr>
        <w:shd w:val="clear" w:color="auto" w:fill="75C7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5C7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4A7C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4A7C" w:themeFill="accent1" w:themeFillShade="BF"/>
      </w:tcPr>
    </w:tblStylePr>
    <w:tblStylePr w:type="band1Vert">
      <w:tblPr/>
      <w:tcPr>
        <w:shd w:val="clear" w:color="auto" w:fill="53B9FF" w:themeFill="accent1" w:themeFillTint="7F"/>
      </w:tcPr>
    </w:tblStylePr>
    <w:tblStylePr w:type="band1Horz">
      <w:tblPr/>
      <w:tcPr>
        <w:shd w:val="clear" w:color="auto" w:fill="53B9FF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00568"/>
    <w:pPr>
      <w:spacing w:before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1DFFF" w:themeFill="accent2" w:themeFillTint="33"/>
    </w:tcPr>
    <w:tblStylePr w:type="firstRow">
      <w:rPr>
        <w:b/>
        <w:bCs/>
      </w:rPr>
      <w:tblPr/>
      <w:tcPr>
        <w:shd w:val="clear" w:color="auto" w:fill="63C0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3C0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65B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65B" w:themeFill="accent2" w:themeFillShade="BF"/>
      </w:tcPr>
    </w:tblStylePr>
    <w:tblStylePr w:type="band1Vert">
      <w:tblPr/>
      <w:tcPr>
        <w:shd w:val="clear" w:color="auto" w:fill="3DB0FF" w:themeFill="accent2" w:themeFillTint="7F"/>
      </w:tcPr>
    </w:tblStylePr>
    <w:tblStylePr w:type="band1Horz">
      <w:tblPr/>
      <w:tcPr>
        <w:shd w:val="clear" w:color="auto" w:fill="3DB0FF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00568"/>
    <w:pPr>
      <w:spacing w:before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BF4" w:themeFill="accent3" w:themeFillTint="33"/>
    </w:tcPr>
    <w:tblStylePr w:type="firstRow">
      <w:rPr>
        <w:b/>
        <w:bCs/>
      </w:rPr>
      <w:tblPr/>
      <w:tcPr>
        <w:shd w:val="clear" w:color="auto" w:fill="C7D7E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D7E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273A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273AA" w:themeFill="accent3" w:themeFillShade="BF"/>
      </w:tcPr>
    </w:tblStylePr>
    <w:tblStylePr w:type="band1Vert">
      <w:tblPr/>
      <w:tcPr>
        <w:shd w:val="clear" w:color="auto" w:fill="B9CDE4" w:themeFill="accent3" w:themeFillTint="7F"/>
      </w:tcPr>
    </w:tblStylePr>
    <w:tblStylePr w:type="band1Horz">
      <w:tblPr/>
      <w:tcPr>
        <w:shd w:val="clear" w:color="auto" w:fill="B9CDE4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00568"/>
    <w:pPr>
      <w:spacing w:before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2E3FF" w:themeFill="accent4" w:themeFillTint="33"/>
    </w:tcPr>
    <w:tblStylePr w:type="firstRow">
      <w:rPr>
        <w:b/>
        <w:bCs/>
      </w:rPr>
      <w:tblPr/>
      <w:tcPr>
        <w:shd w:val="clear" w:color="auto" w:fill="85C8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C8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559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559A" w:themeFill="accent4" w:themeFillShade="BF"/>
      </w:tcPr>
    </w:tblStylePr>
    <w:tblStylePr w:type="band1Vert">
      <w:tblPr/>
      <w:tcPr>
        <w:shd w:val="clear" w:color="auto" w:fill="67BBFF" w:themeFill="accent4" w:themeFillTint="7F"/>
      </w:tcPr>
    </w:tblStylePr>
    <w:tblStylePr w:type="band1Horz">
      <w:tblPr/>
      <w:tcPr>
        <w:shd w:val="clear" w:color="auto" w:fill="67BBFF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00568"/>
    <w:pPr>
      <w:spacing w:before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EDFF" w:themeFill="accent5" w:themeFillTint="33"/>
    </w:tcPr>
    <w:tblStylePr w:type="firstRow">
      <w:rPr>
        <w:b/>
        <w:bCs/>
      </w:rPr>
      <w:tblPr/>
      <w:tcPr>
        <w:shd w:val="clear" w:color="auto" w:fill="8BDCF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BDCF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0074A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0074A6" w:themeFill="accent5" w:themeFillShade="BF"/>
      </w:tcPr>
    </w:tblStylePr>
    <w:tblStylePr w:type="band1Vert">
      <w:tblPr/>
      <w:tcPr>
        <w:shd w:val="clear" w:color="auto" w:fill="6FD4FF" w:themeFill="accent5" w:themeFillTint="7F"/>
      </w:tcPr>
    </w:tblStylePr>
    <w:tblStylePr w:type="band1Horz">
      <w:tblPr/>
      <w:tcPr>
        <w:shd w:val="clear" w:color="auto" w:fill="6FD4FF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00568"/>
    <w:pPr>
      <w:spacing w:before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CCCC" w:themeFill="accent6" w:themeFillTint="33"/>
    </w:tcPr>
    <w:tblStylePr w:type="firstRow">
      <w:rPr>
        <w:b/>
        <w:bCs/>
      </w:rPr>
      <w:tblPr/>
      <w:tcPr>
        <w:shd w:val="clear" w:color="auto" w:fill="E0999A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999A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71F2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71F20" w:themeFill="accent6" w:themeFillShade="BF"/>
      </w:tcPr>
    </w:tblStylePr>
    <w:tblStylePr w:type="band1Vert">
      <w:tblPr/>
      <w:tcPr>
        <w:shd w:val="clear" w:color="auto" w:fill="D88081" w:themeFill="accent6" w:themeFillTint="7F"/>
      </w:tcPr>
    </w:tblStylePr>
    <w:tblStylePr w:type="band1Horz">
      <w:tblPr/>
      <w:tcPr>
        <w:shd w:val="clear" w:color="auto" w:fill="D88081" w:themeFill="accent6" w:themeFillTint="7F"/>
      </w:tcPr>
    </w:tblStylePr>
  </w:style>
  <w:style w:type="table" w:styleId="ColorfulList">
    <w:name w:val="Colorful List"/>
    <w:basedOn w:val="TableNormal"/>
    <w:uiPriority w:val="72"/>
    <w:rsid w:val="00C00568"/>
    <w:pPr>
      <w:spacing w:before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3A61" w:themeFill="accent2" w:themeFillShade="CC"/>
      </w:tcPr>
    </w:tblStylePr>
    <w:tblStylePr w:type="lastRow">
      <w:rPr>
        <w:b/>
        <w:bCs/>
        <w:color w:val="003A6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00568"/>
    <w:pPr>
      <w:spacing w:before="0"/>
    </w:pPr>
    <w:rPr>
      <w:color w:val="000000" w:themeColor="text1"/>
    </w:rPr>
    <w:tblPr>
      <w:tblStyleRowBandSize w:val="1"/>
      <w:tblStyleColBandSize w:val="1"/>
    </w:tblPr>
    <w:tcPr>
      <w:shd w:val="clear" w:color="auto" w:fill="DDF1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3A61" w:themeFill="accent2" w:themeFillShade="CC"/>
      </w:tcPr>
    </w:tblStylePr>
    <w:tblStylePr w:type="lastRow">
      <w:rPr>
        <w:b/>
        <w:bCs/>
        <w:color w:val="003A6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DCFF" w:themeFill="accent1" w:themeFillTint="3F"/>
      </w:tcPr>
    </w:tblStylePr>
    <w:tblStylePr w:type="band1Horz">
      <w:tblPr/>
      <w:tcPr>
        <w:shd w:val="clear" w:color="auto" w:fill="BAE3FF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00568"/>
    <w:pPr>
      <w:spacing w:before="0"/>
    </w:pPr>
    <w:rPr>
      <w:color w:val="000000" w:themeColor="text1"/>
    </w:rPr>
    <w:tblPr>
      <w:tblStyleRowBandSize w:val="1"/>
      <w:tblStyleColBandSize w:val="1"/>
    </w:tblPr>
    <w:tcPr>
      <w:shd w:val="clear" w:color="auto" w:fill="D8EF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3A61" w:themeFill="accent2" w:themeFillShade="CC"/>
      </w:tcPr>
    </w:tblStylePr>
    <w:tblStylePr w:type="lastRow">
      <w:rPr>
        <w:b/>
        <w:bCs/>
        <w:color w:val="003A6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FD8FF" w:themeFill="accent2" w:themeFillTint="3F"/>
      </w:tcPr>
    </w:tblStylePr>
    <w:tblStylePr w:type="band1Horz">
      <w:tblPr/>
      <w:tcPr>
        <w:shd w:val="clear" w:color="auto" w:fill="B1DFFF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00568"/>
    <w:pPr>
      <w:spacing w:before="0"/>
    </w:pPr>
    <w:rPr>
      <w:color w:val="000000" w:themeColor="text1"/>
    </w:rPr>
    <w:tblPr>
      <w:tblStyleRowBandSize w:val="1"/>
      <w:tblStyleColBandSize w:val="1"/>
    </w:tblPr>
    <w:tcPr>
      <w:shd w:val="clear" w:color="auto" w:fill="F1F5F9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BA4" w:themeFill="accent4" w:themeFillShade="CC"/>
      </w:tcPr>
    </w:tblStylePr>
    <w:tblStylePr w:type="lastRow">
      <w:rPr>
        <w:b/>
        <w:bCs/>
        <w:color w:val="005BA4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6F1" w:themeFill="accent3" w:themeFillTint="3F"/>
      </w:tcPr>
    </w:tblStylePr>
    <w:tblStylePr w:type="band1Horz">
      <w:tblPr/>
      <w:tcPr>
        <w:shd w:val="clear" w:color="auto" w:fill="E3EBF4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00568"/>
    <w:pPr>
      <w:spacing w:before="0"/>
    </w:pPr>
    <w:rPr>
      <w:color w:val="000000" w:themeColor="text1"/>
    </w:rPr>
    <w:tblPr>
      <w:tblStyleRowBandSize w:val="1"/>
      <w:tblStyleColBandSize w:val="1"/>
    </w:tblPr>
    <w:tcPr>
      <w:shd w:val="clear" w:color="auto" w:fill="E1F1F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77BB6" w:themeFill="accent3" w:themeFillShade="CC"/>
      </w:tcPr>
    </w:tblStylePr>
    <w:tblStylePr w:type="lastRow">
      <w:rPr>
        <w:b/>
        <w:bCs/>
        <w:color w:val="477BB6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DDFF" w:themeFill="accent4" w:themeFillTint="3F"/>
      </w:tcPr>
    </w:tblStylePr>
    <w:tblStylePr w:type="band1Horz">
      <w:tblPr/>
      <w:tcPr>
        <w:shd w:val="clear" w:color="auto" w:fill="C2E3FF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00568"/>
    <w:pPr>
      <w:spacing w:before="0"/>
    </w:pPr>
    <w:rPr>
      <w:color w:val="000000" w:themeColor="text1"/>
    </w:rPr>
    <w:tblPr>
      <w:tblStyleRowBandSize w:val="1"/>
      <w:tblStyleColBandSize w:val="1"/>
    </w:tblPr>
    <w:tcPr>
      <w:shd w:val="clear" w:color="auto" w:fill="E2F6F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E2122" w:themeFill="accent6" w:themeFillShade="CC"/>
      </w:tcPr>
    </w:tblStylePr>
    <w:tblStylePr w:type="lastRow">
      <w:rPr>
        <w:b/>
        <w:bCs/>
        <w:color w:val="6E2122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9FF" w:themeFill="accent5" w:themeFillTint="3F"/>
      </w:tcPr>
    </w:tblStylePr>
    <w:tblStylePr w:type="band1Horz">
      <w:tblPr/>
      <w:tcPr>
        <w:shd w:val="clear" w:color="auto" w:fill="C5EDFF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00568"/>
    <w:pPr>
      <w:spacing w:before="0"/>
    </w:pPr>
    <w:rPr>
      <w:color w:val="000000" w:themeColor="text1"/>
    </w:rPr>
    <w:tblPr>
      <w:tblStyleRowBandSize w:val="1"/>
      <w:tblStyleColBandSize w:val="1"/>
    </w:tblPr>
    <w:tcPr>
      <w:shd w:val="clear" w:color="auto" w:fill="F7E5E5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CB1" w:themeFill="accent5" w:themeFillShade="CC"/>
      </w:tcPr>
    </w:tblStylePr>
    <w:tblStylePr w:type="lastRow">
      <w:rPr>
        <w:b/>
        <w:bCs/>
        <w:color w:val="007CB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0C0" w:themeFill="accent6" w:themeFillTint="3F"/>
      </w:tcPr>
    </w:tblStylePr>
    <w:tblStylePr w:type="band1Horz">
      <w:tblPr/>
      <w:tcPr>
        <w:shd w:val="clear" w:color="auto" w:fill="EFCCCC" w:themeFill="accent6" w:themeFillTint="33"/>
      </w:tcPr>
    </w:tblStylePr>
  </w:style>
  <w:style w:type="table" w:styleId="ColorfulShading">
    <w:name w:val="Colorful Shading"/>
    <w:basedOn w:val="TableNormal"/>
    <w:uiPriority w:val="71"/>
    <w:rsid w:val="00C00568"/>
    <w:pPr>
      <w:spacing w:before="0"/>
    </w:pPr>
    <w:rPr>
      <w:color w:val="000000" w:themeColor="text1"/>
    </w:rPr>
    <w:tblPr>
      <w:tblStyleRowBandSize w:val="1"/>
      <w:tblStyleColBandSize w:val="1"/>
      <w:tblBorders>
        <w:top w:val="single" w:sz="24" w:space="0" w:color="00497A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497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00568"/>
    <w:pPr>
      <w:spacing w:before="0"/>
    </w:pPr>
    <w:rPr>
      <w:color w:val="000000" w:themeColor="text1"/>
    </w:rPr>
    <w:tblPr>
      <w:tblStyleRowBandSize w:val="1"/>
      <w:tblStyleColBandSize w:val="1"/>
      <w:tblBorders>
        <w:top w:val="single" w:sz="24" w:space="0" w:color="00497A" w:themeColor="accent2"/>
        <w:left w:val="single" w:sz="4" w:space="0" w:color="0063A6" w:themeColor="accent1"/>
        <w:bottom w:val="single" w:sz="4" w:space="0" w:color="0063A6" w:themeColor="accent1"/>
        <w:right w:val="single" w:sz="4" w:space="0" w:color="0063A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1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497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B63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B63" w:themeColor="accent1" w:themeShade="99"/>
          <w:insideV w:val="nil"/>
        </w:tcBorders>
        <w:shd w:val="clear" w:color="auto" w:fill="003B63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B63" w:themeFill="accent1" w:themeFillShade="99"/>
      </w:tcPr>
    </w:tblStylePr>
    <w:tblStylePr w:type="band1Vert">
      <w:tblPr/>
      <w:tcPr>
        <w:shd w:val="clear" w:color="auto" w:fill="75C7FF" w:themeFill="accent1" w:themeFillTint="66"/>
      </w:tcPr>
    </w:tblStylePr>
    <w:tblStylePr w:type="band1Horz">
      <w:tblPr/>
      <w:tcPr>
        <w:shd w:val="clear" w:color="auto" w:fill="53B9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00568"/>
    <w:pPr>
      <w:spacing w:before="0"/>
    </w:pPr>
    <w:rPr>
      <w:color w:val="000000" w:themeColor="text1"/>
    </w:rPr>
    <w:tblPr>
      <w:tblStyleRowBandSize w:val="1"/>
      <w:tblStyleColBandSize w:val="1"/>
      <w:tblBorders>
        <w:top w:val="single" w:sz="24" w:space="0" w:color="00497A" w:themeColor="accent2"/>
        <w:left w:val="single" w:sz="4" w:space="0" w:color="00497A" w:themeColor="accent2"/>
        <w:bottom w:val="single" w:sz="4" w:space="0" w:color="00497A" w:themeColor="accent2"/>
        <w:right w:val="single" w:sz="4" w:space="0" w:color="00497A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F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497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2B4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2B49" w:themeColor="accent2" w:themeShade="99"/>
          <w:insideV w:val="nil"/>
        </w:tcBorders>
        <w:shd w:val="clear" w:color="auto" w:fill="002B4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B49" w:themeFill="accent2" w:themeFillShade="99"/>
      </w:tcPr>
    </w:tblStylePr>
    <w:tblStylePr w:type="band1Vert">
      <w:tblPr/>
      <w:tcPr>
        <w:shd w:val="clear" w:color="auto" w:fill="63C0FF" w:themeFill="accent2" w:themeFillTint="66"/>
      </w:tcPr>
    </w:tblStylePr>
    <w:tblStylePr w:type="band1Horz">
      <w:tblPr/>
      <w:tcPr>
        <w:shd w:val="clear" w:color="auto" w:fill="3DB0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00568"/>
    <w:pPr>
      <w:spacing w:before="0"/>
    </w:pPr>
    <w:rPr>
      <w:color w:val="000000" w:themeColor="text1"/>
    </w:rPr>
    <w:tblPr>
      <w:tblStyleRowBandSize w:val="1"/>
      <w:tblStyleColBandSize w:val="1"/>
      <w:tblBorders>
        <w:top w:val="single" w:sz="24" w:space="0" w:color="0072CE" w:themeColor="accent4"/>
        <w:left w:val="single" w:sz="4" w:space="0" w:color="749CC9" w:themeColor="accent3"/>
        <w:bottom w:val="single" w:sz="4" w:space="0" w:color="749CC9" w:themeColor="accent3"/>
        <w:right w:val="single" w:sz="4" w:space="0" w:color="749CC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5F9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72C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55C8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55C88" w:themeColor="accent3" w:themeShade="99"/>
          <w:insideV w:val="nil"/>
        </w:tcBorders>
        <w:shd w:val="clear" w:color="auto" w:fill="355C8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55C88" w:themeFill="accent3" w:themeFillShade="99"/>
      </w:tcPr>
    </w:tblStylePr>
    <w:tblStylePr w:type="band1Vert">
      <w:tblPr/>
      <w:tcPr>
        <w:shd w:val="clear" w:color="auto" w:fill="C7D7E9" w:themeFill="accent3" w:themeFillTint="66"/>
      </w:tcPr>
    </w:tblStylePr>
    <w:tblStylePr w:type="band1Horz">
      <w:tblPr/>
      <w:tcPr>
        <w:shd w:val="clear" w:color="auto" w:fill="B9CDE4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00568"/>
    <w:pPr>
      <w:spacing w:before="0"/>
    </w:pPr>
    <w:rPr>
      <w:color w:val="000000" w:themeColor="text1"/>
    </w:rPr>
    <w:tblPr>
      <w:tblStyleRowBandSize w:val="1"/>
      <w:tblStyleColBandSize w:val="1"/>
      <w:tblBorders>
        <w:top w:val="single" w:sz="24" w:space="0" w:color="749CC9" w:themeColor="accent3"/>
        <w:left w:val="single" w:sz="4" w:space="0" w:color="0072CE" w:themeColor="accent4"/>
        <w:bottom w:val="single" w:sz="4" w:space="0" w:color="0072CE" w:themeColor="accent4"/>
        <w:right w:val="single" w:sz="4" w:space="0" w:color="0072CE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1F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49CC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47B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47B" w:themeColor="accent4" w:themeShade="99"/>
          <w:insideV w:val="nil"/>
        </w:tcBorders>
        <w:shd w:val="clear" w:color="auto" w:fill="00447B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47B" w:themeFill="accent4" w:themeFillShade="99"/>
      </w:tcPr>
    </w:tblStylePr>
    <w:tblStylePr w:type="band1Vert">
      <w:tblPr/>
      <w:tcPr>
        <w:shd w:val="clear" w:color="auto" w:fill="85C8FF" w:themeFill="accent4" w:themeFillTint="66"/>
      </w:tcPr>
    </w:tblStylePr>
    <w:tblStylePr w:type="band1Horz">
      <w:tblPr/>
      <w:tcPr>
        <w:shd w:val="clear" w:color="auto" w:fill="67BB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00568"/>
    <w:pPr>
      <w:spacing w:before="0"/>
    </w:pPr>
    <w:rPr>
      <w:color w:val="000000" w:themeColor="text1"/>
    </w:rPr>
    <w:tblPr>
      <w:tblStyleRowBandSize w:val="1"/>
      <w:tblStyleColBandSize w:val="1"/>
      <w:tblBorders>
        <w:top w:val="single" w:sz="24" w:space="0" w:color="8A2A2B" w:themeColor="accent6"/>
        <w:left w:val="single" w:sz="4" w:space="0" w:color="009CDE" w:themeColor="accent5"/>
        <w:bottom w:val="single" w:sz="4" w:space="0" w:color="009CDE" w:themeColor="accent5"/>
        <w:right w:val="single" w:sz="4" w:space="0" w:color="009CDE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6F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A2A2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D85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D85" w:themeColor="accent5" w:themeShade="99"/>
          <w:insideV w:val="nil"/>
        </w:tcBorders>
        <w:shd w:val="clear" w:color="auto" w:fill="005D85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D85" w:themeFill="accent5" w:themeFillShade="99"/>
      </w:tcPr>
    </w:tblStylePr>
    <w:tblStylePr w:type="band1Vert">
      <w:tblPr/>
      <w:tcPr>
        <w:shd w:val="clear" w:color="auto" w:fill="8BDCFF" w:themeFill="accent5" w:themeFillTint="66"/>
      </w:tcPr>
    </w:tblStylePr>
    <w:tblStylePr w:type="band1Horz">
      <w:tblPr/>
      <w:tcPr>
        <w:shd w:val="clear" w:color="auto" w:fill="6FD4F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00568"/>
    <w:pPr>
      <w:spacing w:before="0"/>
    </w:pPr>
    <w:rPr>
      <w:color w:val="000000" w:themeColor="text1"/>
    </w:rPr>
    <w:tblPr>
      <w:tblStyleRowBandSize w:val="1"/>
      <w:tblStyleColBandSize w:val="1"/>
      <w:tblBorders>
        <w:top w:val="single" w:sz="24" w:space="0" w:color="009CDE" w:themeColor="accent5"/>
        <w:left w:val="single" w:sz="4" w:space="0" w:color="8A2A2B" w:themeColor="accent6"/>
        <w:bottom w:val="single" w:sz="4" w:space="0" w:color="8A2A2B" w:themeColor="accent6"/>
        <w:right w:val="single" w:sz="4" w:space="0" w:color="8A2A2B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E5E5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CD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1919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1919" w:themeColor="accent6" w:themeShade="99"/>
          <w:insideV w:val="nil"/>
        </w:tcBorders>
        <w:shd w:val="clear" w:color="auto" w:fill="521919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1919" w:themeFill="accent6" w:themeFillShade="99"/>
      </w:tcPr>
    </w:tblStylePr>
    <w:tblStylePr w:type="band1Vert">
      <w:tblPr/>
      <w:tcPr>
        <w:shd w:val="clear" w:color="auto" w:fill="E0999A" w:themeFill="accent6" w:themeFillTint="66"/>
      </w:tcPr>
    </w:tblStylePr>
    <w:tblStylePr w:type="band1Horz">
      <w:tblPr/>
      <w:tcPr>
        <w:shd w:val="clear" w:color="auto" w:fill="D88081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C005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056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05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05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0568"/>
    <w:rPr>
      <w:b/>
      <w:bCs/>
      <w:sz w:val="20"/>
      <w:szCs w:val="20"/>
    </w:rPr>
  </w:style>
  <w:style w:type="table" w:styleId="DarkList">
    <w:name w:val="Dark List"/>
    <w:basedOn w:val="TableNormal"/>
    <w:uiPriority w:val="70"/>
    <w:rsid w:val="00C00568"/>
    <w:pPr>
      <w:spacing w:before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00568"/>
    <w:pPr>
      <w:spacing w:before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63A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152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A7C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A7C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A7C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A7C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00568"/>
    <w:pPr>
      <w:spacing w:before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497A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43C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65B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65B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65B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65B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00568"/>
    <w:pPr>
      <w:spacing w:before="0"/>
    </w:pPr>
    <w:rPr>
      <w:color w:val="FFFFFF" w:themeColor="background1"/>
    </w:rPr>
    <w:tblPr>
      <w:tblStyleRowBandSize w:val="1"/>
      <w:tblStyleColBandSize w:val="1"/>
    </w:tblPr>
    <w:tcPr>
      <w:shd w:val="clear" w:color="auto" w:fill="749CC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C4C7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273A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273A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73A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73A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00568"/>
    <w:pPr>
      <w:spacing w:before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72CE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866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59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59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9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9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00568"/>
    <w:pPr>
      <w:spacing w:before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9CDE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D6E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4A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4A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4A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4A6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00568"/>
    <w:pPr>
      <w:spacing w:before="0"/>
    </w:pPr>
    <w:rPr>
      <w:color w:val="FFFFFF" w:themeColor="background1"/>
    </w:rPr>
    <w:tblPr>
      <w:tblStyleRowBandSize w:val="1"/>
      <w:tblStyleColBandSize w:val="1"/>
    </w:tblPr>
    <w:tcPr>
      <w:shd w:val="clear" w:color="auto" w:fill="8A2A2B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1515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71F2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71F2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1F2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1F20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C00568"/>
  </w:style>
  <w:style w:type="character" w:customStyle="1" w:styleId="DateChar">
    <w:name w:val="Date Char"/>
    <w:basedOn w:val="DefaultParagraphFont"/>
    <w:link w:val="Date"/>
    <w:uiPriority w:val="99"/>
    <w:semiHidden/>
    <w:rsid w:val="00C00568"/>
  </w:style>
  <w:style w:type="paragraph" w:styleId="DocumentMap">
    <w:name w:val="Document Map"/>
    <w:basedOn w:val="Normal"/>
    <w:link w:val="DocumentMapChar"/>
    <w:uiPriority w:val="99"/>
    <w:semiHidden/>
    <w:unhideWhenUsed/>
    <w:rsid w:val="00C00568"/>
    <w:pPr>
      <w:spacing w:before="0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00568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C00568"/>
    <w:pPr>
      <w:spacing w:before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00568"/>
  </w:style>
  <w:style w:type="character" w:styleId="Emphasis">
    <w:name w:val="Emphasis"/>
    <w:basedOn w:val="DefaultParagraphFont"/>
    <w:uiPriority w:val="98"/>
    <w:semiHidden/>
    <w:rsid w:val="00C00568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C00568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00568"/>
    <w:pPr>
      <w:spacing w:before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00568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C00568"/>
    <w:pPr>
      <w:framePr w:w="7920" w:h="1980" w:hRule="exact" w:hSpace="180" w:wrap="auto" w:hAnchor="page" w:xAlign="center" w:yAlign="bottom"/>
      <w:spacing w:before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C00568"/>
    <w:pPr>
      <w:spacing w:before="0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00568"/>
    <w:rPr>
      <w:color w:val="8A2A2B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C00568"/>
    <w:rPr>
      <w:vertAlign w:val="superscript"/>
    </w:rPr>
  </w:style>
  <w:style w:type="character" w:styleId="HTMLAcronym">
    <w:name w:val="HTML Acronym"/>
    <w:basedOn w:val="DefaultParagraphFont"/>
    <w:uiPriority w:val="99"/>
    <w:semiHidden/>
    <w:unhideWhenUsed/>
    <w:rsid w:val="00C00568"/>
  </w:style>
  <w:style w:type="paragraph" w:styleId="HTMLAddress">
    <w:name w:val="HTML Address"/>
    <w:basedOn w:val="Normal"/>
    <w:link w:val="HTMLAddressChar"/>
    <w:uiPriority w:val="99"/>
    <w:semiHidden/>
    <w:unhideWhenUsed/>
    <w:rsid w:val="00C00568"/>
    <w:pPr>
      <w:spacing w:before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00568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C00568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C00568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C00568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C00568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00568"/>
    <w:pPr>
      <w:spacing w:before="0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00568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C00568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C00568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C00568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00568"/>
    <w:pPr>
      <w:spacing w:before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00568"/>
    <w:pPr>
      <w:spacing w:before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00568"/>
    <w:pPr>
      <w:spacing w:before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00568"/>
    <w:pPr>
      <w:spacing w:before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00568"/>
    <w:pPr>
      <w:spacing w:before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00568"/>
    <w:pPr>
      <w:spacing w:before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00568"/>
    <w:pPr>
      <w:spacing w:before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00568"/>
    <w:pPr>
      <w:spacing w:before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00568"/>
    <w:pPr>
      <w:spacing w:before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C00568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8"/>
    <w:semiHidden/>
    <w:rsid w:val="00C00568"/>
    <w:rPr>
      <w:b/>
      <w:bCs/>
      <w:i/>
      <w:iCs/>
      <w:color w:val="0063A6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C00568"/>
    <w:pPr>
      <w:pBdr>
        <w:bottom w:val="single" w:sz="4" w:space="4" w:color="0063A6" w:themeColor="accent1"/>
      </w:pBdr>
      <w:spacing w:before="200" w:after="280"/>
      <w:ind w:left="936" w:right="936"/>
    </w:pPr>
    <w:rPr>
      <w:b/>
      <w:bCs/>
      <w:i/>
      <w:iCs/>
      <w:color w:val="0063A6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C00568"/>
    <w:rPr>
      <w:b/>
      <w:bCs/>
      <w:i/>
      <w:iCs/>
      <w:color w:val="0063A6" w:themeColor="accent1"/>
    </w:rPr>
  </w:style>
  <w:style w:type="character" w:styleId="IntenseReference">
    <w:name w:val="Intense Reference"/>
    <w:basedOn w:val="DefaultParagraphFont"/>
    <w:uiPriority w:val="32"/>
    <w:semiHidden/>
    <w:rsid w:val="00C00568"/>
    <w:rPr>
      <w:b/>
      <w:bCs/>
      <w:smallCaps/>
      <w:color w:val="00497A" w:themeColor="accent2"/>
      <w:spacing w:val="5"/>
      <w:u w:val="single"/>
    </w:rPr>
  </w:style>
  <w:style w:type="table" w:styleId="LightGrid">
    <w:name w:val="Light Grid"/>
    <w:basedOn w:val="TableNormal"/>
    <w:uiPriority w:val="62"/>
    <w:rsid w:val="00C00568"/>
    <w:pPr>
      <w:spacing w:before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00568"/>
    <w:pPr>
      <w:spacing w:before="0"/>
    </w:pPr>
    <w:tblPr>
      <w:tblStyleRowBandSize w:val="1"/>
      <w:tblStyleColBandSize w:val="1"/>
      <w:tblBorders>
        <w:top w:val="single" w:sz="8" w:space="0" w:color="0063A6" w:themeColor="accent1"/>
        <w:left w:val="single" w:sz="8" w:space="0" w:color="0063A6" w:themeColor="accent1"/>
        <w:bottom w:val="single" w:sz="8" w:space="0" w:color="0063A6" w:themeColor="accent1"/>
        <w:right w:val="single" w:sz="8" w:space="0" w:color="0063A6" w:themeColor="accent1"/>
        <w:insideH w:val="single" w:sz="8" w:space="0" w:color="0063A6" w:themeColor="accent1"/>
        <w:insideV w:val="single" w:sz="8" w:space="0" w:color="0063A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3A6" w:themeColor="accent1"/>
          <w:left w:val="single" w:sz="8" w:space="0" w:color="0063A6" w:themeColor="accent1"/>
          <w:bottom w:val="single" w:sz="18" w:space="0" w:color="0063A6" w:themeColor="accent1"/>
          <w:right w:val="single" w:sz="8" w:space="0" w:color="0063A6" w:themeColor="accent1"/>
          <w:insideH w:val="nil"/>
          <w:insideV w:val="single" w:sz="8" w:space="0" w:color="0063A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63A6" w:themeColor="accent1"/>
          <w:left w:val="single" w:sz="8" w:space="0" w:color="0063A6" w:themeColor="accent1"/>
          <w:bottom w:val="single" w:sz="8" w:space="0" w:color="0063A6" w:themeColor="accent1"/>
          <w:right w:val="single" w:sz="8" w:space="0" w:color="0063A6" w:themeColor="accent1"/>
          <w:insideH w:val="nil"/>
          <w:insideV w:val="single" w:sz="8" w:space="0" w:color="0063A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3A6" w:themeColor="accent1"/>
          <w:left w:val="single" w:sz="8" w:space="0" w:color="0063A6" w:themeColor="accent1"/>
          <w:bottom w:val="single" w:sz="8" w:space="0" w:color="0063A6" w:themeColor="accent1"/>
          <w:right w:val="single" w:sz="8" w:space="0" w:color="0063A6" w:themeColor="accent1"/>
        </w:tcBorders>
      </w:tcPr>
    </w:tblStylePr>
    <w:tblStylePr w:type="band1Vert">
      <w:tblPr/>
      <w:tcPr>
        <w:tcBorders>
          <w:top w:val="single" w:sz="8" w:space="0" w:color="0063A6" w:themeColor="accent1"/>
          <w:left w:val="single" w:sz="8" w:space="0" w:color="0063A6" w:themeColor="accent1"/>
          <w:bottom w:val="single" w:sz="8" w:space="0" w:color="0063A6" w:themeColor="accent1"/>
          <w:right w:val="single" w:sz="8" w:space="0" w:color="0063A6" w:themeColor="accent1"/>
        </w:tcBorders>
        <w:shd w:val="clear" w:color="auto" w:fill="AADCFF" w:themeFill="accent1" w:themeFillTint="3F"/>
      </w:tcPr>
    </w:tblStylePr>
    <w:tblStylePr w:type="band1Horz">
      <w:tblPr/>
      <w:tcPr>
        <w:tcBorders>
          <w:top w:val="single" w:sz="8" w:space="0" w:color="0063A6" w:themeColor="accent1"/>
          <w:left w:val="single" w:sz="8" w:space="0" w:color="0063A6" w:themeColor="accent1"/>
          <w:bottom w:val="single" w:sz="8" w:space="0" w:color="0063A6" w:themeColor="accent1"/>
          <w:right w:val="single" w:sz="8" w:space="0" w:color="0063A6" w:themeColor="accent1"/>
          <w:insideV w:val="single" w:sz="8" w:space="0" w:color="0063A6" w:themeColor="accent1"/>
        </w:tcBorders>
        <w:shd w:val="clear" w:color="auto" w:fill="AADCFF" w:themeFill="accent1" w:themeFillTint="3F"/>
      </w:tcPr>
    </w:tblStylePr>
    <w:tblStylePr w:type="band2Horz">
      <w:tblPr/>
      <w:tcPr>
        <w:tcBorders>
          <w:top w:val="single" w:sz="8" w:space="0" w:color="0063A6" w:themeColor="accent1"/>
          <w:left w:val="single" w:sz="8" w:space="0" w:color="0063A6" w:themeColor="accent1"/>
          <w:bottom w:val="single" w:sz="8" w:space="0" w:color="0063A6" w:themeColor="accent1"/>
          <w:right w:val="single" w:sz="8" w:space="0" w:color="0063A6" w:themeColor="accent1"/>
          <w:insideV w:val="single" w:sz="8" w:space="0" w:color="0063A6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00568"/>
    <w:pPr>
      <w:spacing w:before="0"/>
    </w:pPr>
    <w:tblPr>
      <w:tblStyleRowBandSize w:val="1"/>
      <w:tblStyleColBandSize w:val="1"/>
      <w:tblBorders>
        <w:top w:val="single" w:sz="8" w:space="0" w:color="00497A" w:themeColor="accent2"/>
        <w:left w:val="single" w:sz="8" w:space="0" w:color="00497A" w:themeColor="accent2"/>
        <w:bottom w:val="single" w:sz="8" w:space="0" w:color="00497A" w:themeColor="accent2"/>
        <w:right w:val="single" w:sz="8" w:space="0" w:color="00497A" w:themeColor="accent2"/>
        <w:insideH w:val="single" w:sz="8" w:space="0" w:color="00497A" w:themeColor="accent2"/>
        <w:insideV w:val="single" w:sz="8" w:space="0" w:color="00497A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497A" w:themeColor="accent2"/>
          <w:left w:val="single" w:sz="8" w:space="0" w:color="00497A" w:themeColor="accent2"/>
          <w:bottom w:val="single" w:sz="18" w:space="0" w:color="00497A" w:themeColor="accent2"/>
          <w:right w:val="single" w:sz="8" w:space="0" w:color="00497A" w:themeColor="accent2"/>
          <w:insideH w:val="nil"/>
          <w:insideV w:val="single" w:sz="8" w:space="0" w:color="00497A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497A" w:themeColor="accent2"/>
          <w:left w:val="single" w:sz="8" w:space="0" w:color="00497A" w:themeColor="accent2"/>
          <w:bottom w:val="single" w:sz="8" w:space="0" w:color="00497A" w:themeColor="accent2"/>
          <w:right w:val="single" w:sz="8" w:space="0" w:color="00497A" w:themeColor="accent2"/>
          <w:insideH w:val="nil"/>
          <w:insideV w:val="single" w:sz="8" w:space="0" w:color="00497A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497A" w:themeColor="accent2"/>
          <w:left w:val="single" w:sz="8" w:space="0" w:color="00497A" w:themeColor="accent2"/>
          <w:bottom w:val="single" w:sz="8" w:space="0" w:color="00497A" w:themeColor="accent2"/>
          <w:right w:val="single" w:sz="8" w:space="0" w:color="00497A" w:themeColor="accent2"/>
        </w:tcBorders>
      </w:tcPr>
    </w:tblStylePr>
    <w:tblStylePr w:type="band1Vert">
      <w:tblPr/>
      <w:tcPr>
        <w:tcBorders>
          <w:top w:val="single" w:sz="8" w:space="0" w:color="00497A" w:themeColor="accent2"/>
          <w:left w:val="single" w:sz="8" w:space="0" w:color="00497A" w:themeColor="accent2"/>
          <w:bottom w:val="single" w:sz="8" w:space="0" w:color="00497A" w:themeColor="accent2"/>
          <w:right w:val="single" w:sz="8" w:space="0" w:color="00497A" w:themeColor="accent2"/>
        </w:tcBorders>
        <w:shd w:val="clear" w:color="auto" w:fill="9FD8FF" w:themeFill="accent2" w:themeFillTint="3F"/>
      </w:tcPr>
    </w:tblStylePr>
    <w:tblStylePr w:type="band1Horz">
      <w:tblPr/>
      <w:tcPr>
        <w:tcBorders>
          <w:top w:val="single" w:sz="8" w:space="0" w:color="00497A" w:themeColor="accent2"/>
          <w:left w:val="single" w:sz="8" w:space="0" w:color="00497A" w:themeColor="accent2"/>
          <w:bottom w:val="single" w:sz="8" w:space="0" w:color="00497A" w:themeColor="accent2"/>
          <w:right w:val="single" w:sz="8" w:space="0" w:color="00497A" w:themeColor="accent2"/>
          <w:insideV w:val="single" w:sz="8" w:space="0" w:color="00497A" w:themeColor="accent2"/>
        </w:tcBorders>
        <w:shd w:val="clear" w:color="auto" w:fill="9FD8FF" w:themeFill="accent2" w:themeFillTint="3F"/>
      </w:tcPr>
    </w:tblStylePr>
    <w:tblStylePr w:type="band2Horz">
      <w:tblPr/>
      <w:tcPr>
        <w:tcBorders>
          <w:top w:val="single" w:sz="8" w:space="0" w:color="00497A" w:themeColor="accent2"/>
          <w:left w:val="single" w:sz="8" w:space="0" w:color="00497A" w:themeColor="accent2"/>
          <w:bottom w:val="single" w:sz="8" w:space="0" w:color="00497A" w:themeColor="accent2"/>
          <w:right w:val="single" w:sz="8" w:space="0" w:color="00497A" w:themeColor="accent2"/>
          <w:insideV w:val="single" w:sz="8" w:space="0" w:color="00497A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00568"/>
    <w:pPr>
      <w:spacing w:before="0"/>
    </w:pPr>
    <w:tblPr>
      <w:tblStyleRowBandSize w:val="1"/>
      <w:tblStyleColBandSize w:val="1"/>
      <w:tblBorders>
        <w:top w:val="single" w:sz="8" w:space="0" w:color="749CC9" w:themeColor="accent3"/>
        <w:left w:val="single" w:sz="8" w:space="0" w:color="749CC9" w:themeColor="accent3"/>
        <w:bottom w:val="single" w:sz="8" w:space="0" w:color="749CC9" w:themeColor="accent3"/>
        <w:right w:val="single" w:sz="8" w:space="0" w:color="749CC9" w:themeColor="accent3"/>
        <w:insideH w:val="single" w:sz="8" w:space="0" w:color="749CC9" w:themeColor="accent3"/>
        <w:insideV w:val="single" w:sz="8" w:space="0" w:color="749CC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49CC9" w:themeColor="accent3"/>
          <w:left w:val="single" w:sz="8" w:space="0" w:color="749CC9" w:themeColor="accent3"/>
          <w:bottom w:val="single" w:sz="18" w:space="0" w:color="749CC9" w:themeColor="accent3"/>
          <w:right w:val="single" w:sz="8" w:space="0" w:color="749CC9" w:themeColor="accent3"/>
          <w:insideH w:val="nil"/>
          <w:insideV w:val="single" w:sz="8" w:space="0" w:color="749CC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49CC9" w:themeColor="accent3"/>
          <w:left w:val="single" w:sz="8" w:space="0" w:color="749CC9" w:themeColor="accent3"/>
          <w:bottom w:val="single" w:sz="8" w:space="0" w:color="749CC9" w:themeColor="accent3"/>
          <w:right w:val="single" w:sz="8" w:space="0" w:color="749CC9" w:themeColor="accent3"/>
          <w:insideH w:val="nil"/>
          <w:insideV w:val="single" w:sz="8" w:space="0" w:color="749CC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49CC9" w:themeColor="accent3"/>
          <w:left w:val="single" w:sz="8" w:space="0" w:color="749CC9" w:themeColor="accent3"/>
          <w:bottom w:val="single" w:sz="8" w:space="0" w:color="749CC9" w:themeColor="accent3"/>
          <w:right w:val="single" w:sz="8" w:space="0" w:color="749CC9" w:themeColor="accent3"/>
        </w:tcBorders>
      </w:tcPr>
    </w:tblStylePr>
    <w:tblStylePr w:type="band1Vert">
      <w:tblPr/>
      <w:tcPr>
        <w:tcBorders>
          <w:top w:val="single" w:sz="8" w:space="0" w:color="749CC9" w:themeColor="accent3"/>
          <w:left w:val="single" w:sz="8" w:space="0" w:color="749CC9" w:themeColor="accent3"/>
          <w:bottom w:val="single" w:sz="8" w:space="0" w:color="749CC9" w:themeColor="accent3"/>
          <w:right w:val="single" w:sz="8" w:space="0" w:color="749CC9" w:themeColor="accent3"/>
        </w:tcBorders>
        <w:shd w:val="clear" w:color="auto" w:fill="DCE6F1" w:themeFill="accent3" w:themeFillTint="3F"/>
      </w:tcPr>
    </w:tblStylePr>
    <w:tblStylePr w:type="band1Horz">
      <w:tblPr/>
      <w:tcPr>
        <w:tcBorders>
          <w:top w:val="single" w:sz="8" w:space="0" w:color="749CC9" w:themeColor="accent3"/>
          <w:left w:val="single" w:sz="8" w:space="0" w:color="749CC9" w:themeColor="accent3"/>
          <w:bottom w:val="single" w:sz="8" w:space="0" w:color="749CC9" w:themeColor="accent3"/>
          <w:right w:val="single" w:sz="8" w:space="0" w:color="749CC9" w:themeColor="accent3"/>
          <w:insideV w:val="single" w:sz="8" w:space="0" w:color="749CC9" w:themeColor="accent3"/>
        </w:tcBorders>
        <w:shd w:val="clear" w:color="auto" w:fill="DCE6F1" w:themeFill="accent3" w:themeFillTint="3F"/>
      </w:tcPr>
    </w:tblStylePr>
    <w:tblStylePr w:type="band2Horz">
      <w:tblPr/>
      <w:tcPr>
        <w:tcBorders>
          <w:top w:val="single" w:sz="8" w:space="0" w:color="749CC9" w:themeColor="accent3"/>
          <w:left w:val="single" w:sz="8" w:space="0" w:color="749CC9" w:themeColor="accent3"/>
          <w:bottom w:val="single" w:sz="8" w:space="0" w:color="749CC9" w:themeColor="accent3"/>
          <w:right w:val="single" w:sz="8" w:space="0" w:color="749CC9" w:themeColor="accent3"/>
          <w:insideV w:val="single" w:sz="8" w:space="0" w:color="749CC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00568"/>
    <w:pPr>
      <w:spacing w:before="0"/>
    </w:pPr>
    <w:tblPr>
      <w:tblStyleRowBandSize w:val="1"/>
      <w:tblStyleColBandSize w:val="1"/>
      <w:tblBorders>
        <w:top w:val="single" w:sz="8" w:space="0" w:color="0072CE" w:themeColor="accent4"/>
        <w:left w:val="single" w:sz="8" w:space="0" w:color="0072CE" w:themeColor="accent4"/>
        <w:bottom w:val="single" w:sz="8" w:space="0" w:color="0072CE" w:themeColor="accent4"/>
        <w:right w:val="single" w:sz="8" w:space="0" w:color="0072CE" w:themeColor="accent4"/>
        <w:insideH w:val="single" w:sz="8" w:space="0" w:color="0072CE" w:themeColor="accent4"/>
        <w:insideV w:val="single" w:sz="8" w:space="0" w:color="0072CE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2CE" w:themeColor="accent4"/>
          <w:left w:val="single" w:sz="8" w:space="0" w:color="0072CE" w:themeColor="accent4"/>
          <w:bottom w:val="single" w:sz="18" w:space="0" w:color="0072CE" w:themeColor="accent4"/>
          <w:right w:val="single" w:sz="8" w:space="0" w:color="0072CE" w:themeColor="accent4"/>
          <w:insideH w:val="nil"/>
          <w:insideV w:val="single" w:sz="8" w:space="0" w:color="0072CE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2CE" w:themeColor="accent4"/>
          <w:left w:val="single" w:sz="8" w:space="0" w:color="0072CE" w:themeColor="accent4"/>
          <w:bottom w:val="single" w:sz="8" w:space="0" w:color="0072CE" w:themeColor="accent4"/>
          <w:right w:val="single" w:sz="8" w:space="0" w:color="0072CE" w:themeColor="accent4"/>
          <w:insideH w:val="nil"/>
          <w:insideV w:val="single" w:sz="8" w:space="0" w:color="0072CE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2CE" w:themeColor="accent4"/>
          <w:left w:val="single" w:sz="8" w:space="0" w:color="0072CE" w:themeColor="accent4"/>
          <w:bottom w:val="single" w:sz="8" w:space="0" w:color="0072CE" w:themeColor="accent4"/>
          <w:right w:val="single" w:sz="8" w:space="0" w:color="0072CE" w:themeColor="accent4"/>
        </w:tcBorders>
      </w:tcPr>
    </w:tblStylePr>
    <w:tblStylePr w:type="band1Vert">
      <w:tblPr/>
      <w:tcPr>
        <w:tcBorders>
          <w:top w:val="single" w:sz="8" w:space="0" w:color="0072CE" w:themeColor="accent4"/>
          <w:left w:val="single" w:sz="8" w:space="0" w:color="0072CE" w:themeColor="accent4"/>
          <w:bottom w:val="single" w:sz="8" w:space="0" w:color="0072CE" w:themeColor="accent4"/>
          <w:right w:val="single" w:sz="8" w:space="0" w:color="0072CE" w:themeColor="accent4"/>
        </w:tcBorders>
        <w:shd w:val="clear" w:color="auto" w:fill="B3DDFF" w:themeFill="accent4" w:themeFillTint="3F"/>
      </w:tcPr>
    </w:tblStylePr>
    <w:tblStylePr w:type="band1Horz">
      <w:tblPr/>
      <w:tcPr>
        <w:tcBorders>
          <w:top w:val="single" w:sz="8" w:space="0" w:color="0072CE" w:themeColor="accent4"/>
          <w:left w:val="single" w:sz="8" w:space="0" w:color="0072CE" w:themeColor="accent4"/>
          <w:bottom w:val="single" w:sz="8" w:space="0" w:color="0072CE" w:themeColor="accent4"/>
          <w:right w:val="single" w:sz="8" w:space="0" w:color="0072CE" w:themeColor="accent4"/>
          <w:insideV w:val="single" w:sz="8" w:space="0" w:color="0072CE" w:themeColor="accent4"/>
        </w:tcBorders>
        <w:shd w:val="clear" w:color="auto" w:fill="B3DDFF" w:themeFill="accent4" w:themeFillTint="3F"/>
      </w:tcPr>
    </w:tblStylePr>
    <w:tblStylePr w:type="band2Horz">
      <w:tblPr/>
      <w:tcPr>
        <w:tcBorders>
          <w:top w:val="single" w:sz="8" w:space="0" w:color="0072CE" w:themeColor="accent4"/>
          <w:left w:val="single" w:sz="8" w:space="0" w:color="0072CE" w:themeColor="accent4"/>
          <w:bottom w:val="single" w:sz="8" w:space="0" w:color="0072CE" w:themeColor="accent4"/>
          <w:right w:val="single" w:sz="8" w:space="0" w:color="0072CE" w:themeColor="accent4"/>
          <w:insideV w:val="single" w:sz="8" w:space="0" w:color="0072CE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00568"/>
    <w:pPr>
      <w:spacing w:before="0"/>
    </w:pPr>
    <w:tblPr>
      <w:tblStyleRowBandSize w:val="1"/>
      <w:tblStyleColBandSize w:val="1"/>
      <w:tblBorders>
        <w:top w:val="single" w:sz="8" w:space="0" w:color="009CDE" w:themeColor="accent5"/>
        <w:left w:val="single" w:sz="8" w:space="0" w:color="009CDE" w:themeColor="accent5"/>
        <w:bottom w:val="single" w:sz="8" w:space="0" w:color="009CDE" w:themeColor="accent5"/>
        <w:right w:val="single" w:sz="8" w:space="0" w:color="009CDE" w:themeColor="accent5"/>
        <w:insideH w:val="single" w:sz="8" w:space="0" w:color="009CDE" w:themeColor="accent5"/>
        <w:insideV w:val="single" w:sz="8" w:space="0" w:color="009CDE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CDE" w:themeColor="accent5"/>
          <w:left w:val="single" w:sz="8" w:space="0" w:color="009CDE" w:themeColor="accent5"/>
          <w:bottom w:val="single" w:sz="18" w:space="0" w:color="009CDE" w:themeColor="accent5"/>
          <w:right w:val="single" w:sz="8" w:space="0" w:color="009CDE" w:themeColor="accent5"/>
          <w:insideH w:val="nil"/>
          <w:insideV w:val="single" w:sz="8" w:space="0" w:color="009CDE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CDE" w:themeColor="accent5"/>
          <w:left w:val="single" w:sz="8" w:space="0" w:color="009CDE" w:themeColor="accent5"/>
          <w:bottom w:val="single" w:sz="8" w:space="0" w:color="009CDE" w:themeColor="accent5"/>
          <w:right w:val="single" w:sz="8" w:space="0" w:color="009CDE" w:themeColor="accent5"/>
          <w:insideH w:val="nil"/>
          <w:insideV w:val="single" w:sz="8" w:space="0" w:color="009CDE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CDE" w:themeColor="accent5"/>
          <w:left w:val="single" w:sz="8" w:space="0" w:color="009CDE" w:themeColor="accent5"/>
          <w:bottom w:val="single" w:sz="8" w:space="0" w:color="009CDE" w:themeColor="accent5"/>
          <w:right w:val="single" w:sz="8" w:space="0" w:color="009CDE" w:themeColor="accent5"/>
        </w:tcBorders>
      </w:tcPr>
    </w:tblStylePr>
    <w:tblStylePr w:type="band1Vert">
      <w:tblPr/>
      <w:tcPr>
        <w:tcBorders>
          <w:top w:val="single" w:sz="8" w:space="0" w:color="009CDE" w:themeColor="accent5"/>
          <w:left w:val="single" w:sz="8" w:space="0" w:color="009CDE" w:themeColor="accent5"/>
          <w:bottom w:val="single" w:sz="8" w:space="0" w:color="009CDE" w:themeColor="accent5"/>
          <w:right w:val="single" w:sz="8" w:space="0" w:color="009CDE" w:themeColor="accent5"/>
        </w:tcBorders>
        <w:shd w:val="clear" w:color="auto" w:fill="B7E9FF" w:themeFill="accent5" w:themeFillTint="3F"/>
      </w:tcPr>
    </w:tblStylePr>
    <w:tblStylePr w:type="band1Horz">
      <w:tblPr/>
      <w:tcPr>
        <w:tcBorders>
          <w:top w:val="single" w:sz="8" w:space="0" w:color="009CDE" w:themeColor="accent5"/>
          <w:left w:val="single" w:sz="8" w:space="0" w:color="009CDE" w:themeColor="accent5"/>
          <w:bottom w:val="single" w:sz="8" w:space="0" w:color="009CDE" w:themeColor="accent5"/>
          <w:right w:val="single" w:sz="8" w:space="0" w:color="009CDE" w:themeColor="accent5"/>
          <w:insideV w:val="single" w:sz="8" w:space="0" w:color="009CDE" w:themeColor="accent5"/>
        </w:tcBorders>
        <w:shd w:val="clear" w:color="auto" w:fill="B7E9FF" w:themeFill="accent5" w:themeFillTint="3F"/>
      </w:tcPr>
    </w:tblStylePr>
    <w:tblStylePr w:type="band2Horz">
      <w:tblPr/>
      <w:tcPr>
        <w:tcBorders>
          <w:top w:val="single" w:sz="8" w:space="0" w:color="009CDE" w:themeColor="accent5"/>
          <w:left w:val="single" w:sz="8" w:space="0" w:color="009CDE" w:themeColor="accent5"/>
          <w:bottom w:val="single" w:sz="8" w:space="0" w:color="009CDE" w:themeColor="accent5"/>
          <w:right w:val="single" w:sz="8" w:space="0" w:color="009CDE" w:themeColor="accent5"/>
          <w:insideV w:val="single" w:sz="8" w:space="0" w:color="009CDE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00568"/>
    <w:pPr>
      <w:spacing w:before="0"/>
    </w:pPr>
    <w:tblPr>
      <w:tblStyleRowBandSize w:val="1"/>
      <w:tblStyleColBandSize w:val="1"/>
      <w:tblBorders>
        <w:top w:val="single" w:sz="8" w:space="0" w:color="8A2A2B" w:themeColor="accent6"/>
        <w:left w:val="single" w:sz="8" w:space="0" w:color="8A2A2B" w:themeColor="accent6"/>
        <w:bottom w:val="single" w:sz="8" w:space="0" w:color="8A2A2B" w:themeColor="accent6"/>
        <w:right w:val="single" w:sz="8" w:space="0" w:color="8A2A2B" w:themeColor="accent6"/>
        <w:insideH w:val="single" w:sz="8" w:space="0" w:color="8A2A2B" w:themeColor="accent6"/>
        <w:insideV w:val="single" w:sz="8" w:space="0" w:color="8A2A2B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2A2B" w:themeColor="accent6"/>
          <w:left w:val="single" w:sz="8" w:space="0" w:color="8A2A2B" w:themeColor="accent6"/>
          <w:bottom w:val="single" w:sz="18" w:space="0" w:color="8A2A2B" w:themeColor="accent6"/>
          <w:right w:val="single" w:sz="8" w:space="0" w:color="8A2A2B" w:themeColor="accent6"/>
          <w:insideH w:val="nil"/>
          <w:insideV w:val="single" w:sz="8" w:space="0" w:color="8A2A2B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2A2B" w:themeColor="accent6"/>
          <w:left w:val="single" w:sz="8" w:space="0" w:color="8A2A2B" w:themeColor="accent6"/>
          <w:bottom w:val="single" w:sz="8" w:space="0" w:color="8A2A2B" w:themeColor="accent6"/>
          <w:right w:val="single" w:sz="8" w:space="0" w:color="8A2A2B" w:themeColor="accent6"/>
          <w:insideH w:val="nil"/>
          <w:insideV w:val="single" w:sz="8" w:space="0" w:color="8A2A2B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2A2B" w:themeColor="accent6"/>
          <w:left w:val="single" w:sz="8" w:space="0" w:color="8A2A2B" w:themeColor="accent6"/>
          <w:bottom w:val="single" w:sz="8" w:space="0" w:color="8A2A2B" w:themeColor="accent6"/>
          <w:right w:val="single" w:sz="8" w:space="0" w:color="8A2A2B" w:themeColor="accent6"/>
        </w:tcBorders>
      </w:tcPr>
    </w:tblStylePr>
    <w:tblStylePr w:type="band1Vert">
      <w:tblPr/>
      <w:tcPr>
        <w:tcBorders>
          <w:top w:val="single" w:sz="8" w:space="0" w:color="8A2A2B" w:themeColor="accent6"/>
          <w:left w:val="single" w:sz="8" w:space="0" w:color="8A2A2B" w:themeColor="accent6"/>
          <w:bottom w:val="single" w:sz="8" w:space="0" w:color="8A2A2B" w:themeColor="accent6"/>
          <w:right w:val="single" w:sz="8" w:space="0" w:color="8A2A2B" w:themeColor="accent6"/>
        </w:tcBorders>
        <w:shd w:val="clear" w:color="auto" w:fill="ECC0C0" w:themeFill="accent6" w:themeFillTint="3F"/>
      </w:tcPr>
    </w:tblStylePr>
    <w:tblStylePr w:type="band1Horz">
      <w:tblPr/>
      <w:tcPr>
        <w:tcBorders>
          <w:top w:val="single" w:sz="8" w:space="0" w:color="8A2A2B" w:themeColor="accent6"/>
          <w:left w:val="single" w:sz="8" w:space="0" w:color="8A2A2B" w:themeColor="accent6"/>
          <w:bottom w:val="single" w:sz="8" w:space="0" w:color="8A2A2B" w:themeColor="accent6"/>
          <w:right w:val="single" w:sz="8" w:space="0" w:color="8A2A2B" w:themeColor="accent6"/>
          <w:insideV w:val="single" w:sz="8" w:space="0" w:color="8A2A2B" w:themeColor="accent6"/>
        </w:tcBorders>
        <w:shd w:val="clear" w:color="auto" w:fill="ECC0C0" w:themeFill="accent6" w:themeFillTint="3F"/>
      </w:tcPr>
    </w:tblStylePr>
    <w:tblStylePr w:type="band2Horz">
      <w:tblPr/>
      <w:tcPr>
        <w:tcBorders>
          <w:top w:val="single" w:sz="8" w:space="0" w:color="8A2A2B" w:themeColor="accent6"/>
          <w:left w:val="single" w:sz="8" w:space="0" w:color="8A2A2B" w:themeColor="accent6"/>
          <w:bottom w:val="single" w:sz="8" w:space="0" w:color="8A2A2B" w:themeColor="accent6"/>
          <w:right w:val="single" w:sz="8" w:space="0" w:color="8A2A2B" w:themeColor="accent6"/>
          <w:insideV w:val="single" w:sz="8" w:space="0" w:color="8A2A2B" w:themeColor="accent6"/>
        </w:tcBorders>
      </w:tcPr>
    </w:tblStylePr>
  </w:style>
  <w:style w:type="table" w:styleId="LightList-Accent1">
    <w:name w:val="Light List Accent 1"/>
    <w:basedOn w:val="TableNormal"/>
    <w:uiPriority w:val="61"/>
    <w:rsid w:val="00C00568"/>
    <w:pPr>
      <w:spacing w:before="0"/>
    </w:pPr>
    <w:tblPr>
      <w:tblStyleRowBandSize w:val="1"/>
      <w:tblStyleColBandSize w:val="1"/>
      <w:tblBorders>
        <w:top w:val="single" w:sz="8" w:space="0" w:color="0063A6" w:themeColor="accent1"/>
        <w:left w:val="single" w:sz="8" w:space="0" w:color="0063A6" w:themeColor="accent1"/>
        <w:bottom w:val="single" w:sz="8" w:space="0" w:color="0063A6" w:themeColor="accent1"/>
        <w:right w:val="single" w:sz="8" w:space="0" w:color="0063A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3A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3A6" w:themeColor="accent1"/>
          <w:left w:val="single" w:sz="8" w:space="0" w:color="0063A6" w:themeColor="accent1"/>
          <w:bottom w:val="single" w:sz="8" w:space="0" w:color="0063A6" w:themeColor="accent1"/>
          <w:right w:val="single" w:sz="8" w:space="0" w:color="0063A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3A6" w:themeColor="accent1"/>
          <w:left w:val="single" w:sz="8" w:space="0" w:color="0063A6" w:themeColor="accent1"/>
          <w:bottom w:val="single" w:sz="8" w:space="0" w:color="0063A6" w:themeColor="accent1"/>
          <w:right w:val="single" w:sz="8" w:space="0" w:color="0063A6" w:themeColor="accent1"/>
        </w:tcBorders>
      </w:tcPr>
    </w:tblStylePr>
    <w:tblStylePr w:type="band1Horz">
      <w:tblPr/>
      <w:tcPr>
        <w:tcBorders>
          <w:top w:val="single" w:sz="8" w:space="0" w:color="0063A6" w:themeColor="accent1"/>
          <w:left w:val="single" w:sz="8" w:space="0" w:color="0063A6" w:themeColor="accent1"/>
          <w:bottom w:val="single" w:sz="8" w:space="0" w:color="0063A6" w:themeColor="accent1"/>
          <w:right w:val="single" w:sz="8" w:space="0" w:color="0063A6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00568"/>
    <w:pPr>
      <w:spacing w:before="0"/>
    </w:pPr>
    <w:tblPr>
      <w:tblStyleRowBandSize w:val="1"/>
      <w:tblStyleColBandSize w:val="1"/>
      <w:tblBorders>
        <w:top w:val="single" w:sz="8" w:space="0" w:color="00497A" w:themeColor="accent2"/>
        <w:left w:val="single" w:sz="8" w:space="0" w:color="00497A" w:themeColor="accent2"/>
        <w:bottom w:val="single" w:sz="8" w:space="0" w:color="00497A" w:themeColor="accent2"/>
        <w:right w:val="single" w:sz="8" w:space="0" w:color="00497A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497A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497A" w:themeColor="accent2"/>
          <w:left w:val="single" w:sz="8" w:space="0" w:color="00497A" w:themeColor="accent2"/>
          <w:bottom w:val="single" w:sz="8" w:space="0" w:color="00497A" w:themeColor="accent2"/>
          <w:right w:val="single" w:sz="8" w:space="0" w:color="00497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497A" w:themeColor="accent2"/>
          <w:left w:val="single" w:sz="8" w:space="0" w:color="00497A" w:themeColor="accent2"/>
          <w:bottom w:val="single" w:sz="8" w:space="0" w:color="00497A" w:themeColor="accent2"/>
          <w:right w:val="single" w:sz="8" w:space="0" w:color="00497A" w:themeColor="accent2"/>
        </w:tcBorders>
      </w:tcPr>
    </w:tblStylePr>
    <w:tblStylePr w:type="band1Horz">
      <w:tblPr/>
      <w:tcPr>
        <w:tcBorders>
          <w:top w:val="single" w:sz="8" w:space="0" w:color="00497A" w:themeColor="accent2"/>
          <w:left w:val="single" w:sz="8" w:space="0" w:color="00497A" w:themeColor="accent2"/>
          <w:bottom w:val="single" w:sz="8" w:space="0" w:color="00497A" w:themeColor="accent2"/>
          <w:right w:val="single" w:sz="8" w:space="0" w:color="00497A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00568"/>
    <w:pPr>
      <w:spacing w:before="0"/>
    </w:pPr>
    <w:tblPr>
      <w:tblStyleRowBandSize w:val="1"/>
      <w:tblStyleColBandSize w:val="1"/>
      <w:tblBorders>
        <w:top w:val="single" w:sz="8" w:space="0" w:color="749CC9" w:themeColor="accent3"/>
        <w:left w:val="single" w:sz="8" w:space="0" w:color="749CC9" w:themeColor="accent3"/>
        <w:bottom w:val="single" w:sz="8" w:space="0" w:color="749CC9" w:themeColor="accent3"/>
        <w:right w:val="single" w:sz="8" w:space="0" w:color="749CC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49CC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49CC9" w:themeColor="accent3"/>
          <w:left w:val="single" w:sz="8" w:space="0" w:color="749CC9" w:themeColor="accent3"/>
          <w:bottom w:val="single" w:sz="8" w:space="0" w:color="749CC9" w:themeColor="accent3"/>
          <w:right w:val="single" w:sz="8" w:space="0" w:color="749CC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49CC9" w:themeColor="accent3"/>
          <w:left w:val="single" w:sz="8" w:space="0" w:color="749CC9" w:themeColor="accent3"/>
          <w:bottom w:val="single" w:sz="8" w:space="0" w:color="749CC9" w:themeColor="accent3"/>
          <w:right w:val="single" w:sz="8" w:space="0" w:color="749CC9" w:themeColor="accent3"/>
        </w:tcBorders>
      </w:tcPr>
    </w:tblStylePr>
    <w:tblStylePr w:type="band1Horz">
      <w:tblPr/>
      <w:tcPr>
        <w:tcBorders>
          <w:top w:val="single" w:sz="8" w:space="0" w:color="749CC9" w:themeColor="accent3"/>
          <w:left w:val="single" w:sz="8" w:space="0" w:color="749CC9" w:themeColor="accent3"/>
          <w:bottom w:val="single" w:sz="8" w:space="0" w:color="749CC9" w:themeColor="accent3"/>
          <w:right w:val="single" w:sz="8" w:space="0" w:color="749CC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00568"/>
    <w:pPr>
      <w:spacing w:before="0"/>
    </w:pPr>
    <w:tblPr>
      <w:tblStyleRowBandSize w:val="1"/>
      <w:tblStyleColBandSize w:val="1"/>
      <w:tblBorders>
        <w:top w:val="single" w:sz="8" w:space="0" w:color="0072CE" w:themeColor="accent4"/>
        <w:left w:val="single" w:sz="8" w:space="0" w:color="0072CE" w:themeColor="accent4"/>
        <w:bottom w:val="single" w:sz="8" w:space="0" w:color="0072CE" w:themeColor="accent4"/>
        <w:right w:val="single" w:sz="8" w:space="0" w:color="0072CE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72C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2CE" w:themeColor="accent4"/>
          <w:left w:val="single" w:sz="8" w:space="0" w:color="0072CE" w:themeColor="accent4"/>
          <w:bottom w:val="single" w:sz="8" w:space="0" w:color="0072CE" w:themeColor="accent4"/>
          <w:right w:val="single" w:sz="8" w:space="0" w:color="0072C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2CE" w:themeColor="accent4"/>
          <w:left w:val="single" w:sz="8" w:space="0" w:color="0072CE" w:themeColor="accent4"/>
          <w:bottom w:val="single" w:sz="8" w:space="0" w:color="0072CE" w:themeColor="accent4"/>
          <w:right w:val="single" w:sz="8" w:space="0" w:color="0072CE" w:themeColor="accent4"/>
        </w:tcBorders>
      </w:tcPr>
    </w:tblStylePr>
    <w:tblStylePr w:type="band1Horz">
      <w:tblPr/>
      <w:tcPr>
        <w:tcBorders>
          <w:top w:val="single" w:sz="8" w:space="0" w:color="0072CE" w:themeColor="accent4"/>
          <w:left w:val="single" w:sz="8" w:space="0" w:color="0072CE" w:themeColor="accent4"/>
          <w:bottom w:val="single" w:sz="8" w:space="0" w:color="0072CE" w:themeColor="accent4"/>
          <w:right w:val="single" w:sz="8" w:space="0" w:color="0072CE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00568"/>
    <w:pPr>
      <w:spacing w:before="0"/>
    </w:pPr>
    <w:tblPr>
      <w:tblStyleRowBandSize w:val="1"/>
      <w:tblStyleColBandSize w:val="1"/>
      <w:tblBorders>
        <w:top w:val="single" w:sz="8" w:space="0" w:color="009CDE" w:themeColor="accent5"/>
        <w:left w:val="single" w:sz="8" w:space="0" w:color="009CDE" w:themeColor="accent5"/>
        <w:bottom w:val="single" w:sz="8" w:space="0" w:color="009CDE" w:themeColor="accent5"/>
        <w:right w:val="single" w:sz="8" w:space="0" w:color="009CDE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CD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CDE" w:themeColor="accent5"/>
          <w:left w:val="single" w:sz="8" w:space="0" w:color="009CDE" w:themeColor="accent5"/>
          <w:bottom w:val="single" w:sz="8" w:space="0" w:color="009CDE" w:themeColor="accent5"/>
          <w:right w:val="single" w:sz="8" w:space="0" w:color="009CD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CDE" w:themeColor="accent5"/>
          <w:left w:val="single" w:sz="8" w:space="0" w:color="009CDE" w:themeColor="accent5"/>
          <w:bottom w:val="single" w:sz="8" w:space="0" w:color="009CDE" w:themeColor="accent5"/>
          <w:right w:val="single" w:sz="8" w:space="0" w:color="009CDE" w:themeColor="accent5"/>
        </w:tcBorders>
      </w:tcPr>
    </w:tblStylePr>
    <w:tblStylePr w:type="band1Horz">
      <w:tblPr/>
      <w:tcPr>
        <w:tcBorders>
          <w:top w:val="single" w:sz="8" w:space="0" w:color="009CDE" w:themeColor="accent5"/>
          <w:left w:val="single" w:sz="8" w:space="0" w:color="009CDE" w:themeColor="accent5"/>
          <w:bottom w:val="single" w:sz="8" w:space="0" w:color="009CDE" w:themeColor="accent5"/>
          <w:right w:val="single" w:sz="8" w:space="0" w:color="009CDE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00568"/>
    <w:pPr>
      <w:spacing w:before="0"/>
    </w:pPr>
    <w:tblPr>
      <w:tblStyleRowBandSize w:val="1"/>
      <w:tblStyleColBandSize w:val="1"/>
      <w:tblBorders>
        <w:top w:val="single" w:sz="8" w:space="0" w:color="8A2A2B" w:themeColor="accent6"/>
        <w:left w:val="single" w:sz="8" w:space="0" w:color="8A2A2B" w:themeColor="accent6"/>
        <w:bottom w:val="single" w:sz="8" w:space="0" w:color="8A2A2B" w:themeColor="accent6"/>
        <w:right w:val="single" w:sz="8" w:space="0" w:color="8A2A2B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2A2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2A2B" w:themeColor="accent6"/>
          <w:left w:val="single" w:sz="8" w:space="0" w:color="8A2A2B" w:themeColor="accent6"/>
          <w:bottom w:val="single" w:sz="8" w:space="0" w:color="8A2A2B" w:themeColor="accent6"/>
          <w:right w:val="single" w:sz="8" w:space="0" w:color="8A2A2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2A2B" w:themeColor="accent6"/>
          <w:left w:val="single" w:sz="8" w:space="0" w:color="8A2A2B" w:themeColor="accent6"/>
          <w:bottom w:val="single" w:sz="8" w:space="0" w:color="8A2A2B" w:themeColor="accent6"/>
          <w:right w:val="single" w:sz="8" w:space="0" w:color="8A2A2B" w:themeColor="accent6"/>
        </w:tcBorders>
      </w:tcPr>
    </w:tblStylePr>
    <w:tblStylePr w:type="band1Horz">
      <w:tblPr/>
      <w:tcPr>
        <w:tcBorders>
          <w:top w:val="single" w:sz="8" w:space="0" w:color="8A2A2B" w:themeColor="accent6"/>
          <w:left w:val="single" w:sz="8" w:space="0" w:color="8A2A2B" w:themeColor="accent6"/>
          <w:bottom w:val="single" w:sz="8" w:space="0" w:color="8A2A2B" w:themeColor="accent6"/>
          <w:right w:val="single" w:sz="8" w:space="0" w:color="8A2A2B" w:themeColor="accent6"/>
        </w:tcBorders>
      </w:tcPr>
    </w:tblStylePr>
  </w:style>
  <w:style w:type="table" w:styleId="LightShading-Accent3">
    <w:name w:val="Light Shading Accent 3"/>
    <w:basedOn w:val="TableNormal"/>
    <w:uiPriority w:val="60"/>
    <w:rsid w:val="00C00568"/>
    <w:pPr>
      <w:spacing w:before="0"/>
    </w:pPr>
    <w:rPr>
      <w:color w:val="4273AA" w:themeColor="accent3" w:themeShade="BF"/>
    </w:rPr>
    <w:tblPr>
      <w:tblStyleRowBandSize w:val="1"/>
      <w:tblStyleColBandSize w:val="1"/>
      <w:tblBorders>
        <w:top w:val="single" w:sz="8" w:space="0" w:color="749CC9" w:themeColor="accent3"/>
        <w:bottom w:val="single" w:sz="8" w:space="0" w:color="749CC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49CC9" w:themeColor="accent3"/>
          <w:left w:val="nil"/>
          <w:bottom w:val="single" w:sz="8" w:space="0" w:color="749CC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49CC9" w:themeColor="accent3"/>
          <w:left w:val="nil"/>
          <w:bottom w:val="single" w:sz="8" w:space="0" w:color="749CC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6F1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E6F1" w:themeFill="accent3" w:themeFillTint="3F"/>
      </w:tcPr>
    </w:tblStylePr>
  </w:style>
  <w:style w:type="table" w:styleId="LightShading-Accent5">
    <w:name w:val="Light Shading Accent 5"/>
    <w:basedOn w:val="TableNormal"/>
    <w:uiPriority w:val="60"/>
    <w:rsid w:val="00C00568"/>
    <w:pPr>
      <w:spacing w:before="0"/>
    </w:pPr>
    <w:rPr>
      <w:color w:val="0074A6" w:themeColor="accent5" w:themeShade="BF"/>
    </w:rPr>
    <w:tblPr>
      <w:tblStyleRowBandSize w:val="1"/>
      <w:tblStyleColBandSize w:val="1"/>
      <w:tblBorders>
        <w:top w:val="single" w:sz="8" w:space="0" w:color="009CDE" w:themeColor="accent5"/>
        <w:bottom w:val="single" w:sz="8" w:space="0" w:color="009CD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CDE" w:themeColor="accent5"/>
          <w:left w:val="nil"/>
          <w:bottom w:val="single" w:sz="8" w:space="0" w:color="009CD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CDE" w:themeColor="accent5"/>
          <w:left w:val="nil"/>
          <w:bottom w:val="single" w:sz="8" w:space="0" w:color="009CD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9F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9FF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C00568"/>
    <w:pPr>
      <w:spacing w:before="0"/>
    </w:pPr>
    <w:rPr>
      <w:color w:val="671F20" w:themeColor="accent6" w:themeShade="BF"/>
    </w:rPr>
    <w:tblPr>
      <w:tblStyleRowBandSize w:val="1"/>
      <w:tblStyleColBandSize w:val="1"/>
      <w:tblBorders>
        <w:top w:val="single" w:sz="8" w:space="0" w:color="8A2A2B" w:themeColor="accent6"/>
        <w:bottom w:val="single" w:sz="8" w:space="0" w:color="8A2A2B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2A2B" w:themeColor="accent6"/>
          <w:left w:val="nil"/>
          <w:bottom w:val="single" w:sz="8" w:space="0" w:color="8A2A2B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2A2B" w:themeColor="accent6"/>
          <w:left w:val="nil"/>
          <w:bottom w:val="single" w:sz="8" w:space="0" w:color="8A2A2B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C0C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CC0C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C00568"/>
  </w:style>
  <w:style w:type="paragraph" w:styleId="List2">
    <w:name w:val="List 2"/>
    <w:basedOn w:val="Normal"/>
    <w:uiPriority w:val="29"/>
    <w:semiHidden/>
    <w:rsid w:val="00C00568"/>
    <w:pPr>
      <w:ind w:left="566" w:hanging="283"/>
      <w:contextualSpacing/>
    </w:pPr>
  </w:style>
  <w:style w:type="paragraph" w:styleId="List3">
    <w:name w:val="List 3"/>
    <w:basedOn w:val="Normal"/>
    <w:uiPriority w:val="29"/>
    <w:semiHidden/>
    <w:unhideWhenUsed/>
    <w:rsid w:val="00C00568"/>
    <w:pPr>
      <w:ind w:left="849" w:hanging="283"/>
      <w:contextualSpacing/>
    </w:pPr>
  </w:style>
  <w:style w:type="paragraph" w:styleId="List4">
    <w:name w:val="List 4"/>
    <w:basedOn w:val="Normal"/>
    <w:uiPriority w:val="29"/>
    <w:semiHidden/>
    <w:unhideWhenUsed/>
    <w:rsid w:val="00C00568"/>
    <w:pPr>
      <w:ind w:left="1132" w:hanging="283"/>
      <w:contextualSpacing/>
    </w:pPr>
  </w:style>
  <w:style w:type="paragraph" w:styleId="List5">
    <w:name w:val="List 5"/>
    <w:basedOn w:val="Normal"/>
    <w:uiPriority w:val="29"/>
    <w:semiHidden/>
    <w:unhideWhenUsed/>
    <w:rsid w:val="00C00568"/>
    <w:pPr>
      <w:ind w:left="1415" w:hanging="283"/>
      <w:contextualSpacing/>
    </w:pPr>
  </w:style>
  <w:style w:type="paragraph" w:styleId="MacroText">
    <w:name w:val="macro"/>
    <w:link w:val="MacroTextChar"/>
    <w:uiPriority w:val="99"/>
    <w:semiHidden/>
    <w:unhideWhenUsed/>
    <w:rsid w:val="00C00568"/>
    <w:pPr>
      <w:keepLines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00568"/>
    <w:rPr>
      <w:rFonts w:ascii="Consolas" w:hAnsi="Consolas" w:cs="Consolas"/>
      <w:sz w:val="20"/>
      <w:szCs w:val="20"/>
    </w:rPr>
  </w:style>
  <w:style w:type="table" w:styleId="MediumGrid1">
    <w:name w:val="Medium Grid 1"/>
    <w:basedOn w:val="TableNormal"/>
    <w:uiPriority w:val="67"/>
    <w:rsid w:val="00C00568"/>
    <w:pPr>
      <w:spacing w:before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00568"/>
    <w:pPr>
      <w:spacing w:before="0"/>
    </w:pPr>
    <w:tblPr>
      <w:tblStyleRowBandSize w:val="1"/>
      <w:tblStyleColBandSize w:val="1"/>
      <w:tblBorders>
        <w:top w:val="single" w:sz="8" w:space="0" w:color="0096FC" w:themeColor="accent1" w:themeTint="BF"/>
        <w:left w:val="single" w:sz="8" w:space="0" w:color="0096FC" w:themeColor="accent1" w:themeTint="BF"/>
        <w:bottom w:val="single" w:sz="8" w:space="0" w:color="0096FC" w:themeColor="accent1" w:themeTint="BF"/>
        <w:right w:val="single" w:sz="8" w:space="0" w:color="0096FC" w:themeColor="accent1" w:themeTint="BF"/>
        <w:insideH w:val="single" w:sz="8" w:space="0" w:color="0096FC" w:themeColor="accent1" w:themeTint="BF"/>
        <w:insideV w:val="single" w:sz="8" w:space="0" w:color="0096FC" w:themeColor="accent1" w:themeTint="BF"/>
      </w:tblBorders>
    </w:tblPr>
    <w:tcPr>
      <w:shd w:val="clear" w:color="auto" w:fill="AADC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96F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3B9FF" w:themeFill="accent1" w:themeFillTint="7F"/>
      </w:tcPr>
    </w:tblStylePr>
    <w:tblStylePr w:type="band1Horz">
      <w:tblPr/>
      <w:tcPr>
        <w:shd w:val="clear" w:color="auto" w:fill="53B9FF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00568"/>
    <w:pPr>
      <w:spacing w:before="0"/>
    </w:pPr>
    <w:tblPr>
      <w:tblStyleRowBandSize w:val="1"/>
      <w:tblStyleColBandSize w:val="1"/>
      <w:tblBorders>
        <w:top w:val="single" w:sz="8" w:space="0" w:color="0082DB" w:themeColor="accent2" w:themeTint="BF"/>
        <w:left w:val="single" w:sz="8" w:space="0" w:color="0082DB" w:themeColor="accent2" w:themeTint="BF"/>
        <w:bottom w:val="single" w:sz="8" w:space="0" w:color="0082DB" w:themeColor="accent2" w:themeTint="BF"/>
        <w:right w:val="single" w:sz="8" w:space="0" w:color="0082DB" w:themeColor="accent2" w:themeTint="BF"/>
        <w:insideH w:val="single" w:sz="8" w:space="0" w:color="0082DB" w:themeColor="accent2" w:themeTint="BF"/>
        <w:insideV w:val="single" w:sz="8" w:space="0" w:color="0082DB" w:themeColor="accent2" w:themeTint="BF"/>
      </w:tblBorders>
    </w:tblPr>
    <w:tcPr>
      <w:shd w:val="clear" w:color="auto" w:fill="9FD8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82DB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DB0FF" w:themeFill="accent2" w:themeFillTint="7F"/>
      </w:tcPr>
    </w:tblStylePr>
    <w:tblStylePr w:type="band1Horz">
      <w:tblPr/>
      <w:tcPr>
        <w:shd w:val="clear" w:color="auto" w:fill="3DB0FF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00568"/>
    <w:pPr>
      <w:spacing w:before="0"/>
    </w:pPr>
    <w:tblPr>
      <w:tblStyleRowBandSize w:val="1"/>
      <w:tblStyleColBandSize w:val="1"/>
      <w:tblBorders>
        <w:top w:val="single" w:sz="8" w:space="0" w:color="96B4D6" w:themeColor="accent3" w:themeTint="BF"/>
        <w:left w:val="single" w:sz="8" w:space="0" w:color="96B4D6" w:themeColor="accent3" w:themeTint="BF"/>
        <w:bottom w:val="single" w:sz="8" w:space="0" w:color="96B4D6" w:themeColor="accent3" w:themeTint="BF"/>
        <w:right w:val="single" w:sz="8" w:space="0" w:color="96B4D6" w:themeColor="accent3" w:themeTint="BF"/>
        <w:insideH w:val="single" w:sz="8" w:space="0" w:color="96B4D6" w:themeColor="accent3" w:themeTint="BF"/>
        <w:insideV w:val="single" w:sz="8" w:space="0" w:color="96B4D6" w:themeColor="accent3" w:themeTint="BF"/>
      </w:tblBorders>
    </w:tblPr>
    <w:tcPr>
      <w:shd w:val="clear" w:color="auto" w:fill="DCE6F1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6B4D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CDE4" w:themeFill="accent3" w:themeFillTint="7F"/>
      </w:tcPr>
    </w:tblStylePr>
    <w:tblStylePr w:type="band1Horz">
      <w:tblPr/>
      <w:tcPr>
        <w:shd w:val="clear" w:color="auto" w:fill="B9CDE4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00568"/>
    <w:pPr>
      <w:spacing w:before="0"/>
    </w:pPr>
    <w:tblPr>
      <w:tblStyleRowBandSize w:val="1"/>
      <w:tblStyleColBandSize w:val="1"/>
      <w:tblBorders>
        <w:top w:val="single" w:sz="8" w:space="0" w:color="1B99FF" w:themeColor="accent4" w:themeTint="BF"/>
        <w:left w:val="single" w:sz="8" w:space="0" w:color="1B99FF" w:themeColor="accent4" w:themeTint="BF"/>
        <w:bottom w:val="single" w:sz="8" w:space="0" w:color="1B99FF" w:themeColor="accent4" w:themeTint="BF"/>
        <w:right w:val="single" w:sz="8" w:space="0" w:color="1B99FF" w:themeColor="accent4" w:themeTint="BF"/>
        <w:insideH w:val="single" w:sz="8" w:space="0" w:color="1B99FF" w:themeColor="accent4" w:themeTint="BF"/>
        <w:insideV w:val="single" w:sz="8" w:space="0" w:color="1B99FF" w:themeColor="accent4" w:themeTint="BF"/>
      </w:tblBorders>
    </w:tblPr>
    <w:tcPr>
      <w:shd w:val="clear" w:color="auto" w:fill="B3DDF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B99F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BBFF" w:themeFill="accent4" w:themeFillTint="7F"/>
      </w:tcPr>
    </w:tblStylePr>
    <w:tblStylePr w:type="band1Horz">
      <w:tblPr/>
      <w:tcPr>
        <w:shd w:val="clear" w:color="auto" w:fill="67BBFF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00568"/>
    <w:pPr>
      <w:spacing w:before="0"/>
    </w:pPr>
    <w:tblPr>
      <w:tblStyleRowBandSize w:val="1"/>
      <w:tblStyleColBandSize w:val="1"/>
      <w:tblBorders>
        <w:top w:val="single" w:sz="8" w:space="0" w:color="27BEFF" w:themeColor="accent5" w:themeTint="BF"/>
        <w:left w:val="single" w:sz="8" w:space="0" w:color="27BEFF" w:themeColor="accent5" w:themeTint="BF"/>
        <w:bottom w:val="single" w:sz="8" w:space="0" w:color="27BEFF" w:themeColor="accent5" w:themeTint="BF"/>
        <w:right w:val="single" w:sz="8" w:space="0" w:color="27BEFF" w:themeColor="accent5" w:themeTint="BF"/>
        <w:insideH w:val="single" w:sz="8" w:space="0" w:color="27BEFF" w:themeColor="accent5" w:themeTint="BF"/>
        <w:insideV w:val="single" w:sz="8" w:space="0" w:color="27BEFF" w:themeColor="accent5" w:themeTint="BF"/>
      </w:tblBorders>
    </w:tblPr>
    <w:tcPr>
      <w:shd w:val="clear" w:color="auto" w:fill="B7E9F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7BEF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4FF" w:themeFill="accent5" w:themeFillTint="7F"/>
      </w:tcPr>
    </w:tblStylePr>
    <w:tblStylePr w:type="band1Horz">
      <w:tblPr/>
      <w:tcPr>
        <w:shd w:val="clear" w:color="auto" w:fill="6FD4FF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00568"/>
    <w:pPr>
      <w:spacing w:before="0"/>
    </w:pPr>
    <w:tblPr>
      <w:tblStyleRowBandSize w:val="1"/>
      <w:tblStyleColBandSize w:val="1"/>
      <w:tblBorders>
        <w:top w:val="single" w:sz="8" w:space="0" w:color="C54142" w:themeColor="accent6" w:themeTint="BF"/>
        <w:left w:val="single" w:sz="8" w:space="0" w:color="C54142" w:themeColor="accent6" w:themeTint="BF"/>
        <w:bottom w:val="single" w:sz="8" w:space="0" w:color="C54142" w:themeColor="accent6" w:themeTint="BF"/>
        <w:right w:val="single" w:sz="8" w:space="0" w:color="C54142" w:themeColor="accent6" w:themeTint="BF"/>
        <w:insideH w:val="single" w:sz="8" w:space="0" w:color="C54142" w:themeColor="accent6" w:themeTint="BF"/>
        <w:insideV w:val="single" w:sz="8" w:space="0" w:color="C54142" w:themeColor="accent6" w:themeTint="BF"/>
      </w:tblBorders>
    </w:tblPr>
    <w:tcPr>
      <w:shd w:val="clear" w:color="auto" w:fill="ECC0C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5414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8081" w:themeFill="accent6" w:themeFillTint="7F"/>
      </w:tcPr>
    </w:tblStylePr>
    <w:tblStylePr w:type="band1Horz">
      <w:tblPr/>
      <w:tcPr>
        <w:shd w:val="clear" w:color="auto" w:fill="D88081" w:themeFill="accent6" w:themeFillTint="7F"/>
      </w:tcPr>
    </w:tblStylePr>
  </w:style>
  <w:style w:type="table" w:styleId="MediumGrid2">
    <w:name w:val="Medium Grid 2"/>
    <w:basedOn w:val="TableNormal"/>
    <w:uiPriority w:val="68"/>
    <w:rsid w:val="00C00568"/>
    <w:pPr>
      <w:spacing w:before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00568"/>
    <w:pPr>
      <w:spacing w:before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3A6" w:themeColor="accent1"/>
        <w:left w:val="single" w:sz="8" w:space="0" w:color="0063A6" w:themeColor="accent1"/>
        <w:bottom w:val="single" w:sz="8" w:space="0" w:color="0063A6" w:themeColor="accent1"/>
        <w:right w:val="single" w:sz="8" w:space="0" w:color="0063A6" w:themeColor="accent1"/>
        <w:insideH w:val="single" w:sz="8" w:space="0" w:color="0063A6" w:themeColor="accent1"/>
        <w:insideV w:val="single" w:sz="8" w:space="0" w:color="0063A6" w:themeColor="accent1"/>
      </w:tblBorders>
    </w:tblPr>
    <w:tcPr>
      <w:shd w:val="clear" w:color="auto" w:fill="AADC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DF1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E3FF" w:themeFill="accent1" w:themeFillTint="33"/>
      </w:tcPr>
    </w:tblStylePr>
    <w:tblStylePr w:type="band1Vert">
      <w:tblPr/>
      <w:tcPr>
        <w:shd w:val="clear" w:color="auto" w:fill="53B9FF" w:themeFill="accent1" w:themeFillTint="7F"/>
      </w:tcPr>
    </w:tblStylePr>
    <w:tblStylePr w:type="band1Horz">
      <w:tblPr/>
      <w:tcPr>
        <w:tcBorders>
          <w:insideH w:val="single" w:sz="6" w:space="0" w:color="0063A6" w:themeColor="accent1"/>
          <w:insideV w:val="single" w:sz="6" w:space="0" w:color="0063A6" w:themeColor="accent1"/>
        </w:tcBorders>
        <w:shd w:val="clear" w:color="auto" w:fill="53B9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00568"/>
    <w:pPr>
      <w:spacing w:before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497A" w:themeColor="accent2"/>
        <w:left w:val="single" w:sz="8" w:space="0" w:color="00497A" w:themeColor="accent2"/>
        <w:bottom w:val="single" w:sz="8" w:space="0" w:color="00497A" w:themeColor="accent2"/>
        <w:right w:val="single" w:sz="8" w:space="0" w:color="00497A" w:themeColor="accent2"/>
        <w:insideH w:val="single" w:sz="8" w:space="0" w:color="00497A" w:themeColor="accent2"/>
        <w:insideV w:val="single" w:sz="8" w:space="0" w:color="00497A" w:themeColor="accent2"/>
      </w:tblBorders>
    </w:tblPr>
    <w:tcPr>
      <w:shd w:val="clear" w:color="auto" w:fill="9FD8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8EF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DFFF" w:themeFill="accent2" w:themeFillTint="33"/>
      </w:tcPr>
    </w:tblStylePr>
    <w:tblStylePr w:type="band1Vert">
      <w:tblPr/>
      <w:tcPr>
        <w:shd w:val="clear" w:color="auto" w:fill="3DB0FF" w:themeFill="accent2" w:themeFillTint="7F"/>
      </w:tcPr>
    </w:tblStylePr>
    <w:tblStylePr w:type="band1Horz">
      <w:tblPr/>
      <w:tcPr>
        <w:tcBorders>
          <w:insideH w:val="single" w:sz="6" w:space="0" w:color="00497A" w:themeColor="accent2"/>
          <w:insideV w:val="single" w:sz="6" w:space="0" w:color="00497A" w:themeColor="accent2"/>
        </w:tcBorders>
        <w:shd w:val="clear" w:color="auto" w:fill="3DB0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00568"/>
    <w:pPr>
      <w:spacing w:before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49CC9" w:themeColor="accent3"/>
        <w:left w:val="single" w:sz="8" w:space="0" w:color="749CC9" w:themeColor="accent3"/>
        <w:bottom w:val="single" w:sz="8" w:space="0" w:color="749CC9" w:themeColor="accent3"/>
        <w:right w:val="single" w:sz="8" w:space="0" w:color="749CC9" w:themeColor="accent3"/>
        <w:insideH w:val="single" w:sz="8" w:space="0" w:color="749CC9" w:themeColor="accent3"/>
        <w:insideV w:val="single" w:sz="8" w:space="0" w:color="749CC9" w:themeColor="accent3"/>
      </w:tblBorders>
    </w:tblPr>
    <w:tcPr>
      <w:shd w:val="clear" w:color="auto" w:fill="DCE6F1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1F5F9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BF4" w:themeFill="accent3" w:themeFillTint="33"/>
      </w:tcPr>
    </w:tblStylePr>
    <w:tblStylePr w:type="band1Vert">
      <w:tblPr/>
      <w:tcPr>
        <w:shd w:val="clear" w:color="auto" w:fill="B9CDE4" w:themeFill="accent3" w:themeFillTint="7F"/>
      </w:tcPr>
    </w:tblStylePr>
    <w:tblStylePr w:type="band1Horz">
      <w:tblPr/>
      <w:tcPr>
        <w:tcBorders>
          <w:insideH w:val="single" w:sz="6" w:space="0" w:color="749CC9" w:themeColor="accent3"/>
          <w:insideV w:val="single" w:sz="6" w:space="0" w:color="749CC9" w:themeColor="accent3"/>
        </w:tcBorders>
        <w:shd w:val="clear" w:color="auto" w:fill="B9CDE4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00568"/>
    <w:pPr>
      <w:spacing w:before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72CE" w:themeColor="accent4"/>
        <w:left w:val="single" w:sz="8" w:space="0" w:color="0072CE" w:themeColor="accent4"/>
        <w:bottom w:val="single" w:sz="8" w:space="0" w:color="0072CE" w:themeColor="accent4"/>
        <w:right w:val="single" w:sz="8" w:space="0" w:color="0072CE" w:themeColor="accent4"/>
        <w:insideH w:val="single" w:sz="8" w:space="0" w:color="0072CE" w:themeColor="accent4"/>
        <w:insideV w:val="single" w:sz="8" w:space="0" w:color="0072CE" w:themeColor="accent4"/>
      </w:tblBorders>
    </w:tblPr>
    <w:tcPr>
      <w:shd w:val="clear" w:color="auto" w:fill="B3DDF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1F1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E3FF" w:themeFill="accent4" w:themeFillTint="33"/>
      </w:tcPr>
    </w:tblStylePr>
    <w:tblStylePr w:type="band1Vert">
      <w:tblPr/>
      <w:tcPr>
        <w:shd w:val="clear" w:color="auto" w:fill="67BBFF" w:themeFill="accent4" w:themeFillTint="7F"/>
      </w:tcPr>
    </w:tblStylePr>
    <w:tblStylePr w:type="band1Horz">
      <w:tblPr/>
      <w:tcPr>
        <w:tcBorders>
          <w:insideH w:val="single" w:sz="6" w:space="0" w:color="0072CE" w:themeColor="accent4"/>
          <w:insideV w:val="single" w:sz="6" w:space="0" w:color="0072CE" w:themeColor="accent4"/>
        </w:tcBorders>
        <w:shd w:val="clear" w:color="auto" w:fill="67BB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00568"/>
    <w:pPr>
      <w:spacing w:before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CDE" w:themeColor="accent5"/>
        <w:left w:val="single" w:sz="8" w:space="0" w:color="009CDE" w:themeColor="accent5"/>
        <w:bottom w:val="single" w:sz="8" w:space="0" w:color="009CDE" w:themeColor="accent5"/>
        <w:right w:val="single" w:sz="8" w:space="0" w:color="009CDE" w:themeColor="accent5"/>
        <w:insideH w:val="single" w:sz="8" w:space="0" w:color="009CDE" w:themeColor="accent5"/>
        <w:insideV w:val="single" w:sz="8" w:space="0" w:color="009CDE" w:themeColor="accent5"/>
      </w:tblBorders>
    </w:tblPr>
    <w:tcPr>
      <w:shd w:val="clear" w:color="auto" w:fill="B7E9F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2F6F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EDFF" w:themeFill="accent5" w:themeFillTint="33"/>
      </w:tcPr>
    </w:tblStylePr>
    <w:tblStylePr w:type="band1Vert">
      <w:tblPr/>
      <w:tcPr>
        <w:shd w:val="clear" w:color="auto" w:fill="6FD4FF" w:themeFill="accent5" w:themeFillTint="7F"/>
      </w:tcPr>
    </w:tblStylePr>
    <w:tblStylePr w:type="band1Horz">
      <w:tblPr/>
      <w:tcPr>
        <w:tcBorders>
          <w:insideH w:val="single" w:sz="6" w:space="0" w:color="009CDE" w:themeColor="accent5"/>
          <w:insideV w:val="single" w:sz="6" w:space="0" w:color="009CDE" w:themeColor="accent5"/>
        </w:tcBorders>
        <w:shd w:val="clear" w:color="auto" w:fill="6FD4F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00568"/>
    <w:pPr>
      <w:spacing w:before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2A2B" w:themeColor="accent6"/>
        <w:left w:val="single" w:sz="8" w:space="0" w:color="8A2A2B" w:themeColor="accent6"/>
        <w:bottom w:val="single" w:sz="8" w:space="0" w:color="8A2A2B" w:themeColor="accent6"/>
        <w:right w:val="single" w:sz="8" w:space="0" w:color="8A2A2B" w:themeColor="accent6"/>
        <w:insideH w:val="single" w:sz="8" w:space="0" w:color="8A2A2B" w:themeColor="accent6"/>
        <w:insideV w:val="single" w:sz="8" w:space="0" w:color="8A2A2B" w:themeColor="accent6"/>
      </w:tblBorders>
    </w:tblPr>
    <w:tcPr>
      <w:shd w:val="clear" w:color="auto" w:fill="ECC0C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7E5E5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CCC" w:themeFill="accent6" w:themeFillTint="33"/>
      </w:tcPr>
    </w:tblStylePr>
    <w:tblStylePr w:type="band1Vert">
      <w:tblPr/>
      <w:tcPr>
        <w:shd w:val="clear" w:color="auto" w:fill="D88081" w:themeFill="accent6" w:themeFillTint="7F"/>
      </w:tcPr>
    </w:tblStylePr>
    <w:tblStylePr w:type="band1Horz">
      <w:tblPr/>
      <w:tcPr>
        <w:tcBorders>
          <w:insideH w:val="single" w:sz="6" w:space="0" w:color="8A2A2B" w:themeColor="accent6"/>
          <w:insideV w:val="single" w:sz="6" w:space="0" w:color="8A2A2B" w:themeColor="accent6"/>
        </w:tcBorders>
        <w:shd w:val="clear" w:color="auto" w:fill="D88081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00568"/>
    <w:pPr>
      <w:spacing w:before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00568"/>
    <w:pPr>
      <w:spacing w:before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ADC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3A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3A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3A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3A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3B9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3B9FF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00568"/>
    <w:pPr>
      <w:spacing w:before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FD8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497A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497A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497A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497A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DB0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DB0FF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00568"/>
    <w:pPr>
      <w:spacing w:before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CE6F1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49CC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49CC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49CC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49CC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9CDE4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9CDE4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00568"/>
    <w:pPr>
      <w:spacing w:before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DDF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2CE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2CE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72CE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72CE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BB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BBFF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00568"/>
    <w:pPr>
      <w:spacing w:before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9F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CDE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CDE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CDE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CDE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4F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4FF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00568"/>
    <w:pPr>
      <w:spacing w:before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CC0C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2A2B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2A2B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2A2B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2A2B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8081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8081" w:themeFill="accent6" w:themeFillTint="7F"/>
      </w:tcPr>
    </w:tblStylePr>
  </w:style>
  <w:style w:type="table" w:styleId="MediumList1">
    <w:name w:val="Medium List 1"/>
    <w:basedOn w:val="TableNormal"/>
    <w:uiPriority w:val="65"/>
    <w:rsid w:val="00C00568"/>
    <w:pPr>
      <w:spacing w:before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201547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00568"/>
    <w:pPr>
      <w:spacing w:before="0"/>
    </w:pPr>
    <w:rPr>
      <w:color w:val="000000" w:themeColor="text1"/>
    </w:rPr>
    <w:tblPr>
      <w:tblStyleRowBandSize w:val="1"/>
      <w:tblStyleColBandSize w:val="1"/>
      <w:tblBorders>
        <w:top w:val="single" w:sz="8" w:space="0" w:color="0063A6" w:themeColor="accent1"/>
        <w:bottom w:val="single" w:sz="8" w:space="0" w:color="0063A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63A6" w:themeColor="accent1"/>
        </w:tcBorders>
      </w:tcPr>
    </w:tblStylePr>
    <w:tblStylePr w:type="lastRow">
      <w:rPr>
        <w:b/>
        <w:bCs/>
        <w:color w:val="201547" w:themeColor="text2"/>
      </w:rPr>
      <w:tblPr/>
      <w:tcPr>
        <w:tcBorders>
          <w:top w:val="single" w:sz="8" w:space="0" w:color="0063A6" w:themeColor="accent1"/>
          <w:bottom w:val="single" w:sz="8" w:space="0" w:color="0063A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63A6" w:themeColor="accent1"/>
          <w:bottom w:val="single" w:sz="8" w:space="0" w:color="0063A6" w:themeColor="accent1"/>
        </w:tcBorders>
      </w:tcPr>
    </w:tblStylePr>
    <w:tblStylePr w:type="band1Vert">
      <w:tblPr/>
      <w:tcPr>
        <w:shd w:val="clear" w:color="auto" w:fill="AADCFF" w:themeFill="accent1" w:themeFillTint="3F"/>
      </w:tcPr>
    </w:tblStylePr>
    <w:tblStylePr w:type="band1Horz">
      <w:tblPr/>
      <w:tcPr>
        <w:shd w:val="clear" w:color="auto" w:fill="AADCFF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00568"/>
    <w:pPr>
      <w:spacing w:before="0"/>
    </w:pPr>
    <w:rPr>
      <w:color w:val="000000" w:themeColor="text1"/>
    </w:rPr>
    <w:tblPr>
      <w:tblStyleRowBandSize w:val="1"/>
      <w:tblStyleColBandSize w:val="1"/>
      <w:tblBorders>
        <w:top w:val="single" w:sz="8" w:space="0" w:color="00497A" w:themeColor="accent2"/>
        <w:bottom w:val="single" w:sz="8" w:space="0" w:color="00497A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497A" w:themeColor="accent2"/>
        </w:tcBorders>
      </w:tcPr>
    </w:tblStylePr>
    <w:tblStylePr w:type="lastRow">
      <w:rPr>
        <w:b/>
        <w:bCs/>
        <w:color w:val="201547" w:themeColor="text2"/>
      </w:rPr>
      <w:tblPr/>
      <w:tcPr>
        <w:tcBorders>
          <w:top w:val="single" w:sz="8" w:space="0" w:color="00497A" w:themeColor="accent2"/>
          <w:bottom w:val="single" w:sz="8" w:space="0" w:color="00497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497A" w:themeColor="accent2"/>
          <w:bottom w:val="single" w:sz="8" w:space="0" w:color="00497A" w:themeColor="accent2"/>
        </w:tcBorders>
      </w:tcPr>
    </w:tblStylePr>
    <w:tblStylePr w:type="band1Vert">
      <w:tblPr/>
      <w:tcPr>
        <w:shd w:val="clear" w:color="auto" w:fill="9FD8FF" w:themeFill="accent2" w:themeFillTint="3F"/>
      </w:tcPr>
    </w:tblStylePr>
    <w:tblStylePr w:type="band1Horz">
      <w:tblPr/>
      <w:tcPr>
        <w:shd w:val="clear" w:color="auto" w:fill="9FD8FF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00568"/>
    <w:pPr>
      <w:spacing w:before="0"/>
    </w:pPr>
    <w:rPr>
      <w:color w:val="000000" w:themeColor="text1"/>
    </w:rPr>
    <w:tblPr>
      <w:tblStyleRowBandSize w:val="1"/>
      <w:tblStyleColBandSize w:val="1"/>
      <w:tblBorders>
        <w:top w:val="single" w:sz="8" w:space="0" w:color="749CC9" w:themeColor="accent3"/>
        <w:bottom w:val="single" w:sz="8" w:space="0" w:color="749CC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49CC9" w:themeColor="accent3"/>
        </w:tcBorders>
      </w:tcPr>
    </w:tblStylePr>
    <w:tblStylePr w:type="lastRow">
      <w:rPr>
        <w:b/>
        <w:bCs/>
        <w:color w:val="201547" w:themeColor="text2"/>
      </w:rPr>
      <w:tblPr/>
      <w:tcPr>
        <w:tcBorders>
          <w:top w:val="single" w:sz="8" w:space="0" w:color="749CC9" w:themeColor="accent3"/>
          <w:bottom w:val="single" w:sz="8" w:space="0" w:color="749CC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49CC9" w:themeColor="accent3"/>
          <w:bottom w:val="single" w:sz="8" w:space="0" w:color="749CC9" w:themeColor="accent3"/>
        </w:tcBorders>
      </w:tcPr>
    </w:tblStylePr>
    <w:tblStylePr w:type="band1Vert">
      <w:tblPr/>
      <w:tcPr>
        <w:shd w:val="clear" w:color="auto" w:fill="DCE6F1" w:themeFill="accent3" w:themeFillTint="3F"/>
      </w:tcPr>
    </w:tblStylePr>
    <w:tblStylePr w:type="band1Horz">
      <w:tblPr/>
      <w:tcPr>
        <w:shd w:val="clear" w:color="auto" w:fill="DCE6F1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00568"/>
    <w:pPr>
      <w:spacing w:before="0"/>
    </w:pPr>
    <w:rPr>
      <w:color w:val="000000" w:themeColor="text1"/>
    </w:rPr>
    <w:tblPr>
      <w:tblStyleRowBandSize w:val="1"/>
      <w:tblStyleColBandSize w:val="1"/>
      <w:tblBorders>
        <w:top w:val="single" w:sz="8" w:space="0" w:color="0072CE" w:themeColor="accent4"/>
        <w:bottom w:val="single" w:sz="8" w:space="0" w:color="0072CE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2CE" w:themeColor="accent4"/>
        </w:tcBorders>
      </w:tcPr>
    </w:tblStylePr>
    <w:tblStylePr w:type="lastRow">
      <w:rPr>
        <w:b/>
        <w:bCs/>
        <w:color w:val="201547" w:themeColor="text2"/>
      </w:rPr>
      <w:tblPr/>
      <w:tcPr>
        <w:tcBorders>
          <w:top w:val="single" w:sz="8" w:space="0" w:color="0072CE" w:themeColor="accent4"/>
          <w:bottom w:val="single" w:sz="8" w:space="0" w:color="0072C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2CE" w:themeColor="accent4"/>
          <w:bottom w:val="single" w:sz="8" w:space="0" w:color="0072CE" w:themeColor="accent4"/>
        </w:tcBorders>
      </w:tcPr>
    </w:tblStylePr>
    <w:tblStylePr w:type="band1Vert">
      <w:tblPr/>
      <w:tcPr>
        <w:shd w:val="clear" w:color="auto" w:fill="B3DDFF" w:themeFill="accent4" w:themeFillTint="3F"/>
      </w:tcPr>
    </w:tblStylePr>
    <w:tblStylePr w:type="band1Horz">
      <w:tblPr/>
      <w:tcPr>
        <w:shd w:val="clear" w:color="auto" w:fill="B3DDFF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00568"/>
    <w:pPr>
      <w:spacing w:before="0"/>
    </w:pPr>
    <w:rPr>
      <w:color w:val="000000" w:themeColor="text1"/>
    </w:rPr>
    <w:tblPr>
      <w:tblStyleRowBandSize w:val="1"/>
      <w:tblStyleColBandSize w:val="1"/>
      <w:tblBorders>
        <w:top w:val="single" w:sz="8" w:space="0" w:color="009CDE" w:themeColor="accent5"/>
        <w:bottom w:val="single" w:sz="8" w:space="0" w:color="009CDE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CDE" w:themeColor="accent5"/>
        </w:tcBorders>
      </w:tcPr>
    </w:tblStylePr>
    <w:tblStylePr w:type="lastRow">
      <w:rPr>
        <w:b/>
        <w:bCs/>
        <w:color w:val="201547" w:themeColor="text2"/>
      </w:rPr>
      <w:tblPr/>
      <w:tcPr>
        <w:tcBorders>
          <w:top w:val="single" w:sz="8" w:space="0" w:color="009CDE" w:themeColor="accent5"/>
          <w:bottom w:val="single" w:sz="8" w:space="0" w:color="009CD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CDE" w:themeColor="accent5"/>
          <w:bottom w:val="single" w:sz="8" w:space="0" w:color="009CDE" w:themeColor="accent5"/>
        </w:tcBorders>
      </w:tcPr>
    </w:tblStylePr>
    <w:tblStylePr w:type="band1Vert">
      <w:tblPr/>
      <w:tcPr>
        <w:shd w:val="clear" w:color="auto" w:fill="B7E9FF" w:themeFill="accent5" w:themeFillTint="3F"/>
      </w:tcPr>
    </w:tblStylePr>
    <w:tblStylePr w:type="band1Horz">
      <w:tblPr/>
      <w:tcPr>
        <w:shd w:val="clear" w:color="auto" w:fill="B7E9FF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00568"/>
    <w:pPr>
      <w:spacing w:before="0"/>
    </w:pPr>
    <w:rPr>
      <w:color w:val="000000" w:themeColor="text1"/>
    </w:rPr>
    <w:tblPr>
      <w:tblStyleRowBandSize w:val="1"/>
      <w:tblStyleColBandSize w:val="1"/>
      <w:tblBorders>
        <w:top w:val="single" w:sz="8" w:space="0" w:color="8A2A2B" w:themeColor="accent6"/>
        <w:bottom w:val="single" w:sz="8" w:space="0" w:color="8A2A2B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2A2B" w:themeColor="accent6"/>
        </w:tcBorders>
      </w:tcPr>
    </w:tblStylePr>
    <w:tblStylePr w:type="lastRow">
      <w:rPr>
        <w:b/>
        <w:bCs/>
        <w:color w:val="201547" w:themeColor="text2"/>
      </w:rPr>
      <w:tblPr/>
      <w:tcPr>
        <w:tcBorders>
          <w:top w:val="single" w:sz="8" w:space="0" w:color="8A2A2B" w:themeColor="accent6"/>
          <w:bottom w:val="single" w:sz="8" w:space="0" w:color="8A2A2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2A2B" w:themeColor="accent6"/>
          <w:bottom w:val="single" w:sz="8" w:space="0" w:color="8A2A2B" w:themeColor="accent6"/>
        </w:tcBorders>
      </w:tcPr>
    </w:tblStylePr>
    <w:tblStylePr w:type="band1Vert">
      <w:tblPr/>
      <w:tcPr>
        <w:shd w:val="clear" w:color="auto" w:fill="ECC0C0" w:themeFill="accent6" w:themeFillTint="3F"/>
      </w:tcPr>
    </w:tblStylePr>
    <w:tblStylePr w:type="band1Horz">
      <w:tblPr/>
      <w:tcPr>
        <w:shd w:val="clear" w:color="auto" w:fill="ECC0C0" w:themeFill="accent6" w:themeFillTint="3F"/>
      </w:tcPr>
    </w:tblStylePr>
  </w:style>
  <w:style w:type="table" w:styleId="MediumList2">
    <w:name w:val="Medium List 2"/>
    <w:basedOn w:val="TableNormal"/>
    <w:uiPriority w:val="66"/>
    <w:rsid w:val="00C00568"/>
    <w:pPr>
      <w:spacing w:before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00568"/>
    <w:pPr>
      <w:spacing w:before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3A6" w:themeColor="accent1"/>
        <w:left w:val="single" w:sz="8" w:space="0" w:color="0063A6" w:themeColor="accent1"/>
        <w:bottom w:val="single" w:sz="8" w:space="0" w:color="0063A6" w:themeColor="accent1"/>
        <w:right w:val="single" w:sz="8" w:space="0" w:color="0063A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3A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63A6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3A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3A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DC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ADC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00568"/>
    <w:pPr>
      <w:spacing w:before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497A" w:themeColor="accent2"/>
        <w:left w:val="single" w:sz="8" w:space="0" w:color="00497A" w:themeColor="accent2"/>
        <w:bottom w:val="single" w:sz="8" w:space="0" w:color="00497A" w:themeColor="accent2"/>
        <w:right w:val="single" w:sz="8" w:space="0" w:color="00497A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497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497A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497A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497A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FD8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FD8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00568"/>
    <w:pPr>
      <w:spacing w:before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49CC9" w:themeColor="accent3"/>
        <w:left w:val="single" w:sz="8" w:space="0" w:color="749CC9" w:themeColor="accent3"/>
        <w:bottom w:val="single" w:sz="8" w:space="0" w:color="749CC9" w:themeColor="accent3"/>
        <w:right w:val="single" w:sz="8" w:space="0" w:color="749CC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49CC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49CC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49CC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49CC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6F1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CE6F1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00568"/>
    <w:pPr>
      <w:spacing w:before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72CE" w:themeColor="accent4"/>
        <w:left w:val="single" w:sz="8" w:space="0" w:color="0072CE" w:themeColor="accent4"/>
        <w:bottom w:val="single" w:sz="8" w:space="0" w:color="0072CE" w:themeColor="accent4"/>
        <w:right w:val="single" w:sz="8" w:space="0" w:color="0072CE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2C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72CE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2CE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72CE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DD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DD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00568"/>
    <w:pPr>
      <w:spacing w:before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CDE" w:themeColor="accent5"/>
        <w:left w:val="single" w:sz="8" w:space="0" w:color="009CDE" w:themeColor="accent5"/>
        <w:bottom w:val="single" w:sz="8" w:space="0" w:color="009CDE" w:themeColor="accent5"/>
        <w:right w:val="single" w:sz="8" w:space="0" w:color="009CDE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CD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CDE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CDE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CDE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9F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9F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00568"/>
    <w:pPr>
      <w:spacing w:before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2A2B" w:themeColor="accent6"/>
        <w:left w:val="single" w:sz="8" w:space="0" w:color="8A2A2B" w:themeColor="accent6"/>
        <w:bottom w:val="single" w:sz="8" w:space="0" w:color="8A2A2B" w:themeColor="accent6"/>
        <w:right w:val="single" w:sz="8" w:space="0" w:color="8A2A2B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2A2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A2A2B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2A2B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2A2B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C0C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CC0C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C00568"/>
    <w:pPr>
      <w:spacing w:before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00568"/>
    <w:pPr>
      <w:spacing w:before="0"/>
    </w:pPr>
    <w:tblPr>
      <w:tblStyleRowBandSize w:val="1"/>
      <w:tblStyleColBandSize w:val="1"/>
      <w:tblBorders>
        <w:top w:val="single" w:sz="8" w:space="0" w:color="0096FC" w:themeColor="accent1" w:themeTint="BF"/>
        <w:left w:val="single" w:sz="8" w:space="0" w:color="0096FC" w:themeColor="accent1" w:themeTint="BF"/>
        <w:bottom w:val="single" w:sz="8" w:space="0" w:color="0096FC" w:themeColor="accent1" w:themeTint="BF"/>
        <w:right w:val="single" w:sz="8" w:space="0" w:color="0096FC" w:themeColor="accent1" w:themeTint="BF"/>
        <w:insideH w:val="single" w:sz="8" w:space="0" w:color="0096F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96FC" w:themeColor="accent1" w:themeTint="BF"/>
          <w:left w:val="single" w:sz="8" w:space="0" w:color="0096FC" w:themeColor="accent1" w:themeTint="BF"/>
          <w:bottom w:val="single" w:sz="8" w:space="0" w:color="0096FC" w:themeColor="accent1" w:themeTint="BF"/>
          <w:right w:val="single" w:sz="8" w:space="0" w:color="0096FC" w:themeColor="accent1" w:themeTint="BF"/>
          <w:insideH w:val="nil"/>
          <w:insideV w:val="nil"/>
        </w:tcBorders>
        <w:shd w:val="clear" w:color="auto" w:fill="0063A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6FC" w:themeColor="accent1" w:themeTint="BF"/>
          <w:left w:val="single" w:sz="8" w:space="0" w:color="0096FC" w:themeColor="accent1" w:themeTint="BF"/>
          <w:bottom w:val="single" w:sz="8" w:space="0" w:color="0096FC" w:themeColor="accent1" w:themeTint="BF"/>
          <w:right w:val="single" w:sz="8" w:space="0" w:color="0096F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DC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ADC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00568"/>
    <w:pPr>
      <w:spacing w:before="0"/>
    </w:pPr>
    <w:tblPr>
      <w:tblStyleRowBandSize w:val="1"/>
      <w:tblStyleColBandSize w:val="1"/>
      <w:tblBorders>
        <w:top w:val="single" w:sz="8" w:space="0" w:color="0082DB" w:themeColor="accent2" w:themeTint="BF"/>
        <w:left w:val="single" w:sz="8" w:space="0" w:color="0082DB" w:themeColor="accent2" w:themeTint="BF"/>
        <w:bottom w:val="single" w:sz="8" w:space="0" w:color="0082DB" w:themeColor="accent2" w:themeTint="BF"/>
        <w:right w:val="single" w:sz="8" w:space="0" w:color="0082DB" w:themeColor="accent2" w:themeTint="BF"/>
        <w:insideH w:val="single" w:sz="8" w:space="0" w:color="0082DB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82DB" w:themeColor="accent2" w:themeTint="BF"/>
          <w:left w:val="single" w:sz="8" w:space="0" w:color="0082DB" w:themeColor="accent2" w:themeTint="BF"/>
          <w:bottom w:val="single" w:sz="8" w:space="0" w:color="0082DB" w:themeColor="accent2" w:themeTint="BF"/>
          <w:right w:val="single" w:sz="8" w:space="0" w:color="0082DB" w:themeColor="accent2" w:themeTint="BF"/>
          <w:insideH w:val="nil"/>
          <w:insideV w:val="nil"/>
        </w:tcBorders>
        <w:shd w:val="clear" w:color="auto" w:fill="00497A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2DB" w:themeColor="accent2" w:themeTint="BF"/>
          <w:left w:val="single" w:sz="8" w:space="0" w:color="0082DB" w:themeColor="accent2" w:themeTint="BF"/>
          <w:bottom w:val="single" w:sz="8" w:space="0" w:color="0082DB" w:themeColor="accent2" w:themeTint="BF"/>
          <w:right w:val="single" w:sz="8" w:space="0" w:color="0082DB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FD8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FD8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00568"/>
    <w:pPr>
      <w:spacing w:before="0"/>
    </w:pPr>
    <w:tblPr>
      <w:tblStyleRowBandSize w:val="1"/>
      <w:tblStyleColBandSize w:val="1"/>
      <w:tblBorders>
        <w:top w:val="single" w:sz="8" w:space="0" w:color="96B4D6" w:themeColor="accent3" w:themeTint="BF"/>
        <w:left w:val="single" w:sz="8" w:space="0" w:color="96B4D6" w:themeColor="accent3" w:themeTint="BF"/>
        <w:bottom w:val="single" w:sz="8" w:space="0" w:color="96B4D6" w:themeColor="accent3" w:themeTint="BF"/>
        <w:right w:val="single" w:sz="8" w:space="0" w:color="96B4D6" w:themeColor="accent3" w:themeTint="BF"/>
        <w:insideH w:val="single" w:sz="8" w:space="0" w:color="96B4D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6B4D6" w:themeColor="accent3" w:themeTint="BF"/>
          <w:left w:val="single" w:sz="8" w:space="0" w:color="96B4D6" w:themeColor="accent3" w:themeTint="BF"/>
          <w:bottom w:val="single" w:sz="8" w:space="0" w:color="96B4D6" w:themeColor="accent3" w:themeTint="BF"/>
          <w:right w:val="single" w:sz="8" w:space="0" w:color="96B4D6" w:themeColor="accent3" w:themeTint="BF"/>
          <w:insideH w:val="nil"/>
          <w:insideV w:val="nil"/>
        </w:tcBorders>
        <w:shd w:val="clear" w:color="auto" w:fill="749CC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B4D6" w:themeColor="accent3" w:themeTint="BF"/>
          <w:left w:val="single" w:sz="8" w:space="0" w:color="96B4D6" w:themeColor="accent3" w:themeTint="BF"/>
          <w:bottom w:val="single" w:sz="8" w:space="0" w:color="96B4D6" w:themeColor="accent3" w:themeTint="BF"/>
          <w:right w:val="single" w:sz="8" w:space="0" w:color="96B4D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6F1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CE6F1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00568"/>
    <w:pPr>
      <w:spacing w:before="0"/>
    </w:pPr>
    <w:tblPr>
      <w:tblStyleRowBandSize w:val="1"/>
      <w:tblStyleColBandSize w:val="1"/>
      <w:tblBorders>
        <w:top w:val="single" w:sz="8" w:space="0" w:color="1B99FF" w:themeColor="accent4" w:themeTint="BF"/>
        <w:left w:val="single" w:sz="8" w:space="0" w:color="1B99FF" w:themeColor="accent4" w:themeTint="BF"/>
        <w:bottom w:val="single" w:sz="8" w:space="0" w:color="1B99FF" w:themeColor="accent4" w:themeTint="BF"/>
        <w:right w:val="single" w:sz="8" w:space="0" w:color="1B99FF" w:themeColor="accent4" w:themeTint="BF"/>
        <w:insideH w:val="single" w:sz="8" w:space="0" w:color="1B99F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B99FF" w:themeColor="accent4" w:themeTint="BF"/>
          <w:left w:val="single" w:sz="8" w:space="0" w:color="1B99FF" w:themeColor="accent4" w:themeTint="BF"/>
          <w:bottom w:val="single" w:sz="8" w:space="0" w:color="1B99FF" w:themeColor="accent4" w:themeTint="BF"/>
          <w:right w:val="single" w:sz="8" w:space="0" w:color="1B99FF" w:themeColor="accent4" w:themeTint="BF"/>
          <w:insideH w:val="nil"/>
          <w:insideV w:val="nil"/>
        </w:tcBorders>
        <w:shd w:val="clear" w:color="auto" w:fill="0072C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B99FF" w:themeColor="accent4" w:themeTint="BF"/>
          <w:left w:val="single" w:sz="8" w:space="0" w:color="1B99FF" w:themeColor="accent4" w:themeTint="BF"/>
          <w:bottom w:val="single" w:sz="8" w:space="0" w:color="1B99FF" w:themeColor="accent4" w:themeTint="BF"/>
          <w:right w:val="single" w:sz="8" w:space="0" w:color="1B99F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DD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DD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00568"/>
    <w:pPr>
      <w:spacing w:before="0"/>
    </w:pPr>
    <w:tblPr>
      <w:tblStyleRowBandSize w:val="1"/>
      <w:tblStyleColBandSize w:val="1"/>
      <w:tblBorders>
        <w:top w:val="single" w:sz="8" w:space="0" w:color="27BEFF" w:themeColor="accent5" w:themeTint="BF"/>
        <w:left w:val="single" w:sz="8" w:space="0" w:color="27BEFF" w:themeColor="accent5" w:themeTint="BF"/>
        <w:bottom w:val="single" w:sz="8" w:space="0" w:color="27BEFF" w:themeColor="accent5" w:themeTint="BF"/>
        <w:right w:val="single" w:sz="8" w:space="0" w:color="27BEFF" w:themeColor="accent5" w:themeTint="BF"/>
        <w:insideH w:val="single" w:sz="8" w:space="0" w:color="27BEF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7BEFF" w:themeColor="accent5" w:themeTint="BF"/>
          <w:left w:val="single" w:sz="8" w:space="0" w:color="27BEFF" w:themeColor="accent5" w:themeTint="BF"/>
          <w:bottom w:val="single" w:sz="8" w:space="0" w:color="27BEFF" w:themeColor="accent5" w:themeTint="BF"/>
          <w:right w:val="single" w:sz="8" w:space="0" w:color="27BEFF" w:themeColor="accent5" w:themeTint="BF"/>
          <w:insideH w:val="nil"/>
          <w:insideV w:val="nil"/>
        </w:tcBorders>
        <w:shd w:val="clear" w:color="auto" w:fill="009CD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7BEFF" w:themeColor="accent5" w:themeTint="BF"/>
          <w:left w:val="single" w:sz="8" w:space="0" w:color="27BEFF" w:themeColor="accent5" w:themeTint="BF"/>
          <w:bottom w:val="single" w:sz="8" w:space="0" w:color="27BEFF" w:themeColor="accent5" w:themeTint="BF"/>
          <w:right w:val="single" w:sz="8" w:space="0" w:color="27BEF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9F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9F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00568"/>
    <w:pPr>
      <w:spacing w:before="0"/>
    </w:pPr>
    <w:tblPr>
      <w:tblStyleRowBandSize w:val="1"/>
      <w:tblStyleColBandSize w:val="1"/>
      <w:tblBorders>
        <w:top w:val="single" w:sz="8" w:space="0" w:color="C54142" w:themeColor="accent6" w:themeTint="BF"/>
        <w:left w:val="single" w:sz="8" w:space="0" w:color="C54142" w:themeColor="accent6" w:themeTint="BF"/>
        <w:bottom w:val="single" w:sz="8" w:space="0" w:color="C54142" w:themeColor="accent6" w:themeTint="BF"/>
        <w:right w:val="single" w:sz="8" w:space="0" w:color="C54142" w:themeColor="accent6" w:themeTint="BF"/>
        <w:insideH w:val="single" w:sz="8" w:space="0" w:color="C5414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54142" w:themeColor="accent6" w:themeTint="BF"/>
          <w:left w:val="single" w:sz="8" w:space="0" w:color="C54142" w:themeColor="accent6" w:themeTint="BF"/>
          <w:bottom w:val="single" w:sz="8" w:space="0" w:color="C54142" w:themeColor="accent6" w:themeTint="BF"/>
          <w:right w:val="single" w:sz="8" w:space="0" w:color="C54142" w:themeColor="accent6" w:themeTint="BF"/>
          <w:insideH w:val="nil"/>
          <w:insideV w:val="nil"/>
        </w:tcBorders>
        <w:shd w:val="clear" w:color="auto" w:fill="8A2A2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4142" w:themeColor="accent6" w:themeTint="BF"/>
          <w:left w:val="single" w:sz="8" w:space="0" w:color="C54142" w:themeColor="accent6" w:themeTint="BF"/>
          <w:bottom w:val="single" w:sz="8" w:space="0" w:color="C54142" w:themeColor="accent6" w:themeTint="BF"/>
          <w:right w:val="single" w:sz="8" w:space="0" w:color="C5414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0C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CC0C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00568"/>
    <w:pPr>
      <w:spacing w:before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00568"/>
    <w:pPr>
      <w:spacing w:before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3A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3A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63A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00568"/>
    <w:pPr>
      <w:spacing w:before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97A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97A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497A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00568"/>
    <w:pPr>
      <w:spacing w:before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49CC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49CC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49CC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00568"/>
    <w:pPr>
      <w:spacing w:before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CE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C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2CE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00568"/>
    <w:pPr>
      <w:spacing w:before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2A2B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2A2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2A2B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C0056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0056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rsid w:val="00C00568"/>
    <w:pPr>
      <w:keepLines/>
      <w:spacing w:before="0"/>
    </w:pPr>
  </w:style>
  <w:style w:type="paragraph" w:styleId="NormalWeb">
    <w:name w:val="Normal (Web)"/>
    <w:basedOn w:val="Normal"/>
    <w:uiPriority w:val="99"/>
    <w:semiHidden/>
    <w:unhideWhenUsed/>
    <w:rsid w:val="00C00568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C0056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C00568"/>
    <w:pPr>
      <w:spacing w:before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00568"/>
  </w:style>
  <w:style w:type="character" w:styleId="PlaceholderText">
    <w:name w:val="Placeholder Text"/>
    <w:basedOn w:val="DefaultParagraphFont"/>
    <w:uiPriority w:val="99"/>
    <w:semiHidden/>
    <w:rsid w:val="00C00568"/>
    <w:rPr>
      <w:color w:val="80808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00568"/>
    <w:pPr>
      <w:spacing w:before="0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00568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rsid w:val="00C00568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C00568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C0056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00568"/>
  </w:style>
  <w:style w:type="paragraph" w:styleId="Signature">
    <w:name w:val="Signature"/>
    <w:basedOn w:val="Normal"/>
    <w:link w:val="SignatureChar"/>
    <w:uiPriority w:val="99"/>
    <w:semiHidden/>
    <w:unhideWhenUsed/>
    <w:rsid w:val="00C00568"/>
    <w:pPr>
      <w:spacing w:before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C00568"/>
  </w:style>
  <w:style w:type="character" w:styleId="Strong">
    <w:name w:val="Strong"/>
    <w:basedOn w:val="DefaultParagraphFont"/>
    <w:uiPriority w:val="98"/>
    <w:semiHidden/>
    <w:rsid w:val="00C00568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C00568"/>
    <w:pPr>
      <w:numPr>
        <w:ilvl w:val="1"/>
      </w:numPr>
    </w:pPr>
    <w:rPr>
      <w:rFonts w:asciiTheme="majorHAnsi" w:eastAsiaTheme="majorEastAsia" w:hAnsiTheme="majorHAnsi" w:cstheme="majorBidi"/>
      <w:i/>
      <w:iCs/>
      <w:color w:val="0063A6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C00568"/>
    <w:rPr>
      <w:rFonts w:asciiTheme="majorHAnsi" w:eastAsiaTheme="majorEastAsia" w:hAnsiTheme="majorHAnsi" w:cstheme="majorBidi"/>
      <w:i/>
      <w:iCs/>
      <w:color w:val="0063A6" w:themeColor="accent1"/>
      <w:spacing w:val="15"/>
      <w:sz w:val="24"/>
      <w:szCs w:val="24"/>
    </w:rPr>
  </w:style>
  <w:style w:type="character" w:styleId="SubtleReference">
    <w:name w:val="Subtle Reference"/>
    <w:basedOn w:val="DefaultParagraphFont"/>
    <w:uiPriority w:val="31"/>
    <w:semiHidden/>
    <w:rsid w:val="00C00568"/>
    <w:rPr>
      <w:smallCaps/>
      <w:color w:val="00497A" w:themeColor="accent2"/>
      <w:u w:val="single"/>
    </w:rPr>
  </w:style>
  <w:style w:type="table" w:styleId="Table3Deffects1">
    <w:name w:val="Table 3D effects 1"/>
    <w:basedOn w:val="TableNormal"/>
    <w:uiPriority w:val="99"/>
    <w:semiHidden/>
    <w:unhideWhenUsed/>
    <w:rsid w:val="00C00568"/>
    <w:pPr>
      <w:keepLines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C00568"/>
    <w:pPr>
      <w:keepLines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C00568"/>
    <w:pPr>
      <w:keepLines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C00568"/>
    <w:pPr>
      <w:keepLines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C00568"/>
    <w:pPr>
      <w:keepLines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C00568"/>
    <w:pPr>
      <w:keepLines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C00568"/>
    <w:pPr>
      <w:keepLines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C00568"/>
    <w:pPr>
      <w:keepLines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C00568"/>
    <w:pPr>
      <w:keepLines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C00568"/>
    <w:pPr>
      <w:keepLines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C00568"/>
    <w:pPr>
      <w:keepLines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C00568"/>
    <w:pPr>
      <w:keepLines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C00568"/>
    <w:pPr>
      <w:keepLines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C00568"/>
    <w:pPr>
      <w:keepLines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C00568"/>
    <w:pPr>
      <w:keepLines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C00568"/>
    <w:pPr>
      <w:keepLines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C00568"/>
    <w:pPr>
      <w:keepLines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C00568"/>
    <w:pPr>
      <w:keepLines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C00568"/>
    <w:pPr>
      <w:keepLines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C00568"/>
    <w:pPr>
      <w:keepLines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C00568"/>
    <w:pPr>
      <w:keepLines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C00568"/>
    <w:pPr>
      <w:keepLines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C00568"/>
    <w:pPr>
      <w:keepLines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C00568"/>
    <w:pPr>
      <w:keepLines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C00568"/>
    <w:pPr>
      <w:keepLines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C00568"/>
    <w:pPr>
      <w:keepLines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C00568"/>
    <w:pPr>
      <w:keepLines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C00568"/>
    <w:pPr>
      <w:keepLines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C00568"/>
    <w:pPr>
      <w:keepLines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C00568"/>
    <w:pPr>
      <w:keepLines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C00568"/>
    <w:pPr>
      <w:keepLines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C00568"/>
    <w:pPr>
      <w:keepLines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C00568"/>
    <w:pPr>
      <w:keepLines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C00568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C00568"/>
  </w:style>
  <w:style w:type="table" w:styleId="TableProfessional">
    <w:name w:val="Table Professional"/>
    <w:basedOn w:val="TableNormal"/>
    <w:uiPriority w:val="99"/>
    <w:semiHidden/>
    <w:unhideWhenUsed/>
    <w:rsid w:val="00C00568"/>
    <w:pPr>
      <w:keepLines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C00568"/>
    <w:pPr>
      <w:keepLines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C00568"/>
    <w:pPr>
      <w:keepLines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C00568"/>
    <w:pPr>
      <w:keepLines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C00568"/>
    <w:pPr>
      <w:keepLines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C00568"/>
    <w:pPr>
      <w:keepLines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C00568"/>
    <w:pPr>
      <w:keepLine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C00568"/>
    <w:pPr>
      <w:keepLines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C00568"/>
    <w:pPr>
      <w:keepLines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C00568"/>
    <w:pPr>
      <w:keepLines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rsid w:val="00C00568"/>
    <w:pPr>
      <w:pBdr>
        <w:bottom w:val="single" w:sz="8" w:space="4" w:color="0063A6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0F34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C00568"/>
    <w:rPr>
      <w:rFonts w:asciiTheme="majorHAnsi" w:eastAsiaTheme="majorEastAsia" w:hAnsiTheme="majorHAnsi" w:cstheme="majorBidi"/>
      <w:color w:val="170F34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C00568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5">
    <w:name w:val="toc 5"/>
    <w:basedOn w:val="Normal"/>
    <w:next w:val="Normal"/>
    <w:autoRedefine/>
    <w:uiPriority w:val="96"/>
    <w:semiHidden/>
    <w:rsid w:val="00C00568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96"/>
    <w:semiHidden/>
    <w:rsid w:val="00C00568"/>
    <w:pPr>
      <w:spacing w:after="100"/>
      <w:ind w:left="1100"/>
    </w:pPr>
  </w:style>
  <w:style w:type="paragraph" w:styleId="TOC8">
    <w:name w:val="toc 8"/>
    <w:basedOn w:val="Normal"/>
    <w:next w:val="Normal"/>
    <w:autoRedefine/>
    <w:uiPriority w:val="96"/>
    <w:semiHidden/>
    <w:rsid w:val="00C00568"/>
    <w:pPr>
      <w:spacing w:after="100"/>
      <w:ind w:left="1540"/>
    </w:pPr>
  </w:style>
  <w:style w:type="paragraph" w:styleId="TOCHeading">
    <w:name w:val="TOC Heading"/>
    <w:basedOn w:val="Heading10"/>
    <w:next w:val="Normal"/>
    <w:uiPriority w:val="90"/>
    <w:semiHidden/>
    <w:unhideWhenUsed/>
    <w:rsid w:val="00C00568"/>
    <w:pPr>
      <w:spacing w:before="480"/>
      <w:outlineLvl w:val="9"/>
    </w:pPr>
    <w:rPr>
      <w:caps w:val="0"/>
      <w:color w:val="004A7C" w:themeColor="accent1" w:themeShade="BF"/>
      <w:spacing w:val="0"/>
      <w:sz w:val="28"/>
    </w:rPr>
  </w:style>
  <w:style w:type="table" w:customStyle="1" w:styleId="DTFTextTable">
    <w:name w:val="DTF Text Table"/>
    <w:basedOn w:val="DTFTable"/>
    <w:uiPriority w:val="99"/>
    <w:rsid w:val="00917D22"/>
    <w:pPr>
      <w:spacing w:after="120" w:line="216" w:lineRule="auto"/>
      <w:jc w:val="left"/>
    </w:pPr>
    <w:rPr>
      <w:sz w:val="20"/>
    </w:rPr>
    <w:tblPr/>
    <w:tblStylePr w:type="firstRow">
      <w:pPr>
        <w:wordWrap/>
        <w:spacing w:beforeLines="0" w:before="20" w:beforeAutospacing="0" w:afterLines="0" w:after="20" w:afterAutospacing="0" w:line="216" w:lineRule="auto"/>
        <w:jc w:val="left"/>
      </w:pPr>
      <w:rPr>
        <w:i/>
      </w:rPr>
      <w:tblPr/>
      <w:trPr>
        <w:cantSplit w:val="0"/>
      </w:trPr>
      <w:tcPr>
        <w:shd w:val="clear" w:color="auto" w:fill="000000" w:themeFill="text1"/>
        <w:vAlign w:val="bottom"/>
      </w:tcPr>
    </w:tblStylePr>
    <w:tblStylePr w:type="lastRow">
      <w:rPr>
        <w:b w:val="0"/>
      </w:rPr>
      <w:tblPr/>
      <w:tcPr>
        <w:tcBorders>
          <w:top w:val="single" w:sz="6" w:space="0" w:color="000000" w:themeColor="text1"/>
          <w:left w:val="nil"/>
          <w:bottom w:val="single" w:sz="12" w:space="0" w:color="000000" w:themeColor="text1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spacing w:line="240" w:lineRule="auto"/>
        <w:ind w:leftChars="0" w:left="170" w:rightChars="0" w:right="0" w:firstLineChars="0" w:hanging="170"/>
        <w:jc w:val="left"/>
      </w:pPr>
    </w:tblStylePr>
    <w:tblStylePr w:type="lastCol">
      <w:rPr>
        <w:b/>
      </w:rPr>
      <w:tblPr/>
      <w:tcPr>
        <w:shd w:val="clear" w:color="auto" w:fill="F2F2F2" w:themeFill="background1" w:themeFillShade="F2"/>
      </w:tcPr>
    </w:tblStylePr>
    <w:tblStylePr w:type="band1Vert">
      <w:tblPr/>
      <w:tcPr>
        <w:shd w:val="clear" w:color="auto" w:fill="EBEBEB" w:themeFill="background2"/>
      </w:tcPr>
    </w:tblStylePr>
    <w:tblStylePr w:type="band1Horz">
      <w:tblPr/>
      <w:tcPr>
        <w:tcBorders>
          <w:top w:val="nil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  <w:shd w:val="clear" w:color="auto" w:fill="EBEBEB" w:themeFill="background2"/>
      </w:tcPr>
    </w:tblStylePr>
    <w:tblStylePr w:type="band2Horz">
      <w:tblPr/>
      <w:tcPr>
        <w:tcBorders>
          <w:top w:val="nil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</w:style>
  <w:style w:type="character" w:customStyle="1" w:styleId="FooterevenChar">
    <w:name w:val="Footer (even) Char"/>
    <w:basedOn w:val="FooterChar"/>
    <w:link w:val="Footereven"/>
    <w:uiPriority w:val="84"/>
    <w:rsid w:val="008155D0"/>
    <w:rPr>
      <w:rFonts w:asciiTheme="majorHAnsi" w:hAnsiTheme="majorHAnsi"/>
      <w:sz w:val="18"/>
    </w:rPr>
  </w:style>
  <w:style w:type="paragraph" w:customStyle="1" w:styleId="ObjectiveHeading">
    <w:name w:val="Objective Heading"/>
    <w:basedOn w:val="Normal"/>
    <w:next w:val="Normal"/>
    <w:uiPriority w:val="62"/>
    <w:qFormat/>
    <w:rsid w:val="006E2BC5"/>
    <w:pPr>
      <w:keepNext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hd w:val="clear" w:color="auto" w:fill="F2F2F2" w:themeFill="background1" w:themeFillShade="F2"/>
    </w:pPr>
    <w:rPr>
      <w:rFonts w:asciiTheme="majorHAnsi" w:hAnsiTheme="majorHAnsi"/>
      <w:b/>
      <w:sz w:val="24"/>
    </w:rPr>
  </w:style>
  <w:style w:type="paragraph" w:customStyle="1" w:styleId="PerformanceMeasureNote">
    <w:name w:val="Performance Measure Note"/>
    <w:basedOn w:val="Normal"/>
    <w:uiPriority w:val="63"/>
    <w:qFormat/>
    <w:rsid w:val="00BC1376"/>
    <w:pPr>
      <w:spacing w:before="20" w:after="20"/>
      <w:ind w:left="170"/>
      <w:contextualSpacing/>
    </w:pPr>
    <w:rPr>
      <w:rFonts w:asciiTheme="majorHAnsi" w:hAnsiTheme="majorHAnsi"/>
      <w:i/>
      <w:spacing w:val="-2"/>
      <w:sz w:val="15"/>
      <w:szCs w:val="15"/>
    </w:rPr>
  </w:style>
  <w:style w:type="paragraph" w:customStyle="1" w:styleId="TableUnits">
    <w:name w:val="Table Units"/>
    <w:basedOn w:val="Normal"/>
    <w:next w:val="Normal"/>
    <w:uiPriority w:val="50"/>
    <w:qFormat/>
    <w:rsid w:val="0083463B"/>
    <w:pPr>
      <w:keepNext/>
      <w:tabs>
        <w:tab w:val="left" w:pos="567"/>
        <w:tab w:val="right" w:pos="9639"/>
        <w:tab w:val="right" w:pos="14742"/>
      </w:tabs>
      <w:spacing w:before="0" w:after="120"/>
      <w:ind w:left="1134" w:hanging="1134"/>
      <w:jc w:val="right"/>
    </w:pPr>
    <w:rPr>
      <w:rFonts w:asciiTheme="majorHAnsi" w:hAnsiTheme="majorHAnsi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7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emf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DTF standard">
  <a:themeElements>
    <a:clrScheme name="DTF colours">
      <a:dk1>
        <a:sysClr val="windowText" lastClr="000000"/>
      </a:dk1>
      <a:lt1>
        <a:sysClr val="window" lastClr="FFFFFF"/>
      </a:lt1>
      <a:dk2>
        <a:srgbClr val="201547"/>
      </a:dk2>
      <a:lt2>
        <a:srgbClr val="EBEBEB"/>
      </a:lt2>
      <a:accent1>
        <a:srgbClr val="0063A6"/>
      </a:accent1>
      <a:accent2>
        <a:srgbClr val="00497A"/>
      </a:accent2>
      <a:accent3>
        <a:srgbClr val="749CC9"/>
      </a:accent3>
      <a:accent4>
        <a:srgbClr val="0072CE"/>
      </a:accent4>
      <a:accent5>
        <a:srgbClr val="009CDE"/>
      </a:accent5>
      <a:accent6>
        <a:srgbClr val="8A2A2B"/>
      </a:accent6>
      <a:hlink>
        <a:srgbClr val="53565A"/>
      </a:hlink>
      <a:folHlink>
        <a:srgbClr val="8A2A2B"/>
      </a:folHlink>
    </a:clrScheme>
    <a:fontScheme name="DTF publications">
      <a:majorFont>
        <a:latin typeface="Calibri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490282-59C2-48C0-82EB-E95EE3F02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3528</Words>
  <Characters>20116</Characters>
  <Application>Microsoft Office Word</Application>
  <DocSecurity>0</DocSecurity>
  <Lines>167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2017-08-07T02:03:00Z</dcterms:created>
  <dcterms:modified xsi:type="dcterms:W3CDTF">2017-08-07T02:03:00Z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b8a7d0ee-40e7-4903-8b1c-e9e5f6bf85fd</vt:lpwstr>
  </property>
  <property fmtid="{D5CDD505-2E9C-101B-9397-08002B2CF9AE}" pid="3" name="PSPFClassification">
    <vt:lpwstr>Do Not Mark</vt:lpwstr>
  </property>
</Properties>
</file>