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75D" w:rsidRPr="004816CA" w:rsidRDefault="0070375D" w:rsidP="004816CA">
      <w:pPr>
        <w:pBdr>
          <w:bottom w:val="single" w:sz="12" w:space="0" w:color="auto"/>
        </w:pBdr>
        <w:spacing w:before="1560"/>
        <w:jc w:val="center"/>
        <w:rPr>
          <w:rFonts w:ascii="Calibri" w:hAnsi="Calibri"/>
          <w:b/>
          <w:sz w:val="52"/>
          <w:szCs w:val="52"/>
        </w:rPr>
      </w:pPr>
      <w:r w:rsidRPr="004816CA">
        <w:rPr>
          <w:rFonts w:ascii="Calibri" w:hAnsi="Calibri"/>
          <w:b/>
          <w:sz w:val="52"/>
          <w:szCs w:val="52"/>
        </w:rPr>
        <w:t>Strategy and Outlook</w:t>
      </w:r>
    </w:p>
    <w:p w:rsidR="0070375D" w:rsidRPr="004816CA" w:rsidRDefault="0070375D" w:rsidP="004816CA">
      <w:pPr>
        <w:jc w:val="center"/>
        <w:rPr>
          <w:rFonts w:ascii="Calibri" w:hAnsi="Calibri"/>
          <w:b/>
          <w:sz w:val="52"/>
          <w:szCs w:val="52"/>
        </w:rPr>
      </w:pPr>
      <w:r w:rsidRPr="004816CA">
        <w:rPr>
          <w:rFonts w:ascii="Calibri" w:hAnsi="Calibri"/>
          <w:b/>
          <w:sz w:val="52"/>
          <w:szCs w:val="52"/>
        </w:rPr>
        <w:t>201</w:t>
      </w:r>
      <w:r>
        <w:rPr>
          <w:rFonts w:ascii="Calibri" w:hAnsi="Calibri"/>
          <w:b/>
          <w:sz w:val="52"/>
          <w:szCs w:val="52"/>
        </w:rPr>
        <w:t>3</w:t>
      </w:r>
      <w:r w:rsidR="00276239">
        <w:rPr>
          <w:rFonts w:ascii="Calibri" w:hAnsi="Calibri"/>
          <w:b/>
          <w:sz w:val="52"/>
          <w:szCs w:val="52"/>
        </w:rPr>
        <w:noBreakHyphen/>
      </w:r>
      <w:r w:rsidRPr="004816CA">
        <w:rPr>
          <w:rFonts w:ascii="Calibri" w:hAnsi="Calibri"/>
          <w:b/>
          <w:sz w:val="52"/>
          <w:szCs w:val="52"/>
        </w:rPr>
        <w:t>1</w:t>
      </w:r>
      <w:r>
        <w:rPr>
          <w:rFonts w:ascii="Calibri" w:hAnsi="Calibri"/>
          <w:b/>
          <w:sz w:val="52"/>
          <w:szCs w:val="52"/>
        </w:rPr>
        <w:t>4</w:t>
      </w:r>
    </w:p>
    <w:p w:rsidR="0070375D" w:rsidRPr="004816CA" w:rsidRDefault="0070375D" w:rsidP="004816CA">
      <w:pPr>
        <w:jc w:val="center"/>
        <w:rPr>
          <w:rFonts w:ascii="Calibri" w:hAnsi="Calibri"/>
          <w:sz w:val="30"/>
          <w:szCs w:val="30"/>
        </w:rPr>
      </w:pPr>
    </w:p>
    <w:p w:rsidR="0070375D" w:rsidRPr="004816CA" w:rsidRDefault="0070375D" w:rsidP="004816CA">
      <w:pPr>
        <w:jc w:val="center"/>
      </w:pPr>
      <w:r w:rsidRPr="004816CA">
        <w:object w:dxaOrig="7261" w:dyaOrig="9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94.5pt" o:ole="" fillcolor="window">
            <v:imagedata r:id="rId9" o:title=""/>
          </v:shape>
          <o:OLEObject Type="Embed" ProgID="MSDraw.1.01" ShapeID="_x0000_i1025" DrawAspect="Content" ObjectID="_1429425432" r:id="rId10">
            <o:FieldCodes>\* MERGEFORMAT</o:FieldCodes>
          </o:OLEObject>
        </w:object>
      </w:r>
    </w:p>
    <w:p w:rsidR="0070375D" w:rsidRPr="004816CA" w:rsidRDefault="0070375D" w:rsidP="004816CA">
      <w:pPr>
        <w:jc w:val="center"/>
        <w:rPr>
          <w:sz w:val="36"/>
          <w:szCs w:val="36"/>
        </w:rPr>
      </w:pPr>
    </w:p>
    <w:p w:rsidR="0070375D" w:rsidRPr="004816CA" w:rsidRDefault="0070375D" w:rsidP="004816CA">
      <w:pPr>
        <w:jc w:val="center"/>
        <w:rPr>
          <w:sz w:val="36"/>
          <w:szCs w:val="36"/>
        </w:rPr>
      </w:pPr>
    </w:p>
    <w:p w:rsidR="0070375D" w:rsidRPr="004816CA" w:rsidRDefault="0070375D" w:rsidP="004816CA">
      <w:pPr>
        <w:jc w:val="center"/>
        <w:rPr>
          <w:sz w:val="36"/>
          <w:szCs w:val="36"/>
        </w:rPr>
      </w:pPr>
    </w:p>
    <w:p w:rsidR="0070375D" w:rsidRPr="004816CA" w:rsidRDefault="0070375D" w:rsidP="004816CA">
      <w:pPr>
        <w:jc w:val="center"/>
        <w:rPr>
          <w:rFonts w:ascii="Calibri" w:hAnsi="Calibri"/>
          <w:sz w:val="28"/>
          <w:szCs w:val="28"/>
        </w:rPr>
      </w:pPr>
      <w:r w:rsidRPr="004816CA">
        <w:rPr>
          <w:rFonts w:ascii="Calibri" w:hAnsi="Calibri"/>
          <w:sz w:val="28"/>
          <w:szCs w:val="28"/>
        </w:rPr>
        <w:t>Presented by</w:t>
      </w:r>
    </w:p>
    <w:p w:rsidR="0070375D" w:rsidRPr="004816CA" w:rsidRDefault="0070375D" w:rsidP="004816CA">
      <w:pPr>
        <w:jc w:val="center"/>
        <w:rPr>
          <w:rFonts w:ascii="Calibri" w:hAnsi="Calibri"/>
          <w:b/>
          <w:sz w:val="40"/>
          <w:szCs w:val="40"/>
        </w:rPr>
      </w:pPr>
      <w:r>
        <w:rPr>
          <w:rFonts w:ascii="Calibri" w:hAnsi="Calibri"/>
          <w:b/>
          <w:sz w:val="40"/>
          <w:szCs w:val="40"/>
        </w:rPr>
        <w:t>The Hon. Michael O</w:t>
      </w:r>
      <w:r w:rsidR="00276239">
        <w:rPr>
          <w:rFonts w:ascii="Calibri" w:hAnsi="Calibri"/>
          <w:b/>
          <w:sz w:val="40"/>
          <w:szCs w:val="40"/>
        </w:rPr>
        <w:t>’</w:t>
      </w:r>
      <w:r>
        <w:rPr>
          <w:rFonts w:ascii="Calibri" w:hAnsi="Calibri"/>
          <w:b/>
          <w:sz w:val="40"/>
          <w:szCs w:val="40"/>
        </w:rPr>
        <w:t>Brien</w:t>
      </w:r>
      <w:r w:rsidRPr="004816CA">
        <w:rPr>
          <w:rFonts w:ascii="Calibri" w:hAnsi="Calibri"/>
          <w:b/>
          <w:sz w:val="40"/>
          <w:szCs w:val="40"/>
        </w:rPr>
        <w:t xml:space="preserve"> MP</w:t>
      </w:r>
    </w:p>
    <w:p w:rsidR="0070375D" w:rsidRPr="004816CA" w:rsidRDefault="0070375D" w:rsidP="004816CA">
      <w:pPr>
        <w:jc w:val="center"/>
        <w:rPr>
          <w:rFonts w:ascii="Calibri" w:hAnsi="Calibri"/>
          <w:sz w:val="36"/>
          <w:szCs w:val="36"/>
        </w:rPr>
      </w:pPr>
      <w:r w:rsidRPr="004816CA">
        <w:rPr>
          <w:rFonts w:ascii="Calibri" w:hAnsi="Calibri"/>
          <w:sz w:val="36"/>
          <w:szCs w:val="36"/>
        </w:rPr>
        <w:t>Treasurer of the State of Victoria</w:t>
      </w:r>
    </w:p>
    <w:p w:rsidR="0070375D" w:rsidRPr="004816CA" w:rsidRDefault="0070375D" w:rsidP="004816CA">
      <w:pPr>
        <w:jc w:val="center"/>
        <w:rPr>
          <w:rFonts w:ascii="Calibri" w:hAnsi="Calibri"/>
          <w:sz w:val="30"/>
          <w:szCs w:val="30"/>
        </w:rPr>
      </w:pPr>
      <w:r w:rsidRPr="004816CA">
        <w:rPr>
          <w:rFonts w:ascii="Calibri" w:hAnsi="Calibri"/>
          <w:sz w:val="30"/>
          <w:szCs w:val="30"/>
        </w:rPr>
        <w:t>for the information of Honourable Members</w:t>
      </w:r>
    </w:p>
    <w:p w:rsidR="0070375D" w:rsidRPr="004816CA" w:rsidRDefault="0070375D" w:rsidP="004816CA">
      <w:pPr>
        <w:jc w:val="center"/>
        <w:rPr>
          <w:rFonts w:ascii="Calibri" w:hAnsi="Calibri"/>
          <w:sz w:val="36"/>
          <w:szCs w:val="36"/>
        </w:rPr>
      </w:pPr>
    </w:p>
    <w:p w:rsidR="0070375D" w:rsidRPr="004816CA" w:rsidRDefault="0070375D" w:rsidP="004816CA">
      <w:pPr>
        <w:jc w:val="center"/>
        <w:rPr>
          <w:rFonts w:ascii="Calibri" w:hAnsi="Calibri"/>
          <w:sz w:val="36"/>
          <w:szCs w:val="36"/>
        </w:rPr>
      </w:pPr>
      <w:r w:rsidRPr="004816CA">
        <w:rPr>
          <w:rFonts w:ascii="Calibri" w:hAnsi="Calibri"/>
          <w:sz w:val="36"/>
          <w:szCs w:val="36"/>
        </w:rPr>
        <w:t>Bu</w:t>
      </w:r>
      <w:r>
        <w:rPr>
          <w:rFonts w:ascii="Calibri" w:hAnsi="Calibri"/>
          <w:sz w:val="36"/>
          <w:szCs w:val="36"/>
        </w:rPr>
        <w:t>dget Paper No. 2</w:t>
      </w:r>
    </w:p>
    <w:p w:rsidR="0070375D" w:rsidRDefault="0070375D">
      <w:pPr>
        <w:spacing w:after="0"/>
      </w:pPr>
      <w:r>
        <w:br w:type="page"/>
      </w:r>
    </w:p>
    <w:p w:rsidR="0070375D" w:rsidRDefault="0070375D" w:rsidP="00497606"/>
    <w:p w:rsidR="0070375D" w:rsidRPr="0070375D" w:rsidRDefault="0070375D" w:rsidP="0070375D">
      <w:r w:rsidRPr="0070375D">
        <w:fldChar w:fldCharType="begin"/>
      </w:r>
      <w:r w:rsidRPr="0070375D">
        <w:instrText xml:space="preserve"> XE "Net </w:instrText>
      </w:r>
      <w:r w:rsidR="0047351B">
        <w:instrText>d</w:instrText>
      </w:r>
      <w:r w:rsidRPr="0070375D">
        <w:instrText>eb</w:instrText>
      </w:r>
      <w:r w:rsidR="0047351B">
        <w:instrText>t</w:instrText>
      </w:r>
      <w:r w:rsidR="0047351B" w:rsidRPr="0070375D">
        <w:instrText>"</w:instrText>
      </w:r>
      <w:r w:rsidRPr="0070375D">
        <w:instrText xml:space="preserve"> \t "</w:instrText>
      </w:r>
      <w:r w:rsidRPr="0070375D">
        <w:rPr>
          <w:i/>
        </w:rPr>
        <w:instrText xml:space="preserve">See </w:instrText>
      </w:r>
      <w:r w:rsidRPr="0070375D">
        <w:instrText xml:space="preserve">Debt" </w:instrText>
      </w:r>
      <w:r w:rsidRPr="0070375D">
        <w:fldChar w:fldCharType="end"/>
      </w:r>
      <w:r w:rsidRPr="0070375D">
        <w:fldChar w:fldCharType="begin"/>
      </w:r>
      <w:r w:rsidRPr="0070375D">
        <w:instrText xml:space="preserve"> XE "Early childhood" \t "</w:instrText>
      </w:r>
      <w:r w:rsidRPr="0070375D">
        <w:rPr>
          <w:i/>
        </w:rPr>
        <w:instrText xml:space="preserve">See </w:instrText>
      </w:r>
      <w:r w:rsidRPr="0070375D">
        <w:instrText xml:space="preserve">Education" </w:instrText>
      </w:r>
      <w:r w:rsidRPr="0070375D">
        <w:fldChar w:fldCharType="end"/>
      </w:r>
      <w:r w:rsidRPr="0070375D">
        <w:fldChar w:fldCharType="begin"/>
      </w:r>
      <w:r w:rsidRPr="0070375D">
        <w:instrText xml:space="preserve"> XE "Economic downturn" \t "</w:instrText>
      </w:r>
      <w:r w:rsidRPr="0070375D">
        <w:rPr>
          <w:i/>
        </w:rPr>
        <w:instrText xml:space="preserve">See also </w:instrText>
      </w:r>
      <w:r w:rsidRPr="0070375D">
        <w:instrText xml:space="preserve">Global financial crisis" </w:instrText>
      </w:r>
      <w:r w:rsidRPr="0070375D">
        <w:fldChar w:fldCharType="end"/>
      </w:r>
      <w:r w:rsidRPr="0070375D">
        <w:fldChar w:fldCharType="begin"/>
      </w:r>
      <w:r w:rsidRPr="0070375D">
        <w:instrText xml:space="preserve"> XE "General government net debt" \t "</w:instrText>
      </w:r>
      <w:r w:rsidRPr="0070375D">
        <w:rPr>
          <w:i/>
        </w:rPr>
        <w:instrText xml:space="preserve">See </w:instrText>
      </w:r>
      <w:r w:rsidRPr="0070375D">
        <w:instrText xml:space="preserve">Debt" </w:instrText>
      </w:r>
      <w:r w:rsidRPr="0070375D">
        <w:fldChar w:fldCharType="end"/>
      </w:r>
      <w:r w:rsidRPr="0070375D">
        <w:fldChar w:fldCharType="begin"/>
      </w:r>
      <w:r w:rsidRPr="0070375D">
        <w:instrText xml:space="preserve"> XE "Gross state product" \t "</w:instrText>
      </w:r>
      <w:r w:rsidRPr="0070375D">
        <w:rPr>
          <w:i/>
        </w:rPr>
        <w:instrText>See</w:instrText>
      </w:r>
      <w:r w:rsidR="0047351B">
        <w:rPr>
          <w:i/>
        </w:rPr>
        <w:instrText xml:space="preserve"> also</w:instrText>
      </w:r>
      <w:r w:rsidRPr="0070375D">
        <w:rPr>
          <w:i/>
        </w:rPr>
        <w:instrText xml:space="preserve"> </w:instrText>
      </w:r>
      <w:r w:rsidRPr="0070375D">
        <w:instrText xml:space="preserve">Economic growth" </w:instrText>
      </w:r>
      <w:r w:rsidRPr="0070375D">
        <w:fldChar w:fldCharType="end"/>
      </w:r>
      <w:r w:rsidRPr="0070375D">
        <w:fldChar w:fldCharType="begin"/>
      </w:r>
      <w:r w:rsidRPr="0070375D">
        <w:instrText xml:space="preserve"> XE "Schools and early childhood" \t "</w:instrText>
      </w:r>
      <w:r w:rsidRPr="0070375D">
        <w:rPr>
          <w:i/>
        </w:rPr>
        <w:instrText xml:space="preserve">See </w:instrText>
      </w:r>
      <w:r w:rsidRPr="0070375D">
        <w:instrText xml:space="preserve">Education" </w:instrText>
      </w:r>
      <w:r w:rsidRPr="0070375D">
        <w:fldChar w:fldCharType="end"/>
      </w:r>
      <w:r w:rsidRPr="0070375D">
        <w:fldChar w:fldCharType="begin"/>
      </w:r>
      <w:r w:rsidRPr="0070375D">
        <w:instrText xml:space="preserve"> XE "Schools" \t "</w:instrText>
      </w:r>
      <w:r w:rsidRPr="0070375D">
        <w:rPr>
          <w:i/>
        </w:rPr>
        <w:instrText>See</w:instrText>
      </w:r>
      <w:r w:rsidR="0047351B">
        <w:rPr>
          <w:i/>
        </w:rPr>
        <w:instrText xml:space="preserve"> also</w:instrText>
      </w:r>
      <w:r w:rsidRPr="0070375D">
        <w:rPr>
          <w:i/>
        </w:rPr>
        <w:instrText xml:space="preserve"> </w:instrText>
      </w:r>
      <w:r w:rsidRPr="0070375D">
        <w:instrText xml:space="preserve">Education" </w:instrText>
      </w:r>
      <w:r w:rsidRPr="0070375D">
        <w:fldChar w:fldCharType="end"/>
      </w:r>
      <w:r w:rsidRPr="0070375D">
        <w:fldChar w:fldCharType="begin"/>
      </w:r>
      <w:r w:rsidRPr="0070375D">
        <w:instrText xml:space="preserve"> XE "Surplus" \t "</w:instrText>
      </w:r>
      <w:r w:rsidRPr="0070375D">
        <w:rPr>
          <w:i/>
        </w:rPr>
        <w:instrText>See</w:instrText>
      </w:r>
      <w:r w:rsidR="0047351B">
        <w:rPr>
          <w:i/>
        </w:rPr>
        <w:instrText xml:space="preserve"> also</w:instrText>
      </w:r>
      <w:r w:rsidRPr="0070375D">
        <w:rPr>
          <w:i/>
        </w:rPr>
        <w:instrText xml:space="preserve"> </w:instrText>
      </w:r>
      <w:r w:rsidRPr="0070375D">
        <w:instrText xml:space="preserve">Operating surplus" </w:instrText>
      </w:r>
      <w:r w:rsidRPr="0070375D">
        <w:fldChar w:fldCharType="end"/>
      </w:r>
      <w:r w:rsidRPr="0070375D">
        <w:fldChar w:fldCharType="begin"/>
      </w:r>
      <w:r w:rsidRPr="0070375D">
        <w:instrText xml:space="preserve"> XE "Victorian economic projections" \t "</w:instrText>
      </w:r>
      <w:r w:rsidRPr="0070375D">
        <w:rPr>
          <w:i/>
        </w:rPr>
        <w:instrText xml:space="preserve">See </w:instrText>
      </w:r>
      <w:r w:rsidRPr="0070375D">
        <w:instrText xml:space="preserve">Economic projections" </w:instrText>
      </w:r>
      <w:r w:rsidRPr="0070375D">
        <w:fldChar w:fldCharType="end"/>
      </w:r>
      <w:r w:rsidRPr="0070375D">
        <w:fldChar w:fldCharType="begin"/>
      </w:r>
      <w:r w:rsidRPr="0070375D">
        <w:instrText xml:space="preserve"> XE "Department of Business and Innovation" \t "</w:instrText>
      </w:r>
      <w:r w:rsidRPr="0070375D">
        <w:rPr>
          <w:i/>
        </w:rPr>
        <w:instrText xml:space="preserve">See </w:instrText>
      </w:r>
      <w:r w:rsidRPr="0070375D">
        <w:instrText xml:space="preserve">Department of State Development, Business and Innovation" </w:instrText>
      </w:r>
      <w:r w:rsidRPr="0070375D">
        <w:fldChar w:fldCharType="end"/>
      </w:r>
      <w:r w:rsidRPr="0070375D">
        <w:fldChar w:fldCharType="begin"/>
      </w:r>
      <w:r w:rsidRPr="0070375D">
        <w:instrText xml:space="preserve"> XE "Department of Planning and Community Development" \t "</w:instrText>
      </w:r>
      <w:r w:rsidRPr="0070375D">
        <w:rPr>
          <w:i/>
        </w:rPr>
        <w:instrText>See</w:instrText>
      </w:r>
      <w:r w:rsidRPr="0070375D">
        <w:instrText xml:space="preserve"> Department of Transport, Planning and Local Infrastructure" </w:instrText>
      </w:r>
      <w:r w:rsidRPr="0070375D">
        <w:fldChar w:fldCharType="end"/>
      </w:r>
      <w:r w:rsidRPr="0070375D">
        <w:fldChar w:fldCharType="begin"/>
      </w:r>
      <w:r w:rsidRPr="0070375D">
        <w:instrText xml:space="preserve"> XE "Department of Primary Industries" \t "</w:instrText>
      </w:r>
      <w:r w:rsidRPr="0070375D">
        <w:rPr>
          <w:i/>
        </w:rPr>
        <w:instrText>See</w:instrText>
      </w:r>
      <w:r w:rsidRPr="0070375D">
        <w:instrText xml:space="preserve"> Department of Environment and Primary Industries" </w:instrText>
      </w:r>
      <w:r w:rsidRPr="0070375D">
        <w:fldChar w:fldCharType="end"/>
      </w:r>
      <w:r w:rsidRPr="0070375D">
        <w:fldChar w:fldCharType="begin"/>
      </w:r>
      <w:r w:rsidRPr="0070375D">
        <w:instrText xml:space="preserve"> XE "Department of Sustainability and Environment" \t "</w:instrText>
      </w:r>
      <w:r w:rsidRPr="0070375D">
        <w:rPr>
          <w:i/>
        </w:rPr>
        <w:instrText>See</w:instrText>
      </w:r>
      <w:r w:rsidRPr="0070375D">
        <w:instrText xml:space="preserve"> Department of Environment and Primary Industries" </w:instrText>
      </w:r>
      <w:r w:rsidRPr="0070375D">
        <w:fldChar w:fldCharType="end"/>
      </w:r>
      <w:r w:rsidRPr="0070375D">
        <w:fldChar w:fldCharType="begin"/>
      </w:r>
      <w:r w:rsidRPr="0070375D">
        <w:instrText xml:space="preserve"> XE "Department of Transport" \t "</w:instrText>
      </w:r>
      <w:r w:rsidRPr="0070375D">
        <w:rPr>
          <w:i/>
        </w:rPr>
        <w:instrText>See</w:instrText>
      </w:r>
      <w:r w:rsidRPr="0070375D">
        <w:instrText xml:space="preserve"> Department of Transport, Planning and Local Infrastructure" </w:instrText>
      </w:r>
      <w:r w:rsidRPr="0070375D">
        <w:fldChar w:fldCharType="end"/>
      </w:r>
    </w:p>
    <w:p w:rsidR="0070375D" w:rsidRDefault="0070375D" w:rsidP="00497606"/>
    <w:p w:rsidR="0070375D" w:rsidRDefault="0070375D" w:rsidP="00497606"/>
    <w:p w:rsidR="0070375D" w:rsidRDefault="0070375D" w:rsidP="00497606"/>
    <w:p w:rsidR="0070375D" w:rsidRDefault="0070375D" w:rsidP="00497606"/>
    <w:p w:rsidR="0070375D" w:rsidRDefault="0070375D" w:rsidP="00497606"/>
    <w:p w:rsidR="0070375D" w:rsidRDefault="0070375D" w:rsidP="00497606">
      <w:pPr>
        <w:sectPr w:rsidR="0070375D" w:rsidSect="0070375D">
          <w:footerReference w:type="even" r:id="rId11"/>
          <w:footerReference w:type="default" r:id="rId12"/>
          <w:type w:val="oddPage"/>
          <w:pgSz w:w="9979" w:h="14181" w:code="34"/>
          <w:pgMar w:top="1138" w:right="1138" w:bottom="1138" w:left="1138" w:header="720" w:footer="720" w:gutter="0"/>
          <w:cols w:space="708"/>
          <w:docGrid w:linePitch="360"/>
        </w:sectPr>
      </w:pPr>
    </w:p>
    <w:p w:rsidR="0070375D" w:rsidRDefault="0070375D" w:rsidP="004816CA">
      <w:pPr>
        <w:pStyle w:val="TableofContentsheading"/>
      </w:pPr>
      <w:r>
        <w:lastRenderedPageBreak/>
        <w:t>Table of contents</w:t>
      </w:r>
    </w:p>
    <w:p w:rsidR="00276239" w:rsidRDefault="0070375D">
      <w:pPr>
        <w:pStyle w:val="TOC1"/>
        <w:rPr>
          <w:rFonts w:asciiTheme="minorHAnsi" w:eastAsiaTheme="minorEastAsia" w:hAnsiTheme="minorHAnsi" w:cstheme="minorBidi"/>
          <w:b w:val="0"/>
          <w:sz w:val="22"/>
          <w:szCs w:val="22"/>
          <w:lang w:eastAsia="en-AU"/>
        </w:rPr>
      </w:pPr>
      <w:r>
        <w:fldChar w:fldCharType="begin" w:fldLock="1"/>
      </w:r>
      <w:r>
        <w:instrText xml:space="preserve"> TOC \h \z \t "Heading 1,2,Chapter Heading,1" </w:instrText>
      </w:r>
      <w:r>
        <w:fldChar w:fldCharType="separate"/>
      </w:r>
      <w:hyperlink w:anchor="_Toc355372015" w:history="1">
        <w:r w:rsidR="00276239" w:rsidRPr="0024676D">
          <w:rPr>
            <w:rStyle w:val="Hyperlink"/>
          </w:rPr>
          <w:t>Chapter 1 – Economic and fiscal overview</w:t>
        </w:r>
        <w:r w:rsidR="00276239">
          <w:rPr>
            <w:webHidden/>
          </w:rPr>
          <w:tab/>
        </w:r>
        <w:r w:rsidR="00276239">
          <w:rPr>
            <w:webHidden/>
          </w:rPr>
          <w:fldChar w:fldCharType="begin" w:fldLock="1"/>
        </w:r>
        <w:r w:rsidR="00276239">
          <w:rPr>
            <w:webHidden/>
          </w:rPr>
          <w:instrText xml:space="preserve"> PAGEREF _Toc355372015 \h </w:instrText>
        </w:r>
        <w:r w:rsidR="00276239">
          <w:rPr>
            <w:webHidden/>
          </w:rPr>
        </w:r>
        <w:r w:rsidR="00276239">
          <w:rPr>
            <w:webHidden/>
          </w:rPr>
          <w:fldChar w:fldCharType="separate"/>
        </w:r>
        <w:r w:rsidR="00595640">
          <w:rPr>
            <w:webHidden/>
          </w:rPr>
          <w:t>1</w:t>
        </w:r>
        <w:r w:rsidR="00276239">
          <w:rPr>
            <w:webHidden/>
          </w:rPr>
          <w:fldChar w:fldCharType="end"/>
        </w:r>
      </w:hyperlink>
    </w:p>
    <w:p w:rsidR="00276239" w:rsidRDefault="00315427">
      <w:pPr>
        <w:pStyle w:val="TOC2"/>
        <w:rPr>
          <w:rFonts w:asciiTheme="minorHAnsi" w:eastAsiaTheme="minorEastAsia" w:hAnsiTheme="minorHAnsi" w:cstheme="minorBidi"/>
          <w:sz w:val="22"/>
          <w:szCs w:val="22"/>
          <w:lang w:eastAsia="en-AU"/>
        </w:rPr>
      </w:pPr>
      <w:hyperlink w:anchor="_Toc355372016" w:history="1">
        <w:r w:rsidR="00276239" w:rsidRPr="0024676D">
          <w:rPr>
            <w:rStyle w:val="Hyperlink"/>
          </w:rPr>
          <w:t>Solid economic outlook</w:t>
        </w:r>
        <w:r w:rsidR="00276239">
          <w:rPr>
            <w:webHidden/>
          </w:rPr>
          <w:tab/>
        </w:r>
        <w:r w:rsidR="00276239">
          <w:rPr>
            <w:webHidden/>
          </w:rPr>
          <w:fldChar w:fldCharType="begin" w:fldLock="1"/>
        </w:r>
        <w:r w:rsidR="00276239">
          <w:rPr>
            <w:webHidden/>
          </w:rPr>
          <w:instrText xml:space="preserve"> PAGEREF _Toc355372016 \h </w:instrText>
        </w:r>
        <w:r w:rsidR="00276239">
          <w:rPr>
            <w:webHidden/>
          </w:rPr>
        </w:r>
        <w:r w:rsidR="00276239">
          <w:rPr>
            <w:webHidden/>
          </w:rPr>
          <w:fldChar w:fldCharType="separate"/>
        </w:r>
        <w:r w:rsidR="00595640">
          <w:rPr>
            <w:webHidden/>
          </w:rPr>
          <w:t>2</w:t>
        </w:r>
        <w:r w:rsidR="00276239">
          <w:rPr>
            <w:webHidden/>
          </w:rPr>
          <w:fldChar w:fldCharType="end"/>
        </w:r>
      </w:hyperlink>
    </w:p>
    <w:p w:rsidR="00276239" w:rsidRDefault="00315427">
      <w:pPr>
        <w:pStyle w:val="TOC2"/>
        <w:rPr>
          <w:rFonts w:asciiTheme="minorHAnsi" w:eastAsiaTheme="minorEastAsia" w:hAnsiTheme="minorHAnsi" w:cstheme="minorBidi"/>
          <w:sz w:val="22"/>
          <w:szCs w:val="22"/>
          <w:lang w:eastAsia="en-AU"/>
        </w:rPr>
      </w:pPr>
      <w:hyperlink w:anchor="_Toc355372017" w:history="1">
        <w:r w:rsidR="00276239" w:rsidRPr="0024676D">
          <w:rPr>
            <w:rStyle w:val="Hyperlink"/>
          </w:rPr>
          <w:t>Strong government finances and better services</w:t>
        </w:r>
        <w:r w:rsidR="00276239">
          <w:rPr>
            <w:webHidden/>
          </w:rPr>
          <w:tab/>
        </w:r>
        <w:r w:rsidR="00276239">
          <w:rPr>
            <w:webHidden/>
          </w:rPr>
          <w:fldChar w:fldCharType="begin" w:fldLock="1"/>
        </w:r>
        <w:r w:rsidR="00276239">
          <w:rPr>
            <w:webHidden/>
          </w:rPr>
          <w:instrText xml:space="preserve"> PAGEREF _Toc355372017 \h </w:instrText>
        </w:r>
        <w:r w:rsidR="00276239">
          <w:rPr>
            <w:webHidden/>
          </w:rPr>
        </w:r>
        <w:r w:rsidR="00276239">
          <w:rPr>
            <w:webHidden/>
          </w:rPr>
          <w:fldChar w:fldCharType="separate"/>
        </w:r>
        <w:r w:rsidR="00595640">
          <w:rPr>
            <w:webHidden/>
          </w:rPr>
          <w:t>3</w:t>
        </w:r>
        <w:r w:rsidR="00276239">
          <w:rPr>
            <w:webHidden/>
          </w:rPr>
          <w:fldChar w:fldCharType="end"/>
        </w:r>
      </w:hyperlink>
    </w:p>
    <w:p w:rsidR="00276239" w:rsidRDefault="00315427">
      <w:pPr>
        <w:pStyle w:val="TOC2"/>
        <w:rPr>
          <w:rFonts w:asciiTheme="minorHAnsi" w:eastAsiaTheme="minorEastAsia" w:hAnsiTheme="minorHAnsi" w:cstheme="minorBidi"/>
          <w:sz w:val="22"/>
          <w:szCs w:val="22"/>
          <w:lang w:eastAsia="en-AU"/>
        </w:rPr>
      </w:pPr>
      <w:hyperlink w:anchor="_Toc355372018" w:history="1">
        <w:r w:rsidR="00276239" w:rsidRPr="0024676D">
          <w:rPr>
            <w:rStyle w:val="Hyperlink"/>
            <w:i/>
          </w:rPr>
          <w:t>2013</w:t>
        </w:r>
        <w:r w:rsidR="00276239" w:rsidRPr="0024676D">
          <w:rPr>
            <w:rStyle w:val="Hyperlink"/>
            <w:i/>
          </w:rPr>
          <w:noBreakHyphen/>
          <w:t>14 Budget</w:t>
        </w:r>
        <w:r w:rsidR="00276239" w:rsidRPr="0024676D">
          <w:rPr>
            <w:rStyle w:val="Hyperlink"/>
          </w:rPr>
          <w:t xml:space="preserve"> strategy</w:t>
        </w:r>
        <w:r w:rsidR="00276239">
          <w:rPr>
            <w:webHidden/>
          </w:rPr>
          <w:tab/>
        </w:r>
        <w:r w:rsidR="00276239">
          <w:rPr>
            <w:webHidden/>
          </w:rPr>
          <w:fldChar w:fldCharType="begin" w:fldLock="1"/>
        </w:r>
        <w:r w:rsidR="00276239">
          <w:rPr>
            <w:webHidden/>
          </w:rPr>
          <w:instrText xml:space="preserve"> PAGEREF _Toc355372018 \h </w:instrText>
        </w:r>
        <w:r w:rsidR="00276239">
          <w:rPr>
            <w:webHidden/>
          </w:rPr>
        </w:r>
        <w:r w:rsidR="00276239">
          <w:rPr>
            <w:webHidden/>
          </w:rPr>
          <w:fldChar w:fldCharType="separate"/>
        </w:r>
        <w:r w:rsidR="00595640">
          <w:rPr>
            <w:webHidden/>
          </w:rPr>
          <w:t>6</w:t>
        </w:r>
        <w:r w:rsidR="00276239">
          <w:rPr>
            <w:webHidden/>
          </w:rPr>
          <w:fldChar w:fldCharType="end"/>
        </w:r>
      </w:hyperlink>
    </w:p>
    <w:p w:rsidR="00276239" w:rsidRDefault="00315427">
      <w:pPr>
        <w:pStyle w:val="TOC1"/>
        <w:rPr>
          <w:rFonts w:asciiTheme="minorHAnsi" w:eastAsiaTheme="minorEastAsia" w:hAnsiTheme="minorHAnsi" w:cstheme="minorBidi"/>
          <w:b w:val="0"/>
          <w:sz w:val="22"/>
          <w:szCs w:val="22"/>
          <w:lang w:eastAsia="en-AU"/>
        </w:rPr>
      </w:pPr>
      <w:hyperlink w:anchor="_Toc355372019" w:history="1">
        <w:r w:rsidR="00276239" w:rsidRPr="0024676D">
          <w:rPr>
            <w:rStyle w:val="Hyperlink"/>
          </w:rPr>
          <w:t>Chapter 2 – Economic context</w:t>
        </w:r>
        <w:r w:rsidR="00276239">
          <w:rPr>
            <w:webHidden/>
          </w:rPr>
          <w:tab/>
        </w:r>
        <w:r w:rsidR="00276239">
          <w:rPr>
            <w:webHidden/>
          </w:rPr>
          <w:fldChar w:fldCharType="begin" w:fldLock="1"/>
        </w:r>
        <w:r w:rsidR="00276239">
          <w:rPr>
            <w:webHidden/>
          </w:rPr>
          <w:instrText xml:space="preserve"> PAGEREF _Toc355372019 \h </w:instrText>
        </w:r>
        <w:r w:rsidR="00276239">
          <w:rPr>
            <w:webHidden/>
          </w:rPr>
        </w:r>
        <w:r w:rsidR="00276239">
          <w:rPr>
            <w:webHidden/>
          </w:rPr>
          <w:fldChar w:fldCharType="separate"/>
        </w:r>
        <w:r w:rsidR="00595640">
          <w:rPr>
            <w:webHidden/>
          </w:rPr>
          <w:t>11</w:t>
        </w:r>
        <w:r w:rsidR="00276239">
          <w:rPr>
            <w:webHidden/>
          </w:rPr>
          <w:fldChar w:fldCharType="end"/>
        </w:r>
      </w:hyperlink>
    </w:p>
    <w:p w:rsidR="00276239" w:rsidRDefault="00315427">
      <w:pPr>
        <w:pStyle w:val="TOC2"/>
        <w:rPr>
          <w:rFonts w:asciiTheme="minorHAnsi" w:eastAsiaTheme="minorEastAsia" w:hAnsiTheme="minorHAnsi" w:cstheme="minorBidi"/>
          <w:sz w:val="22"/>
          <w:szCs w:val="22"/>
          <w:lang w:eastAsia="en-AU"/>
        </w:rPr>
      </w:pPr>
      <w:hyperlink w:anchor="_Toc355372020" w:history="1">
        <w:r w:rsidR="00276239" w:rsidRPr="0024676D">
          <w:rPr>
            <w:rStyle w:val="Hyperlink"/>
          </w:rPr>
          <w:t>Victorian economic conditions and outlook</w:t>
        </w:r>
        <w:r w:rsidR="00276239">
          <w:rPr>
            <w:webHidden/>
          </w:rPr>
          <w:tab/>
        </w:r>
        <w:r w:rsidR="00276239">
          <w:rPr>
            <w:webHidden/>
          </w:rPr>
          <w:fldChar w:fldCharType="begin" w:fldLock="1"/>
        </w:r>
        <w:r w:rsidR="00276239">
          <w:rPr>
            <w:webHidden/>
          </w:rPr>
          <w:instrText xml:space="preserve"> PAGEREF _Toc355372020 \h </w:instrText>
        </w:r>
        <w:r w:rsidR="00276239">
          <w:rPr>
            <w:webHidden/>
          </w:rPr>
        </w:r>
        <w:r w:rsidR="00276239">
          <w:rPr>
            <w:webHidden/>
          </w:rPr>
          <w:fldChar w:fldCharType="separate"/>
        </w:r>
        <w:r w:rsidR="00595640">
          <w:rPr>
            <w:webHidden/>
          </w:rPr>
          <w:t>11</w:t>
        </w:r>
        <w:r w:rsidR="00276239">
          <w:rPr>
            <w:webHidden/>
          </w:rPr>
          <w:fldChar w:fldCharType="end"/>
        </w:r>
      </w:hyperlink>
    </w:p>
    <w:p w:rsidR="00276239" w:rsidRDefault="00315427">
      <w:pPr>
        <w:pStyle w:val="TOC2"/>
        <w:rPr>
          <w:rFonts w:asciiTheme="minorHAnsi" w:eastAsiaTheme="minorEastAsia" w:hAnsiTheme="minorHAnsi" w:cstheme="minorBidi"/>
          <w:sz w:val="22"/>
          <w:szCs w:val="22"/>
          <w:lang w:eastAsia="en-AU"/>
        </w:rPr>
      </w:pPr>
      <w:hyperlink w:anchor="_Toc355372021" w:history="1">
        <w:r w:rsidR="00276239" w:rsidRPr="0024676D">
          <w:rPr>
            <w:rStyle w:val="Hyperlink"/>
          </w:rPr>
          <w:t>Australian economic conditions and outlook</w:t>
        </w:r>
        <w:r w:rsidR="00276239">
          <w:rPr>
            <w:webHidden/>
          </w:rPr>
          <w:tab/>
        </w:r>
        <w:r w:rsidR="00276239">
          <w:rPr>
            <w:webHidden/>
          </w:rPr>
          <w:fldChar w:fldCharType="begin" w:fldLock="1"/>
        </w:r>
        <w:r w:rsidR="00276239">
          <w:rPr>
            <w:webHidden/>
          </w:rPr>
          <w:instrText xml:space="preserve"> PAGEREF _Toc355372021 \h </w:instrText>
        </w:r>
        <w:r w:rsidR="00276239">
          <w:rPr>
            <w:webHidden/>
          </w:rPr>
        </w:r>
        <w:r w:rsidR="00276239">
          <w:rPr>
            <w:webHidden/>
          </w:rPr>
          <w:fldChar w:fldCharType="separate"/>
        </w:r>
        <w:r w:rsidR="00595640">
          <w:rPr>
            <w:webHidden/>
          </w:rPr>
          <w:t>21</w:t>
        </w:r>
        <w:r w:rsidR="00276239">
          <w:rPr>
            <w:webHidden/>
          </w:rPr>
          <w:fldChar w:fldCharType="end"/>
        </w:r>
      </w:hyperlink>
    </w:p>
    <w:p w:rsidR="00276239" w:rsidRDefault="00315427">
      <w:pPr>
        <w:pStyle w:val="TOC2"/>
        <w:rPr>
          <w:rFonts w:asciiTheme="minorHAnsi" w:eastAsiaTheme="minorEastAsia" w:hAnsiTheme="minorHAnsi" w:cstheme="minorBidi"/>
          <w:sz w:val="22"/>
          <w:szCs w:val="22"/>
          <w:lang w:eastAsia="en-AU"/>
        </w:rPr>
      </w:pPr>
      <w:hyperlink w:anchor="_Toc355372022" w:history="1">
        <w:r w:rsidR="00276239" w:rsidRPr="0024676D">
          <w:rPr>
            <w:rStyle w:val="Hyperlink"/>
          </w:rPr>
          <w:t>International economic conditions and outlook</w:t>
        </w:r>
        <w:r w:rsidR="00276239">
          <w:rPr>
            <w:webHidden/>
          </w:rPr>
          <w:tab/>
        </w:r>
        <w:r w:rsidR="00276239">
          <w:rPr>
            <w:webHidden/>
          </w:rPr>
          <w:fldChar w:fldCharType="begin" w:fldLock="1"/>
        </w:r>
        <w:r w:rsidR="00276239">
          <w:rPr>
            <w:webHidden/>
          </w:rPr>
          <w:instrText xml:space="preserve"> PAGEREF _Toc355372022 \h </w:instrText>
        </w:r>
        <w:r w:rsidR="00276239">
          <w:rPr>
            <w:webHidden/>
          </w:rPr>
        </w:r>
        <w:r w:rsidR="00276239">
          <w:rPr>
            <w:webHidden/>
          </w:rPr>
          <w:fldChar w:fldCharType="separate"/>
        </w:r>
        <w:r w:rsidR="00595640">
          <w:rPr>
            <w:webHidden/>
          </w:rPr>
          <w:t>22</w:t>
        </w:r>
        <w:r w:rsidR="00276239">
          <w:rPr>
            <w:webHidden/>
          </w:rPr>
          <w:fldChar w:fldCharType="end"/>
        </w:r>
      </w:hyperlink>
    </w:p>
    <w:p w:rsidR="00276239" w:rsidRDefault="00315427">
      <w:pPr>
        <w:pStyle w:val="TOC1"/>
        <w:rPr>
          <w:rFonts w:asciiTheme="minorHAnsi" w:eastAsiaTheme="minorEastAsia" w:hAnsiTheme="minorHAnsi" w:cstheme="minorBidi"/>
          <w:b w:val="0"/>
          <w:sz w:val="22"/>
          <w:szCs w:val="22"/>
          <w:lang w:eastAsia="en-AU"/>
        </w:rPr>
      </w:pPr>
      <w:hyperlink w:anchor="_Toc355372023" w:history="1">
        <w:r w:rsidR="00276239" w:rsidRPr="0024676D">
          <w:rPr>
            <w:rStyle w:val="Hyperlink"/>
          </w:rPr>
          <w:t>Chapter 3 – Long</w:t>
        </w:r>
        <w:r w:rsidR="00276239" w:rsidRPr="0024676D">
          <w:rPr>
            <w:rStyle w:val="Hyperlink"/>
          </w:rPr>
          <w:noBreakHyphen/>
          <w:t>term economic and fiscal outlook</w:t>
        </w:r>
        <w:r w:rsidR="00276239">
          <w:rPr>
            <w:webHidden/>
          </w:rPr>
          <w:tab/>
        </w:r>
        <w:r w:rsidR="00276239">
          <w:rPr>
            <w:webHidden/>
          </w:rPr>
          <w:fldChar w:fldCharType="begin" w:fldLock="1"/>
        </w:r>
        <w:r w:rsidR="00276239">
          <w:rPr>
            <w:webHidden/>
          </w:rPr>
          <w:instrText xml:space="preserve"> PAGEREF _Toc355372023 \h </w:instrText>
        </w:r>
        <w:r w:rsidR="00276239">
          <w:rPr>
            <w:webHidden/>
          </w:rPr>
        </w:r>
        <w:r w:rsidR="00276239">
          <w:rPr>
            <w:webHidden/>
          </w:rPr>
          <w:fldChar w:fldCharType="separate"/>
        </w:r>
        <w:r w:rsidR="00595640">
          <w:rPr>
            <w:webHidden/>
          </w:rPr>
          <w:t>25</w:t>
        </w:r>
        <w:r w:rsidR="00276239">
          <w:rPr>
            <w:webHidden/>
          </w:rPr>
          <w:fldChar w:fldCharType="end"/>
        </w:r>
      </w:hyperlink>
    </w:p>
    <w:p w:rsidR="00276239" w:rsidRDefault="00315427">
      <w:pPr>
        <w:pStyle w:val="TOC2"/>
        <w:rPr>
          <w:rFonts w:asciiTheme="minorHAnsi" w:eastAsiaTheme="minorEastAsia" w:hAnsiTheme="minorHAnsi" w:cstheme="minorBidi"/>
          <w:sz w:val="22"/>
          <w:szCs w:val="22"/>
          <w:lang w:eastAsia="en-AU"/>
        </w:rPr>
      </w:pPr>
      <w:hyperlink w:anchor="_Toc355372024" w:history="1">
        <w:r w:rsidR="00276239" w:rsidRPr="0024676D">
          <w:rPr>
            <w:rStyle w:val="Hyperlink"/>
          </w:rPr>
          <w:t>Future growth must come from strong fundamentals</w:t>
        </w:r>
        <w:r w:rsidR="00276239">
          <w:rPr>
            <w:webHidden/>
          </w:rPr>
          <w:tab/>
        </w:r>
        <w:r w:rsidR="00276239">
          <w:rPr>
            <w:webHidden/>
          </w:rPr>
          <w:fldChar w:fldCharType="begin" w:fldLock="1"/>
        </w:r>
        <w:r w:rsidR="00276239">
          <w:rPr>
            <w:webHidden/>
          </w:rPr>
          <w:instrText xml:space="preserve"> PAGEREF _Toc355372024 \h </w:instrText>
        </w:r>
        <w:r w:rsidR="00276239">
          <w:rPr>
            <w:webHidden/>
          </w:rPr>
        </w:r>
        <w:r w:rsidR="00276239">
          <w:rPr>
            <w:webHidden/>
          </w:rPr>
          <w:fldChar w:fldCharType="separate"/>
        </w:r>
        <w:r w:rsidR="00595640">
          <w:rPr>
            <w:webHidden/>
          </w:rPr>
          <w:t>26</w:t>
        </w:r>
        <w:r w:rsidR="00276239">
          <w:rPr>
            <w:webHidden/>
          </w:rPr>
          <w:fldChar w:fldCharType="end"/>
        </w:r>
      </w:hyperlink>
    </w:p>
    <w:p w:rsidR="00276239" w:rsidRDefault="00315427">
      <w:pPr>
        <w:pStyle w:val="TOC2"/>
        <w:rPr>
          <w:rFonts w:asciiTheme="minorHAnsi" w:eastAsiaTheme="minorEastAsia" w:hAnsiTheme="minorHAnsi" w:cstheme="minorBidi"/>
          <w:sz w:val="22"/>
          <w:szCs w:val="22"/>
          <w:lang w:eastAsia="en-AU"/>
        </w:rPr>
      </w:pPr>
      <w:hyperlink w:anchor="_Toc355372025" w:history="1">
        <w:r w:rsidR="00276239" w:rsidRPr="0024676D">
          <w:rPr>
            <w:rStyle w:val="Hyperlink"/>
          </w:rPr>
          <w:t>The Government’s economic and fiscal strategy</w:t>
        </w:r>
        <w:r w:rsidR="00276239">
          <w:rPr>
            <w:webHidden/>
          </w:rPr>
          <w:tab/>
        </w:r>
        <w:r w:rsidR="00276239">
          <w:rPr>
            <w:webHidden/>
          </w:rPr>
          <w:fldChar w:fldCharType="begin" w:fldLock="1"/>
        </w:r>
        <w:r w:rsidR="00276239">
          <w:rPr>
            <w:webHidden/>
          </w:rPr>
          <w:instrText xml:space="preserve"> PAGEREF _Toc355372025 \h </w:instrText>
        </w:r>
        <w:r w:rsidR="00276239">
          <w:rPr>
            <w:webHidden/>
          </w:rPr>
        </w:r>
        <w:r w:rsidR="00276239">
          <w:rPr>
            <w:webHidden/>
          </w:rPr>
          <w:fldChar w:fldCharType="separate"/>
        </w:r>
        <w:r w:rsidR="00595640">
          <w:rPr>
            <w:webHidden/>
          </w:rPr>
          <w:t>31</w:t>
        </w:r>
        <w:r w:rsidR="00276239">
          <w:rPr>
            <w:webHidden/>
          </w:rPr>
          <w:fldChar w:fldCharType="end"/>
        </w:r>
      </w:hyperlink>
    </w:p>
    <w:p w:rsidR="00276239" w:rsidRDefault="00315427">
      <w:pPr>
        <w:pStyle w:val="TOC1"/>
        <w:rPr>
          <w:rFonts w:asciiTheme="minorHAnsi" w:eastAsiaTheme="minorEastAsia" w:hAnsiTheme="minorHAnsi" w:cstheme="minorBidi"/>
          <w:b w:val="0"/>
          <w:sz w:val="22"/>
          <w:szCs w:val="22"/>
          <w:lang w:eastAsia="en-AU"/>
        </w:rPr>
      </w:pPr>
      <w:hyperlink w:anchor="_Toc355372026" w:history="1">
        <w:r w:rsidR="00276239" w:rsidRPr="0024676D">
          <w:rPr>
            <w:rStyle w:val="Hyperlink"/>
          </w:rPr>
          <w:t>Chapter 4 – Budget position and outlook</w:t>
        </w:r>
        <w:r w:rsidR="00276239">
          <w:rPr>
            <w:webHidden/>
          </w:rPr>
          <w:tab/>
        </w:r>
        <w:r w:rsidR="00276239">
          <w:rPr>
            <w:webHidden/>
          </w:rPr>
          <w:fldChar w:fldCharType="begin" w:fldLock="1"/>
        </w:r>
        <w:r w:rsidR="00276239">
          <w:rPr>
            <w:webHidden/>
          </w:rPr>
          <w:instrText xml:space="preserve"> PAGEREF _Toc355372026 \h </w:instrText>
        </w:r>
        <w:r w:rsidR="00276239">
          <w:rPr>
            <w:webHidden/>
          </w:rPr>
        </w:r>
        <w:r w:rsidR="00276239">
          <w:rPr>
            <w:webHidden/>
          </w:rPr>
          <w:fldChar w:fldCharType="separate"/>
        </w:r>
        <w:r w:rsidR="00595640">
          <w:rPr>
            <w:webHidden/>
          </w:rPr>
          <w:t>43</w:t>
        </w:r>
        <w:r w:rsidR="00276239">
          <w:rPr>
            <w:webHidden/>
          </w:rPr>
          <w:fldChar w:fldCharType="end"/>
        </w:r>
      </w:hyperlink>
    </w:p>
    <w:p w:rsidR="00276239" w:rsidRDefault="00315427">
      <w:pPr>
        <w:pStyle w:val="TOC2"/>
        <w:rPr>
          <w:rFonts w:asciiTheme="minorHAnsi" w:eastAsiaTheme="minorEastAsia" w:hAnsiTheme="minorHAnsi" w:cstheme="minorBidi"/>
          <w:sz w:val="22"/>
          <w:szCs w:val="22"/>
          <w:lang w:eastAsia="en-AU"/>
        </w:rPr>
      </w:pPr>
      <w:hyperlink w:anchor="_Toc355372027" w:history="1">
        <w:r w:rsidR="00276239" w:rsidRPr="0024676D">
          <w:rPr>
            <w:rStyle w:val="Hyperlink"/>
          </w:rPr>
          <w:t>Overview</w:t>
        </w:r>
        <w:r w:rsidR="00276239">
          <w:rPr>
            <w:webHidden/>
          </w:rPr>
          <w:tab/>
        </w:r>
        <w:r w:rsidR="00276239">
          <w:rPr>
            <w:webHidden/>
          </w:rPr>
          <w:fldChar w:fldCharType="begin" w:fldLock="1"/>
        </w:r>
        <w:r w:rsidR="00276239">
          <w:rPr>
            <w:webHidden/>
          </w:rPr>
          <w:instrText xml:space="preserve"> PAGEREF _Toc355372027 \h </w:instrText>
        </w:r>
        <w:r w:rsidR="00276239">
          <w:rPr>
            <w:webHidden/>
          </w:rPr>
        </w:r>
        <w:r w:rsidR="00276239">
          <w:rPr>
            <w:webHidden/>
          </w:rPr>
          <w:fldChar w:fldCharType="separate"/>
        </w:r>
        <w:r w:rsidR="00595640">
          <w:rPr>
            <w:webHidden/>
          </w:rPr>
          <w:t>43</w:t>
        </w:r>
        <w:r w:rsidR="00276239">
          <w:rPr>
            <w:webHidden/>
          </w:rPr>
          <w:fldChar w:fldCharType="end"/>
        </w:r>
      </w:hyperlink>
    </w:p>
    <w:p w:rsidR="00276239" w:rsidRDefault="00315427">
      <w:pPr>
        <w:pStyle w:val="TOC2"/>
        <w:rPr>
          <w:rFonts w:asciiTheme="minorHAnsi" w:eastAsiaTheme="minorEastAsia" w:hAnsiTheme="minorHAnsi" w:cstheme="minorBidi"/>
          <w:sz w:val="22"/>
          <w:szCs w:val="22"/>
          <w:lang w:eastAsia="en-AU"/>
        </w:rPr>
      </w:pPr>
      <w:hyperlink w:anchor="_Toc355372028" w:history="1">
        <w:r w:rsidR="00276239" w:rsidRPr="0024676D">
          <w:rPr>
            <w:rStyle w:val="Hyperlink"/>
          </w:rPr>
          <w:t>Budget and forward estimates outlook</w:t>
        </w:r>
        <w:r w:rsidR="00276239">
          <w:rPr>
            <w:webHidden/>
          </w:rPr>
          <w:tab/>
        </w:r>
        <w:r w:rsidR="00276239">
          <w:rPr>
            <w:webHidden/>
          </w:rPr>
          <w:fldChar w:fldCharType="begin" w:fldLock="1"/>
        </w:r>
        <w:r w:rsidR="00276239">
          <w:rPr>
            <w:webHidden/>
          </w:rPr>
          <w:instrText xml:space="preserve"> PAGEREF _Toc355372028 \h </w:instrText>
        </w:r>
        <w:r w:rsidR="00276239">
          <w:rPr>
            <w:webHidden/>
          </w:rPr>
        </w:r>
        <w:r w:rsidR="00276239">
          <w:rPr>
            <w:webHidden/>
          </w:rPr>
          <w:fldChar w:fldCharType="separate"/>
        </w:r>
        <w:r w:rsidR="00595640">
          <w:rPr>
            <w:webHidden/>
          </w:rPr>
          <w:t>45</w:t>
        </w:r>
        <w:r w:rsidR="00276239">
          <w:rPr>
            <w:webHidden/>
          </w:rPr>
          <w:fldChar w:fldCharType="end"/>
        </w:r>
      </w:hyperlink>
    </w:p>
    <w:p w:rsidR="00276239" w:rsidRDefault="00315427">
      <w:pPr>
        <w:pStyle w:val="TOC2"/>
        <w:rPr>
          <w:rFonts w:asciiTheme="minorHAnsi" w:eastAsiaTheme="minorEastAsia" w:hAnsiTheme="minorHAnsi" w:cstheme="minorBidi"/>
          <w:sz w:val="22"/>
          <w:szCs w:val="22"/>
          <w:lang w:eastAsia="en-AU"/>
        </w:rPr>
      </w:pPr>
      <w:hyperlink w:anchor="_Toc355372029" w:history="1">
        <w:r w:rsidR="00276239" w:rsidRPr="0024676D">
          <w:rPr>
            <w:rStyle w:val="Hyperlink"/>
          </w:rPr>
          <w:t>Net debt and net financial liabilities</w:t>
        </w:r>
        <w:r w:rsidR="00276239">
          <w:rPr>
            <w:webHidden/>
          </w:rPr>
          <w:tab/>
        </w:r>
        <w:r w:rsidR="00276239">
          <w:rPr>
            <w:webHidden/>
          </w:rPr>
          <w:fldChar w:fldCharType="begin" w:fldLock="1"/>
        </w:r>
        <w:r w:rsidR="00276239">
          <w:rPr>
            <w:webHidden/>
          </w:rPr>
          <w:instrText xml:space="preserve"> PAGEREF _Toc355372029 \h </w:instrText>
        </w:r>
        <w:r w:rsidR="00276239">
          <w:rPr>
            <w:webHidden/>
          </w:rPr>
        </w:r>
        <w:r w:rsidR="00276239">
          <w:rPr>
            <w:webHidden/>
          </w:rPr>
          <w:fldChar w:fldCharType="separate"/>
        </w:r>
        <w:r w:rsidR="00595640">
          <w:rPr>
            <w:webHidden/>
          </w:rPr>
          <w:t>57</w:t>
        </w:r>
        <w:r w:rsidR="00276239">
          <w:rPr>
            <w:webHidden/>
          </w:rPr>
          <w:fldChar w:fldCharType="end"/>
        </w:r>
      </w:hyperlink>
    </w:p>
    <w:p w:rsidR="00276239" w:rsidRDefault="00315427">
      <w:pPr>
        <w:pStyle w:val="TOC1"/>
        <w:rPr>
          <w:rFonts w:asciiTheme="minorHAnsi" w:eastAsiaTheme="minorEastAsia" w:hAnsiTheme="minorHAnsi" w:cstheme="minorBidi"/>
          <w:b w:val="0"/>
          <w:sz w:val="22"/>
          <w:szCs w:val="22"/>
          <w:lang w:eastAsia="en-AU"/>
        </w:rPr>
      </w:pPr>
      <w:hyperlink w:anchor="_Toc355372030" w:history="1">
        <w:r w:rsidR="00276239" w:rsidRPr="0024676D">
          <w:rPr>
            <w:rStyle w:val="Hyperlink"/>
          </w:rPr>
          <w:t>Chapter 5 – Position and outlook of the broader public sector</w:t>
        </w:r>
        <w:r w:rsidR="00276239">
          <w:rPr>
            <w:webHidden/>
          </w:rPr>
          <w:tab/>
        </w:r>
        <w:r w:rsidR="00276239">
          <w:rPr>
            <w:webHidden/>
          </w:rPr>
          <w:fldChar w:fldCharType="begin" w:fldLock="1"/>
        </w:r>
        <w:r w:rsidR="00276239">
          <w:rPr>
            <w:webHidden/>
          </w:rPr>
          <w:instrText xml:space="preserve"> PAGEREF _Toc355372030 \h </w:instrText>
        </w:r>
        <w:r w:rsidR="00276239">
          <w:rPr>
            <w:webHidden/>
          </w:rPr>
        </w:r>
        <w:r w:rsidR="00276239">
          <w:rPr>
            <w:webHidden/>
          </w:rPr>
          <w:fldChar w:fldCharType="separate"/>
        </w:r>
        <w:r w:rsidR="00595640">
          <w:rPr>
            <w:webHidden/>
          </w:rPr>
          <w:t>63</w:t>
        </w:r>
        <w:r w:rsidR="00276239">
          <w:rPr>
            <w:webHidden/>
          </w:rPr>
          <w:fldChar w:fldCharType="end"/>
        </w:r>
      </w:hyperlink>
    </w:p>
    <w:p w:rsidR="00276239" w:rsidRDefault="00315427">
      <w:pPr>
        <w:pStyle w:val="TOC2"/>
        <w:rPr>
          <w:rFonts w:asciiTheme="minorHAnsi" w:eastAsiaTheme="minorEastAsia" w:hAnsiTheme="minorHAnsi" w:cstheme="minorBidi"/>
          <w:sz w:val="22"/>
          <w:szCs w:val="22"/>
          <w:lang w:eastAsia="en-AU"/>
        </w:rPr>
      </w:pPr>
      <w:hyperlink w:anchor="_Toc355372031" w:history="1">
        <w:r w:rsidR="00276239" w:rsidRPr="0024676D">
          <w:rPr>
            <w:rStyle w:val="Hyperlink"/>
          </w:rPr>
          <w:t>Summary operating results – non</w:t>
        </w:r>
        <w:r w:rsidR="00276239" w:rsidRPr="0024676D">
          <w:rPr>
            <w:rStyle w:val="Hyperlink"/>
          </w:rPr>
          <w:noBreakHyphen/>
          <w:t>financial public sector</w:t>
        </w:r>
        <w:r w:rsidR="00276239">
          <w:rPr>
            <w:webHidden/>
          </w:rPr>
          <w:tab/>
        </w:r>
        <w:r w:rsidR="00276239">
          <w:rPr>
            <w:webHidden/>
          </w:rPr>
          <w:fldChar w:fldCharType="begin" w:fldLock="1"/>
        </w:r>
        <w:r w:rsidR="00276239">
          <w:rPr>
            <w:webHidden/>
          </w:rPr>
          <w:instrText xml:space="preserve"> PAGEREF _Toc355372031 \h </w:instrText>
        </w:r>
        <w:r w:rsidR="00276239">
          <w:rPr>
            <w:webHidden/>
          </w:rPr>
        </w:r>
        <w:r w:rsidR="00276239">
          <w:rPr>
            <w:webHidden/>
          </w:rPr>
          <w:fldChar w:fldCharType="separate"/>
        </w:r>
        <w:r w:rsidR="00595640">
          <w:rPr>
            <w:webHidden/>
          </w:rPr>
          <w:t>64</w:t>
        </w:r>
        <w:r w:rsidR="00276239">
          <w:rPr>
            <w:webHidden/>
          </w:rPr>
          <w:fldChar w:fldCharType="end"/>
        </w:r>
      </w:hyperlink>
    </w:p>
    <w:p w:rsidR="00276239" w:rsidRDefault="00315427">
      <w:pPr>
        <w:pStyle w:val="TOC2"/>
        <w:rPr>
          <w:rFonts w:asciiTheme="minorHAnsi" w:eastAsiaTheme="minorEastAsia" w:hAnsiTheme="minorHAnsi" w:cstheme="minorBidi"/>
          <w:sz w:val="22"/>
          <w:szCs w:val="22"/>
          <w:lang w:eastAsia="en-AU"/>
        </w:rPr>
      </w:pPr>
      <w:hyperlink w:anchor="_Toc355372032" w:history="1">
        <w:r w:rsidR="00276239" w:rsidRPr="0024676D">
          <w:rPr>
            <w:rStyle w:val="Hyperlink"/>
          </w:rPr>
          <w:t>Application of cash resources</w:t>
        </w:r>
        <w:r w:rsidR="00276239">
          <w:rPr>
            <w:webHidden/>
          </w:rPr>
          <w:tab/>
        </w:r>
        <w:r w:rsidR="00276239">
          <w:rPr>
            <w:webHidden/>
          </w:rPr>
          <w:fldChar w:fldCharType="begin" w:fldLock="1"/>
        </w:r>
        <w:r w:rsidR="00276239">
          <w:rPr>
            <w:webHidden/>
          </w:rPr>
          <w:instrText xml:space="preserve"> PAGEREF _Toc355372032 \h </w:instrText>
        </w:r>
        <w:r w:rsidR="00276239">
          <w:rPr>
            <w:webHidden/>
          </w:rPr>
        </w:r>
        <w:r w:rsidR="00276239">
          <w:rPr>
            <w:webHidden/>
          </w:rPr>
          <w:fldChar w:fldCharType="separate"/>
        </w:r>
        <w:r w:rsidR="00595640">
          <w:rPr>
            <w:webHidden/>
          </w:rPr>
          <w:t>67</w:t>
        </w:r>
        <w:r w:rsidR="00276239">
          <w:rPr>
            <w:webHidden/>
          </w:rPr>
          <w:fldChar w:fldCharType="end"/>
        </w:r>
      </w:hyperlink>
    </w:p>
    <w:p w:rsidR="00276239" w:rsidRDefault="00315427">
      <w:pPr>
        <w:pStyle w:val="TOC2"/>
        <w:rPr>
          <w:rFonts w:asciiTheme="minorHAnsi" w:eastAsiaTheme="minorEastAsia" w:hAnsiTheme="minorHAnsi" w:cstheme="minorBidi"/>
          <w:sz w:val="22"/>
          <w:szCs w:val="22"/>
          <w:lang w:eastAsia="en-AU"/>
        </w:rPr>
      </w:pPr>
      <w:hyperlink w:anchor="_Toc355372033" w:history="1">
        <w:r w:rsidR="00276239" w:rsidRPr="0024676D">
          <w:rPr>
            <w:rStyle w:val="Hyperlink"/>
          </w:rPr>
          <w:t>Non</w:t>
        </w:r>
        <w:r w:rsidR="00276239" w:rsidRPr="0024676D">
          <w:rPr>
            <w:rStyle w:val="Hyperlink"/>
          </w:rPr>
          <w:noBreakHyphen/>
          <w:t>financial public sector net debt and net financial liabilities</w:t>
        </w:r>
        <w:r w:rsidR="00276239">
          <w:rPr>
            <w:webHidden/>
          </w:rPr>
          <w:tab/>
        </w:r>
        <w:r w:rsidR="00276239">
          <w:rPr>
            <w:webHidden/>
          </w:rPr>
          <w:fldChar w:fldCharType="begin" w:fldLock="1"/>
        </w:r>
        <w:r w:rsidR="00276239">
          <w:rPr>
            <w:webHidden/>
          </w:rPr>
          <w:instrText xml:space="preserve"> PAGEREF _Toc355372033 \h </w:instrText>
        </w:r>
        <w:r w:rsidR="00276239">
          <w:rPr>
            <w:webHidden/>
          </w:rPr>
        </w:r>
        <w:r w:rsidR="00276239">
          <w:rPr>
            <w:webHidden/>
          </w:rPr>
          <w:fldChar w:fldCharType="separate"/>
        </w:r>
        <w:r w:rsidR="00595640">
          <w:rPr>
            <w:webHidden/>
          </w:rPr>
          <w:t>68</w:t>
        </w:r>
        <w:r w:rsidR="00276239">
          <w:rPr>
            <w:webHidden/>
          </w:rPr>
          <w:fldChar w:fldCharType="end"/>
        </w:r>
      </w:hyperlink>
    </w:p>
    <w:p w:rsidR="00276239" w:rsidRDefault="00315427">
      <w:pPr>
        <w:pStyle w:val="TOC2"/>
        <w:rPr>
          <w:rFonts w:asciiTheme="minorHAnsi" w:eastAsiaTheme="minorEastAsia" w:hAnsiTheme="minorHAnsi" w:cstheme="minorBidi"/>
          <w:sz w:val="22"/>
          <w:szCs w:val="22"/>
          <w:lang w:eastAsia="en-AU"/>
        </w:rPr>
      </w:pPr>
      <w:hyperlink w:anchor="_Toc355372034" w:history="1">
        <w:r w:rsidR="00276239" w:rsidRPr="0024676D">
          <w:rPr>
            <w:rStyle w:val="Hyperlink"/>
          </w:rPr>
          <w:t>Summary operating results – State of Victoria</w:t>
        </w:r>
        <w:r w:rsidR="00276239">
          <w:rPr>
            <w:webHidden/>
          </w:rPr>
          <w:tab/>
        </w:r>
        <w:r w:rsidR="00276239">
          <w:rPr>
            <w:webHidden/>
          </w:rPr>
          <w:fldChar w:fldCharType="begin" w:fldLock="1"/>
        </w:r>
        <w:r w:rsidR="00276239">
          <w:rPr>
            <w:webHidden/>
          </w:rPr>
          <w:instrText xml:space="preserve"> PAGEREF _Toc355372034 \h </w:instrText>
        </w:r>
        <w:r w:rsidR="00276239">
          <w:rPr>
            <w:webHidden/>
          </w:rPr>
        </w:r>
        <w:r w:rsidR="00276239">
          <w:rPr>
            <w:webHidden/>
          </w:rPr>
          <w:fldChar w:fldCharType="separate"/>
        </w:r>
        <w:r w:rsidR="00595640">
          <w:rPr>
            <w:webHidden/>
          </w:rPr>
          <w:t>71</w:t>
        </w:r>
        <w:r w:rsidR="00276239">
          <w:rPr>
            <w:webHidden/>
          </w:rPr>
          <w:fldChar w:fldCharType="end"/>
        </w:r>
      </w:hyperlink>
    </w:p>
    <w:p w:rsidR="00276239" w:rsidRDefault="00315427">
      <w:pPr>
        <w:pStyle w:val="TOC2"/>
        <w:rPr>
          <w:rFonts w:asciiTheme="minorHAnsi" w:eastAsiaTheme="minorEastAsia" w:hAnsiTheme="minorHAnsi" w:cstheme="minorBidi"/>
          <w:sz w:val="22"/>
          <w:szCs w:val="22"/>
          <w:lang w:eastAsia="en-AU"/>
        </w:rPr>
      </w:pPr>
      <w:hyperlink w:anchor="_Toc355372035" w:history="1">
        <w:r w:rsidR="00276239" w:rsidRPr="0024676D">
          <w:rPr>
            <w:rStyle w:val="Hyperlink"/>
          </w:rPr>
          <w:t>State of Victoria – financial position</w:t>
        </w:r>
        <w:r w:rsidR="00276239">
          <w:rPr>
            <w:webHidden/>
          </w:rPr>
          <w:tab/>
        </w:r>
        <w:r w:rsidR="00276239">
          <w:rPr>
            <w:webHidden/>
          </w:rPr>
          <w:fldChar w:fldCharType="begin" w:fldLock="1"/>
        </w:r>
        <w:r w:rsidR="00276239">
          <w:rPr>
            <w:webHidden/>
          </w:rPr>
          <w:instrText xml:space="preserve"> PAGEREF _Toc355372035 \h </w:instrText>
        </w:r>
        <w:r w:rsidR="00276239">
          <w:rPr>
            <w:webHidden/>
          </w:rPr>
        </w:r>
        <w:r w:rsidR="00276239">
          <w:rPr>
            <w:webHidden/>
          </w:rPr>
          <w:fldChar w:fldCharType="separate"/>
        </w:r>
        <w:r w:rsidR="00595640">
          <w:rPr>
            <w:webHidden/>
          </w:rPr>
          <w:t>73</w:t>
        </w:r>
        <w:r w:rsidR="00276239">
          <w:rPr>
            <w:webHidden/>
          </w:rPr>
          <w:fldChar w:fldCharType="end"/>
        </w:r>
      </w:hyperlink>
    </w:p>
    <w:p w:rsidR="00276239" w:rsidRDefault="00315427">
      <w:pPr>
        <w:pStyle w:val="TOC1"/>
        <w:rPr>
          <w:rFonts w:asciiTheme="minorHAnsi" w:eastAsiaTheme="minorEastAsia" w:hAnsiTheme="minorHAnsi" w:cstheme="minorBidi"/>
          <w:b w:val="0"/>
          <w:sz w:val="22"/>
          <w:szCs w:val="22"/>
          <w:lang w:eastAsia="en-AU"/>
        </w:rPr>
      </w:pPr>
      <w:hyperlink w:anchor="_Toc355372036" w:history="1">
        <w:r w:rsidR="00276239" w:rsidRPr="0024676D">
          <w:rPr>
            <w:rStyle w:val="Hyperlink"/>
          </w:rPr>
          <w:t>Appendix A – Sensitivity analysis table</w:t>
        </w:r>
        <w:r w:rsidR="00276239">
          <w:rPr>
            <w:webHidden/>
          </w:rPr>
          <w:tab/>
        </w:r>
        <w:r w:rsidR="00276239">
          <w:rPr>
            <w:webHidden/>
          </w:rPr>
          <w:fldChar w:fldCharType="begin" w:fldLock="1"/>
        </w:r>
        <w:r w:rsidR="00276239">
          <w:rPr>
            <w:webHidden/>
          </w:rPr>
          <w:instrText xml:space="preserve"> PAGEREF _Toc355372036 \h </w:instrText>
        </w:r>
        <w:r w:rsidR="00276239">
          <w:rPr>
            <w:webHidden/>
          </w:rPr>
        </w:r>
        <w:r w:rsidR="00276239">
          <w:rPr>
            <w:webHidden/>
          </w:rPr>
          <w:fldChar w:fldCharType="separate"/>
        </w:r>
        <w:r w:rsidR="00595640">
          <w:rPr>
            <w:webHidden/>
          </w:rPr>
          <w:t>75</w:t>
        </w:r>
        <w:r w:rsidR="00276239">
          <w:rPr>
            <w:webHidden/>
          </w:rPr>
          <w:fldChar w:fldCharType="end"/>
        </w:r>
      </w:hyperlink>
    </w:p>
    <w:p w:rsidR="00276239" w:rsidRDefault="00315427">
      <w:pPr>
        <w:pStyle w:val="TOC2"/>
        <w:rPr>
          <w:rFonts w:asciiTheme="minorHAnsi" w:eastAsiaTheme="minorEastAsia" w:hAnsiTheme="minorHAnsi" w:cstheme="minorBidi"/>
          <w:sz w:val="22"/>
          <w:szCs w:val="22"/>
          <w:lang w:eastAsia="en-AU"/>
        </w:rPr>
      </w:pPr>
      <w:hyperlink w:anchor="_Toc355372037" w:history="1">
        <w:r w:rsidR="00276239" w:rsidRPr="0024676D">
          <w:rPr>
            <w:rStyle w:val="Hyperlink"/>
          </w:rPr>
          <w:t>Sensitivity to independent variations in major economic parameters</w:t>
        </w:r>
        <w:r w:rsidR="00276239">
          <w:rPr>
            <w:webHidden/>
          </w:rPr>
          <w:tab/>
        </w:r>
        <w:r w:rsidR="00276239">
          <w:rPr>
            <w:webHidden/>
          </w:rPr>
          <w:fldChar w:fldCharType="begin" w:fldLock="1"/>
        </w:r>
        <w:r w:rsidR="00276239">
          <w:rPr>
            <w:webHidden/>
          </w:rPr>
          <w:instrText xml:space="preserve"> PAGEREF _Toc355372037 \h </w:instrText>
        </w:r>
        <w:r w:rsidR="00276239">
          <w:rPr>
            <w:webHidden/>
          </w:rPr>
        </w:r>
        <w:r w:rsidR="00276239">
          <w:rPr>
            <w:webHidden/>
          </w:rPr>
          <w:fldChar w:fldCharType="separate"/>
        </w:r>
        <w:r w:rsidR="00595640">
          <w:rPr>
            <w:webHidden/>
          </w:rPr>
          <w:t>75</w:t>
        </w:r>
        <w:r w:rsidR="00276239">
          <w:rPr>
            <w:webHidden/>
          </w:rPr>
          <w:fldChar w:fldCharType="end"/>
        </w:r>
      </w:hyperlink>
    </w:p>
    <w:p w:rsidR="00276239" w:rsidRDefault="00315427">
      <w:pPr>
        <w:pStyle w:val="TOC2"/>
        <w:rPr>
          <w:rFonts w:asciiTheme="minorHAnsi" w:eastAsiaTheme="minorEastAsia" w:hAnsiTheme="minorHAnsi" w:cstheme="minorBidi"/>
          <w:sz w:val="22"/>
          <w:szCs w:val="22"/>
          <w:lang w:eastAsia="en-AU"/>
        </w:rPr>
      </w:pPr>
      <w:hyperlink w:anchor="_Toc355372038" w:history="1">
        <w:r w:rsidR="00276239" w:rsidRPr="0024676D">
          <w:rPr>
            <w:rStyle w:val="Hyperlink"/>
          </w:rPr>
          <w:t>Sensitivity to variations in the economic outlook</w:t>
        </w:r>
        <w:r w:rsidR="00276239">
          <w:rPr>
            <w:webHidden/>
          </w:rPr>
          <w:tab/>
        </w:r>
        <w:r w:rsidR="00276239">
          <w:rPr>
            <w:webHidden/>
          </w:rPr>
          <w:fldChar w:fldCharType="begin" w:fldLock="1"/>
        </w:r>
        <w:r w:rsidR="00276239">
          <w:rPr>
            <w:webHidden/>
          </w:rPr>
          <w:instrText xml:space="preserve"> PAGEREF _Toc355372038 \h </w:instrText>
        </w:r>
        <w:r w:rsidR="00276239">
          <w:rPr>
            <w:webHidden/>
          </w:rPr>
        </w:r>
        <w:r w:rsidR="00276239">
          <w:rPr>
            <w:webHidden/>
          </w:rPr>
          <w:fldChar w:fldCharType="separate"/>
        </w:r>
        <w:r w:rsidR="00595640">
          <w:rPr>
            <w:webHidden/>
          </w:rPr>
          <w:t>79</w:t>
        </w:r>
        <w:r w:rsidR="00276239">
          <w:rPr>
            <w:webHidden/>
          </w:rPr>
          <w:fldChar w:fldCharType="end"/>
        </w:r>
      </w:hyperlink>
    </w:p>
    <w:p w:rsidR="00276239" w:rsidRDefault="00315427">
      <w:pPr>
        <w:pStyle w:val="TOC1"/>
        <w:rPr>
          <w:rFonts w:asciiTheme="minorHAnsi" w:eastAsiaTheme="minorEastAsia" w:hAnsiTheme="minorHAnsi" w:cstheme="minorBidi"/>
          <w:b w:val="0"/>
          <w:sz w:val="22"/>
          <w:szCs w:val="22"/>
          <w:lang w:eastAsia="en-AU"/>
        </w:rPr>
      </w:pPr>
      <w:hyperlink w:anchor="_Toc355372039" w:history="1">
        <w:r w:rsidR="00276239" w:rsidRPr="0024676D">
          <w:rPr>
            <w:rStyle w:val="Hyperlink"/>
          </w:rPr>
          <w:t>Style conventions</w:t>
        </w:r>
        <w:r w:rsidR="00276239">
          <w:rPr>
            <w:webHidden/>
          </w:rPr>
          <w:tab/>
        </w:r>
        <w:r w:rsidR="00276239">
          <w:rPr>
            <w:webHidden/>
          </w:rPr>
          <w:fldChar w:fldCharType="begin" w:fldLock="1"/>
        </w:r>
        <w:r w:rsidR="00276239">
          <w:rPr>
            <w:webHidden/>
          </w:rPr>
          <w:instrText xml:space="preserve"> PAGEREF _Toc355372039 \h </w:instrText>
        </w:r>
        <w:r w:rsidR="00276239">
          <w:rPr>
            <w:webHidden/>
          </w:rPr>
        </w:r>
        <w:r w:rsidR="00276239">
          <w:rPr>
            <w:webHidden/>
          </w:rPr>
          <w:fldChar w:fldCharType="separate"/>
        </w:r>
        <w:r w:rsidR="00595640">
          <w:rPr>
            <w:webHidden/>
          </w:rPr>
          <w:t>83</w:t>
        </w:r>
        <w:r w:rsidR="00276239">
          <w:rPr>
            <w:webHidden/>
          </w:rPr>
          <w:fldChar w:fldCharType="end"/>
        </w:r>
      </w:hyperlink>
    </w:p>
    <w:p w:rsidR="00276239" w:rsidRDefault="00315427">
      <w:pPr>
        <w:pStyle w:val="TOC1"/>
        <w:rPr>
          <w:rFonts w:asciiTheme="minorHAnsi" w:eastAsiaTheme="minorEastAsia" w:hAnsiTheme="minorHAnsi" w:cstheme="minorBidi"/>
          <w:b w:val="0"/>
          <w:sz w:val="22"/>
          <w:szCs w:val="22"/>
          <w:lang w:eastAsia="en-AU"/>
        </w:rPr>
      </w:pPr>
      <w:hyperlink w:anchor="_Toc355372040" w:history="1">
        <w:r w:rsidR="00276239" w:rsidRPr="0024676D">
          <w:rPr>
            <w:rStyle w:val="Hyperlink"/>
          </w:rPr>
          <w:t>Index</w:t>
        </w:r>
        <w:r w:rsidR="00276239">
          <w:rPr>
            <w:webHidden/>
          </w:rPr>
          <w:tab/>
        </w:r>
        <w:r w:rsidR="00276239">
          <w:rPr>
            <w:webHidden/>
          </w:rPr>
          <w:fldChar w:fldCharType="begin" w:fldLock="1"/>
        </w:r>
        <w:r w:rsidR="00276239">
          <w:rPr>
            <w:webHidden/>
          </w:rPr>
          <w:instrText xml:space="preserve"> PAGEREF _Toc355372040 \h </w:instrText>
        </w:r>
        <w:r w:rsidR="00276239">
          <w:rPr>
            <w:webHidden/>
          </w:rPr>
        </w:r>
        <w:r w:rsidR="00276239">
          <w:rPr>
            <w:webHidden/>
          </w:rPr>
          <w:fldChar w:fldCharType="separate"/>
        </w:r>
        <w:r w:rsidR="00595640">
          <w:rPr>
            <w:webHidden/>
          </w:rPr>
          <w:t>85</w:t>
        </w:r>
        <w:r w:rsidR="00276239">
          <w:rPr>
            <w:webHidden/>
          </w:rPr>
          <w:fldChar w:fldCharType="end"/>
        </w:r>
      </w:hyperlink>
    </w:p>
    <w:p w:rsidR="0070375D" w:rsidRDefault="0070375D" w:rsidP="00497606">
      <w:r>
        <w:fldChar w:fldCharType="end"/>
      </w:r>
    </w:p>
    <w:p w:rsidR="0070375D" w:rsidRDefault="0070375D" w:rsidP="00497606"/>
    <w:p w:rsidR="0070375D" w:rsidRDefault="0070375D">
      <w:pPr>
        <w:spacing w:after="0"/>
      </w:pPr>
      <w:r>
        <w:br w:type="page"/>
      </w:r>
    </w:p>
    <w:p w:rsidR="0070375D" w:rsidRDefault="0070375D" w:rsidP="00497606"/>
    <w:p w:rsidR="0070375D" w:rsidRDefault="0070375D" w:rsidP="00497606">
      <w:pPr>
        <w:sectPr w:rsidR="0070375D" w:rsidSect="004816CA">
          <w:footerReference w:type="even" r:id="rId13"/>
          <w:footerReference w:type="default" r:id="rId14"/>
          <w:type w:val="oddPage"/>
          <w:pgSz w:w="9979" w:h="14181" w:code="138"/>
          <w:pgMar w:top="1138" w:right="1138" w:bottom="1138" w:left="1138" w:header="720" w:footer="720" w:gutter="0"/>
          <w:pgNumType w:fmt="lowerRoman" w:start="1"/>
          <w:cols w:space="708"/>
          <w:docGrid w:linePitch="360"/>
        </w:sectPr>
      </w:pPr>
    </w:p>
    <w:p w:rsidR="0070375D" w:rsidRDefault="0070375D" w:rsidP="005F14C4">
      <w:pPr>
        <w:pStyle w:val="ChapterHeading"/>
      </w:pPr>
      <w:bookmarkStart w:id="0" w:name="_Toc355372015"/>
      <w:r>
        <w:lastRenderedPageBreak/>
        <w:t>Chapter 1 – Economic and fiscal overview</w:t>
      </w:r>
      <w:bookmarkEnd w:id="0"/>
    </w:p>
    <w:p w:rsidR="0070375D" w:rsidRDefault="0070375D" w:rsidP="0007604C">
      <w:bookmarkStart w:id="1" w:name="BP2Ch1EcoGrowth"/>
      <w:r w:rsidRPr="009A2C8A">
        <w:t xml:space="preserve">The </w:t>
      </w:r>
      <w:r w:rsidRPr="001A41F9">
        <w:rPr>
          <w:i/>
        </w:rPr>
        <w:t>2013</w:t>
      </w:r>
      <w:r w:rsidR="00276239">
        <w:rPr>
          <w:i/>
        </w:rPr>
        <w:noBreakHyphen/>
      </w:r>
      <w:r w:rsidRPr="001A41F9">
        <w:rPr>
          <w:i/>
        </w:rPr>
        <w:t>14</w:t>
      </w:r>
      <w:r>
        <w:rPr>
          <w:i/>
        </w:rPr>
        <w:t> </w:t>
      </w:r>
      <w:r w:rsidRPr="001A41F9">
        <w:rPr>
          <w:i/>
        </w:rPr>
        <w:t>Budget</w:t>
      </w:r>
      <w:r w:rsidRPr="009A2C8A">
        <w:t xml:space="preserve"> </w:t>
      </w:r>
      <w:r>
        <w:t>delivers high</w:t>
      </w:r>
      <w:r w:rsidR="00276239">
        <w:noBreakHyphen/>
      </w:r>
      <w:r w:rsidRPr="005230BC">
        <w:t xml:space="preserve">quality services and major new investments in </w:t>
      </w:r>
      <w:r>
        <w:t>infrastructure</w:t>
      </w:r>
      <w:r>
        <w:fldChar w:fldCharType="begin"/>
      </w:r>
      <w:r>
        <w:instrText xml:space="preserve"> XE "</w:instrText>
      </w:r>
      <w:r w:rsidRPr="00FA2A0D">
        <w:instrText>Infrastructure:Investment</w:instrText>
      </w:r>
      <w:r>
        <w:instrText xml:space="preserve">" </w:instrText>
      </w:r>
      <w:r>
        <w:fldChar w:fldCharType="end"/>
      </w:r>
      <w:r>
        <w:t xml:space="preserve"> that will</w:t>
      </w:r>
      <w:r w:rsidRPr="005230BC">
        <w:t xml:space="preserve"> promot</w:t>
      </w:r>
      <w:r>
        <w:t>e economic growth and provide the platform</w:t>
      </w:r>
      <w:r w:rsidRPr="005230BC">
        <w:t xml:space="preserve"> for Victoria</w:t>
      </w:r>
      <w:r w:rsidR="00276239">
        <w:t>’</w:t>
      </w:r>
      <w:r>
        <w:t>s future. The</w:t>
      </w:r>
      <w:r w:rsidRPr="005230BC">
        <w:t xml:space="preserve"> Government</w:t>
      </w:r>
      <w:r w:rsidR="00276239">
        <w:t>’</w:t>
      </w:r>
      <w:r w:rsidRPr="005230BC">
        <w:t>s ongoing commitment to responsible eco</w:t>
      </w:r>
      <w:r>
        <w:t>nomic and financial management means that it can fund these initiatives sustainably.</w:t>
      </w:r>
    </w:p>
    <w:p w:rsidR="0070375D" w:rsidRDefault="0070375D" w:rsidP="0067405C">
      <w:r>
        <w:t>Victoria</w:t>
      </w:r>
      <w:r w:rsidR="00276239">
        <w:t>’</w:t>
      </w:r>
      <w:r>
        <w:t>s economy is performing well and continues to compare favourably to Australia</w:t>
      </w:r>
      <w:r w:rsidR="00276239">
        <w:t>’</w:t>
      </w:r>
      <w:r>
        <w:t>s non</w:t>
      </w:r>
      <w:r w:rsidR="00276239">
        <w:noBreakHyphen/>
      </w:r>
      <w:r>
        <w:t>mining states and international peers. This reflects the State</w:t>
      </w:r>
      <w:r w:rsidR="00276239">
        <w:t>’</w:t>
      </w:r>
      <w:r>
        <w:t>s many competitive advantages and strong financial management. T</w:t>
      </w:r>
      <w:r w:rsidRPr="005230BC">
        <w:t xml:space="preserve">he </w:t>
      </w:r>
      <w:r>
        <w:t>State</w:t>
      </w:r>
      <w:r w:rsidR="00276239">
        <w:t>’</w:t>
      </w:r>
      <w:r>
        <w:t>s medium</w:t>
      </w:r>
      <w:r w:rsidR="00276239">
        <w:noBreakHyphen/>
      </w:r>
      <w:r>
        <w:t xml:space="preserve">term prospects are </w:t>
      </w:r>
      <w:r w:rsidRPr="005230BC">
        <w:t>positive</w:t>
      </w:r>
      <w:r>
        <w:t>,</w:t>
      </w:r>
      <w:r w:rsidRPr="005230BC">
        <w:t xml:space="preserve"> despite </w:t>
      </w:r>
      <w:r>
        <w:t xml:space="preserve">immediate </w:t>
      </w:r>
      <w:r w:rsidRPr="005230BC">
        <w:t xml:space="preserve">challenges </w:t>
      </w:r>
      <w:r>
        <w:t>of</w:t>
      </w:r>
      <w:r w:rsidRPr="005230BC">
        <w:t xml:space="preserve"> th</w:t>
      </w:r>
      <w:r>
        <w:t>e</w:t>
      </w:r>
      <w:r w:rsidRPr="005230BC">
        <w:t xml:space="preserve"> high Australian dollar</w:t>
      </w:r>
      <w:r>
        <w:fldChar w:fldCharType="begin"/>
      </w:r>
      <w:r>
        <w:instrText xml:space="preserve"> XE "</w:instrText>
      </w:r>
      <w:r w:rsidRPr="00BF43C3">
        <w:instrText>Australian dollar</w:instrText>
      </w:r>
      <w:r>
        <w:instrText xml:space="preserve">" </w:instrText>
      </w:r>
      <w:r>
        <w:fldChar w:fldCharType="end"/>
      </w:r>
      <w:r w:rsidRPr="005230BC">
        <w:t xml:space="preserve"> and </w:t>
      </w:r>
      <w:r>
        <w:t xml:space="preserve">soft </w:t>
      </w:r>
      <w:r w:rsidRPr="005230BC">
        <w:t xml:space="preserve">global </w:t>
      </w:r>
      <w:r>
        <w:t>conditions</w:t>
      </w:r>
      <w:r>
        <w:fldChar w:fldCharType="begin"/>
      </w:r>
      <w:r>
        <w:instrText xml:space="preserve"> XE "</w:instrText>
      </w:r>
      <w:r w:rsidRPr="00737D59">
        <w:instrText>Economic conditions:Global</w:instrText>
      </w:r>
      <w:r>
        <w:instrText xml:space="preserve">" </w:instrText>
      </w:r>
      <w:r>
        <w:fldChar w:fldCharType="end"/>
      </w:r>
      <w:r>
        <w:t>.</w:t>
      </w:r>
    </w:p>
    <w:p w:rsidR="0070375D" w:rsidRDefault="0070375D" w:rsidP="00751E9B">
      <w:r>
        <w:t>Victoria</w:t>
      </w:r>
      <w:r w:rsidR="00276239">
        <w:t>’</w:t>
      </w:r>
      <w:r>
        <w:t>s underlying strengths include a diverse and flexible economy, highly skilled workforce, strong export</w:t>
      </w:r>
      <w:r>
        <w:fldChar w:fldCharType="begin"/>
      </w:r>
      <w:r>
        <w:instrText xml:space="preserve"> XE "</w:instrText>
      </w:r>
      <w:r w:rsidRPr="00BF43C3">
        <w:instrText>Exports</w:instrText>
      </w:r>
      <w:r>
        <w:instrText xml:space="preserve">" </w:instrText>
      </w:r>
      <w:r>
        <w:fldChar w:fldCharType="end"/>
      </w:r>
      <w:r>
        <w:t xml:space="preserve"> performance and liveability. This flexibility promotes economic stability and reduces reliance on particular sectors to drive growth. The Government is working closely with business and the broader community to drive new opportunities for </w:t>
      </w:r>
      <w:r w:rsidRPr="005230BC">
        <w:t>employment</w:t>
      </w:r>
      <w:r>
        <w:fldChar w:fldCharType="begin"/>
      </w:r>
      <w:r>
        <w:instrText xml:space="preserve"> XE "</w:instrText>
      </w:r>
      <w:r w:rsidRPr="00BF43C3">
        <w:instrText>Employment</w:instrText>
      </w:r>
      <w:r>
        <w:instrText xml:space="preserve">" </w:instrText>
      </w:r>
      <w:r>
        <w:fldChar w:fldCharType="end"/>
      </w:r>
      <w:r w:rsidRPr="005230BC">
        <w:t xml:space="preserve"> and growth that build</w:t>
      </w:r>
      <w:r>
        <w:t xml:space="preserve"> on these competitive strengths.</w:t>
      </w:r>
    </w:p>
    <w:p w:rsidR="0070375D" w:rsidRDefault="0070375D" w:rsidP="0067405C">
      <w:r>
        <w:t>Since the Government came to office, reductions in</w:t>
      </w:r>
      <w:r w:rsidRPr="005230BC">
        <w:t xml:space="preserve"> Victoria</w:t>
      </w:r>
      <w:r w:rsidR="00276239">
        <w:t>’</w:t>
      </w:r>
      <w:r w:rsidRPr="005230BC">
        <w:t xml:space="preserve">s </w:t>
      </w:r>
      <w:r>
        <w:t>share of goods and services tax</w:t>
      </w:r>
      <w:r>
        <w:fldChar w:fldCharType="begin"/>
      </w:r>
      <w:r>
        <w:instrText xml:space="preserve"> XE "</w:instrText>
      </w:r>
      <w:r w:rsidRPr="00BF43C3">
        <w:instrText>Goods and services tax</w:instrText>
      </w:r>
      <w:r>
        <w:instrText xml:space="preserve">" </w:instrText>
      </w:r>
      <w:r>
        <w:fldChar w:fldCharType="end"/>
      </w:r>
      <w:r>
        <w:t xml:space="preserve"> (</w:t>
      </w:r>
      <w:r w:rsidRPr="005230BC">
        <w:t>GST</w:t>
      </w:r>
      <w:r>
        <w:t>)</w:t>
      </w:r>
      <w:r w:rsidRPr="005230BC">
        <w:t xml:space="preserve"> and </w:t>
      </w:r>
      <w:r>
        <w:t>subdued</w:t>
      </w:r>
      <w:r w:rsidRPr="005230BC">
        <w:t xml:space="preserve"> growth in the GST pool and </w:t>
      </w:r>
      <w:r>
        <w:t xml:space="preserve">state </w:t>
      </w:r>
      <w:r w:rsidRPr="005230BC">
        <w:t>tax</w:t>
      </w:r>
      <w:r>
        <w:t>es have resulted in</w:t>
      </w:r>
      <w:r w:rsidRPr="005230BC">
        <w:t xml:space="preserve"> </w:t>
      </w:r>
      <w:r>
        <w:t>significant</w:t>
      </w:r>
      <w:r w:rsidRPr="005230BC">
        <w:t xml:space="preserve"> </w:t>
      </w:r>
      <w:r>
        <w:t>downgrades to revenue</w:t>
      </w:r>
      <w:r>
        <w:fldChar w:fldCharType="begin"/>
      </w:r>
      <w:r>
        <w:instrText xml:space="preserve"> XE "</w:instrText>
      </w:r>
      <w:r w:rsidRPr="00BF43C3">
        <w:instrText>Revenue</w:instrText>
      </w:r>
      <w:r>
        <w:instrText xml:space="preserve">" </w:instrText>
      </w:r>
      <w:r>
        <w:fldChar w:fldCharType="end"/>
      </w:r>
      <w:r>
        <w:t xml:space="preserve"> forecasts</w:t>
      </w:r>
      <w:r w:rsidRPr="005230BC">
        <w:t xml:space="preserve">. </w:t>
      </w:r>
      <w:r w:rsidRPr="005C2D4F">
        <w:t>The Government</w:t>
      </w:r>
      <w:r>
        <w:t xml:space="preserve"> has responded by prudently managing expenditure over the budget and forward estimates, restructuring the public sector</w:t>
      </w:r>
      <w:r>
        <w:fldChar w:fldCharType="begin"/>
      </w:r>
      <w:r>
        <w:instrText xml:space="preserve"> XE "</w:instrText>
      </w:r>
      <w:r w:rsidRPr="00BF43C3">
        <w:instrText>Public sector restructure</w:instrText>
      </w:r>
      <w:r>
        <w:instrText xml:space="preserve">" </w:instrText>
      </w:r>
      <w:r>
        <w:fldChar w:fldCharType="end"/>
      </w:r>
      <w:r>
        <w:t xml:space="preserve"> </w:t>
      </w:r>
      <w:r w:rsidRPr="00C80D13">
        <w:t xml:space="preserve">to </w:t>
      </w:r>
      <w:r>
        <w:t>focus on fostering</w:t>
      </w:r>
      <w:r w:rsidRPr="00C80D13">
        <w:t xml:space="preserve"> investment and jobs and</w:t>
      </w:r>
      <w:r>
        <w:t xml:space="preserve"> </w:t>
      </w:r>
      <w:r w:rsidRPr="005230BC">
        <w:t>delivering fron</w:t>
      </w:r>
      <w:r>
        <w:t xml:space="preserve">tline services more effectively. </w:t>
      </w:r>
      <w:r w:rsidRPr="00AC6B9A">
        <w:t>The Government</w:t>
      </w:r>
      <w:r w:rsidR="00276239">
        <w:t>’</w:t>
      </w:r>
      <w:r w:rsidRPr="00AC6B9A">
        <w:t xml:space="preserve">s efforts </w:t>
      </w:r>
      <w:r>
        <w:t>mean that general government</w:t>
      </w:r>
      <w:r w:rsidRPr="00AC6B9A">
        <w:t xml:space="preserve"> net financial liabilities</w:t>
      </w:r>
      <w:r>
        <w:fldChar w:fldCharType="begin"/>
      </w:r>
      <w:r>
        <w:instrText xml:space="preserve"> XE "</w:instrText>
      </w:r>
      <w:r w:rsidRPr="00BF43C3">
        <w:instrText>Net financial liabilities</w:instrText>
      </w:r>
      <w:r>
        <w:instrText xml:space="preserve">" </w:instrText>
      </w:r>
      <w:r>
        <w:fldChar w:fldCharType="end"/>
      </w:r>
      <w:r w:rsidRPr="00AC6B9A">
        <w:t xml:space="preserve"> </w:t>
      </w:r>
      <w:r>
        <w:t xml:space="preserve">are expected to </w:t>
      </w:r>
      <w:r w:rsidRPr="00AC6B9A">
        <w:t>fall</w:t>
      </w:r>
      <w:r>
        <w:t xml:space="preserve"> over the forward estimates</w:t>
      </w:r>
      <w:r w:rsidRPr="00AC6B9A">
        <w:t xml:space="preserve"> as a percentage of </w:t>
      </w:r>
      <w:r>
        <w:t>gross state product (</w:t>
      </w:r>
      <w:r w:rsidRPr="00AC6B9A">
        <w:t>GSP</w:t>
      </w:r>
      <w:r>
        <w:t>)</w:t>
      </w:r>
      <w:r w:rsidRPr="00AC6B9A">
        <w:t>.</w:t>
      </w:r>
    </w:p>
    <w:p w:rsidR="0070375D" w:rsidRDefault="0070375D" w:rsidP="0025396B">
      <w:r w:rsidRPr="00A76C3E">
        <w:t xml:space="preserve">The </w:t>
      </w:r>
      <w:r w:rsidRPr="00A76C3E">
        <w:rPr>
          <w:i/>
        </w:rPr>
        <w:t>2013</w:t>
      </w:r>
      <w:r w:rsidR="00276239">
        <w:rPr>
          <w:i/>
        </w:rPr>
        <w:noBreakHyphen/>
      </w:r>
      <w:r w:rsidRPr="00A76C3E">
        <w:rPr>
          <w:i/>
        </w:rPr>
        <w:t>14</w:t>
      </w:r>
      <w:r>
        <w:rPr>
          <w:i/>
        </w:rPr>
        <w:t> </w:t>
      </w:r>
      <w:r w:rsidRPr="00A76C3E">
        <w:rPr>
          <w:i/>
        </w:rPr>
        <w:t>Budget</w:t>
      </w:r>
      <w:r w:rsidRPr="00A76C3E">
        <w:t xml:space="preserve"> promotes </w:t>
      </w:r>
      <w:r>
        <w:t xml:space="preserve">productivity, employment and </w:t>
      </w:r>
      <w:r w:rsidRPr="00A76C3E">
        <w:t>economic growth</w:t>
      </w:r>
      <w:r>
        <w:t xml:space="preserve">. It </w:t>
      </w:r>
      <w:r w:rsidRPr="00A76C3E">
        <w:t>delivers investment in transformational e</w:t>
      </w:r>
      <w:r>
        <w:t>conomic infrastructure projects</w:t>
      </w:r>
      <w:r w:rsidRPr="00A76C3E">
        <w:t xml:space="preserve"> </w:t>
      </w:r>
      <w:r>
        <w:t>and</w:t>
      </w:r>
      <w:r w:rsidRPr="00A76C3E">
        <w:t xml:space="preserve"> </w:t>
      </w:r>
      <w:r w:rsidRPr="00B145B5">
        <w:t xml:space="preserve">new </w:t>
      </w:r>
      <w:r>
        <w:t xml:space="preserve">road, rail and </w:t>
      </w:r>
      <w:r w:rsidRPr="00B145B5">
        <w:t>social infrastructure</w:t>
      </w:r>
      <w:r>
        <w:fldChar w:fldCharType="begin"/>
      </w:r>
      <w:r>
        <w:instrText xml:space="preserve"> XE "</w:instrText>
      </w:r>
      <w:r w:rsidRPr="00BF43C3">
        <w:instrText>Infrastructure</w:instrText>
      </w:r>
      <w:r>
        <w:instrText xml:space="preserve">" </w:instrText>
      </w:r>
      <w:r>
        <w:fldChar w:fldCharType="end"/>
      </w:r>
      <w:r w:rsidRPr="00B145B5">
        <w:t xml:space="preserve"> required to </w:t>
      </w:r>
      <w:r>
        <w:t xml:space="preserve">keep pace with </w:t>
      </w:r>
      <w:r w:rsidRPr="00B145B5">
        <w:t>population</w:t>
      </w:r>
      <w:r>
        <w:fldChar w:fldCharType="begin"/>
      </w:r>
      <w:r>
        <w:instrText xml:space="preserve"> XE "</w:instrText>
      </w:r>
      <w:r w:rsidRPr="00BF43C3">
        <w:instrText>Population</w:instrText>
      </w:r>
      <w:r>
        <w:instrText xml:space="preserve">" </w:instrText>
      </w:r>
      <w:r>
        <w:fldChar w:fldCharType="end"/>
      </w:r>
      <w:r w:rsidRPr="00B145B5">
        <w:t xml:space="preserve"> growth and maintain liveability.</w:t>
      </w:r>
      <w:r>
        <w:t xml:space="preserve"> </w:t>
      </w:r>
    </w:p>
    <w:p w:rsidR="0070375D" w:rsidRDefault="0070375D" w:rsidP="00D21B17">
      <w:r>
        <w:t xml:space="preserve">The centrepiece of the </w:t>
      </w:r>
      <w:r>
        <w:rPr>
          <w:i/>
        </w:rPr>
        <w:t>2013</w:t>
      </w:r>
      <w:r w:rsidR="00276239">
        <w:rPr>
          <w:i/>
        </w:rPr>
        <w:noBreakHyphen/>
      </w:r>
      <w:r>
        <w:rPr>
          <w:i/>
        </w:rPr>
        <w:t>14 </w:t>
      </w:r>
      <w:r w:rsidRPr="000D3F0A">
        <w:rPr>
          <w:i/>
        </w:rPr>
        <w:t>Budget</w:t>
      </w:r>
      <w:r>
        <w:t xml:space="preserve"> infrastructure program is </w:t>
      </w:r>
      <w:r>
        <w:rPr>
          <w:lang w:eastAsia="en-AU"/>
        </w:rPr>
        <w:t>the</w:t>
      </w:r>
      <w:r w:rsidRPr="00723BD0">
        <w:rPr>
          <w:lang w:eastAsia="en-AU"/>
        </w:rPr>
        <w:t xml:space="preserve"> East West Link</w:t>
      </w:r>
      <w:r w:rsidR="00AE1BAD">
        <w:rPr>
          <w:lang w:eastAsia="en-AU"/>
        </w:rPr>
        <w:t xml:space="preserve"> – Stage 1</w:t>
      </w:r>
      <w:r>
        <w:rPr>
          <w:lang w:eastAsia="en-AU"/>
        </w:rPr>
        <w:fldChar w:fldCharType="begin"/>
      </w:r>
      <w:r>
        <w:instrText xml:space="preserve"> XE "</w:instrText>
      </w:r>
      <w:r w:rsidRPr="00BF43C3">
        <w:rPr>
          <w:lang w:eastAsia="en-AU"/>
        </w:rPr>
        <w:instrText>East West Link</w:instrText>
      </w:r>
      <w:r>
        <w:instrText xml:space="preserve">" </w:instrText>
      </w:r>
      <w:r>
        <w:rPr>
          <w:lang w:eastAsia="en-AU"/>
        </w:rPr>
        <w:fldChar w:fldCharType="end"/>
      </w:r>
      <w:r>
        <w:rPr>
          <w:lang w:eastAsia="en-AU"/>
        </w:rPr>
        <w:t xml:space="preserve">. This </w:t>
      </w:r>
      <w:r w:rsidRPr="00723BD0">
        <w:rPr>
          <w:lang w:eastAsia="en-AU"/>
        </w:rPr>
        <w:t xml:space="preserve">project </w:t>
      </w:r>
      <w:r>
        <w:rPr>
          <w:lang w:eastAsia="en-AU"/>
        </w:rPr>
        <w:t>has an estimated capital cost</w:t>
      </w:r>
      <w:r>
        <w:rPr>
          <w:lang w:eastAsia="en-AU"/>
        </w:rPr>
        <w:fldChar w:fldCharType="begin"/>
      </w:r>
      <w:r>
        <w:instrText xml:space="preserve"> XE "</w:instrText>
      </w:r>
      <w:r w:rsidRPr="00BF43C3">
        <w:rPr>
          <w:lang w:eastAsia="en-AU"/>
        </w:rPr>
        <w:instrText>Capital investment</w:instrText>
      </w:r>
      <w:r>
        <w:instrText xml:space="preserve">" </w:instrText>
      </w:r>
      <w:r>
        <w:rPr>
          <w:lang w:eastAsia="en-AU"/>
        </w:rPr>
        <w:fldChar w:fldCharType="end"/>
      </w:r>
      <w:r>
        <w:rPr>
          <w:lang w:eastAsia="en-AU"/>
        </w:rPr>
        <w:t xml:space="preserve"> of between </w:t>
      </w:r>
      <w:r w:rsidRPr="00723BD0">
        <w:rPr>
          <w:lang w:eastAsia="en-AU"/>
        </w:rPr>
        <w:t>$6</w:t>
      </w:r>
      <w:r>
        <w:t> billion</w:t>
      </w:r>
      <w:r w:rsidRPr="00723BD0">
        <w:rPr>
          <w:lang w:eastAsia="en-AU"/>
        </w:rPr>
        <w:t xml:space="preserve"> </w:t>
      </w:r>
      <w:r>
        <w:rPr>
          <w:lang w:eastAsia="en-AU"/>
        </w:rPr>
        <w:t xml:space="preserve">and $8 billion. It </w:t>
      </w:r>
      <w:r w:rsidRPr="00723BD0">
        <w:rPr>
          <w:lang w:eastAsia="en-AU"/>
        </w:rPr>
        <w:t>will ease congestion and better link people, products and markets across the State</w:t>
      </w:r>
      <w:r>
        <w:rPr>
          <w:lang w:eastAsia="en-AU"/>
        </w:rPr>
        <w:t xml:space="preserve">. </w:t>
      </w:r>
      <w:r>
        <w:t xml:space="preserve">The Government is also funding major capital investment in health, including the new </w:t>
      </w:r>
      <w:r w:rsidRPr="00D21B17">
        <w:t>Monash Children</w:t>
      </w:r>
      <w:r w:rsidR="00276239">
        <w:t>’</w:t>
      </w:r>
      <w:r w:rsidRPr="00D21B17">
        <w:t>s Hospital</w:t>
      </w:r>
      <w:r>
        <w:fldChar w:fldCharType="begin"/>
      </w:r>
      <w:r>
        <w:instrText xml:space="preserve"> XE "</w:instrText>
      </w:r>
      <w:r w:rsidRPr="00BF43C3">
        <w:instrText>Monash Children’s Hospital</w:instrText>
      </w:r>
      <w:r>
        <w:instrText xml:space="preserve">" </w:instrText>
      </w:r>
      <w:r>
        <w:fldChar w:fldCharType="end"/>
      </w:r>
      <w:r>
        <w:fldChar w:fldCharType="begin"/>
      </w:r>
      <w:r>
        <w:instrText xml:space="preserve"> XE "Health:</w:instrText>
      </w:r>
      <w:r w:rsidRPr="00BF43C3">
        <w:instrText>Monash Children’s Hospital</w:instrText>
      </w:r>
      <w:r>
        <w:instrText xml:space="preserve">" </w:instrText>
      </w:r>
      <w:r>
        <w:fldChar w:fldCharType="end"/>
      </w:r>
      <w:r w:rsidRPr="00D21B17">
        <w:t xml:space="preserve">, the Royal </w:t>
      </w:r>
      <w:r>
        <w:t xml:space="preserve">Victorian </w:t>
      </w:r>
      <w:r w:rsidRPr="00D21B17">
        <w:t>Eye and Ear Hospital</w:t>
      </w:r>
      <w:r>
        <w:fldChar w:fldCharType="begin"/>
      </w:r>
      <w:r>
        <w:instrText xml:space="preserve"> XE "</w:instrText>
      </w:r>
      <w:r w:rsidRPr="00BF43C3">
        <w:instrText>Royal Victorian Eye and Ear Hospital</w:instrText>
      </w:r>
      <w:r>
        <w:instrText xml:space="preserve">" </w:instrText>
      </w:r>
      <w:r>
        <w:fldChar w:fldCharType="end"/>
      </w:r>
      <w:r>
        <w:fldChar w:fldCharType="begin"/>
      </w:r>
      <w:r>
        <w:instrText xml:space="preserve"> XE "Health:</w:instrText>
      </w:r>
      <w:r w:rsidRPr="00BF43C3">
        <w:instrText>Royal Victorian Eye and Ear Hospital</w:instrText>
      </w:r>
      <w:r>
        <w:instrText xml:space="preserve">" </w:instrText>
      </w:r>
      <w:r>
        <w:fldChar w:fldCharType="end"/>
      </w:r>
      <w:r w:rsidRPr="00D21B17">
        <w:t xml:space="preserve"> </w:t>
      </w:r>
      <w:r>
        <w:t xml:space="preserve">redevelopment </w:t>
      </w:r>
      <w:r w:rsidRPr="00D21B17">
        <w:t>and the Waurn Ponds Community Hospital</w:t>
      </w:r>
      <w:r>
        <w:t>,</w:t>
      </w:r>
      <w:r>
        <w:fldChar w:fldCharType="begin"/>
      </w:r>
      <w:r>
        <w:instrText xml:space="preserve"> XE "</w:instrText>
      </w:r>
      <w:r w:rsidRPr="00BF43C3">
        <w:instrText>Waurn Ponds Hospital</w:instrText>
      </w:r>
      <w:r>
        <w:instrText xml:space="preserve">" </w:instrText>
      </w:r>
      <w:r>
        <w:fldChar w:fldCharType="end"/>
      </w:r>
      <w:r>
        <w:fldChar w:fldCharType="begin"/>
      </w:r>
      <w:r>
        <w:instrText xml:space="preserve"> XE "Health:</w:instrText>
      </w:r>
      <w:r w:rsidRPr="00BF43C3">
        <w:instrText>Waurn Ponds Hospital</w:instrText>
      </w:r>
      <w:r>
        <w:instrText xml:space="preserve">" </w:instrText>
      </w:r>
      <w:r>
        <w:fldChar w:fldCharType="end"/>
      </w:r>
      <w:r w:rsidRPr="00D21B17">
        <w:t xml:space="preserve"> in addition </w:t>
      </w:r>
      <w:r>
        <w:t xml:space="preserve">to continuing the </w:t>
      </w:r>
      <w:r w:rsidRPr="00D21B17">
        <w:t xml:space="preserve">Box </w:t>
      </w:r>
      <w:r>
        <w:t>H</w:t>
      </w:r>
      <w:r w:rsidRPr="00D21B17">
        <w:t>ill</w:t>
      </w:r>
      <w:r>
        <w:t xml:space="preserve"> Hospital</w:t>
      </w:r>
      <w:r>
        <w:fldChar w:fldCharType="begin"/>
      </w:r>
      <w:r>
        <w:instrText xml:space="preserve"> XE "</w:instrText>
      </w:r>
      <w:r w:rsidRPr="00BF43C3">
        <w:instrText>Box Hill Hospital</w:instrText>
      </w:r>
      <w:r>
        <w:instrText xml:space="preserve">" </w:instrText>
      </w:r>
      <w:r>
        <w:fldChar w:fldCharType="end"/>
      </w:r>
      <w:r>
        <w:fldChar w:fldCharType="begin"/>
      </w:r>
      <w:r>
        <w:instrText xml:space="preserve"> XE "Health:</w:instrText>
      </w:r>
      <w:r w:rsidRPr="00BF43C3">
        <w:instrText>Box Hill Hospital</w:instrText>
      </w:r>
      <w:r>
        <w:instrText xml:space="preserve">" </w:instrText>
      </w:r>
      <w:r>
        <w:fldChar w:fldCharType="end"/>
      </w:r>
      <w:r w:rsidRPr="00D21B17">
        <w:t xml:space="preserve"> </w:t>
      </w:r>
      <w:r>
        <w:t>redevelopment, new B</w:t>
      </w:r>
      <w:r w:rsidRPr="00D21B17">
        <w:t>endigo Hospital</w:t>
      </w:r>
      <w:r>
        <w:fldChar w:fldCharType="begin"/>
      </w:r>
      <w:r>
        <w:instrText xml:space="preserve"> XE "</w:instrText>
      </w:r>
      <w:r w:rsidRPr="00BF43C3">
        <w:instrText>Bendigo Hospital</w:instrText>
      </w:r>
      <w:r>
        <w:instrText xml:space="preserve">" </w:instrText>
      </w:r>
      <w:r>
        <w:fldChar w:fldCharType="end"/>
      </w:r>
      <w:r>
        <w:fldChar w:fldCharType="begin"/>
      </w:r>
      <w:r>
        <w:instrText xml:space="preserve"> XE "</w:instrText>
      </w:r>
      <w:r w:rsidRPr="00EF2ADD">
        <w:instrText>Health:Bendigo Hospital</w:instrText>
      </w:r>
      <w:r>
        <w:instrText xml:space="preserve">" </w:instrText>
      </w:r>
      <w:r>
        <w:fldChar w:fldCharType="end"/>
      </w:r>
      <w:r w:rsidRPr="00D21B17">
        <w:t xml:space="preserve"> and the construction of the Victorian Comprehensive Cancer Centre</w:t>
      </w:r>
      <w:r>
        <w:fldChar w:fldCharType="begin"/>
      </w:r>
      <w:r>
        <w:instrText xml:space="preserve"> XE "</w:instrText>
      </w:r>
      <w:r w:rsidRPr="00BF43C3">
        <w:instrText>Victorian Comprehensive Cancer Centre</w:instrText>
      </w:r>
      <w:r>
        <w:instrText xml:space="preserve">" </w:instrText>
      </w:r>
      <w:r>
        <w:fldChar w:fldCharType="end"/>
      </w:r>
      <w:r>
        <w:fldChar w:fldCharType="begin"/>
      </w:r>
      <w:r>
        <w:instrText xml:space="preserve"> XE "Health:</w:instrText>
      </w:r>
      <w:r w:rsidRPr="00BF43C3">
        <w:instrText>Victorian Comprehensive Cancer Centre</w:instrText>
      </w:r>
      <w:r>
        <w:instrText xml:space="preserve">" </w:instrText>
      </w:r>
      <w:r>
        <w:fldChar w:fldCharType="end"/>
      </w:r>
      <w:r w:rsidRPr="00D21B17">
        <w:t>.</w:t>
      </w:r>
    </w:p>
    <w:p w:rsidR="0070375D" w:rsidRDefault="0070375D">
      <w:pPr>
        <w:spacing w:after="0"/>
      </w:pPr>
      <w:r>
        <w:br w:type="page"/>
      </w:r>
    </w:p>
    <w:p w:rsidR="0070375D" w:rsidRDefault="0070375D" w:rsidP="0025396B">
      <w:r w:rsidRPr="00B145B5">
        <w:lastRenderedPageBreak/>
        <w:t>These investments are made possible by the Government having worked</w:t>
      </w:r>
      <w:r>
        <w:t xml:space="preserve"> hard</w:t>
      </w:r>
      <w:r w:rsidRPr="00B145B5">
        <w:t xml:space="preserve"> to restore sound management to Victoria</w:t>
      </w:r>
      <w:r w:rsidR="00276239">
        <w:t>’</w:t>
      </w:r>
      <w:r w:rsidRPr="00B145B5">
        <w:t>s finances</w:t>
      </w:r>
      <w:r>
        <w:t xml:space="preserve"> as well as innovations in </w:t>
      </w:r>
      <w:r w:rsidRPr="00B145B5">
        <w:t xml:space="preserve">the </w:t>
      </w:r>
      <w:r>
        <w:t>public private partnership</w:t>
      </w:r>
      <w:r>
        <w:fldChar w:fldCharType="begin"/>
      </w:r>
      <w:r>
        <w:instrText xml:space="preserve"> XE "</w:instrText>
      </w:r>
      <w:r w:rsidRPr="00BF43C3">
        <w:instrText>Public private partnership</w:instrText>
      </w:r>
      <w:r>
        <w:instrText xml:space="preserve">" </w:instrText>
      </w:r>
      <w:r>
        <w:fldChar w:fldCharType="end"/>
      </w:r>
      <w:r>
        <w:t xml:space="preserve"> (PPP) </w:t>
      </w:r>
      <w:r w:rsidRPr="00B145B5">
        <w:t xml:space="preserve">framework to better leverage private sector participation in </w:t>
      </w:r>
      <w:r>
        <w:t>capital</w:t>
      </w:r>
      <w:r w:rsidRPr="00B145B5">
        <w:t xml:space="preserve"> projects</w:t>
      </w:r>
      <w:r>
        <w:t xml:space="preserve">. </w:t>
      </w:r>
    </w:p>
    <w:p w:rsidR="0070375D" w:rsidRDefault="0070375D" w:rsidP="00610084">
      <w:pPr>
        <w:pStyle w:val="BulletText"/>
        <w:numPr>
          <w:ilvl w:val="0"/>
          <w:numId w:val="0"/>
        </w:numPr>
      </w:pPr>
      <w:r w:rsidRPr="00B145B5">
        <w:t>As well as boosting funding in health</w:t>
      </w:r>
      <w:r>
        <w:fldChar w:fldCharType="begin"/>
      </w:r>
      <w:r>
        <w:instrText xml:space="preserve"> XE "</w:instrText>
      </w:r>
      <w:r w:rsidRPr="008F5918">
        <w:instrText>Health:Services</w:instrText>
      </w:r>
      <w:r>
        <w:instrText xml:space="preserve">" </w:instrText>
      </w:r>
      <w:r>
        <w:fldChar w:fldCharType="end"/>
      </w:r>
      <w:r w:rsidRPr="00B145B5">
        <w:t xml:space="preserve">, disability services, education and transport, the Government is </w:t>
      </w:r>
      <w:r>
        <w:t>pursuing reforms</w:t>
      </w:r>
      <w:r>
        <w:fldChar w:fldCharType="begin"/>
      </w:r>
      <w:r>
        <w:instrText xml:space="preserve"> XE "</w:instrText>
      </w:r>
      <w:r w:rsidRPr="00BF43C3">
        <w:instrText>Reforms</w:instrText>
      </w:r>
      <w:r>
        <w:instrText xml:space="preserve">" </w:instrText>
      </w:r>
      <w:r>
        <w:fldChar w:fldCharType="end"/>
      </w:r>
      <w:r w:rsidRPr="00B145B5">
        <w:t xml:space="preserve"> to drive more responsive and productive services</w:t>
      </w:r>
      <w:r>
        <w:t xml:space="preserve">. In the </w:t>
      </w:r>
      <w:r w:rsidRPr="00A76C3E">
        <w:rPr>
          <w:i/>
        </w:rPr>
        <w:t>2013</w:t>
      </w:r>
      <w:r w:rsidR="00276239">
        <w:rPr>
          <w:i/>
        </w:rPr>
        <w:noBreakHyphen/>
      </w:r>
      <w:r w:rsidRPr="00A76C3E">
        <w:rPr>
          <w:i/>
        </w:rPr>
        <w:t>14</w:t>
      </w:r>
      <w:r>
        <w:rPr>
          <w:i/>
        </w:rPr>
        <w:t> </w:t>
      </w:r>
      <w:r w:rsidRPr="004D7150">
        <w:rPr>
          <w:i/>
        </w:rPr>
        <w:t>Budget</w:t>
      </w:r>
      <w:r>
        <w:rPr>
          <w:i/>
        </w:rPr>
        <w:t xml:space="preserve">, </w:t>
      </w:r>
      <w:r>
        <w:t>the G</w:t>
      </w:r>
      <w:r w:rsidRPr="00610084">
        <w:t>overnment is</w:t>
      </w:r>
      <w:r>
        <w:t>:</w:t>
      </w:r>
    </w:p>
    <w:p w:rsidR="0070375D" w:rsidRDefault="0070375D" w:rsidP="00610084">
      <w:pPr>
        <w:pStyle w:val="BulletText"/>
        <w:rPr>
          <w:lang w:eastAsia="en-AU"/>
        </w:rPr>
      </w:pPr>
      <w:r>
        <w:rPr>
          <w:lang w:eastAsia="en-AU"/>
        </w:rPr>
        <w:t>supporting innovation and better services in TAFE</w:t>
      </w:r>
      <w:r>
        <w:rPr>
          <w:lang w:eastAsia="en-AU"/>
        </w:rPr>
        <w:fldChar w:fldCharType="begin"/>
      </w:r>
      <w:r>
        <w:instrText xml:space="preserve"> XE "</w:instrText>
      </w:r>
      <w:r>
        <w:rPr>
          <w:lang w:eastAsia="en-AU"/>
        </w:rPr>
        <w:instrText>Technical and further education</w:instrText>
      </w:r>
      <w:r>
        <w:instrText xml:space="preserve">" </w:instrText>
      </w:r>
      <w:r>
        <w:rPr>
          <w:lang w:eastAsia="en-AU"/>
        </w:rPr>
        <w:fldChar w:fldCharType="end"/>
      </w:r>
      <w:r>
        <w:rPr>
          <w:lang w:eastAsia="en-AU"/>
        </w:rPr>
        <w:t xml:space="preserve"> and </w:t>
      </w:r>
      <w:r w:rsidRPr="00A113B1">
        <w:rPr>
          <w:lang w:eastAsia="en-AU"/>
        </w:rPr>
        <w:t>strengthe</w:t>
      </w:r>
      <w:r>
        <w:rPr>
          <w:lang w:eastAsia="en-AU"/>
        </w:rPr>
        <w:t xml:space="preserve">ning </w:t>
      </w:r>
      <w:r w:rsidRPr="00A113B1">
        <w:rPr>
          <w:lang w:eastAsia="en-AU"/>
        </w:rPr>
        <w:t>competition between public and private providers in vocational education and training</w:t>
      </w:r>
      <w:r>
        <w:rPr>
          <w:lang w:eastAsia="en-AU"/>
        </w:rPr>
        <w:fldChar w:fldCharType="begin"/>
      </w:r>
      <w:r>
        <w:instrText xml:space="preserve"> XE "</w:instrText>
      </w:r>
      <w:r w:rsidRPr="00BF43C3">
        <w:rPr>
          <w:lang w:eastAsia="en-AU"/>
        </w:rPr>
        <w:instrText>Vocational Education and Training</w:instrText>
      </w:r>
      <w:r>
        <w:instrText xml:space="preserve">" </w:instrText>
      </w:r>
      <w:r>
        <w:rPr>
          <w:lang w:eastAsia="en-AU"/>
        </w:rPr>
        <w:fldChar w:fldCharType="end"/>
      </w:r>
      <w:r w:rsidRPr="00A113B1">
        <w:rPr>
          <w:lang w:eastAsia="en-AU"/>
        </w:rPr>
        <w:t xml:space="preserve"> (VET</w:t>
      </w:r>
      <w:r>
        <w:rPr>
          <w:lang w:eastAsia="en-AU"/>
        </w:rPr>
        <w:t>);</w:t>
      </w:r>
    </w:p>
    <w:p w:rsidR="0070375D" w:rsidRDefault="0070375D" w:rsidP="00610084">
      <w:pPr>
        <w:pStyle w:val="BulletText"/>
        <w:rPr>
          <w:lang w:eastAsia="en-AU"/>
        </w:rPr>
      </w:pPr>
      <w:r>
        <w:rPr>
          <w:lang w:eastAsia="en-AU"/>
        </w:rPr>
        <w:t xml:space="preserve">delivering improved </w:t>
      </w:r>
      <w:r w:rsidRPr="00D51A3C">
        <w:rPr>
          <w:lang w:eastAsia="en-AU"/>
        </w:rPr>
        <w:t>school</w:t>
      </w:r>
      <w:r>
        <w:rPr>
          <w:lang w:eastAsia="en-AU"/>
        </w:rPr>
        <w:t xml:space="preserve"> </w:t>
      </w:r>
      <w:r>
        <w:rPr>
          <w:lang w:eastAsia="en-AU"/>
        </w:rPr>
        <w:fldChar w:fldCharType="begin"/>
      </w:r>
      <w:r>
        <w:instrText xml:space="preserve"> XE "</w:instrText>
      </w:r>
      <w:r w:rsidRPr="001033ED">
        <w:rPr>
          <w:lang w:eastAsia="en-AU"/>
        </w:rPr>
        <w:instrText>Schools</w:instrText>
      </w:r>
      <w:r>
        <w:instrText xml:space="preserve">" </w:instrText>
      </w:r>
      <w:r>
        <w:rPr>
          <w:lang w:eastAsia="en-AU"/>
        </w:rPr>
        <w:fldChar w:fldCharType="end"/>
      </w:r>
      <w:r w:rsidRPr="00D51A3C">
        <w:rPr>
          <w:lang w:eastAsia="en-AU"/>
        </w:rPr>
        <w:t>performance</w:t>
      </w:r>
      <w:r>
        <w:rPr>
          <w:lang w:eastAsia="en-AU"/>
        </w:rPr>
        <w:t xml:space="preserve"> through gr</w:t>
      </w:r>
      <w:r w:rsidRPr="00D51A3C">
        <w:rPr>
          <w:lang w:eastAsia="en-AU"/>
        </w:rPr>
        <w:t xml:space="preserve">eater autonomy, </w:t>
      </w:r>
      <w:r>
        <w:rPr>
          <w:lang w:eastAsia="en-AU"/>
        </w:rPr>
        <w:t>better teachers</w:t>
      </w:r>
      <w:r w:rsidRPr="00D51A3C">
        <w:rPr>
          <w:lang w:eastAsia="en-AU"/>
        </w:rPr>
        <w:t xml:space="preserve">, more innovative teaching methods and targeted help for </w:t>
      </w:r>
      <w:r>
        <w:rPr>
          <w:lang w:eastAsia="en-AU"/>
        </w:rPr>
        <w:t>disadvantaged</w:t>
      </w:r>
      <w:r w:rsidRPr="00D51A3C">
        <w:rPr>
          <w:lang w:eastAsia="en-AU"/>
        </w:rPr>
        <w:t xml:space="preserve"> schools</w:t>
      </w:r>
      <w:r>
        <w:rPr>
          <w:lang w:eastAsia="en-AU"/>
        </w:rPr>
        <w:t>;</w:t>
      </w:r>
    </w:p>
    <w:p w:rsidR="0070375D" w:rsidRDefault="0070375D" w:rsidP="00D21B17">
      <w:pPr>
        <w:pStyle w:val="BulletText"/>
        <w:rPr>
          <w:lang w:eastAsia="en-AU"/>
        </w:rPr>
      </w:pPr>
      <w:r>
        <w:rPr>
          <w:lang w:eastAsia="en-AU"/>
        </w:rPr>
        <w:t xml:space="preserve">providing an additional ongoing </w:t>
      </w:r>
      <w:r w:rsidRPr="00D21B17">
        <w:rPr>
          <w:lang w:eastAsia="en-AU"/>
        </w:rPr>
        <w:t>elective surgery</w:t>
      </w:r>
      <w:r>
        <w:rPr>
          <w:lang w:eastAsia="en-AU"/>
        </w:rPr>
        <w:fldChar w:fldCharType="begin"/>
      </w:r>
      <w:r>
        <w:instrText xml:space="preserve"> XE "</w:instrText>
      </w:r>
      <w:r w:rsidRPr="00BF43C3">
        <w:rPr>
          <w:lang w:eastAsia="en-AU"/>
        </w:rPr>
        <w:instrText>Elective surgery</w:instrText>
      </w:r>
      <w:r>
        <w:instrText xml:space="preserve">" </w:instrText>
      </w:r>
      <w:r>
        <w:rPr>
          <w:lang w:eastAsia="en-AU"/>
        </w:rPr>
        <w:fldChar w:fldCharType="end"/>
      </w:r>
      <w:r w:rsidRPr="00D21B17">
        <w:rPr>
          <w:lang w:eastAsia="en-AU"/>
        </w:rPr>
        <w:t xml:space="preserve"> funding pool to encourage </w:t>
      </w:r>
      <w:r>
        <w:rPr>
          <w:lang w:eastAsia="en-AU"/>
        </w:rPr>
        <w:t xml:space="preserve">more efficient use and the treatment of more </w:t>
      </w:r>
      <w:r w:rsidRPr="00D21B17">
        <w:rPr>
          <w:lang w:eastAsia="en-AU"/>
        </w:rPr>
        <w:t xml:space="preserve">patients; </w:t>
      </w:r>
      <w:r>
        <w:rPr>
          <w:lang w:eastAsia="en-AU"/>
        </w:rPr>
        <w:t>and</w:t>
      </w:r>
    </w:p>
    <w:p w:rsidR="0070375D" w:rsidRPr="002D7BF9" w:rsidRDefault="0070375D" w:rsidP="00D21B17">
      <w:pPr>
        <w:pStyle w:val="BulletText"/>
        <w:rPr>
          <w:lang w:eastAsia="en-AU"/>
        </w:rPr>
      </w:pPr>
      <w:r>
        <w:t>investing additional funds in</w:t>
      </w:r>
      <w:r w:rsidRPr="002D7BF9">
        <w:t xml:space="preserve"> </w:t>
      </w:r>
      <w:r w:rsidRPr="002D7BF9">
        <w:rPr>
          <w:i/>
        </w:rPr>
        <w:t>Services Connect</w:t>
      </w:r>
      <w:r w:rsidRPr="002D7BF9">
        <w:t xml:space="preserve"> </w:t>
      </w:r>
      <w:r>
        <w:fldChar w:fldCharType="begin"/>
      </w:r>
      <w:r>
        <w:instrText xml:space="preserve"> XE "</w:instrText>
      </w:r>
      <w:r w:rsidRPr="001033ED">
        <w:instrText>Services Connect</w:instrText>
      </w:r>
      <w:r>
        <w:instrText xml:space="preserve">" </w:instrText>
      </w:r>
      <w:r>
        <w:fldChar w:fldCharType="end"/>
      </w:r>
      <w:r w:rsidRPr="002D7BF9">
        <w:t>to explore innovat</w:t>
      </w:r>
      <w:r>
        <w:t xml:space="preserve">ive ways to deliver family and community support </w:t>
      </w:r>
      <w:r w:rsidRPr="002D7BF9">
        <w:t>services</w:t>
      </w:r>
      <w:r>
        <w:t xml:space="preserve"> so that vulnerable people find it easier to access services through one assessment process and a single worker.</w:t>
      </w:r>
    </w:p>
    <w:p w:rsidR="0070375D" w:rsidRDefault="0070375D" w:rsidP="00352BDB">
      <w:pPr>
        <w:pStyle w:val="Heading1"/>
      </w:pPr>
      <w:bookmarkStart w:id="2" w:name="_Toc355372016"/>
      <w:r w:rsidRPr="004816CA">
        <w:t>Solid</w:t>
      </w:r>
      <w:r>
        <w:t xml:space="preserve"> economic outlook</w:t>
      </w:r>
      <w:bookmarkEnd w:id="2"/>
    </w:p>
    <w:p w:rsidR="0070375D" w:rsidRDefault="0070375D" w:rsidP="00FE2880">
      <w:r>
        <w:t>Victoria</w:t>
      </w:r>
      <w:r w:rsidR="00276239">
        <w:t>’</w:t>
      </w:r>
      <w:r>
        <w:t xml:space="preserve">s economy </w:t>
      </w:r>
      <w:r w:rsidRPr="00834599">
        <w:t xml:space="preserve">is expected </w:t>
      </w:r>
      <w:r>
        <w:t>to grow by 2.25 per cent</w:t>
      </w:r>
      <w:r w:rsidRPr="00834599">
        <w:t xml:space="preserve"> in </w:t>
      </w:r>
      <w:r>
        <w:t>20</w:t>
      </w:r>
      <w:r w:rsidRPr="00834599">
        <w:t>13</w:t>
      </w:r>
      <w:r w:rsidR="00276239">
        <w:noBreakHyphen/>
      </w:r>
      <w:r w:rsidRPr="00834599">
        <w:t xml:space="preserve">14 notwithstanding the ongoing headwinds of </w:t>
      </w:r>
      <w:r>
        <w:t>moderate international conditions</w:t>
      </w:r>
      <w:r>
        <w:rPr>
          <w:lang w:eastAsia="en-AU"/>
        </w:rPr>
        <w:fldChar w:fldCharType="begin"/>
      </w:r>
      <w:r>
        <w:instrText xml:space="preserve"> XE "</w:instrText>
      </w:r>
      <w:r w:rsidRPr="00C25C5C">
        <w:instrText>Economic conditions:Global</w:instrText>
      </w:r>
      <w:r>
        <w:instrText xml:space="preserve">" </w:instrText>
      </w:r>
      <w:r>
        <w:rPr>
          <w:lang w:eastAsia="en-AU"/>
        </w:rPr>
        <w:fldChar w:fldCharType="end"/>
      </w:r>
      <w:r>
        <w:t xml:space="preserve"> and a continued high Australian dollar. These factors are continuing to encourage changes in the State</w:t>
      </w:r>
      <w:r w:rsidR="00276239">
        <w:t>’</w:t>
      </w:r>
      <w:r>
        <w:t>s industry composition as resources move to their highest value use. Growth is expected to increase to 2.75 per cent in 2014</w:t>
      </w:r>
      <w:r w:rsidR="00276239">
        <w:noBreakHyphen/>
      </w:r>
      <w:r>
        <w:t>15 as the impact of low interest rates and improving conditions for the State</w:t>
      </w:r>
      <w:r w:rsidR="00276239">
        <w:t>’</w:t>
      </w:r>
      <w:r>
        <w:t xml:space="preserve">s trading partners flow through the economy. Chapter 2 </w:t>
      </w:r>
      <w:r>
        <w:rPr>
          <w:i/>
        </w:rPr>
        <w:t>Economic Context</w:t>
      </w:r>
      <w:r>
        <w:t xml:space="preserve"> presents the State</w:t>
      </w:r>
      <w:r w:rsidR="00276239">
        <w:t>’</w:t>
      </w:r>
      <w:r>
        <w:t>s short and medium</w:t>
      </w:r>
      <w:r w:rsidR="00276239">
        <w:noBreakHyphen/>
      </w:r>
      <w:r>
        <w:t xml:space="preserve">term economic outlook around which this budget is framed. </w:t>
      </w:r>
    </w:p>
    <w:p w:rsidR="0070375D" w:rsidRDefault="0070375D" w:rsidP="00751E9B">
      <w:pPr>
        <w:rPr>
          <w:lang w:eastAsia="en-AU"/>
        </w:rPr>
      </w:pPr>
      <w:r>
        <w:rPr>
          <w:lang w:eastAsia="en-AU"/>
        </w:rPr>
        <w:t xml:space="preserve">To address these challenges and </w:t>
      </w:r>
      <w:r w:rsidRPr="00B145B5">
        <w:rPr>
          <w:lang w:eastAsia="en-AU"/>
        </w:rPr>
        <w:t>build for the future, the Government has a strong economic strategy aimed a</w:t>
      </w:r>
      <w:r>
        <w:rPr>
          <w:lang w:eastAsia="en-AU"/>
        </w:rPr>
        <w:t>t driving employment</w:t>
      </w:r>
      <w:r>
        <w:rPr>
          <w:lang w:eastAsia="en-AU"/>
        </w:rPr>
        <w:fldChar w:fldCharType="begin"/>
      </w:r>
      <w:r>
        <w:instrText xml:space="preserve"> XE "</w:instrText>
      </w:r>
      <w:r w:rsidRPr="001033ED">
        <w:rPr>
          <w:lang w:eastAsia="en-AU"/>
        </w:rPr>
        <w:instrText>Employment</w:instrText>
      </w:r>
      <w:r>
        <w:instrText xml:space="preserve">" </w:instrText>
      </w:r>
      <w:r>
        <w:rPr>
          <w:lang w:eastAsia="en-AU"/>
        </w:rPr>
        <w:fldChar w:fldCharType="end"/>
      </w:r>
      <w:r>
        <w:rPr>
          <w:lang w:eastAsia="en-AU"/>
        </w:rPr>
        <w:t xml:space="preserve"> and growth.</w:t>
      </w:r>
    </w:p>
    <w:p w:rsidR="0070375D" w:rsidRDefault="0070375D" w:rsidP="00751E9B">
      <w:pPr>
        <w:rPr>
          <w:lang w:eastAsia="en-AU"/>
        </w:rPr>
      </w:pPr>
      <w:r w:rsidRPr="00834599">
        <w:rPr>
          <w:lang w:eastAsia="en-AU"/>
        </w:rPr>
        <w:t xml:space="preserve">The Government is positioning Victoria </w:t>
      </w:r>
      <w:r>
        <w:rPr>
          <w:lang w:eastAsia="en-AU"/>
        </w:rPr>
        <w:t xml:space="preserve">to </w:t>
      </w:r>
      <w:r w:rsidRPr="00834599">
        <w:rPr>
          <w:lang w:eastAsia="en-AU"/>
        </w:rPr>
        <w:t xml:space="preserve">sustainably contribute funding to major infrastructure </w:t>
      </w:r>
      <w:r>
        <w:rPr>
          <w:lang w:eastAsia="en-AU"/>
        </w:rPr>
        <w:t>projects which can boost</w:t>
      </w:r>
      <w:r w:rsidRPr="00834599">
        <w:rPr>
          <w:lang w:eastAsia="en-AU"/>
        </w:rPr>
        <w:t xml:space="preserve"> productivity and facilitate</w:t>
      </w:r>
      <w:r>
        <w:rPr>
          <w:lang w:eastAsia="en-AU"/>
        </w:rPr>
        <w:t xml:space="preserve"> additional </w:t>
      </w:r>
      <w:r w:rsidRPr="00834599">
        <w:rPr>
          <w:lang w:eastAsia="en-AU"/>
        </w:rPr>
        <w:t>private sector investment. This is made possible by responsib</w:t>
      </w:r>
      <w:r>
        <w:rPr>
          <w:lang w:eastAsia="en-AU"/>
        </w:rPr>
        <w:t>ly</w:t>
      </w:r>
      <w:r w:rsidRPr="00834599">
        <w:rPr>
          <w:lang w:eastAsia="en-AU"/>
        </w:rPr>
        <w:t xml:space="preserve"> manag</w:t>
      </w:r>
      <w:r>
        <w:rPr>
          <w:lang w:eastAsia="en-AU"/>
        </w:rPr>
        <w:t xml:space="preserve">ing </w:t>
      </w:r>
      <w:r w:rsidRPr="00834599">
        <w:rPr>
          <w:lang w:eastAsia="en-AU"/>
        </w:rPr>
        <w:t>the State</w:t>
      </w:r>
      <w:r w:rsidR="00276239">
        <w:rPr>
          <w:lang w:eastAsia="en-AU"/>
        </w:rPr>
        <w:t>’</w:t>
      </w:r>
      <w:r w:rsidRPr="00834599">
        <w:rPr>
          <w:lang w:eastAsia="en-AU"/>
        </w:rPr>
        <w:t xml:space="preserve">s finances and </w:t>
      </w:r>
      <w:r>
        <w:rPr>
          <w:lang w:eastAsia="en-AU"/>
        </w:rPr>
        <w:t>driving</w:t>
      </w:r>
      <w:r w:rsidRPr="00834599">
        <w:rPr>
          <w:lang w:eastAsia="en-AU"/>
        </w:rPr>
        <w:t xml:space="preserve"> value for money</w:t>
      </w:r>
      <w:r>
        <w:rPr>
          <w:lang w:eastAsia="en-AU"/>
        </w:rPr>
        <w:t xml:space="preserve"> in infrastructure delivery</w:t>
      </w:r>
      <w:r w:rsidRPr="00834599">
        <w:rPr>
          <w:lang w:eastAsia="en-AU"/>
        </w:rPr>
        <w:t>. The high</w:t>
      </w:r>
      <w:r w:rsidR="00276239">
        <w:rPr>
          <w:lang w:eastAsia="en-AU"/>
        </w:rPr>
        <w:noBreakHyphen/>
      </w:r>
      <w:r w:rsidRPr="00834599">
        <w:rPr>
          <w:lang w:eastAsia="en-AU"/>
        </w:rPr>
        <w:t>value, high</w:t>
      </w:r>
      <w:r w:rsidR="00276239">
        <w:rPr>
          <w:lang w:eastAsia="en-AU"/>
        </w:rPr>
        <w:noBreakHyphen/>
      </w:r>
      <w:r w:rsidRPr="00834599">
        <w:rPr>
          <w:lang w:eastAsia="en-AU"/>
        </w:rPr>
        <w:t>risk</w:t>
      </w:r>
      <w:r>
        <w:rPr>
          <w:lang w:eastAsia="en-AU"/>
        </w:rPr>
        <w:fldChar w:fldCharType="begin"/>
      </w:r>
      <w:r>
        <w:instrText xml:space="preserve"> XE "</w:instrText>
      </w:r>
      <w:r w:rsidRPr="001033ED">
        <w:rPr>
          <w:lang w:eastAsia="en-AU"/>
        </w:rPr>
        <w:instrText>High</w:instrText>
      </w:r>
      <w:r>
        <w:rPr>
          <w:lang w:eastAsia="en-AU"/>
        </w:rPr>
        <w:instrText>-</w:instrText>
      </w:r>
      <w:r w:rsidRPr="001033ED">
        <w:rPr>
          <w:lang w:eastAsia="en-AU"/>
        </w:rPr>
        <w:instrText>value high</w:instrText>
      </w:r>
      <w:r>
        <w:rPr>
          <w:lang w:eastAsia="en-AU"/>
        </w:rPr>
        <w:instrText>-</w:instrText>
      </w:r>
      <w:r w:rsidRPr="001033ED">
        <w:rPr>
          <w:lang w:eastAsia="en-AU"/>
        </w:rPr>
        <w:instrText>risk</w:instrText>
      </w:r>
      <w:r>
        <w:instrText xml:space="preserve">" </w:instrText>
      </w:r>
      <w:r>
        <w:rPr>
          <w:lang w:eastAsia="en-AU"/>
        </w:rPr>
        <w:fldChar w:fldCharType="end"/>
      </w:r>
      <w:r w:rsidRPr="00834599">
        <w:rPr>
          <w:lang w:eastAsia="en-AU"/>
        </w:rPr>
        <w:t xml:space="preserve"> process places greater scrutiny on business cases and project delivery to protect</w:t>
      </w:r>
      <w:r>
        <w:rPr>
          <w:lang w:eastAsia="en-AU"/>
        </w:rPr>
        <w:t xml:space="preserve"> the State</w:t>
      </w:r>
      <w:r w:rsidRPr="00834599">
        <w:rPr>
          <w:lang w:eastAsia="en-AU"/>
        </w:rPr>
        <w:t xml:space="preserve"> from cost overruns on major projects. This process complements the Government</w:t>
      </w:r>
      <w:r w:rsidR="00276239">
        <w:rPr>
          <w:lang w:eastAsia="en-AU"/>
        </w:rPr>
        <w:t>’</w:t>
      </w:r>
      <w:r w:rsidRPr="00834599">
        <w:rPr>
          <w:lang w:eastAsia="en-AU"/>
        </w:rPr>
        <w:t xml:space="preserve">s Implementation Guidelines to the </w:t>
      </w:r>
      <w:r w:rsidRPr="00834599">
        <w:rPr>
          <w:szCs w:val="22"/>
        </w:rPr>
        <w:t xml:space="preserve">Victorian Code of Practice for the Building and Construction Industry </w:t>
      </w:r>
      <w:r w:rsidRPr="00834599">
        <w:rPr>
          <w:lang w:eastAsia="en-AU"/>
        </w:rPr>
        <w:t xml:space="preserve">and </w:t>
      </w:r>
      <w:r>
        <w:rPr>
          <w:lang w:eastAsia="en-AU"/>
        </w:rPr>
        <w:t xml:space="preserve">a </w:t>
      </w:r>
      <w:r w:rsidRPr="00834599">
        <w:rPr>
          <w:lang w:eastAsia="en-AU"/>
        </w:rPr>
        <w:t xml:space="preserve">renewed focus on </w:t>
      </w:r>
      <w:r>
        <w:rPr>
          <w:lang w:eastAsia="en-AU"/>
        </w:rPr>
        <w:t>PPPs</w:t>
      </w:r>
      <w:r>
        <w:rPr>
          <w:lang w:eastAsia="en-AU"/>
        </w:rPr>
        <w:fldChar w:fldCharType="begin"/>
      </w:r>
      <w:r>
        <w:instrText xml:space="preserve"> XE "</w:instrText>
      </w:r>
      <w:r w:rsidRPr="001033ED">
        <w:instrText>Public private partnership</w:instrText>
      </w:r>
      <w:r>
        <w:instrText xml:space="preserve">" </w:instrText>
      </w:r>
      <w:r>
        <w:rPr>
          <w:lang w:eastAsia="en-AU"/>
        </w:rPr>
        <w:fldChar w:fldCharType="end"/>
      </w:r>
      <w:r w:rsidRPr="00834599">
        <w:rPr>
          <w:lang w:eastAsia="en-AU"/>
        </w:rPr>
        <w:t xml:space="preserve"> to better leverage private </w:t>
      </w:r>
      <w:r>
        <w:rPr>
          <w:lang w:eastAsia="en-AU"/>
        </w:rPr>
        <w:t>sector involvement</w:t>
      </w:r>
      <w:r w:rsidRPr="00834599">
        <w:rPr>
          <w:lang w:eastAsia="en-AU"/>
        </w:rPr>
        <w:t>.</w:t>
      </w:r>
      <w:r>
        <w:rPr>
          <w:lang w:eastAsia="en-AU"/>
        </w:rPr>
        <w:t xml:space="preserve"> </w:t>
      </w:r>
    </w:p>
    <w:p w:rsidR="0070375D" w:rsidRDefault="0070375D" w:rsidP="00192C08">
      <w:pPr>
        <w:rPr>
          <w:lang w:eastAsia="en-AU"/>
        </w:rPr>
      </w:pPr>
      <w:r>
        <w:rPr>
          <w:lang w:eastAsia="en-AU"/>
        </w:rPr>
        <w:t>With this framework in place, the Government</w:t>
      </w:r>
      <w:r w:rsidR="00276239">
        <w:rPr>
          <w:lang w:eastAsia="en-AU"/>
        </w:rPr>
        <w:t>’</w:t>
      </w:r>
      <w:r>
        <w:rPr>
          <w:lang w:eastAsia="en-AU"/>
        </w:rPr>
        <w:t>s infrastructure investment is projected to be $6.1</w:t>
      </w:r>
      <w:r>
        <w:t> billion</w:t>
      </w:r>
      <w:r>
        <w:rPr>
          <w:lang w:eastAsia="en-AU"/>
        </w:rPr>
        <w:t xml:space="preserve"> in 2013</w:t>
      </w:r>
      <w:r w:rsidR="00276239">
        <w:rPr>
          <w:lang w:eastAsia="en-AU"/>
        </w:rPr>
        <w:noBreakHyphen/>
      </w:r>
      <w:r>
        <w:rPr>
          <w:lang w:eastAsia="en-AU"/>
        </w:rPr>
        <w:t>14.</w:t>
      </w:r>
    </w:p>
    <w:p w:rsidR="0070375D" w:rsidRDefault="0070375D">
      <w:pPr>
        <w:spacing w:after="0"/>
        <w:rPr>
          <w:lang w:eastAsia="en-AU"/>
        </w:rPr>
      </w:pPr>
      <w:r>
        <w:rPr>
          <w:lang w:eastAsia="en-AU"/>
        </w:rPr>
        <w:br w:type="page"/>
      </w:r>
    </w:p>
    <w:p w:rsidR="0070375D" w:rsidRDefault="0070375D" w:rsidP="00751E9B">
      <w:pPr>
        <w:rPr>
          <w:lang w:eastAsia="en-AU"/>
        </w:rPr>
      </w:pPr>
      <w:r>
        <w:rPr>
          <w:lang w:eastAsia="en-AU"/>
        </w:rPr>
        <w:lastRenderedPageBreak/>
        <w:t>Recognising that the public sector itself comprises a significant proportion of Victoria</w:t>
      </w:r>
      <w:r w:rsidR="00276239">
        <w:rPr>
          <w:lang w:eastAsia="en-AU"/>
        </w:rPr>
        <w:t>’</w:t>
      </w:r>
      <w:r>
        <w:rPr>
          <w:lang w:eastAsia="en-AU"/>
        </w:rPr>
        <w:t>s economy, the Government is also driving improvements in the responsiveness and productivity of its own services. Reforms</w:t>
      </w:r>
      <w:r>
        <w:rPr>
          <w:lang w:eastAsia="en-AU"/>
        </w:rPr>
        <w:fldChar w:fldCharType="begin"/>
      </w:r>
      <w:r>
        <w:instrText xml:space="preserve"> XE "</w:instrText>
      </w:r>
      <w:r w:rsidRPr="001033ED">
        <w:rPr>
          <w:lang w:eastAsia="en-AU"/>
        </w:rPr>
        <w:instrText>Reforms</w:instrText>
      </w:r>
      <w:r>
        <w:instrText xml:space="preserve">" </w:instrText>
      </w:r>
      <w:r>
        <w:rPr>
          <w:lang w:eastAsia="en-AU"/>
        </w:rPr>
        <w:fldChar w:fldCharType="end"/>
      </w:r>
      <w:r>
        <w:rPr>
          <w:lang w:eastAsia="en-AU"/>
        </w:rPr>
        <w:t xml:space="preserve"> to education, health and community services and reconfiguring departments will help deliver services more efficiently and in new and innovative ways that prioritise community needs.</w:t>
      </w:r>
    </w:p>
    <w:p w:rsidR="0070375D" w:rsidRDefault="0070375D" w:rsidP="00751E9B">
      <w:pPr>
        <w:rPr>
          <w:lang w:eastAsia="en-AU"/>
        </w:rPr>
      </w:pPr>
      <w:r>
        <w:rPr>
          <w:lang w:eastAsia="en-AU"/>
        </w:rPr>
        <w:t>To ensure Victoria remains a leading place to do business and invest, the Government is continuing to reduce red tape</w:t>
      </w:r>
      <w:r>
        <w:rPr>
          <w:lang w:eastAsia="en-AU"/>
        </w:rPr>
        <w:fldChar w:fldCharType="begin"/>
      </w:r>
      <w:r>
        <w:instrText xml:space="preserve"> XE "</w:instrText>
      </w:r>
      <w:r w:rsidRPr="001033ED">
        <w:rPr>
          <w:lang w:eastAsia="en-AU"/>
        </w:rPr>
        <w:instrText>Red Tape reduction</w:instrText>
      </w:r>
      <w:r>
        <w:instrText xml:space="preserve">" </w:instrText>
      </w:r>
      <w:r>
        <w:rPr>
          <w:lang w:eastAsia="en-AU"/>
        </w:rPr>
        <w:fldChar w:fldCharType="end"/>
      </w:r>
      <w:r>
        <w:rPr>
          <w:lang w:eastAsia="en-AU"/>
        </w:rPr>
        <w:t xml:space="preserve"> and expedite project approvals. It is also undertaking significant planning zone reforms</w:t>
      </w:r>
      <w:r>
        <w:rPr>
          <w:lang w:eastAsia="en-AU"/>
        </w:rPr>
        <w:fldChar w:fldCharType="begin"/>
      </w:r>
      <w:r>
        <w:instrText xml:space="preserve"> XE "</w:instrText>
      </w:r>
      <w:r w:rsidRPr="00237333">
        <w:instrText>Reforms:Planning and infrastructure</w:instrText>
      </w:r>
      <w:r>
        <w:instrText xml:space="preserve">" </w:instrText>
      </w:r>
      <w:r>
        <w:rPr>
          <w:lang w:eastAsia="en-AU"/>
        </w:rPr>
        <w:fldChar w:fldCharType="end"/>
      </w:r>
      <w:r>
        <w:rPr>
          <w:lang w:eastAsia="en-AU"/>
        </w:rPr>
        <w:t>, retargeting the First Home Owner Grant</w:t>
      </w:r>
      <w:r>
        <w:rPr>
          <w:lang w:eastAsia="en-AU"/>
        </w:rPr>
        <w:fldChar w:fldCharType="begin"/>
      </w:r>
      <w:r>
        <w:instrText xml:space="preserve"> XE "</w:instrText>
      </w:r>
      <w:r w:rsidRPr="001033ED">
        <w:rPr>
          <w:lang w:eastAsia="en-AU"/>
        </w:rPr>
        <w:instrText>First Home Owner Grant</w:instrText>
      </w:r>
      <w:r>
        <w:instrText xml:space="preserve">" </w:instrText>
      </w:r>
      <w:r>
        <w:rPr>
          <w:lang w:eastAsia="en-AU"/>
        </w:rPr>
        <w:fldChar w:fldCharType="end"/>
      </w:r>
      <w:r>
        <w:rPr>
          <w:lang w:eastAsia="en-AU"/>
        </w:rPr>
        <w:t xml:space="preserve"> to boost new construction, streamlining</w:t>
      </w:r>
      <w:r w:rsidRPr="00332E28">
        <w:rPr>
          <w:lang w:eastAsia="en-AU"/>
        </w:rPr>
        <w:t xml:space="preserve"> identification of surplus</w:t>
      </w:r>
      <w:r>
        <w:rPr>
          <w:lang w:eastAsia="en-AU"/>
        </w:rPr>
        <w:fldChar w:fldCharType="begin"/>
      </w:r>
      <w:r>
        <w:instrText xml:space="preserve"> XE "</w:instrText>
      </w:r>
      <w:r w:rsidRPr="000F6481">
        <w:rPr>
          <w:lang w:eastAsia="en-AU"/>
        </w:rPr>
        <w:instrText>Surplus</w:instrText>
      </w:r>
      <w:r>
        <w:instrText xml:space="preserve">" </w:instrText>
      </w:r>
      <w:r>
        <w:rPr>
          <w:lang w:eastAsia="en-AU"/>
        </w:rPr>
        <w:fldChar w:fldCharType="end"/>
      </w:r>
      <w:r w:rsidRPr="00332E28">
        <w:rPr>
          <w:lang w:eastAsia="en-AU"/>
        </w:rPr>
        <w:t xml:space="preserve"> government land and bring</w:t>
      </w:r>
      <w:r>
        <w:rPr>
          <w:lang w:eastAsia="en-AU"/>
        </w:rPr>
        <w:t>ing</w:t>
      </w:r>
      <w:r w:rsidRPr="00332E28">
        <w:rPr>
          <w:lang w:eastAsia="en-AU"/>
        </w:rPr>
        <w:t xml:space="preserve"> it to market, </w:t>
      </w:r>
      <w:r>
        <w:rPr>
          <w:lang w:eastAsia="en-AU"/>
        </w:rPr>
        <w:t>and reforming fire services</w:t>
      </w:r>
      <w:r>
        <w:rPr>
          <w:lang w:eastAsia="en-AU"/>
        </w:rPr>
        <w:fldChar w:fldCharType="begin"/>
      </w:r>
      <w:r>
        <w:instrText xml:space="preserve"> XE "</w:instrText>
      </w:r>
      <w:r w:rsidRPr="001033ED">
        <w:rPr>
          <w:lang w:eastAsia="en-AU"/>
        </w:rPr>
        <w:instrText>Fire services levy</w:instrText>
      </w:r>
      <w:r>
        <w:instrText xml:space="preserve">" </w:instrText>
      </w:r>
      <w:r>
        <w:rPr>
          <w:lang w:eastAsia="en-AU"/>
        </w:rPr>
        <w:fldChar w:fldCharType="end"/>
      </w:r>
      <w:r>
        <w:rPr>
          <w:lang w:eastAsia="en-AU"/>
        </w:rPr>
        <w:t xml:space="preserve"> funding.</w:t>
      </w:r>
    </w:p>
    <w:p w:rsidR="0070375D" w:rsidRPr="00787916" w:rsidRDefault="0070375D" w:rsidP="000137A9">
      <w:pPr>
        <w:rPr>
          <w:lang w:eastAsia="en-AU"/>
        </w:rPr>
      </w:pPr>
      <w:r>
        <w:rPr>
          <w:lang w:eastAsia="en-AU"/>
        </w:rPr>
        <w:t xml:space="preserve">Chapter 3 </w:t>
      </w:r>
      <w:r>
        <w:rPr>
          <w:i/>
          <w:lang w:eastAsia="en-AU"/>
        </w:rPr>
        <w:t>Long</w:t>
      </w:r>
      <w:r w:rsidR="00276239">
        <w:rPr>
          <w:i/>
          <w:lang w:eastAsia="en-AU"/>
        </w:rPr>
        <w:noBreakHyphen/>
      </w:r>
      <w:r>
        <w:rPr>
          <w:i/>
          <w:lang w:eastAsia="en-AU"/>
        </w:rPr>
        <w:t>T</w:t>
      </w:r>
      <w:r w:rsidRPr="00787916">
        <w:rPr>
          <w:i/>
          <w:lang w:eastAsia="en-AU"/>
        </w:rPr>
        <w:t xml:space="preserve">erm </w:t>
      </w:r>
      <w:r>
        <w:rPr>
          <w:i/>
          <w:lang w:eastAsia="en-AU"/>
        </w:rPr>
        <w:t>E</w:t>
      </w:r>
      <w:r w:rsidRPr="00787916">
        <w:rPr>
          <w:i/>
          <w:lang w:eastAsia="en-AU"/>
        </w:rPr>
        <w:t xml:space="preserve">conomic and </w:t>
      </w:r>
      <w:r>
        <w:rPr>
          <w:i/>
          <w:lang w:eastAsia="en-AU"/>
        </w:rPr>
        <w:t>F</w:t>
      </w:r>
      <w:r w:rsidRPr="00787916">
        <w:rPr>
          <w:i/>
          <w:lang w:eastAsia="en-AU"/>
        </w:rPr>
        <w:t xml:space="preserve">iscal </w:t>
      </w:r>
      <w:r>
        <w:rPr>
          <w:i/>
          <w:lang w:eastAsia="en-AU"/>
        </w:rPr>
        <w:t>O</w:t>
      </w:r>
      <w:r w:rsidRPr="00787916">
        <w:rPr>
          <w:i/>
          <w:lang w:eastAsia="en-AU"/>
        </w:rPr>
        <w:t>utlook</w:t>
      </w:r>
      <w:r>
        <w:rPr>
          <w:lang w:eastAsia="en-AU"/>
        </w:rPr>
        <w:t xml:space="preserve"> provides more information on the Government</w:t>
      </w:r>
      <w:r w:rsidR="00276239">
        <w:rPr>
          <w:lang w:eastAsia="en-AU"/>
        </w:rPr>
        <w:t>’</w:t>
      </w:r>
      <w:r>
        <w:rPr>
          <w:lang w:eastAsia="en-AU"/>
        </w:rPr>
        <w:t>s economic reform strategy.</w:t>
      </w:r>
    </w:p>
    <w:p w:rsidR="0070375D" w:rsidRDefault="0070375D" w:rsidP="00352BDB">
      <w:pPr>
        <w:pStyle w:val="Heading1"/>
      </w:pPr>
      <w:bookmarkStart w:id="3" w:name="_Toc355372017"/>
      <w:r w:rsidRPr="004816CA">
        <w:t>Strong</w:t>
      </w:r>
      <w:r>
        <w:t xml:space="preserve"> government finances and better services</w:t>
      </w:r>
      <w:bookmarkEnd w:id="3"/>
    </w:p>
    <w:p w:rsidR="0070375D" w:rsidRDefault="0070375D" w:rsidP="00751E9B">
      <w:pPr>
        <w:rPr>
          <w:lang w:eastAsia="en-AU"/>
        </w:rPr>
      </w:pPr>
      <w:r>
        <w:rPr>
          <w:lang w:eastAsia="en-AU"/>
        </w:rPr>
        <w:t xml:space="preserve">The </w:t>
      </w:r>
      <w:r>
        <w:rPr>
          <w:i/>
          <w:iCs/>
          <w:lang w:eastAsia="en-AU"/>
        </w:rPr>
        <w:t>2013</w:t>
      </w:r>
      <w:r w:rsidR="00276239">
        <w:rPr>
          <w:i/>
          <w:iCs/>
          <w:lang w:eastAsia="en-AU"/>
        </w:rPr>
        <w:noBreakHyphen/>
      </w:r>
      <w:r>
        <w:rPr>
          <w:i/>
          <w:iCs/>
          <w:lang w:eastAsia="en-AU"/>
        </w:rPr>
        <w:t>14</w:t>
      </w:r>
      <w:r>
        <w:t> </w:t>
      </w:r>
      <w:r>
        <w:rPr>
          <w:i/>
          <w:iCs/>
          <w:lang w:eastAsia="en-AU"/>
        </w:rPr>
        <w:t>Budget</w:t>
      </w:r>
      <w:r>
        <w:rPr>
          <w:lang w:eastAsia="en-AU"/>
        </w:rPr>
        <w:t xml:space="preserve"> delivers strong operating surpluses</w:t>
      </w:r>
      <w:r>
        <w:rPr>
          <w:lang w:eastAsia="en-AU"/>
        </w:rPr>
        <w:fldChar w:fldCharType="begin"/>
      </w:r>
      <w:r>
        <w:instrText xml:space="preserve"> XE "</w:instrText>
      </w:r>
      <w:r w:rsidRPr="001033ED">
        <w:rPr>
          <w:lang w:eastAsia="en-AU"/>
        </w:rPr>
        <w:instrText>Operating surplus</w:instrText>
      </w:r>
      <w:r>
        <w:instrText xml:space="preserve">" </w:instrText>
      </w:r>
      <w:r>
        <w:rPr>
          <w:lang w:eastAsia="en-AU"/>
        </w:rPr>
        <w:fldChar w:fldCharType="end"/>
      </w:r>
      <w:r>
        <w:rPr>
          <w:lang w:eastAsia="en-AU"/>
        </w:rPr>
        <w:fldChar w:fldCharType="begin"/>
      </w:r>
      <w:r>
        <w:instrText xml:space="preserve"> XE "Surplus:</w:instrText>
      </w:r>
      <w:r w:rsidRPr="001033ED">
        <w:rPr>
          <w:lang w:eastAsia="en-AU"/>
        </w:rPr>
        <w:instrText>Operating surplus</w:instrText>
      </w:r>
      <w:r>
        <w:instrText xml:space="preserve">" </w:instrText>
      </w:r>
      <w:r>
        <w:rPr>
          <w:lang w:eastAsia="en-AU"/>
        </w:rPr>
        <w:fldChar w:fldCharType="end"/>
      </w:r>
      <w:r>
        <w:rPr>
          <w:lang w:eastAsia="en-AU"/>
        </w:rPr>
        <w:t xml:space="preserve"> required to fund major new investment in infrastructure, while delivering core services effectively and ensuring the State</w:t>
      </w:r>
      <w:r w:rsidR="00276239">
        <w:rPr>
          <w:lang w:eastAsia="en-AU"/>
        </w:rPr>
        <w:t>’</w:t>
      </w:r>
      <w:r>
        <w:rPr>
          <w:lang w:eastAsia="en-AU"/>
        </w:rPr>
        <w:t xml:space="preserve">s finances are managed responsibly. </w:t>
      </w:r>
    </w:p>
    <w:p w:rsidR="0070375D" w:rsidRDefault="0070375D" w:rsidP="00751E9B">
      <w:pPr>
        <w:pStyle w:val="Tableheading"/>
      </w:pPr>
      <w:r w:rsidRPr="003E66F6">
        <w:t>Table </w:t>
      </w:r>
      <w:r>
        <w:t>1</w:t>
      </w:r>
      <w:r w:rsidRPr="003E66F6">
        <w:t>.1:</w:t>
      </w:r>
      <w:r w:rsidRPr="003E66F6">
        <w:tab/>
        <w:t xml:space="preserve">General </w:t>
      </w:r>
      <w:r w:rsidRPr="00751E9B">
        <w:t>government</w:t>
      </w:r>
      <w:r w:rsidRPr="003E66F6">
        <w:t xml:space="preserve"> fiscal aggregates and measures</w:t>
      </w:r>
    </w:p>
    <w:p w:rsidR="0070375D" w:rsidRPr="00757A1C" w:rsidRDefault="0070375D" w:rsidP="00757A1C">
      <w:pPr>
        <w:pStyle w:val="million"/>
      </w:pPr>
    </w:p>
    <w:tbl>
      <w:tblPr>
        <w:tblW w:w="7776" w:type="dxa"/>
        <w:tblInd w:w="29" w:type="dxa"/>
        <w:tblLayout w:type="fixed"/>
        <w:tblCellMar>
          <w:left w:w="43" w:type="dxa"/>
          <w:right w:w="43" w:type="dxa"/>
        </w:tblCellMar>
        <w:tblLook w:val="0000" w:firstRow="0" w:lastRow="0" w:firstColumn="0" w:lastColumn="0" w:noHBand="0" w:noVBand="0"/>
      </w:tblPr>
      <w:tblGrid>
        <w:gridCol w:w="1994"/>
        <w:gridCol w:w="900"/>
        <w:gridCol w:w="813"/>
        <w:gridCol w:w="814"/>
        <w:gridCol w:w="814"/>
        <w:gridCol w:w="813"/>
        <w:gridCol w:w="814"/>
        <w:gridCol w:w="814"/>
      </w:tblGrid>
      <w:tr w:rsidR="0070375D" w:rsidRPr="00757A1C" w:rsidTr="00757A1C">
        <w:tc>
          <w:tcPr>
            <w:tcW w:w="1994" w:type="dxa"/>
            <w:tcBorders>
              <w:top w:val="single" w:sz="4" w:space="0" w:color="auto"/>
              <w:left w:val="single" w:sz="4" w:space="0" w:color="auto"/>
              <w:bottom w:val="nil"/>
              <w:right w:val="nil"/>
            </w:tcBorders>
            <w:shd w:val="clear" w:color="auto" w:fill="000000"/>
          </w:tcPr>
          <w:p w:rsidR="0070375D" w:rsidRPr="00757A1C" w:rsidRDefault="0070375D" w:rsidP="00757A1C">
            <w:pPr>
              <w:pStyle w:val="Tabletext"/>
              <w:rPr>
                <w:rFonts w:eastAsiaTheme="minorEastAsia"/>
                <w:lang w:eastAsia="en-AU"/>
              </w:rPr>
            </w:pPr>
            <w:r w:rsidRPr="00757A1C">
              <w:rPr>
                <w:rFonts w:eastAsiaTheme="minorEastAsia"/>
                <w:lang w:eastAsia="en-AU"/>
              </w:rPr>
              <w:t xml:space="preserve"> </w:t>
            </w:r>
          </w:p>
        </w:tc>
        <w:tc>
          <w:tcPr>
            <w:tcW w:w="900" w:type="dxa"/>
            <w:tcBorders>
              <w:top w:val="single" w:sz="4" w:space="0" w:color="auto"/>
              <w:left w:val="nil"/>
              <w:bottom w:val="nil"/>
              <w:right w:val="nil"/>
            </w:tcBorders>
            <w:shd w:val="clear" w:color="auto" w:fill="000000"/>
          </w:tcPr>
          <w:p w:rsidR="0070375D" w:rsidRPr="00757A1C" w:rsidRDefault="0070375D" w:rsidP="00757A1C">
            <w:pPr>
              <w:pStyle w:val="Tabletextheadingcentred"/>
              <w:rPr>
                <w:rFonts w:eastAsiaTheme="minorEastAsia"/>
                <w:lang w:eastAsia="en-AU"/>
              </w:rPr>
            </w:pPr>
            <w:r w:rsidRPr="00757A1C">
              <w:rPr>
                <w:rFonts w:eastAsiaTheme="minorEastAsia"/>
                <w:lang w:eastAsia="en-AU"/>
              </w:rPr>
              <w:t>Unit of</w:t>
            </w:r>
          </w:p>
        </w:tc>
        <w:tc>
          <w:tcPr>
            <w:tcW w:w="813" w:type="dxa"/>
            <w:tcBorders>
              <w:top w:val="single" w:sz="4" w:space="0" w:color="auto"/>
              <w:left w:val="nil"/>
              <w:bottom w:val="nil"/>
              <w:right w:val="nil"/>
            </w:tcBorders>
            <w:shd w:val="clear" w:color="auto" w:fill="000000"/>
          </w:tcPr>
          <w:p w:rsidR="0070375D" w:rsidRPr="00757A1C" w:rsidRDefault="0070375D" w:rsidP="00757A1C">
            <w:pPr>
              <w:pStyle w:val="Tabletextheading"/>
              <w:rPr>
                <w:rFonts w:eastAsiaTheme="minorEastAsia"/>
                <w:lang w:eastAsia="en-AU"/>
              </w:rPr>
            </w:pPr>
            <w:r w:rsidRPr="00757A1C">
              <w:rPr>
                <w:rFonts w:eastAsiaTheme="minorEastAsia"/>
                <w:lang w:eastAsia="en-AU"/>
              </w:rPr>
              <w:t>2011</w:t>
            </w:r>
            <w:r w:rsidR="00276239">
              <w:rPr>
                <w:rFonts w:eastAsiaTheme="minorEastAsia"/>
                <w:lang w:eastAsia="en-AU"/>
              </w:rPr>
              <w:noBreakHyphen/>
            </w:r>
            <w:r w:rsidRPr="00757A1C">
              <w:rPr>
                <w:rFonts w:eastAsiaTheme="minorEastAsia"/>
                <w:lang w:eastAsia="en-AU"/>
              </w:rPr>
              <w:t>12</w:t>
            </w:r>
          </w:p>
        </w:tc>
        <w:tc>
          <w:tcPr>
            <w:tcW w:w="814" w:type="dxa"/>
            <w:tcBorders>
              <w:top w:val="single" w:sz="4" w:space="0" w:color="auto"/>
              <w:left w:val="nil"/>
              <w:bottom w:val="nil"/>
              <w:right w:val="nil"/>
            </w:tcBorders>
            <w:shd w:val="clear" w:color="auto" w:fill="000000"/>
          </w:tcPr>
          <w:p w:rsidR="0070375D" w:rsidRPr="00757A1C" w:rsidRDefault="0070375D" w:rsidP="00757A1C">
            <w:pPr>
              <w:pStyle w:val="Tabletextheading"/>
              <w:rPr>
                <w:rFonts w:eastAsiaTheme="minorEastAsia"/>
                <w:lang w:eastAsia="en-AU"/>
              </w:rPr>
            </w:pPr>
            <w:r w:rsidRPr="00757A1C">
              <w:rPr>
                <w:rFonts w:eastAsiaTheme="minorEastAsia"/>
                <w:lang w:eastAsia="en-AU"/>
              </w:rPr>
              <w:t>2012</w:t>
            </w:r>
            <w:r w:rsidR="00276239">
              <w:rPr>
                <w:rFonts w:eastAsiaTheme="minorEastAsia"/>
                <w:lang w:eastAsia="en-AU"/>
              </w:rPr>
              <w:noBreakHyphen/>
            </w:r>
            <w:r w:rsidRPr="00757A1C">
              <w:rPr>
                <w:rFonts w:eastAsiaTheme="minorEastAsia"/>
                <w:lang w:eastAsia="en-AU"/>
              </w:rPr>
              <w:t>13</w:t>
            </w:r>
          </w:p>
        </w:tc>
        <w:tc>
          <w:tcPr>
            <w:tcW w:w="814" w:type="dxa"/>
            <w:tcBorders>
              <w:top w:val="single" w:sz="4" w:space="0" w:color="auto"/>
              <w:left w:val="nil"/>
              <w:bottom w:val="nil"/>
              <w:right w:val="nil"/>
            </w:tcBorders>
            <w:shd w:val="clear" w:color="auto" w:fill="000000"/>
          </w:tcPr>
          <w:p w:rsidR="0070375D" w:rsidRPr="00757A1C" w:rsidRDefault="0070375D" w:rsidP="00757A1C">
            <w:pPr>
              <w:pStyle w:val="Tabletextheading"/>
              <w:rPr>
                <w:rFonts w:eastAsiaTheme="minorEastAsia"/>
                <w:lang w:eastAsia="en-AU"/>
              </w:rPr>
            </w:pPr>
            <w:r w:rsidRPr="00757A1C">
              <w:rPr>
                <w:rFonts w:eastAsiaTheme="minorEastAsia"/>
                <w:lang w:eastAsia="en-AU"/>
              </w:rPr>
              <w:t>2013</w:t>
            </w:r>
            <w:r w:rsidR="00276239">
              <w:rPr>
                <w:rFonts w:eastAsiaTheme="minorEastAsia"/>
                <w:lang w:eastAsia="en-AU"/>
              </w:rPr>
              <w:noBreakHyphen/>
            </w:r>
            <w:r w:rsidRPr="00757A1C">
              <w:rPr>
                <w:rFonts w:eastAsiaTheme="minorEastAsia"/>
                <w:lang w:eastAsia="en-AU"/>
              </w:rPr>
              <w:t>14</w:t>
            </w:r>
          </w:p>
        </w:tc>
        <w:tc>
          <w:tcPr>
            <w:tcW w:w="813" w:type="dxa"/>
            <w:tcBorders>
              <w:top w:val="single" w:sz="4" w:space="0" w:color="auto"/>
              <w:left w:val="nil"/>
              <w:bottom w:val="nil"/>
              <w:right w:val="nil"/>
            </w:tcBorders>
            <w:shd w:val="clear" w:color="auto" w:fill="000000"/>
          </w:tcPr>
          <w:p w:rsidR="0070375D" w:rsidRPr="00757A1C" w:rsidRDefault="0070375D" w:rsidP="00757A1C">
            <w:pPr>
              <w:pStyle w:val="Tabletextheading"/>
              <w:rPr>
                <w:rFonts w:eastAsiaTheme="minorEastAsia"/>
                <w:lang w:eastAsia="en-AU"/>
              </w:rPr>
            </w:pPr>
            <w:r w:rsidRPr="00757A1C">
              <w:rPr>
                <w:rFonts w:eastAsiaTheme="minorEastAsia"/>
                <w:lang w:eastAsia="en-AU"/>
              </w:rPr>
              <w:t>2014</w:t>
            </w:r>
            <w:r w:rsidR="00276239">
              <w:rPr>
                <w:rFonts w:eastAsiaTheme="minorEastAsia"/>
                <w:lang w:eastAsia="en-AU"/>
              </w:rPr>
              <w:noBreakHyphen/>
            </w:r>
            <w:r w:rsidRPr="00757A1C">
              <w:rPr>
                <w:rFonts w:eastAsiaTheme="minorEastAsia"/>
                <w:lang w:eastAsia="en-AU"/>
              </w:rPr>
              <w:t>15</w:t>
            </w:r>
          </w:p>
        </w:tc>
        <w:tc>
          <w:tcPr>
            <w:tcW w:w="814" w:type="dxa"/>
            <w:tcBorders>
              <w:top w:val="single" w:sz="4" w:space="0" w:color="auto"/>
              <w:left w:val="nil"/>
              <w:bottom w:val="nil"/>
              <w:right w:val="nil"/>
            </w:tcBorders>
            <w:shd w:val="clear" w:color="auto" w:fill="000000"/>
          </w:tcPr>
          <w:p w:rsidR="0070375D" w:rsidRPr="00757A1C" w:rsidRDefault="0070375D" w:rsidP="00757A1C">
            <w:pPr>
              <w:pStyle w:val="Tabletextheading"/>
              <w:rPr>
                <w:rFonts w:eastAsiaTheme="minorEastAsia"/>
                <w:lang w:eastAsia="en-AU"/>
              </w:rPr>
            </w:pPr>
            <w:r w:rsidRPr="00757A1C">
              <w:rPr>
                <w:rFonts w:eastAsiaTheme="minorEastAsia"/>
                <w:lang w:eastAsia="en-AU"/>
              </w:rPr>
              <w:t>2015</w:t>
            </w:r>
            <w:r w:rsidR="00276239">
              <w:rPr>
                <w:rFonts w:eastAsiaTheme="minorEastAsia"/>
                <w:lang w:eastAsia="en-AU"/>
              </w:rPr>
              <w:noBreakHyphen/>
            </w:r>
            <w:r w:rsidRPr="00757A1C">
              <w:rPr>
                <w:rFonts w:eastAsiaTheme="minorEastAsia"/>
                <w:lang w:eastAsia="en-AU"/>
              </w:rPr>
              <w:t>16</w:t>
            </w:r>
          </w:p>
        </w:tc>
        <w:tc>
          <w:tcPr>
            <w:tcW w:w="814" w:type="dxa"/>
            <w:tcBorders>
              <w:top w:val="single" w:sz="4" w:space="0" w:color="auto"/>
              <w:left w:val="nil"/>
              <w:bottom w:val="nil"/>
              <w:right w:val="single" w:sz="4" w:space="0" w:color="auto"/>
            </w:tcBorders>
            <w:shd w:val="clear" w:color="auto" w:fill="000000"/>
          </w:tcPr>
          <w:p w:rsidR="0070375D" w:rsidRPr="00757A1C" w:rsidRDefault="0070375D" w:rsidP="00757A1C">
            <w:pPr>
              <w:pStyle w:val="Tabletextheading"/>
              <w:rPr>
                <w:rFonts w:eastAsiaTheme="minorEastAsia"/>
                <w:lang w:eastAsia="en-AU"/>
              </w:rPr>
            </w:pPr>
            <w:r w:rsidRPr="00757A1C">
              <w:rPr>
                <w:rFonts w:eastAsiaTheme="minorEastAsia"/>
                <w:lang w:eastAsia="en-AU"/>
              </w:rPr>
              <w:t>2016</w:t>
            </w:r>
            <w:r w:rsidR="00276239">
              <w:rPr>
                <w:rFonts w:eastAsiaTheme="minorEastAsia"/>
                <w:lang w:eastAsia="en-AU"/>
              </w:rPr>
              <w:noBreakHyphen/>
            </w:r>
            <w:r w:rsidRPr="00757A1C">
              <w:rPr>
                <w:rFonts w:eastAsiaTheme="minorEastAsia"/>
                <w:lang w:eastAsia="en-AU"/>
              </w:rPr>
              <w:t>17</w:t>
            </w:r>
          </w:p>
        </w:tc>
      </w:tr>
      <w:tr w:rsidR="0070375D" w:rsidRPr="00757A1C" w:rsidTr="00757A1C">
        <w:tc>
          <w:tcPr>
            <w:tcW w:w="1994" w:type="dxa"/>
            <w:tcBorders>
              <w:top w:val="nil"/>
              <w:left w:val="single" w:sz="4" w:space="0" w:color="auto"/>
              <w:bottom w:val="single" w:sz="4" w:space="0" w:color="auto"/>
              <w:right w:val="nil"/>
            </w:tcBorders>
            <w:shd w:val="clear" w:color="auto" w:fill="000000"/>
          </w:tcPr>
          <w:p w:rsidR="0070375D" w:rsidRPr="00757A1C" w:rsidRDefault="0070375D" w:rsidP="00757A1C">
            <w:pPr>
              <w:pStyle w:val="Tabletext"/>
              <w:rPr>
                <w:rFonts w:eastAsiaTheme="minorEastAsia"/>
                <w:lang w:eastAsia="en-AU"/>
              </w:rPr>
            </w:pPr>
            <w:r w:rsidRPr="00757A1C">
              <w:rPr>
                <w:rFonts w:eastAsiaTheme="minorEastAsia"/>
                <w:lang w:eastAsia="en-AU"/>
              </w:rPr>
              <w:t xml:space="preserve"> </w:t>
            </w:r>
          </w:p>
        </w:tc>
        <w:tc>
          <w:tcPr>
            <w:tcW w:w="900" w:type="dxa"/>
            <w:tcBorders>
              <w:top w:val="nil"/>
              <w:left w:val="nil"/>
              <w:bottom w:val="single" w:sz="4" w:space="0" w:color="auto"/>
              <w:right w:val="nil"/>
            </w:tcBorders>
            <w:shd w:val="clear" w:color="auto" w:fill="000000"/>
          </w:tcPr>
          <w:p w:rsidR="0070375D" w:rsidRPr="00757A1C" w:rsidRDefault="0070375D" w:rsidP="00757A1C">
            <w:pPr>
              <w:pStyle w:val="Tabletextheadingcentred"/>
              <w:rPr>
                <w:rFonts w:eastAsiaTheme="minorEastAsia"/>
                <w:lang w:eastAsia="en-AU"/>
              </w:rPr>
            </w:pPr>
            <w:r w:rsidRPr="00757A1C">
              <w:rPr>
                <w:rFonts w:eastAsiaTheme="minorEastAsia"/>
                <w:lang w:eastAsia="en-AU"/>
              </w:rPr>
              <w:t>Measure</w:t>
            </w:r>
          </w:p>
        </w:tc>
        <w:tc>
          <w:tcPr>
            <w:tcW w:w="813" w:type="dxa"/>
            <w:tcBorders>
              <w:top w:val="nil"/>
              <w:left w:val="nil"/>
              <w:bottom w:val="single" w:sz="4" w:space="0" w:color="auto"/>
              <w:right w:val="nil"/>
            </w:tcBorders>
            <w:shd w:val="clear" w:color="auto" w:fill="000000"/>
          </w:tcPr>
          <w:p w:rsidR="0070375D" w:rsidRPr="00757A1C" w:rsidRDefault="0070375D" w:rsidP="00757A1C">
            <w:pPr>
              <w:pStyle w:val="Tabletextheading"/>
              <w:rPr>
                <w:rFonts w:eastAsiaTheme="minorEastAsia"/>
                <w:lang w:eastAsia="en-AU"/>
              </w:rPr>
            </w:pPr>
            <w:r w:rsidRPr="00757A1C">
              <w:rPr>
                <w:rFonts w:eastAsiaTheme="minorEastAsia"/>
                <w:lang w:eastAsia="en-AU"/>
              </w:rPr>
              <w:t>Actual</w:t>
            </w:r>
          </w:p>
        </w:tc>
        <w:tc>
          <w:tcPr>
            <w:tcW w:w="814" w:type="dxa"/>
            <w:tcBorders>
              <w:top w:val="nil"/>
              <w:left w:val="nil"/>
              <w:bottom w:val="single" w:sz="4" w:space="0" w:color="auto"/>
              <w:right w:val="nil"/>
            </w:tcBorders>
            <w:shd w:val="clear" w:color="auto" w:fill="000000"/>
          </w:tcPr>
          <w:p w:rsidR="0070375D" w:rsidRPr="00757A1C" w:rsidRDefault="0070375D" w:rsidP="00757A1C">
            <w:pPr>
              <w:pStyle w:val="Tabletextheading"/>
              <w:rPr>
                <w:rFonts w:eastAsiaTheme="minorEastAsia"/>
                <w:lang w:eastAsia="en-AU"/>
              </w:rPr>
            </w:pPr>
            <w:r w:rsidRPr="00757A1C">
              <w:rPr>
                <w:rFonts w:eastAsiaTheme="minorEastAsia"/>
                <w:lang w:eastAsia="en-AU"/>
              </w:rPr>
              <w:t>Revised</w:t>
            </w:r>
          </w:p>
        </w:tc>
        <w:tc>
          <w:tcPr>
            <w:tcW w:w="814" w:type="dxa"/>
            <w:tcBorders>
              <w:top w:val="nil"/>
              <w:left w:val="nil"/>
              <w:bottom w:val="single" w:sz="4" w:space="0" w:color="auto"/>
              <w:right w:val="nil"/>
            </w:tcBorders>
            <w:shd w:val="clear" w:color="auto" w:fill="000000"/>
          </w:tcPr>
          <w:p w:rsidR="0070375D" w:rsidRPr="00757A1C" w:rsidRDefault="0070375D" w:rsidP="00757A1C">
            <w:pPr>
              <w:pStyle w:val="Tabletextheading"/>
              <w:rPr>
                <w:rFonts w:eastAsiaTheme="minorEastAsia"/>
                <w:lang w:eastAsia="en-AU"/>
              </w:rPr>
            </w:pPr>
            <w:r w:rsidRPr="00757A1C">
              <w:rPr>
                <w:rFonts w:eastAsiaTheme="minorEastAsia"/>
                <w:lang w:eastAsia="en-AU"/>
              </w:rPr>
              <w:t>Budget</w:t>
            </w:r>
          </w:p>
        </w:tc>
        <w:tc>
          <w:tcPr>
            <w:tcW w:w="813" w:type="dxa"/>
            <w:tcBorders>
              <w:top w:val="nil"/>
              <w:left w:val="nil"/>
              <w:bottom w:val="single" w:sz="4" w:space="0" w:color="auto"/>
              <w:right w:val="nil"/>
            </w:tcBorders>
            <w:shd w:val="clear" w:color="auto" w:fill="000000"/>
          </w:tcPr>
          <w:p w:rsidR="0070375D" w:rsidRPr="00757A1C" w:rsidRDefault="0070375D" w:rsidP="00757A1C">
            <w:pPr>
              <w:pStyle w:val="Tabletextheading"/>
              <w:rPr>
                <w:rFonts w:eastAsiaTheme="minorEastAsia"/>
                <w:lang w:eastAsia="en-AU"/>
              </w:rPr>
            </w:pPr>
            <w:r w:rsidRPr="00757A1C">
              <w:rPr>
                <w:rFonts w:eastAsiaTheme="minorEastAsia"/>
                <w:lang w:eastAsia="en-AU"/>
              </w:rPr>
              <w:t>Estimate</w:t>
            </w:r>
          </w:p>
        </w:tc>
        <w:tc>
          <w:tcPr>
            <w:tcW w:w="814" w:type="dxa"/>
            <w:tcBorders>
              <w:top w:val="nil"/>
              <w:left w:val="nil"/>
              <w:bottom w:val="single" w:sz="4" w:space="0" w:color="auto"/>
              <w:right w:val="nil"/>
            </w:tcBorders>
            <w:shd w:val="clear" w:color="auto" w:fill="000000"/>
          </w:tcPr>
          <w:p w:rsidR="0070375D" w:rsidRPr="00757A1C" w:rsidRDefault="0070375D" w:rsidP="00757A1C">
            <w:pPr>
              <w:pStyle w:val="Tabletextheading"/>
              <w:rPr>
                <w:rFonts w:eastAsiaTheme="minorEastAsia"/>
                <w:lang w:eastAsia="en-AU"/>
              </w:rPr>
            </w:pPr>
            <w:r w:rsidRPr="00757A1C">
              <w:rPr>
                <w:rFonts w:eastAsiaTheme="minorEastAsia"/>
                <w:lang w:eastAsia="en-AU"/>
              </w:rPr>
              <w:t>Estimate</w:t>
            </w:r>
          </w:p>
        </w:tc>
        <w:tc>
          <w:tcPr>
            <w:tcW w:w="814" w:type="dxa"/>
            <w:tcBorders>
              <w:top w:val="nil"/>
              <w:left w:val="nil"/>
              <w:bottom w:val="single" w:sz="4" w:space="0" w:color="auto"/>
              <w:right w:val="single" w:sz="4" w:space="0" w:color="auto"/>
            </w:tcBorders>
            <w:shd w:val="clear" w:color="auto" w:fill="000000"/>
          </w:tcPr>
          <w:p w:rsidR="0070375D" w:rsidRPr="00757A1C" w:rsidRDefault="0070375D" w:rsidP="00757A1C">
            <w:pPr>
              <w:pStyle w:val="Tabletextheading"/>
              <w:rPr>
                <w:rFonts w:eastAsiaTheme="minorEastAsia"/>
                <w:lang w:eastAsia="en-AU"/>
              </w:rPr>
            </w:pPr>
            <w:r w:rsidRPr="00757A1C">
              <w:rPr>
                <w:rFonts w:eastAsiaTheme="minorEastAsia"/>
                <w:lang w:eastAsia="en-AU"/>
              </w:rPr>
              <w:t>Estimate</w:t>
            </w:r>
          </w:p>
        </w:tc>
      </w:tr>
      <w:tr w:rsidR="0070375D" w:rsidRPr="00757A1C" w:rsidTr="00757A1C">
        <w:tc>
          <w:tcPr>
            <w:tcW w:w="1994" w:type="dxa"/>
            <w:tcBorders>
              <w:top w:val="single" w:sz="4" w:space="0" w:color="auto"/>
              <w:left w:val="nil"/>
              <w:bottom w:val="nil"/>
              <w:right w:val="nil"/>
            </w:tcBorders>
          </w:tcPr>
          <w:p w:rsidR="0070375D" w:rsidRPr="00757A1C" w:rsidRDefault="0070375D" w:rsidP="00757A1C">
            <w:pPr>
              <w:pStyle w:val="Tabletext"/>
              <w:rPr>
                <w:rFonts w:eastAsiaTheme="minorEastAsia"/>
                <w:color w:val="000000"/>
                <w:lang w:eastAsia="en-AU"/>
              </w:rPr>
            </w:pPr>
            <w:r w:rsidRPr="00757A1C">
              <w:rPr>
                <w:rFonts w:eastAsiaTheme="minorEastAsia"/>
                <w:color w:val="000000"/>
                <w:lang w:eastAsia="en-AU"/>
              </w:rPr>
              <w:t>Net result from transactions</w:t>
            </w:r>
          </w:p>
        </w:tc>
        <w:tc>
          <w:tcPr>
            <w:tcW w:w="900" w:type="dxa"/>
            <w:tcBorders>
              <w:top w:val="single" w:sz="4" w:space="0" w:color="auto"/>
              <w:left w:val="nil"/>
              <w:bottom w:val="nil"/>
              <w:right w:val="nil"/>
            </w:tcBorders>
          </w:tcPr>
          <w:p w:rsidR="0070375D" w:rsidRPr="00757A1C" w:rsidRDefault="0070375D" w:rsidP="00757A1C">
            <w:pPr>
              <w:pStyle w:val="Tabletextcentred"/>
              <w:rPr>
                <w:rFonts w:eastAsiaTheme="minorEastAsia" w:cs="Calibri"/>
                <w:color w:val="000000"/>
                <w:lang w:eastAsia="en-AU"/>
              </w:rPr>
            </w:pPr>
            <w:r w:rsidRPr="00757A1C">
              <w:rPr>
                <w:rFonts w:eastAsiaTheme="minorEastAsia"/>
                <w:lang w:eastAsia="en-AU"/>
              </w:rPr>
              <w:t xml:space="preserve">$ </w:t>
            </w:r>
            <w:r w:rsidRPr="00757A1C">
              <w:rPr>
                <w:rFonts w:eastAsiaTheme="minorEastAsia" w:cs="Calibri"/>
                <w:color w:val="000000"/>
                <w:lang w:eastAsia="en-AU"/>
              </w:rPr>
              <w:t>million</w:t>
            </w:r>
          </w:p>
        </w:tc>
        <w:tc>
          <w:tcPr>
            <w:tcW w:w="813" w:type="dxa"/>
            <w:tcBorders>
              <w:top w:val="single" w:sz="4" w:space="0" w:color="auto"/>
              <w:left w:val="nil"/>
              <w:bottom w:val="nil"/>
              <w:right w:val="nil"/>
            </w:tcBorders>
          </w:tcPr>
          <w:p w:rsidR="0070375D" w:rsidRPr="00757A1C" w:rsidRDefault="0070375D" w:rsidP="00757A1C">
            <w:pPr>
              <w:pStyle w:val="TableofFigures"/>
              <w:rPr>
                <w:rFonts w:eastAsiaTheme="minorEastAsia"/>
                <w:color w:val="000000"/>
                <w:lang w:eastAsia="en-AU"/>
              </w:rPr>
            </w:pPr>
            <w:r w:rsidRPr="00757A1C">
              <w:rPr>
                <w:rFonts w:eastAsiaTheme="minorEastAsia"/>
                <w:color w:val="000000"/>
                <w:lang w:eastAsia="en-AU"/>
              </w:rPr>
              <w:t xml:space="preserve"> 571.2</w:t>
            </w:r>
          </w:p>
        </w:tc>
        <w:tc>
          <w:tcPr>
            <w:tcW w:w="814" w:type="dxa"/>
            <w:tcBorders>
              <w:top w:val="single" w:sz="4" w:space="0" w:color="auto"/>
              <w:left w:val="nil"/>
              <w:bottom w:val="nil"/>
              <w:right w:val="nil"/>
            </w:tcBorders>
          </w:tcPr>
          <w:p w:rsidR="0070375D" w:rsidRPr="00757A1C" w:rsidRDefault="0070375D" w:rsidP="00757A1C">
            <w:pPr>
              <w:pStyle w:val="TableofFigures"/>
              <w:rPr>
                <w:rFonts w:eastAsiaTheme="minorEastAsia"/>
                <w:color w:val="000000"/>
                <w:lang w:eastAsia="en-AU"/>
              </w:rPr>
            </w:pPr>
            <w:r w:rsidRPr="00757A1C">
              <w:rPr>
                <w:rFonts w:eastAsiaTheme="minorEastAsia"/>
                <w:color w:val="000000"/>
                <w:lang w:eastAsia="en-AU"/>
              </w:rPr>
              <w:t xml:space="preserve"> 177.0</w:t>
            </w:r>
          </w:p>
        </w:tc>
        <w:tc>
          <w:tcPr>
            <w:tcW w:w="814" w:type="dxa"/>
            <w:tcBorders>
              <w:top w:val="single" w:sz="4" w:space="0" w:color="auto"/>
              <w:left w:val="nil"/>
              <w:bottom w:val="nil"/>
              <w:right w:val="nil"/>
            </w:tcBorders>
          </w:tcPr>
          <w:p w:rsidR="0070375D" w:rsidRPr="00757A1C" w:rsidRDefault="0070375D" w:rsidP="00757A1C">
            <w:pPr>
              <w:pStyle w:val="TableofFigures"/>
              <w:rPr>
                <w:rFonts w:eastAsiaTheme="minorEastAsia"/>
                <w:color w:val="000000"/>
                <w:lang w:eastAsia="en-AU"/>
              </w:rPr>
            </w:pPr>
            <w:r w:rsidRPr="00757A1C">
              <w:rPr>
                <w:rFonts w:eastAsiaTheme="minorEastAsia"/>
                <w:color w:val="000000"/>
                <w:lang w:eastAsia="en-AU"/>
              </w:rPr>
              <w:t xml:space="preserve"> 224.5</w:t>
            </w:r>
          </w:p>
        </w:tc>
        <w:tc>
          <w:tcPr>
            <w:tcW w:w="813" w:type="dxa"/>
            <w:tcBorders>
              <w:top w:val="single" w:sz="4" w:space="0" w:color="auto"/>
              <w:left w:val="nil"/>
              <w:bottom w:val="nil"/>
              <w:right w:val="nil"/>
            </w:tcBorders>
          </w:tcPr>
          <w:p w:rsidR="0070375D" w:rsidRPr="00757A1C" w:rsidRDefault="0070375D" w:rsidP="00757A1C">
            <w:pPr>
              <w:pStyle w:val="TableofFigures"/>
              <w:rPr>
                <w:rFonts w:eastAsiaTheme="minorEastAsia"/>
                <w:color w:val="000000"/>
                <w:lang w:eastAsia="en-AU"/>
              </w:rPr>
            </w:pPr>
            <w:r w:rsidRPr="00757A1C">
              <w:rPr>
                <w:rFonts w:eastAsiaTheme="minorEastAsia"/>
                <w:color w:val="000000"/>
                <w:lang w:eastAsia="en-AU"/>
              </w:rPr>
              <w:t xml:space="preserve"> 398.7</w:t>
            </w:r>
          </w:p>
        </w:tc>
        <w:tc>
          <w:tcPr>
            <w:tcW w:w="814" w:type="dxa"/>
            <w:tcBorders>
              <w:top w:val="single" w:sz="4" w:space="0" w:color="auto"/>
              <w:left w:val="nil"/>
              <w:bottom w:val="nil"/>
              <w:right w:val="nil"/>
            </w:tcBorders>
          </w:tcPr>
          <w:p w:rsidR="0070375D" w:rsidRPr="00757A1C" w:rsidRDefault="0070375D" w:rsidP="00757A1C">
            <w:pPr>
              <w:pStyle w:val="TableofFigures"/>
              <w:rPr>
                <w:rFonts w:eastAsiaTheme="minorEastAsia"/>
                <w:color w:val="000000"/>
                <w:lang w:eastAsia="en-AU"/>
              </w:rPr>
            </w:pPr>
            <w:r w:rsidRPr="00757A1C">
              <w:rPr>
                <w:rFonts w:eastAsiaTheme="minorEastAsia"/>
                <w:color w:val="000000"/>
                <w:lang w:eastAsia="en-AU"/>
              </w:rPr>
              <w:t>1 927.7</w:t>
            </w:r>
          </w:p>
        </w:tc>
        <w:tc>
          <w:tcPr>
            <w:tcW w:w="814" w:type="dxa"/>
            <w:tcBorders>
              <w:top w:val="single" w:sz="4" w:space="0" w:color="auto"/>
              <w:left w:val="nil"/>
              <w:bottom w:val="nil"/>
              <w:right w:val="nil"/>
            </w:tcBorders>
          </w:tcPr>
          <w:p w:rsidR="0070375D" w:rsidRPr="00757A1C" w:rsidRDefault="0070375D" w:rsidP="00757A1C">
            <w:pPr>
              <w:pStyle w:val="TableofFigures"/>
              <w:rPr>
                <w:rFonts w:eastAsiaTheme="minorEastAsia"/>
                <w:color w:val="000000"/>
                <w:lang w:eastAsia="en-AU"/>
              </w:rPr>
            </w:pPr>
            <w:r w:rsidRPr="00757A1C">
              <w:rPr>
                <w:rFonts w:eastAsiaTheme="minorEastAsia"/>
                <w:color w:val="000000"/>
                <w:lang w:eastAsia="en-AU"/>
              </w:rPr>
              <w:t>2 547.4</w:t>
            </w:r>
          </w:p>
        </w:tc>
      </w:tr>
      <w:tr w:rsidR="0070375D" w:rsidRPr="00757A1C" w:rsidTr="00757A1C">
        <w:tc>
          <w:tcPr>
            <w:tcW w:w="1994" w:type="dxa"/>
            <w:tcBorders>
              <w:top w:val="nil"/>
              <w:left w:val="nil"/>
              <w:bottom w:val="nil"/>
              <w:right w:val="nil"/>
            </w:tcBorders>
          </w:tcPr>
          <w:p w:rsidR="0070375D" w:rsidRPr="00757A1C" w:rsidRDefault="0070375D" w:rsidP="00757A1C">
            <w:pPr>
              <w:pStyle w:val="Tabletext"/>
              <w:rPr>
                <w:rFonts w:eastAsiaTheme="minorEastAsia"/>
                <w:color w:val="000000"/>
                <w:vertAlign w:val="superscript"/>
                <w:lang w:eastAsia="en-AU"/>
              </w:rPr>
            </w:pPr>
            <w:r w:rsidRPr="00757A1C">
              <w:rPr>
                <w:rFonts w:eastAsiaTheme="minorEastAsia"/>
                <w:color w:val="000000"/>
                <w:lang w:eastAsia="en-AU"/>
              </w:rPr>
              <w:t>Government fiscal result</w:t>
            </w:r>
            <w:r w:rsidRPr="00757A1C">
              <w:rPr>
                <w:rFonts w:eastAsiaTheme="minorEastAsia"/>
                <w:color w:val="000000"/>
                <w:vertAlign w:val="superscript"/>
                <w:lang w:eastAsia="en-AU"/>
              </w:rPr>
              <w:t>(a)</w:t>
            </w:r>
          </w:p>
        </w:tc>
        <w:tc>
          <w:tcPr>
            <w:tcW w:w="900" w:type="dxa"/>
            <w:tcBorders>
              <w:top w:val="nil"/>
              <w:left w:val="nil"/>
              <w:bottom w:val="nil"/>
              <w:right w:val="nil"/>
            </w:tcBorders>
          </w:tcPr>
          <w:p w:rsidR="0070375D" w:rsidRPr="00757A1C" w:rsidRDefault="0070375D" w:rsidP="00757A1C">
            <w:pPr>
              <w:pStyle w:val="Tabletextcentred"/>
              <w:rPr>
                <w:rFonts w:eastAsiaTheme="minorEastAsia" w:cs="Calibri"/>
                <w:color w:val="000000"/>
                <w:lang w:eastAsia="en-AU"/>
              </w:rPr>
            </w:pPr>
            <w:r w:rsidRPr="00757A1C">
              <w:rPr>
                <w:rFonts w:eastAsiaTheme="minorEastAsia"/>
                <w:lang w:eastAsia="en-AU"/>
              </w:rPr>
              <w:t xml:space="preserve">$ </w:t>
            </w:r>
            <w:r w:rsidRPr="00757A1C">
              <w:rPr>
                <w:rFonts w:eastAsiaTheme="minorEastAsia" w:cs="Calibri"/>
                <w:color w:val="000000"/>
                <w:lang w:eastAsia="en-AU"/>
              </w:rPr>
              <w:t>million</w:t>
            </w:r>
          </w:p>
        </w:tc>
        <w:tc>
          <w:tcPr>
            <w:tcW w:w="813" w:type="dxa"/>
            <w:tcBorders>
              <w:top w:val="nil"/>
              <w:left w:val="nil"/>
              <w:bottom w:val="nil"/>
              <w:right w:val="nil"/>
            </w:tcBorders>
          </w:tcPr>
          <w:p w:rsidR="0070375D" w:rsidRPr="00757A1C" w:rsidRDefault="0070375D" w:rsidP="00757A1C">
            <w:pPr>
              <w:pStyle w:val="TableofFigures"/>
              <w:rPr>
                <w:rFonts w:eastAsiaTheme="minorEastAsia"/>
                <w:color w:val="000000"/>
                <w:lang w:eastAsia="en-AU"/>
              </w:rPr>
            </w:pPr>
            <w:r w:rsidRPr="00757A1C">
              <w:rPr>
                <w:rFonts w:eastAsiaTheme="minorEastAsia"/>
                <w:color w:val="000000"/>
                <w:lang w:eastAsia="en-AU"/>
              </w:rPr>
              <w:t xml:space="preserve"> 571.2</w:t>
            </w:r>
          </w:p>
        </w:tc>
        <w:tc>
          <w:tcPr>
            <w:tcW w:w="814" w:type="dxa"/>
            <w:tcBorders>
              <w:top w:val="nil"/>
              <w:left w:val="nil"/>
              <w:bottom w:val="nil"/>
              <w:right w:val="nil"/>
            </w:tcBorders>
          </w:tcPr>
          <w:p w:rsidR="0070375D" w:rsidRPr="00757A1C" w:rsidRDefault="0070375D" w:rsidP="00757A1C">
            <w:pPr>
              <w:pStyle w:val="TableofFigures"/>
              <w:rPr>
                <w:rFonts w:eastAsiaTheme="minorEastAsia"/>
                <w:color w:val="000000"/>
                <w:lang w:eastAsia="en-AU"/>
              </w:rPr>
            </w:pPr>
            <w:r w:rsidRPr="00757A1C">
              <w:rPr>
                <w:rFonts w:eastAsiaTheme="minorEastAsia"/>
                <w:color w:val="000000"/>
                <w:lang w:eastAsia="en-AU"/>
              </w:rPr>
              <w:t xml:space="preserve"> 177.0</w:t>
            </w:r>
          </w:p>
        </w:tc>
        <w:tc>
          <w:tcPr>
            <w:tcW w:w="814" w:type="dxa"/>
            <w:tcBorders>
              <w:top w:val="nil"/>
              <w:left w:val="nil"/>
              <w:bottom w:val="nil"/>
              <w:right w:val="nil"/>
            </w:tcBorders>
          </w:tcPr>
          <w:p w:rsidR="0070375D" w:rsidRPr="00757A1C" w:rsidRDefault="0070375D" w:rsidP="00757A1C">
            <w:pPr>
              <w:pStyle w:val="TableofFigures"/>
              <w:rPr>
                <w:rFonts w:eastAsiaTheme="minorEastAsia"/>
                <w:color w:val="000000"/>
                <w:lang w:eastAsia="en-AU"/>
              </w:rPr>
            </w:pPr>
            <w:r w:rsidRPr="00757A1C">
              <w:rPr>
                <w:rFonts w:eastAsiaTheme="minorEastAsia"/>
                <w:color w:val="000000"/>
                <w:lang w:eastAsia="en-AU"/>
              </w:rPr>
              <w:t xml:space="preserve"> 817.6</w:t>
            </w:r>
          </w:p>
        </w:tc>
        <w:tc>
          <w:tcPr>
            <w:tcW w:w="813" w:type="dxa"/>
            <w:tcBorders>
              <w:top w:val="nil"/>
              <w:left w:val="nil"/>
              <w:bottom w:val="nil"/>
              <w:right w:val="nil"/>
            </w:tcBorders>
          </w:tcPr>
          <w:p w:rsidR="0070375D" w:rsidRPr="00757A1C" w:rsidRDefault="0070375D" w:rsidP="00757A1C">
            <w:pPr>
              <w:pStyle w:val="TableofFigures"/>
              <w:rPr>
                <w:rFonts w:eastAsiaTheme="minorEastAsia"/>
                <w:color w:val="000000"/>
                <w:lang w:eastAsia="en-AU"/>
              </w:rPr>
            </w:pPr>
            <w:r w:rsidRPr="00757A1C">
              <w:rPr>
                <w:rFonts w:eastAsiaTheme="minorEastAsia"/>
                <w:color w:val="000000"/>
                <w:lang w:eastAsia="en-AU"/>
              </w:rPr>
              <w:t>1 005.5</w:t>
            </w:r>
          </w:p>
        </w:tc>
        <w:tc>
          <w:tcPr>
            <w:tcW w:w="814" w:type="dxa"/>
            <w:tcBorders>
              <w:top w:val="nil"/>
              <w:left w:val="nil"/>
              <w:bottom w:val="nil"/>
              <w:right w:val="nil"/>
            </w:tcBorders>
          </w:tcPr>
          <w:p w:rsidR="0070375D" w:rsidRPr="00757A1C" w:rsidRDefault="0070375D" w:rsidP="00757A1C">
            <w:pPr>
              <w:pStyle w:val="TableofFigures"/>
              <w:rPr>
                <w:rFonts w:eastAsiaTheme="minorEastAsia"/>
                <w:color w:val="000000"/>
                <w:lang w:eastAsia="en-AU"/>
              </w:rPr>
            </w:pPr>
            <w:r w:rsidRPr="00757A1C">
              <w:rPr>
                <w:rFonts w:eastAsiaTheme="minorEastAsia"/>
                <w:color w:val="000000"/>
                <w:lang w:eastAsia="en-AU"/>
              </w:rPr>
              <w:t>2 545.0</w:t>
            </w:r>
          </w:p>
        </w:tc>
        <w:tc>
          <w:tcPr>
            <w:tcW w:w="814" w:type="dxa"/>
            <w:tcBorders>
              <w:top w:val="nil"/>
              <w:left w:val="nil"/>
              <w:bottom w:val="nil"/>
              <w:right w:val="nil"/>
            </w:tcBorders>
          </w:tcPr>
          <w:p w:rsidR="0070375D" w:rsidRPr="00757A1C" w:rsidRDefault="0070375D" w:rsidP="00757A1C">
            <w:pPr>
              <w:pStyle w:val="TableofFigures"/>
              <w:rPr>
                <w:rFonts w:eastAsiaTheme="minorEastAsia"/>
                <w:color w:val="000000"/>
                <w:lang w:eastAsia="en-AU"/>
              </w:rPr>
            </w:pPr>
            <w:r w:rsidRPr="00757A1C">
              <w:rPr>
                <w:rFonts w:eastAsiaTheme="minorEastAsia"/>
                <w:color w:val="000000"/>
                <w:lang w:eastAsia="en-AU"/>
              </w:rPr>
              <w:t>3 173.8</w:t>
            </w:r>
          </w:p>
        </w:tc>
      </w:tr>
      <w:tr w:rsidR="0070375D" w:rsidRPr="00757A1C" w:rsidTr="00757A1C">
        <w:tc>
          <w:tcPr>
            <w:tcW w:w="1994" w:type="dxa"/>
            <w:tcBorders>
              <w:top w:val="nil"/>
              <w:left w:val="nil"/>
              <w:bottom w:val="nil"/>
              <w:right w:val="nil"/>
            </w:tcBorders>
          </w:tcPr>
          <w:p w:rsidR="0070375D" w:rsidRPr="00757A1C" w:rsidRDefault="0070375D" w:rsidP="00757A1C">
            <w:pPr>
              <w:pStyle w:val="Tabletext"/>
              <w:rPr>
                <w:rFonts w:eastAsiaTheme="minorEastAsia"/>
                <w:color w:val="000000"/>
                <w:vertAlign w:val="superscript"/>
                <w:lang w:eastAsia="en-AU"/>
              </w:rPr>
            </w:pPr>
            <w:r w:rsidRPr="00757A1C">
              <w:rPr>
                <w:rFonts w:eastAsiaTheme="minorEastAsia"/>
                <w:color w:val="000000"/>
                <w:lang w:eastAsia="en-AU"/>
              </w:rPr>
              <w:t>Net debt</w:t>
            </w:r>
            <w:r w:rsidRPr="00757A1C">
              <w:rPr>
                <w:rFonts w:eastAsiaTheme="minorEastAsia"/>
                <w:color w:val="000000"/>
                <w:vertAlign w:val="superscript"/>
                <w:lang w:eastAsia="en-AU"/>
              </w:rPr>
              <w:t>(b)</w:t>
            </w:r>
          </w:p>
        </w:tc>
        <w:tc>
          <w:tcPr>
            <w:tcW w:w="900" w:type="dxa"/>
            <w:tcBorders>
              <w:top w:val="nil"/>
              <w:left w:val="nil"/>
              <w:bottom w:val="nil"/>
              <w:right w:val="nil"/>
            </w:tcBorders>
          </w:tcPr>
          <w:p w:rsidR="0070375D" w:rsidRPr="00757A1C" w:rsidRDefault="0070375D" w:rsidP="00757A1C">
            <w:pPr>
              <w:pStyle w:val="Tabletextcentred"/>
              <w:rPr>
                <w:rFonts w:eastAsiaTheme="minorEastAsia" w:cs="Calibri"/>
                <w:color w:val="000000"/>
                <w:lang w:eastAsia="en-AU"/>
              </w:rPr>
            </w:pPr>
            <w:r w:rsidRPr="00757A1C">
              <w:rPr>
                <w:rFonts w:eastAsiaTheme="minorEastAsia"/>
                <w:lang w:eastAsia="en-AU"/>
              </w:rPr>
              <w:t xml:space="preserve">$ </w:t>
            </w:r>
            <w:r w:rsidRPr="00757A1C">
              <w:rPr>
                <w:rFonts w:eastAsiaTheme="minorEastAsia" w:cs="Calibri"/>
                <w:color w:val="000000"/>
                <w:lang w:eastAsia="en-AU"/>
              </w:rPr>
              <w:t>billion</w:t>
            </w:r>
          </w:p>
        </w:tc>
        <w:tc>
          <w:tcPr>
            <w:tcW w:w="813" w:type="dxa"/>
            <w:tcBorders>
              <w:top w:val="nil"/>
              <w:left w:val="nil"/>
              <w:bottom w:val="nil"/>
              <w:right w:val="nil"/>
            </w:tcBorders>
          </w:tcPr>
          <w:p w:rsidR="0070375D" w:rsidRPr="00757A1C" w:rsidRDefault="0070375D" w:rsidP="00757A1C">
            <w:pPr>
              <w:pStyle w:val="TableofFigures"/>
              <w:rPr>
                <w:rFonts w:eastAsiaTheme="minorEastAsia"/>
                <w:color w:val="000000"/>
                <w:lang w:eastAsia="en-AU"/>
              </w:rPr>
            </w:pPr>
            <w:r w:rsidRPr="00757A1C">
              <w:rPr>
                <w:rFonts w:eastAsiaTheme="minorEastAsia"/>
                <w:color w:val="000000"/>
                <w:lang w:eastAsia="en-AU"/>
              </w:rPr>
              <w:t>15.2</w:t>
            </w:r>
          </w:p>
        </w:tc>
        <w:tc>
          <w:tcPr>
            <w:tcW w:w="814" w:type="dxa"/>
            <w:tcBorders>
              <w:top w:val="nil"/>
              <w:left w:val="nil"/>
              <w:bottom w:val="nil"/>
              <w:right w:val="nil"/>
            </w:tcBorders>
          </w:tcPr>
          <w:p w:rsidR="0070375D" w:rsidRPr="00757A1C" w:rsidRDefault="0070375D" w:rsidP="00757A1C">
            <w:pPr>
              <w:pStyle w:val="TableofFigures"/>
              <w:rPr>
                <w:rFonts w:eastAsiaTheme="minorEastAsia"/>
                <w:color w:val="000000"/>
                <w:lang w:eastAsia="en-AU"/>
              </w:rPr>
            </w:pPr>
            <w:r w:rsidRPr="00757A1C">
              <w:rPr>
                <w:rFonts w:eastAsiaTheme="minorEastAsia"/>
                <w:color w:val="000000"/>
                <w:lang w:eastAsia="en-AU"/>
              </w:rPr>
              <w:t>19.8</w:t>
            </w:r>
          </w:p>
        </w:tc>
        <w:tc>
          <w:tcPr>
            <w:tcW w:w="814" w:type="dxa"/>
            <w:tcBorders>
              <w:top w:val="nil"/>
              <w:left w:val="nil"/>
              <w:bottom w:val="nil"/>
              <w:right w:val="nil"/>
            </w:tcBorders>
          </w:tcPr>
          <w:p w:rsidR="0070375D" w:rsidRPr="00757A1C" w:rsidRDefault="0070375D" w:rsidP="00757A1C">
            <w:pPr>
              <w:pStyle w:val="TableofFigures"/>
              <w:rPr>
                <w:rFonts w:eastAsiaTheme="minorEastAsia"/>
                <w:color w:val="000000"/>
                <w:lang w:eastAsia="en-AU"/>
              </w:rPr>
            </w:pPr>
            <w:r w:rsidRPr="00757A1C">
              <w:rPr>
                <w:rFonts w:eastAsiaTheme="minorEastAsia"/>
                <w:color w:val="000000"/>
                <w:lang w:eastAsia="en-AU"/>
              </w:rPr>
              <w:t>23.0</w:t>
            </w:r>
          </w:p>
        </w:tc>
        <w:tc>
          <w:tcPr>
            <w:tcW w:w="813" w:type="dxa"/>
            <w:tcBorders>
              <w:top w:val="nil"/>
              <w:left w:val="nil"/>
              <w:bottom w:val="nil"/>
              <w:right w:val="nil"/>
            </w:tcBorders>
          </w:tcPr>
          <w:p w:rsidR="0070375D" w:rsidRPr="00757A1C" w:rsidRDefault="0070375D" w:rsidP="00757A1C">
            <w:pPr>
              <w:pStyle w:val="TableofFigures"/>
              <w:rPr>
                <w:rFonts w:eastAsiaTheme="minorEastAsia"/>
                <w:color w:val="000000"/>
                <w:lang w:eastAsia="en-AU"/>
              </w:rPr>
            </w:pPr>
            <w:r w:rsidRPr="00757A1C">
              <w:rPr>
                <w:rFonts w:eastAsiaTheme="minorEastAsia"/>
                <w:color w:val="000000"/>
                <w:lang w:eastAsia="en-AU"/>
              </w:rPr>
              <w:t>25.1</w:t>
            </w:r>
          </w:p>
        </w:tc>
        <w:tc>
          <w:tcPr>
            <w:tcW w:w="814" w:type="dxa"/>
            <w:tcBorders>
              <w:top w:val="nil"/>
              <w:left w:val="nil"/>
              <w:bottom w:val="nil"/>
              <w:right w:val="nil"/>
            </w:tcBorders>
          </w:tcPr>
          <w:p w:rsidR="0070375D" w:rsidRPr="00757A1C" w:rsidRDefault="0070375D" w:rsidP="00757A1C">
            <w:pPr>
              <w:pStyle w:val="TableofFigures"/>
              <w:rPr>
                <w:rFonts w:eastAsiaTheme="minorEastAsia"/>
                <w:color w:val="000000"/>
                <w:lang w:eastAsia="en-AU"/>
              </w:rPr>
            </w:pPr>
            <w:r w:rsidRPr="00757A1C">
              <w:rPr>
                <w:rFonts w:eastAsiaTheme="minorEastAsia"/>
                <w:color w:val="000000"/>
                <w:lang w:eastAsia="en-AU"/>
              </w:rPr>
              <w:t>24.4</w:t>
            </w:r>
          </w:p>
        </w:tc>
        <w:tc>
          <w:tcPr>
            <w:tcW w:w="814" w:type="dxa"/>
            <w:tcBorders>
              <w:top w:val="nil"/>
              <w:left w:val="nil"/>
              <w:bottom w:val="nil"/>
              <w:right w:val="nil"/>
            </w:tcBorders>
          </w:tcPr>
          <w:p w:rsidR="0070375D" w:rsidRPr="00757A1C" w:rsidRDefault="0070375D" w:rsidP="00757A1C">
            <w:pPr>
              <w:pStyle w:val="TableofFigures"/>
              <w:rPr>
                <w:rFonts w:eastAsiaTheme="minorEastAsia"/>
                <w:color w:val="000000"/>
                <w:lang w:eastAsia="en-AU"/>
              </w:rPr>
            </w:pPr>
            <w:r w:rsidRPr="00757A1C">
              <w:rPr>
                <w:rFonts w:eastAsiaTheme="minorEastAsia"/>
                <w:color w:val="000000"/>
                <w:lang w:eastAsia="en-AU"/>
              </w:rPr>
              <w:t>22.7</w:t>
            </w:r>
          </w:p>
        </w:tc>
      </w:tr>
      <w:tr w:rsidR="0070375D" w:rsidRPr="00757A1C" w:rsidTr="00757A1C">
        <w:tc>
          <w:tcPr>
            <w:tcW w:w="1994" w:type="dxa"/>
            <w:tcBorders>
              <w:top w:val="nil"/>
              <w:left w:val="nil"/>
              <w:right w:val="nil"/>
            </w:tcBorders>
          </w:tcPr>
          <w:p w:rsidR="0070375D" w:rsidRPr="00757A1C" w:rsidRDefault="0070375D" w:rsidP="00757A1C">
            <w:pPr>
              <w:pStyle w:val="Tabletext"/>
              <w:rPr>
                <w:rFonts w:eastAsiaTheme="minorEastAsia"/>
                <w:color w:val="000000"/>
                <w:vertAlign w:val="superscript"/>
                <w:lang w:eastAsia="en-AU"/>
              </w:rPr>
            </w:pPr>
            <w:r w:rsidRPr="00757A1C">
              <w:rPr>
                <w:rFonts w:eastAsiaTheme="minorEastAsia"/>
                <w:color w:val="000000"/>
                <w:lang w:eastAsia="en-AU"/>
              </w:rPr>
              <w:t>Net debt to GSP</w:t>
            </w:r>
            <w:r w:rsidRPr="00757A1C">
              <w:rPr>
                <w:rFonts w:eastAsiaTheme="minorEastAsia"/>
                <w:color w:val="000000"/>
                <w:vertAlign w:val="superscript"/>
                <w:lang w:eastAsia="en-AU"/>
              </w:rPr>
              <w:t xml:space="preserve"> (c)</w:t>
            </w:r>
          </w:p>
        </w:tc>
        <w:tc>
          <w:tcPr>
            <w:tcW w:w="900" w:type="dxa"/>
            <w:tcBorders>
              <w:top w:val="nil"/>
              <w:left w:val="nil"/>
              <w:right w:val="nil"/>
            </w:tcBorders>
          </w:tcPr>
          <w:p w:rsidR="0070375D" w:rsidRPr="00757A1C" w:rsidRDefault="0070375D" w:rsidP="00757A1C">
            <w:pPr>
              <w:pStyle w:val="Tabletextcentred"/>
              <w:rPr>
                <w:rFonts w:eastAsiaTheme="minorEastAsia"/>
                <w:lang w:eastAsia="en-AU"/>
              </w:rPr>
            </w:pPr>
            <w:r w:rsidRPr="00757A1C">
              <w:rPr>
                <w:rFonts w:eastAsiaTheme="minorEastAsia"/>
                <w:lang w:eastAsia="en-AU"/>
              </w:rPr>
              <w:t>per cent</w:t>
            </w:r>
          </w:p>
        </w:tc>
        <w:tc>
          <w:tcPr>
            <w:tcW w:w="813" w:type="dxa"/>
            <w:tcBorders>
              <w:top w:val="nil"/>
              <w:left w:val="nil"/>
              <w:right w:val="nil"/>
            </w:tcBorders>
          </w:tcPr>
          <w:p w:rsidR="0070375D" w:rsidRPr="00757A1C" w:rsidRDefault="0070375D" w:rsidP="00757A1C">
            <w:pPr>
              <w:pStyle w:val="TableofFigures"/>
              <w:rPr>
                <w:rFonts w:eastAsiaTheme="minorEastAsia"/>
                <w:color w:val="000000"/>
                <w:lang w:eastAsia="en-AU"/>
              </w:rPr>
            </w:pPr>
            <w:r w:rsidRPr="00757A1C">
              <w:rPr>
                <w:rFonts w:eastAsiaTheme="minorEastAsia"/>
                <w:color w:val="000000"/>
                <w:lang w:eastAsia="en-AU"/>
              </w:rPr>
              <w:t>4.6</w:t>
            </w:r>
          </w:p>
        </w:tc>
        <w:tc>
          <w:tcPr>
            <w:tcW w:w="814" w:type="dxa"/>
            <w:tcBorders>
              <w:top w:val="nil"/>
              <w:left w:val="nil"/>
              <w:right w:val="nil"/>
            </w:tcBorders>
          </w:tcPr>
          <w:p w:rsidR="0070375D" w:rsidRPr="00757A1C" w:rsidRDefault="0070375D" w:rsidP="00757A1C">
            <w:pPr>
              <w:pStyle w:val="TableofFigures"/>
              <w:rPr>
                <w:rFonts w:eastAsiaTheme="minorEastAsia"/>
                <w:color w:val="000000"/>
                <w:lang w:eastAsia="en-AU"/>
              </w:rPr>
            </w:pPr>
            <w:r w:rsidRPr="00757A1C">
              <w:rPr>
                <w:rFonts w:eastAsiaTheme="minorEastAsia"/>
                <w:color w:val="000000"/>
                <w:lang w:eastAsia="en-AU"/>
              </w:rPr>
              <w:t>5.8</w:t>
            </w:r>
          </w:p>
        </w:tc>
        <w:tc>
          <w:tcPr>
            <w:tcW w:w="814" w:type="dxa"/>
            <w:tcBorders>
              <w:top w:val="nil"/>
              <w:left w:val="nil"/>
              <w:right w:val="nil"/>
            </w:tcBorders>
          </w:tcPr>
          <w:p w:rsidR="0070375D" w:rsidRPr="00757A1C" w:rsidRDefault="0070375D" w:rsidP="00757A1C">
            <w:pPr>
              <w:pStyle w:val="TableofFigures"/>
              <w:rPr>
                <w:rFonts w:eastAsiaTheme="minorEastAsia"/>
                <w:color w:val="000000"/>
                <w:lang w:eastAsia="en-AU"/>
              </w:rPr>
            </w:pPr>
            <w:r w:rsidRPr="00757A1C">
              <w:rPr>
                <w:rFonts w:eastAsiaTheme="minorEastAsia"/>
                <w:color w:val="000000"/>
                <w:lang w:eastAsia="en-AU"/>
              </w:rPr>
              <w:t>6.4</w:t>
            </w:r>
          </w:p>
        </w:tc>
        <w:tc>
          <w:tcPr>
            <w:tcW w:w="813" w:type="dxa"/>
            <w:tcBorders>
              <w:top w:val="nil"/>
              <w:left w:val="nil"/>
              <w:right w:val="nil"/>
            </w:tcBorders>
          </w:tcPr>
          <w:p w:rsidR="0070375D" w:rsidRPr="00757A1C" w:rsidRDefault="0070375D" w:rsidP="00757A1C">
            <w:pPr>
              <w:pStyle w:val="TableofFigures"/>
              <w:rPr>
                <w:rFonts w:eastAsiaTheme="minorEastAsia"/>
                <w:color w:val="000000"/>
                <w:lang w:eastAsia="en-AU"/>
              </w:rPr>
            </w:pPr>
            <w:r w:rsidRPr="00757A1C">
              <w:rPr>
                <w:rFonts w:eastAsiaTheme="minorEastAsia"/>
                <w:color w:val="000000"/>
                <w:lang w:eastAsia="en-AU"/>
              </w:rPr>
              <w:t>6.6</w:t>
            </w:r>
          </w:p>
        </w:tc>
        <w:tc>
          <w:tcPr>
            <w:tcW w:w="814" w:type="dxa"/>
            <w:tcBorders>
              <w:top w:val="nil"/>
              <w:left w:val="nil"/>
              <w:right w:val="nil"/>
            </w:tcBorders>
          </w:tcPr>
          <w:p w:rsidR="0070375D" w:rsidRPr="00757A1C" w:rsidRDefault="0070375D" w:rsidP="00757A1C">
            <w:pPr>
              <w:pStyle w:val="TableofFigures"/>
              <w:rPr>
                <w:rFonts w:eastAsiaTheme="minorEastAsia"/>
                <w:color w:val="000000"/>
                <w:lang w:eastAsia="en-AU"/>
              </w:rPr>
            </w:pPr>
            <w:r w:rsidRPr="00757A1C">
              <w:rPr>
                <w:rFonts w:eastAsiaTheme="minorEastAsia"/>
                <w:color w:val="000000"/>
                <w:lang w:eastAsia="en-AU"/>
              </w:rPr>
              <w:t>6.1</w:t>
            </w:r>
          </w:p>
        </w:tc>
        <w:tc>
          <w:tcPr>
            <w:tcW w:w="814" w:type="dxa"/>
            <w:tcBorders>
              <w:top w:val="nil"/>
              <w:left w:val="nil"/>
              <w:right w:val="nil"/>
            </w:tcBorders>
          </w:tcPr>
          <w:p w:rsidR="0070375D" w:rsidRPr="00757A1C" w:rsidRDefault="0070375D" w:rsidP="00757A1C">
            <w:pPr>
              <w:pStyle w:val="TableofFigures"/>
              <w:rPr>
                <w:rFonts w:eastAsiaTheme="minorEastAsia"/>
                <w:color w:val="000000"/>
                <w:lang w:eastAsia="en-AU"/>
              </w:rPr>
            </w:pPr>
            <w:r w:rsidRPr="00757A1C">
              <w:rPr>
                <w:rFonts w:eastAsiaTheme="minorEastAsia"/>
                <w:color w:val="000000"/>
                <w:lang w:eastAsia="en-AU"/>
              </w:rPr>
              <w:t>5.4</w:t>
            </w:r>
          </w:p>
        </w:tc>
      </w:tr>
      <w:tr w:rsidR="0070375D" w:rsidRPr="00757A1C" w:rsidTr="00757A1C">
        <w:tc>
          <w:tcPr>
            <w:tcW w:w="1994" w:type="dxa"/>
            <w:tcBorders>
              <w:top w:val="nil"/>
              <w:left w:val="nil"/>
              <w:bottom w:val="single" w:sz="12" w:space="0" w:color="auto"/>
              <w:right w:val="nil"/>
            </w:tcBorders>
          </w:tcPr>
          <w:p w:rsidR="0070375D" w:rsidRPr="00757A1C" w:rsidRDefault="0070375D" w:rsidP="00757A1C">
            <w:pPr>
              <w:pStyle w:val="Tabletext"/>
              <w:rPr>
                <w:rFonts w:eastAsiaTheme="minorEastAsia" w:cs="Calibri"/>
                <w:color w:val="000000"/>
                <w:lang w:eastAsia="en-AU"/>
              </w:rPr>
            </w:pPr>
            <w:r w:rsidRPr="00757A1C">
              <w:rPr>
                <w:rFonts w:eastAsiaTheme="minorEastAsia"/>
                <w:color w:val="000000"/>
                <w:lang w:eastAsia="en-AU"/>
              </w:rPr>
              <w:t xml:space="preserve">Government infrastructure investment </w:t>
            </w:r>
            <w:r w:rsidRPr="00757A1C">
              <w:rPr>
                <w:rFonts w:eastAsiaTheme="minorEastAsia" w:cs="Calibri"/>
                <w:color w:val="000000"/>
                <w:vertAlign w:val="superscript"/>
                <w:lang w:eastAsia="en-AU"/>
              </w:rPr>
              <w:t>(d)</w:t>
            </w:r>
          </w:p>
        </w:tc>
        <w:tc>
          <w:tcPr>
            <w:tcW w:w="900" w:type="dxa"/>
            <w:tcBorders>
              <w:top w:val="nil"/>
              <w:left w:val="nil"/>
              <w:bottom w:val="single" w:sz="12" w:space="0" w:color="auto"/>
              <w:right w:val="nil"/>
            </w:tcBorders>
          </w:tcPr>
          <w:p w:rsidR="0070375D" w:rsidRPr="00757A1C" w:rsidRDefault="0070375D" w:rsidP="00757A1C">
            <w:pPr>
              <w:pStyle w:val="Tabletextcentred"/>
              <w:rPr>
                <w:rFonts w:eastAsiaTheme="minorEastAsia" w:cs="Calibri"/>
                <w:color w:val="000000"/>
                <w:lang w:eastAsia="en-AU"/>
              </w:rPr>
            </w:pPr>
            <w:r w:rsidRPr="00757A1C">
              <w:rPr>
                <w:rFonts w:eastAsiaTheme="minorEastAsia"/>
                <w:lang w:eastAsia="en-AU"/>
              </w:rPr>
              <w:t xml:space="preserve">$ </w:t>
            </w:r>
            <w:r w:rsidRPr="00757A1C">
              <w:rPr>
                <w:rFonts w:eastAsiaTheme="minorEastAsia" w:cs="Calibri"/>
                <w:color w:val="000000"/>
                <w:lang w:eastAsia="en-AU"/>
              </w:rPr>
              <w:t>billion</w:t>
            </w:r>
          </w:p>
        </w:tc>
        <w:tc>
          <w:tcPr>
            <w:tcW w:w="813" w:type="dxa"/>
            <w:tcBorders>
              <w:top w:val="nil"/>
              <w:left w:val="nil"/>
              <w:bottom w:val="single" w:sz="12" w:space="0" w:color="auto"/>
              <w:right w:val="nil"/>
            </w:tcBorders>
          </w:tcPr>
          <w:p w:rsidR="0070375D" w:rsidRPr="00757A1C" w:rsidRDefault="0070375D" w:rsidP="00757A1C">
            <w:pPr>
              <w:pStyle w:val="TableofFigures"/>
              <w:rPr>
                <w:rFonts w:eastAsiaTheme="minorEastAsia" w:cs="Calibri"/>
                <w:color w:val="000000"/>
                <w:lang w:eastAsia="en-AU"/>
              </w:rPr>
            </w:pPr>
            <w:r w:rsidRPr="00757A1C">
              <w:rPr>
                <w:rFonts w:eastAsiaTheme="minorEastAsia"/>
                <w:color w:val="000000"/>
                <w:lang w:eastAsia="en-AU"/>
              </w:rPr>
              <w:t xml:space="preserve"> 5.4</w:t>
            </w:r>
          </w:p>
        </w:tc>
        <w:tc>
          <w:tcPr>
            <w:tcW w:w="814" w:type="dxa"/>
            <w:tcBorders>
              <w:top w:val="nil"/>
              <w:left w:val="nil"/>
              <w:bottom w:val="single" w:sz="12" w:space="0" w:color="auto"/>
              <w:right w:val="nil"/>
            </w:tcBorders>
          </w:tcPr>
          <w:p w:rsidR="0070375D" w:rsidRPr="00757A1C" w:rsidRDefault="0070375D" w:rsidP="00757A1C">
            <w:pPr>
              <w:pStyle w:val="TableofFigures"/>
              <w:rPr>
                <w:rFonts w:eastAsiaTheme="minorEastAsia"/>
                <w:color w:val="000000"/>
                <w:lang w:eastAsia="en-AU"/>
              </w:rPr>
            </w:pPr>
            <w:r w:rsidRPr="00757A1C">
              <w:rPr>
                <w:rFonts w:eastAsiaTheme="minorEastAsia"/>
                <w:color w:val="000000"/>
                <w:lang w:eastAsia="en-AU"/>
              </w:rPr>
              <w:t xml:space="preserve"> 5.4</w:t>
            </w:r>
          </w:p>
        </w:tc>
        <w:tc>
          <w:tcPr>
            <w:tcW w:w="814" w:type="dxa"/>
            <w:tcBorders>
              <w:top w:val="nil"/>
              <w:left w:val="nil"/>
              <w:bottom w:val="single" w:sz="12" w:space="0" w:color="auto"/>
              <w:right w:val="nil"/>
            </w:tcBorders>
          </w:tcPr>
          <w:p w:rsidR="0070375D" w:rsidRPr="00757A1C" w:rsidRDefault="0070375D" w:rsidP="00757A1C">
            <w:pPr>
              <w:pStyle w:val="TableofFigures"/>
              <w:rPr>
                <w:rFonts w:eastAsiaTheme="minorEastAsia"/>
                <w:color w:val="000000"/>
                <w:lang w:eastAsia="en-AU"/>
              </w:rPr>
            </w:pPr>
            <w:r w:rsidRPr="00757A1C">
              <w:rPr>
                <w:rFonts w:eastAsiaTheme="minorEastAsia"/>
                <w:color w:val="000000"/>
                <w:lang w:eastAsia="en-AU"/>
              </w:rPr>
              <w:t xml:space="preserve"> 6.1</w:t>
            </w:r>
          </w:p>
        </w:tc>
        <w:tc>
          <w:tcPr>
            <w:tcW w:w="813" w:type="dxa"/>
            <w:tcBorders>
              <w:top w:val="nil"/>
              <w:left w:val="nil"/>
              <w:bottom w:val="single" w:sz="12" w:space="0" w:color="auto"/>
              <w:right w:val="nil"/>
            </w:tcBorders>
          </w:tcPr>
          <w:p w:rsidR="0070375D" w:rsidRPr="00757A1C" w:rsidRDefault="0070375D" w:rsidP="00757A1C">
            <w:pPr>
              <w:pStyle w:val="TableofFigures"/>
              <w:rPr>
                <w:rFonts w:eastAsiaTheme="minorEastAsia"/>
                <w:color w:val="000000"/>
                <w:lang w:eastAsia="en-AU"/>
              </w:rPr>
            </w:pPr>
            <w:r w:rsidRPr="00757A1C">
              <w:rPr>
                <w:rFonts w:eastAsiaTheme="minorEastAsia"/>
                <w:color w:val="000000"/>
                <w:lang w:eastAsia="en-AU"/>
              </w:rPr>
              <w:t xml:space="preserve"> 6.6</w:t>
            </w:r>
          </w:p>
        </w:tc>
        <w:tc>
          <w:tcPr>
            <w:tcW w:w="814" w:type="dxa"/>
            <w:tcBorders>
              <w:top w:val="nil"/>
              <w:left w:val="nil"/>
              <w:bottom w:val="single" w:sz="12" w:space="0" w:color="auto"/>
              <w:right w:val="nil"/>
            </w:tcBorders>
          </w:tcPr>
          <w:p w:rsidR="0070375D" w:rsidRPr="00757A1C" w:rsidRDefault="0070375D" w:rsidP="00757A1C">
            <w:pPr>
              <w:pStyle w:val="TableofFigures"/>
              <w:rPr>
                <w:rFonts w:eastAsiaTheme="minorEastAsia"/>
                <w:color w:val="000000"/>
                <w:lang w:eastAsia="en-AU"/>
              </w:rPr>
            </w:pPr>
            <w:r w:rsidRPr="00757A1C">
              <w:rPr>
                <w:rFonts w:eastAsiaTheme="minorEastAsia"/>
                <w:color w:val="000000"/>
                <w:lang w:eastAsia="en-AU"/>
              </w:rPr>
              <w:t xml:space="preserve"> 4.0</w:t>
            </w:r>
          </w:p>
        </w:tc>
        <w:tc>
          <w:tcPr>
            <w:tcW w:w="814" w:type="dxa"/>
            <w:tcBorders>
              <w:top w:val="nil"/>
              <w:left w:val="nil"/>
              <w:bottom w:val="single" w:sz="12" w:space="0" w:color="auto"/>
              <w:right w:val="nil"/>
            </w:tcBorders>
          </w:tcPr>
          <w:p w:rsidR="0070375D" w:rsidRPr="00757A1C" w:rsidRDefault="0070375D" w:rsidP="00757A1C">
            <w:pPr>
              <w:pStyle w:val="TableofFigures"/>
              <w:rPr>
                <w:rFonts w:eastAsiaTheme="minorEastAsia"/>
                <w:color w:val="000000"/>
                <w:lang w:eastAsia="en-AU"/>
              </w:rPr>
            </w:pPr>
            <w:r w:rsidRPr="00757A1C">
              <w:rPr>
                <w:rFonts w:eastAsiaTheme="minorEastAsia"/>
                <w:color w:val="000000"/>
                <w:lang w:eastAsia="en-AU"/>
              </w:rPr>
              <w:t xml:space="preserve"> 3.5</w:t>
            </w:r>
          </w:p>
        </w:tc>
      </w:tr>
    </w:tbl>
    <w:p w:rsidR="0070375D" w:rsidRDefault="0070375D" w:rsidP="00050DD4">
      <w:pPr>
        <w:pStyle w:val="Notes"/>
      </w:pPr>
      <w:r>
        <w:t>Source: Department of Treasury and Finance</w:t>
      </w:r>
      <w:r>
        <w:fldChar w:fldCharType="begin"/>
      </w:r>
      <w:r>
        <w:instrText xml:space="preserve"> XE "</w:instrText>
      </w:r>
      <w:r w:rsidRPr="00794CF9">
        <w:instrText>Debt:Net debt</w:instrText>
      </w:r>
      <w:r>
        <w:instrText xml:space="preserve">" </w:instrText>
      </w:r>
      <w:r>
        <w:fldChar w:fldCharType="end"/>
      </w:r>
    </w:p>
    <w:p w:rsidR="0070375D" w:rsidRDefault="0070375D" w:rsidP="00FF660C">
      <w:pPr>
        <w:pStyle w:val="Notes"/>
      </w:pPr>
    </w:p>
    <w:p w:rsidR="0070375D" w:rsidRPr="00691E37" w:rsidRDefault="0070375D" w:rsidP="00691E37">
      <w:pPr>
        <w:pStyle w:val="Notes"/>
        <w:rPr>
          <w:rStyle w:val="NotesChar"/>
          <w:i/>
        </w:rPr>
      </w:pPr>
      <w:r w:rsidRPr="00691E37">
        <w:rPr>
          <w:rStyle w:val="NotesChar"/>
          <w:i/>
        </w:rPr>
        <w:t>Notes:</w:t>
      </w:r>
    </w:p>
    <w:p w:rsidR="0070375D" w:rsidRPr="00757A1C" w:rsidRDefault="0070375D" w:rsidP="00757A1C">
      <w:pPr>
        <w:pStyle w:val="Notes"/>
        <w:rPr>
          <w:rStyle w:val="NotesChar"/>
          <w:i/>
        </w:rPr>
      </w:pPr>
      <w:r w:rsidRPr="00757A1C">
        <w:rPr>
          <w:rStyle w:val="NotesChar"/>
          <w:i/>
        </w:rPr>
        <w:t>(a)</w:t>
      </w:r>
      <w:r w:rsidRPr="00757A1C">
        <w:rPr>
          <w:rStyle w:val="NotesChar"/>
          <w:i/>
        </w:rPr>
        <w:tab/>
      </w:r>
      <w:r>
        <w:rPr>
          <w:rStyle w:val="NotesChar"/>
          <w:i/>
        </w:rPr>
        <w:t>Equals to t</w:t>
      </w:r>
      <w:r w:rsidRPr="00757A1C">
        <w:rPr>
          <w:rStyle w:val="NotesChar"/>
          <w:i/>
        </w:rPr>
        <w:t>he net result from transactions less the impact of the revised AASB</w:t>
      </w:r>
      <w:r>
        <w:rPr>
          <w:rStyle w:val="NotesChar"/>
          <w:i/>
        </w:rPr>
        <w:fldChar w:fldCharType="begin"/>
      </w:r>
      <w:r>
        <w:instrText xml:space="preserve"> XE "</w:instrText>
      </w:r>
      <w:r w:rsidRPr="00567DC5">
        <w:rPr>
          <w:rStyle w:val="NotesChar"/>
        </w:rPr>
        <w:instrText>AASB 119</w:instrText>
      </w:r>
      <w:r>
        <w:rPr>
          <w:rStyle w:val="NotesChar"/>
          <w:i/>
        </w:rPr>
        <w:instrText xml:space="preserve"> Employee Benefits</w:instrText>
      </w:r>
      <w:r>
        <w:instrText xml:space="preserve">" </w:instrText>
      </w:r>
      <w:r>
        <w:rPr>
          <w:rStyle w:val="NotesChar"/>
          <w:i/>
        </w:rPr>
        <w:fldChar w:fldCharType="end"/>
      </w:r>
      <w:r>
        <w:rPr>
          <w:rStyle w:val="NotesChar"/>
          <w:i/>
        </w:rPr>
        <w:t xml:space="preserve"> 119 </w:t>
      </w:r>
      <w:r w:rsidRPr="00567DC5">
        <w:rPr>
          <w:rStyle w:val="NotesChar"/>
        </w:rPr>
        <w:t>Employee Benefits</w:t>
      </w:r>
      <w:r>
        <w:rPr>
          <w:rStyle w:val="NotesChar"/>
          <w:i/>
        </w:rPr>
        <w:t>, which applies from 2013</w:t>
      </w:r>
      <w:r w:rsidR="00276239">
        <w:rPr>
          <w:rStyle w:val="NotesChar"/>
          <w:i/>
        </w:rPr>
        <w:noBreakHyphen/>
      </w:r>
      <w:r>
        <w:rPr>
          <w:rStyle w:val="NotesChar"/>
          <w:i/>
        </w:rPr>
        <w:t>14</w:t>
      </w:r>
      <w:r w:rsidRPr="00757A1C">
        <w:rPr>
          <w:rStyle w:val="NotesChar"/>
          <w:i/>
        </w:rPr>
        <w:t>.</w:t>
      </w:r>
    </w:p>
    <w:p w:rsidR="0070375D" w:rsidRPr="00757A1C" w:rsidRDefault="0070375D" w:rsidP="00757A1C">
      <w:pPr>
        <w:pStyle w:val="Notes"/>
        <w:rPr>
          <w:rStyle w:val="NotesChar"/>
          <w:i/>
        </w:rPr>
      </w:pPr>
      <w:r w:rsidRPr="00757A1C">
        <w:rPr>
          <w:rStyle w:val="NotesChar"/>
          <w:i/>
        </w:rPr>
        <w:t>(b)</w:t>
      </w:r>
      <w:r w:rsidRPr="00757A1C">
        <w:rPr>
          <w:rStyle w:val="NotesChar"/>
          <w:i/>
        </w:rPr>
        <w:tab/>
        <w:t>The sum of borrowings, deposits held and advances received less the sum of cash and deposits, advances paid, and investments, loans and placements.</w:t>
      </w:r>
    </w:p>
    <w:p w:rsidR="0070375D" w:rsidRPr="00757A1C" w:rsidRDefault="0070375D" w:rsidP="00757A1C">
      <w:pPr>
        <w:pStyle w:val="Notes"/>
        <w:rPr>
          <w:rStyle w:val="NotesChar"/>
          <w:i/>
        </w:rPr>
      </w:pPr>
      <w:r w:rsidRPr="00757A1C">
        <w:rPr>
          <w:rStyle w:val="NotesChar"/>
          <w:i/>
        </w:rPr>
        <w:t>(c)</w:t>
      </w:r>
      <w:r w:rsidRPr="00757A1C">
        <w:rPr>
          <w:rStyle w:val="NotesChar"/>
          <w:i/>
        </w:rPr>
        <w:tab/>
        <w:t>Ratios to GSP may vary from publications year to year due to revisions to the ABS GSP data</w:t>
      </w:r>
      <w:r>
        <w:rPr>
          <w:rStyle w:val="NotesChar"/>
          <w:i/>
        </w:rPr>
        <w:t>.</w:t>
      </w:r>
    </w:p>
    <w:p w:rsidR="0070375D" w:rsidRDefault="0070375D" w:rsidP="00757A1C">
      <w:pPr>
        <w:pStyle w:val="Notes"/>
        <w:rPr>
          <w:rStyle w:val="NotesChar"/>
          <w:i/>
        </w:rPr>
      </w:pPr>
      <w:r w:rsidRPr="00757A1C">
        <w:rPr>
          <w:rStyle w:val="NotesChar"/>
          <w:i/>
        </w:rPr>
        <w:t>(d)</w:t>
      </w:r>
      <w:r w:rsidRPr="00757A1C">
        <w:rPr>
          <w:rStyle w:val="NotesChar"/>
          <w:i/>
        </w:rPr>
        <w:tab/>
        <w:t>Includes general government net infrastructure investment and estimated cashflows for Partnerships Victoria projects, and excludes one off fiscal stimulus payments for Nation Building – Economic Stimulus Plan Social Housing component and Building the Education Revolution.</w:t>
      </w:r>
    </w:p>
    <w:p w:rsidR="0070375D" w:rsidRDefault="0070375D">
      <w:pPr>
        <w:spacing w:after="0"/>
        <w:rPr>
          <w:lang w:eastAsia="en-AU"/>
        </w:rPr>
      </w:pPr>
    </w:p>
    <w:p w:rsidR="00F3192F" w:rsidRDefault="00F3192F">
      <w:pPr>
        <w:spacing w:after="0"/>
        <w:rPr>
          <w:lang w:eastAsia="en-AU"/>
        </w:rPr>
      </w:pPr>
      <w:r>
        <w:rPr>
          <w:lang w:eastAsia="en-AU"/>
        </w:rPr>
        <w:br w:type="page"/>
      </w:r>
    </w:p>
    <w:p w:rsidR="0070375D" w:rsidRPr="000215A6" w:rsidRDefault="0070375D" w:rsidP="00AC6B9A">
      <w:r>
        <w:rPr>
          <w:lang w:eastAsia="en-AU"/>
        </w:rPr>
        <w:lastRenderedPageBreak/>
        <w:t xml:space="preserve">The Government has achieved a strong fiscal position despite the State facing significant revenue pressures. More modest </w:t>
      </w:r>
      <w:r>
        <w:t xml:space="preserve">economic growth in recent years has correspondingly reduced growth in government revenues, particularly GST revenue. </w:t>
      </w:r>
      <w:r>
        <w:rPr>
          <w:lang w:eastAsia="en-AU"/>
        </w:rPr>
        <w:t>Growth in the national GST pool is easing as household spending has tended to favour GST</w:t>
      </w:r>
      <w:r w:rsidR="00276239">
        <w:rPr>
          <w:lang w:eastAsia="en-AU"/>
        </w:rPr>
        <w:noBreakHyphen/>
      </w:r>
      <w:r>
        <w:rPr>
          <w:lang w:eastAsia="en-AU"/>
        </w:rPr>
        <w:t>exempt goods and services. This effect has been exacerbated by the State</w:t>
      </w:r>
      <w:r w:rsidR="00276239">
        <w:rPr>
          <w:lang w:eastAsia="en-AU"/>
        </w:rPr>
        <w:t>’</w:t>
      </w:r>
      <w:r>
        <w:rPr>
          <w:lang w:eastAsia="en-AU"/>
        </w:rPr>
        <w:t>s share of the national GST</w:t>
      </w:r>
      <w:r>
        <w:rPr>
          <w:lang w:eastAsia="en-AU"/>
        </w:rPr>
        <w:fldChar w:fldCharType="begin"/>
      </w:r>
      <w:r>
        <w:instrText xml:space="preserve"> XE "</w:instrText>
      </w:r>
      <w:r w:rsidRPr="001033ED">
        <w:instrText>Goods and services tax</w:instrText>
      </w:r>
      <w:r>
        <w:instrText xml:space="preserve">" </w:instrText>
      </w:r>
      <w:r>
        <w:rPr>
          <w:lang w:eastAsia="en-AU"/>
        </w:rPr>
        <w:fldChar w:fldCharType="end"/>
      </w:r>
      <w:r>
        <w:rPr>
          <w:lang w:eastAsia="en-AU"/>
        </w:rPr>
        <w:t xml:space="preserve"> pool</w:t>
      </w:r>
      <w:r w:rsidRPr="00C602BD">
        <w:rPr>
          <w:lang w:eastAsia="en-AU"/>
        </w:rPr>
        <w:t xml:space="preserve"> </w:t>
      </w:r>
      <w:r>
        <w:rPr>
          <w:lang w:eastAsia="en-AU"/>
        </w:rPr>
        <w:t>decreasing in 2013</w:t>
      </w:r>
      <w:r w:rsidR="00276239">
        <w:rPr>
          <w:lang w:eastAsia="en-AU"/>
        </w:rPr>
        <w:noBreakHyphen/>
      </w:r>
      <w:r>
        <w:rPr>
          <w:lang w:eastAsia="en-AU"/>
        </w:rPr>
        <w:t xml:space="preserve">14. </w:t>
      </w:r>
      <w:r>
        <w:t>In 2013</w:t>
      </w:r>
      <w:r w:rsidR="00276239">
        <w:noBreakHyphen/>
      </w:r>
      <w:r>
        <w:t>14, Victoria</w:t>
      </w:r>
      <w:r w:rsidR="00276239">
        <w:t>’</w:t>
      </w:r>
      <w:r>
        <w:t xml:space="preserve">s GST grant is estimated to be around $1.2 billion less than a population based GST distribution would deliver. </w:t>
      </w:r>
      <w:r>
        <w:rPr>
          <w:rFonts w:cs="Garamond"/>
          <w:color w:val="000000"/>
          <w:szCs w:val="22"/>
          <w:lang w:eastAsia="en-AU"/>
        </w:rPr>
        <w:t>Co</w:t>
      </w:r>
      <w:r w:rsidRPr="00D8054F">
        <w:rPr>
          <w:rFonts w:cs="Garamond"/>
          <w:color w:val="000000"/>
          <w:szCs w:val="22"/>
          <w:lang w:eastAsia="en-AU"/>
        </w:rPr>
        <w:t>nsumer</w:t>
      </w:r>
      <w:r>
        <w:rPr>
          <w:rFonts w:cs="Garamond"/>
          <w:color w:val="000000"/>
          <w:szCs w:val="22"/>
          <w:lang w:eastAsia="en-AU"/>
        </w:rPr>
        <w:fldChar w:fldCharType="begin"/>
      </w:r>
      <w:r>
        <w:instrText xml:space="preserve"> XE "</w:instrText>
      </w:r>
      <w:r w:rsidRPr="001033ED">
        <w:rPr>
          <w:rFonts w:cs="Garamond"/>
          <w:color w:val="000000"/>
          <w:szCs w:val="22"/>
          <w:lang w:eastAsia="en-AU"/>
        </w:rPr>
        <w:instrText>Consumer sentiment</w:instrText>
      </w:r>
      <w:r>
        <w:instrText xml:space="preserve">" </w:instrText>
      </w:r>
      <w:r>
        <w:rPr>
          <w:rFonts w:cs="Garamond"/>
          <w:color w:val="000000"/>
          <w:szCs w:val="22"/>
          <w:lang w:eastAsia="en-AU"/>
        </w:rPr>
        <w:fldChar w:fldCharType="end"/>
      </w:r>
      <w:r w:rsidRPr="00D8054F">
        <w:rPr>
          <w:rFonts w:cs="Garamond"/>
          <w:color w:val="000000"/>
          <w:szCs w:val="22"/>
          <w:lang w:eastAsia="en-AU"/>
        </w:rPr>
        <w:t xml:space="preserve"> caution </w:t>
      </w:r>
      <w:r>
        <w:rPr>
          <w:rFonts w:cs="Garamond"/>
          <w:color w:val="000000"/>
          <w:szCs w:val="22"/>
          <w:lang w:eastAsia="en-AU"/>
        </w:rPr>
        <w:t xml:space="preserve">across the country </w:t>
      </w:r>
      <w:r w:rsidRPr="00F264FF">
        <w:rPr>
          <w:rFonts w:cs="Garamond"/>
          <w:color w:val="000000"/>
          <w:szCs w:val="22"/>
          <w:lang w:eastAsia="en-AU"/>
        </w:rPr>
        <w:t xml:space="preserve">and </w:t>
      </w:r>
      <w:r>
        <w:rPr>
          <w:rFonts w:cs="Garamond"/>
          <w:color w:val="000000"/>
          <w:szCs w:val="22"/>
          <w:lang w:eastAsia="en-AU"/>
        </w:rPr>
        <w:t xml:space="preserve">heightened </w:t>
      </w:r>
      <w:r w:rsidRPr="00F264FF">
        <w:rPr>
          <w:rFonts w:cs="Garamond"/>
          <w:color w:val="000000"/>
          <w:szCs w:val="22"/>
          <w:lang w:eastAsia="en-AU"/>
        </w:rPr>
        <w:t xml:space="preserve">economic uncertainty </w:t>
      </w:r>
      <w:r>
        <w:rPr>
          <w:rFonts w:cs="Garamond"/>
          <w:color w:val="000000"/>
          <w:szCs w:val="22"/>
          <w:lang w:eastAsia="en-AU"/>
        </w:rPr>
        <w:t xml:space="preserve">at the national level </w:t>
      </w:r>
      <w:r w:rsidRPr="00F264FF">
        <w:rPr>
          <w:rFonts w:cs="Garamond"/>
          <w:color w:val="000000"/>
          <w:szCs w:val="22"/>
          <w:lang w:eastAsia="en-AU"/>
        </w:rPr>
        <w:t xml:space="preserve">have </w:t>
      </w:r>
      <w:r>
        <w:rPr>
          <w:rFonts w:cs="Garamond"/>
          <w:color w:val="000000"/>
          <w:szCs w:val="22"/>
          <w:lang w:eastAsia="en-AU"/>
        </w:rPr>
        <w:t xml:space="preserve">also </w:t>
      </w:r>
      <w:r w:rsidRPr="00F264FF">
        <w:rPr>
          <w:rFonts w:cs="Garamond"/>
          <w:color w:val="000000"/>
          <w:szCs w:val="22"/>
          <w:lang w:eastAsia="en-AU"/>
        </w:rPr>
        <w:t>weighed on Victoria</w:t>
      </w:r>
      <w:r w:rsidR="00276239">
        <w:rPr>
          <w:rFonts w:cs="Garamond"/>
          <w:color w:val="000000"/>
          <w:szCs w:val="22"/>
          <w:lang w:eastAsia="en-AU"/>
        </w:rPr>
        <w:t>’</w:t>
      </w:r>
      <w:r w:rsidRPr="00F264FF">
        <w:rPr>
          <w:rFonts w:cs="Garamond"/>
          <w:color w:val="000000"/>
          <w:szCs w:val="22"/>
          <w:lang w:eastAsia="en-AU"/>
        </w:rPr>
        <w:t xml:space="preserve">s property market, </w:t>
      </w:r>
      <w:r>
        <w:rPr>
          <w:rFonts w:cs="Garamond"/>
          <w:color w:val="000000"/>
          <w:szCs w:val="22"/>
          <w:lang w:eastAsia="en-AU"/>
        </w:rPr>
        <w:t>flowing through to soft growth</w:t>
      </w:r>
      <w:r w:rsidRPr="00F264FF">
        <w:rPr>
          <w:rFonts w:cs="Garamond"/>
          <w:color w:val="000000"/>
          <w:szCs w:val="22"/>
          <w:lang w:eastAsia="en-AU"/>
        </w:rPr>
        <w:t xml:space="preserve"> in </w:t>
      </w:r>
      <w:r w:rsidRPr="00AC6B9A">
        <w:rPr>
          <w:rFonts w:cs="Garamond"/>
          <w:color w:val="000000"/>
          <w:szCs w:val="22"/>
          <w:lang w:eastAsia="en-AU"/>
        </w:rPr>
        <w:t>forecast</w:t>
      </w:r>
      <w:r>
        <w:rPr>
          <w:rFonts w:cs="Garamond"/>
          <w:color w:val="000000"/>
          <w:szCs w:val="22"/>
          <w:lang w:eastAsia="en-AU"/>
        </w:rPr>
        <w:t xml:space="preserve"> </w:t>
      </w:r>
      <w:r w:rsidRPr="00F264FF">
        <w:rPr>
          <w:rFonts w:cs="Garamond"/>
          <w:color w:val="000000"/>
          <w:szCs w:val="22"/>
          <w:lang w:eastAsia="en-AU"/>
        </w:rPr>
        <w:t>land transfer duty</w:t>
      </w:r>
      <w:r>
        <w:rPr>
          <w:rFonts w:cs="Garamond"/>
          <w:color w:val="000000"/>
          <w:szCs w:val="22"/>
          <w:lang w:eastAsia="en-AU"/>
        </w:rPr>
        <w:fldChar w:fldCharType="begin"/>
      </w:r>
      <w:r>
        <w:instrText xml:space="preserve"> XE "</w:instrText>
      </w:r>
      <w:r w:rsidRPr="000F6481">
        <w:rPr>
          <w:rFonts w:cs="Garamond"/>
          <w:color w:val="000000"/>
          <w:szCs w:val="22"/>
          <w:lang w:eastAsia="en-AU"/>
        </w:rPr>
        <w:instrText>Land transfer duty</w:instrText>
      </w:r>
      <w:r>
        <w:instrText xml:space="preserve">" </w:instrText>
      </w:r>
      <w:r>
        <w:rPr>
          <w:rFonts w:cs="Garamond"/>
          <w:color w:val="000000"/>
          <w:szCs w:val="22"/>
          <w:lang w:eastAsia="en-AU"/>
        </w:rPr>
        <w:fldChar w:fldCharType="end"/>
      </w:r>
      <w:r w:rsidRPr="00F264FF">
        <w:rPr>
          <w:rFonts w:cs="Garamond"/>
          <w:color w:val="000000"/>
          <w:szCs w:val="22"/>
          <w:lang w:eastAsia="en-AU"/>
        </w:rPr>
        <w:t xml:space="preserve"> revenue</w:t>
      </w:r>
      <w:r>
        <w:rPr>
          <w:rFonts w:cs="Garamond"/>
          <w:color w:val="000000"/>
          <w:szCs w:val="22"/>
          <w:lang w:eastAsia="en-AU"/>
        </w:rPr>
        <w:t>.</w:t>
      </w:r>
    </w:p>
    <w:p w:rsidR="0070375D" w:rsidRDefault="0070375D" w:rsidP="00A600EE">
      <w:pPr>
        <w:autoSpaceDE w:val="0"/>
        <w:autoSpaceDN w:val="0"/>
        <w:adjustRightInd w:val="0"/>
        <w:rPr>
          <w:rFonts w:cs="Garamond"/>
          <w:color w:val="000000"/>
          <w:szCs w:val="22"/>
          <w:lang w:eastAsia="en-AU"/>
        </w:rPr>
      </w:pPr>
      <w:r w:rsidRPr="00CE42F5">
        <w:rPr>
          <w:rFonts w:cs="Garamond"/>
          <w:color w:val="000000"/>
          <w:szCs w:val="22"/>
          <w:lang w:eastAsia="en-AU"/>
        </w:rPr>
        <w:t>Victoria</w:t>
      </w:r>
      <w:r w:rsidR="00276239">
        <w:rPr>
          <w:rFonts w:cs="Garamond"/>
          <w:color w:val="000000"/>
          <w:szCs w:val="22"/>
          <w:lang w:eastAsia="en-AU"/>
        </w:rPr>
        <w:t>’</w:t>
      </w:r>
      <w:r w:rsidRPr="00CE42F5">
        <w:rPr>
          <w:rFonts w:cs="Garamond"/>
          <w:color w:val="000000"/>
          <w:szCs w:val="22"/>
          <w:lang w:eastAsia="en-AU"/>
        </w:rPr>
        <w:t xml:space="preserve">s fiscal pressures are compounded by the Commonwealth </w:t>
      </w:r>
      <w:r w:rsidRPr="00CE42F5">
        <w:t xml:space="preserve">raising service delivery expectations in areas of state responsibility without </w:t>
      </w:r>
      <w:r>
        <w:t xml:space="preserve">providing </w:t>
      </w:r>
      <w:r w:rsidRPr="00CE42F5">
        <w:t>appropriate funding support</w:t>
      </w:r>
      <w:r>
        <w:t xml:space="preserve">. There is also the </w:t>
      </w:r>
      <w:r w:rsidRPr="00CE42F5">
        <w:t>ongoing risk that grants</w:t>
      </w:r>
      <w:r>
        <w:fldChar w:fldCharType="begin"/>
      </w:r>
      <w:r>
        <w:instrText xml:space="preserve"> XE "</w:instrText>
      </w:r>
      <w:r w:rsidRPr="004A1F3C">
        <w:instrText>Grants:Commonwealth</w:instrText>
      </w:r>
      <w:r>
        <w:instrText xml:space="preserve">" </w:instrText>
      </w:r>
      <w:r>
        <w:fldChar w:fldCharType="end"/>
      </w:r>
      <w:r w:rsidRPr="00CE42F5">
        <w:t xml:space="preserve"> will be reduced or costs shifted to states to alleviate Commonwealth Government budget pressures.</w:t>
      </w:r>
    </w:p>
    <w:p w:rsidR="0070375D" w:rsidRDefault="0070375D" w:rsidP="00313CB5">
      <w:r>
        <w:t>Faced with these revenue challenges, the Government has acted decisively to restrain spending and provide a stronger medium</w:t>
      </w:r>
      <w:r w:rsidR="00276239">
        <w:noBreakHyphen/>
      </w:r>
      <w:r>
        <w:t xml:space="preserve">term budget position. </w:t>
      </w:r>
      <w:r w:rsidRPr="007D7BBD">
        <w:t xml:space="preserve">Since the </w:t>
      </w:r>
      <w:r w:rsidRPr="007D7BBD">
        <w:rPr>
          <w:i/>
        </w:rPr>
        <w:t>2011</w:t>
      </w:r>
      <w:r w:rsidR="00276239">
        <w:rPr>
          <w:i/>
        </w:rPr>
        <w:noBreakHyphen/>
      </w:r>
      <w:r w:rsidRPr="007D7BBD">
        <w:rPr>
          <w:i/>
        </w:rPr>
        <w:t>12 Budget</w:t>
      </w:r>
      <w:r w:rsidRPr="007D7BBD">
        <w:t>, the Government has implemented savings and targeted revenu</w:t>
      </w:r>
      <w:r>
        <w:t>e</w:t>
      </w:r>
      <w:r w:rsidR="00276239">
        <w:noBreakHyphen/>
      </w:r>
      <w:r w:rsidRPr="007D7BBD">
        <w:t>raising initiatives averaging a</w:t>
      </w:r>
      <w:r>
        <w:t>round</w:t>
      </w:r>
      <w:r w:rsidRPr="007D7BBD">
        <w:t xml:space="preserve"> </w:t>
      </w:r>
      <w:r w:rsidRPr="00691E37">
        <w:t>$3</w:t>
      </w:r>
      <w:r>
        <w:t> billion a year over the b</w:t>
      </w:r>
      <w:r w:rsidRPr="007D7BBD">
        <w:t>udget and forward estimates</w:t>
      </w:r>
      <w:r>
        <w:t xml:space="preserve"> to improve the State</w:t>
      </w:r>
      <w:r w:rsidR="00276239">
        <w:t>’</w:t>
      </w:r>
      <w:r>
        <w:t>s finances (Table 1.2).</w:t>
      </w:r>
    </w:p>
    <w:p w:rsidR="0070375D" w:rsidRDefault="0070375D" w:rsidP="00313CB5">
      <w:r w:rsidRPr="00991C57">
        <w:t xml:space="preserve">Expenditure growth over the forward estimates </w:t>
      </w:r>
      <w:r>
        <w:t>is expected to</w:t>
      </w:r>
      <w:r w:rsidRPr="00991C57">
        <w:t xml:space="preserve"> average 2.</w:t>
      </w:r>
      <w:r>
        <w:t>5 per cent</w:t>
      </w:r>
      <w:r w:rsidRPr="00991C57">
        <w:t xml:space="preserve"> </w:t>
      </w:r>
      <w:r>
        <w:t>a</w:t>
      </w:r>
      <w:r w:rsidRPr="00991C57">
        <w:t xml:space="preserve"> year, significantly lower than the 7.3</w:t>
      </w:r>
      <w:r>
        <w:t> per cent</w:t>
      </w:r>
      <w:r w:rsidRPr="00991C57">
        <w:t xml:space="preserve"> average annual growth rate over the decade to 2010</w:t>
      </w:r>
      <w:r w:rsidR="00276239">
        <w:noBreakHyphen/>
      </w:r>
      <w:r w:rsidRPr="00991C57">
        <w:t xml:space="preserve">11. </w:t>
      </w:r>
      <w:r>
        <w:t xml:space="preserve">This compares to </w:t>
      </w:r>
      <w:r w:rsidRPr="007D7BBD">
        <w:t xml:space="preserve">forecast </w:t>
      </w:r>
      <w:r>
        <w:t xml:space="preserve">average annual </w:t>
      </w:r>
      <w:r w:rsidRPr="007D7BBD">
        <w:t>revenue</w:t>
      </w:r>
      <w:r>
        <w:fldChar w:fldCharType="begin"/>
      </w:r>
      <w:r>
        <w:instrText xml:space="preserve"> XE "</w:instrText>
      </w:r>
      <w:r w:rsidRPr="001033ED">
        <w:instrText>Revenue</w:instrText>
      </w:r>
      <w:r>
        <w:instrText xml:space="preserve">" </w:instrText>
      </w:r>
      <w:r>
        <w:fldChar w:fldCharType="end"/>
      </w:r>
      <w:r w:rsidRPr="007D7BBD">
        <w:t xml:space="preserve"> growth </w:t>
      </w:r>
      <w:r w:rsidRPr="00691E37">
        <w:t>of 4</w:t>
      </w:r>
      <w:r>
        <w:t>.0 per cent</w:t>
      </w:r>
      <w:r w:rsidRPr="007D7BBD">
        <w:t xml:space="preserve"> </w:t>
      </w:r>
      <w:r>
        <w:t>over the forward estimates</w:t>
      </w:r>
      <w:r w:rsidRPr="007D7BBD">
        <w:t>.</w:t>
      </w:r>
    </w:p>
    <w:p w:rsidR="0070375D" w:rsidRDefault="0070375D" w:rsidP="00751E9B">
      <w:r w:rsidRPr="007D7BBD">
        <w:t>The</w:t>
      </w:r>
      <w:r>
        <w:t xml:space="preserve"> Government</w:t>
      </w:r>
      <w:r w:rsidR="00276239">
        <w:t>’</w:t>
      </w:r>
      <w:r>
        <w:t>s</w:t>
      </w:r>
      <w:r w:rsidRPr="007D7BBD">
        <w:t xml:space="preserve"> savings</w:t>
      </w:r>
      <w:r>
        <w:fldChar w:fldCharType="begin"/>
      </w:r>
      <w:r>
        <w:instrText xml:space="preserve"> XE "</w:instrText>
      </w:r>
      <w:r w:rsidRPr="001033ED">
        <w:instrText>Savings</w:instrText>
      </w:r>
      <w:r>
        <w:instrText xml:space="preserve">" </w:instrText>
      </w:r>
      <w:r>
        <w:fldChar w:fldCharType="end"/>
      </w:r>
      <w:r w:rsidRPr="007D7BBD">
        <w:t xml:space="preserve"> measures</w:t>
      </w:r>
      <w:r>
        <w:t xml:space="preserve"> return</w:t>
      </w:r>
      <w:r w:rsidRPr="007D7BBD">
        <w:t xml:space="preserve"> </w:t>
      </w:r>
      <w:r>
        <w:t xml:space="preserve">expenditure </w:t>
      </w:r>
      <w:r w:rsidRPr="007D7BBD">
        <w:t xml:space="preserve">growth </w:t>
      </w:r>
      <w:r>
        <w:t xml:space="preserve">to </w:t>
      </w:r>
      <w:r w:rsidRPr="007D7BBD">
        <w:t xml:space="preserve">more sustainable levels </w:t>
      </w:r>
      <w:r>
        <w:t xml:space="preserve">consistent with the more modest revenue outlook. At the same time, focusing on </w:t>
      </w:r>
      <w:r w:rsidRPr="00CE42F5">
        <w:t xml:space="preserve">more efficient government operations </w:t>
      </w:r>
      <w:r>
        <w:t>has allowed the State to deliver</w:t>
      </w:r>
      <w:r w:rsidRPr="00CE42F5">
        <w:t xml:space="preserve"> improved frontline services to Victorians while responsibly funding a </w:t>
      </w:r>
      <w:r w:rsidRPr="00AC6B9A">
        <w:t>record</w:t>
      </w:r>
      <w:r w:rsidRPr="00CE42F5">
        <w:t xml:space="preserve"> </w:t>
      </w:r>
      <w:r>
        <w:t>commitment to new infrastructure projects</w:t>
      </w:r>
      <w:r w:rsidRPr="00CE42F5">
        <w:t>.</w:t>
      </w:r>
      <w:r>
        <w:fldChar w:fldCharType="begin"/>
      </w:r>
      <w:r>
        <w:instrText xml:space="preserve"> XE "</w:instrText>
      </w:r>
      <w:r w:rsidRPr="008C461E">
        <w:instrText>Economic growth</w:instrText>
      </w:r>
      <w:r>
        <w:instrText xml:space="preserve">" \r "BP2Ch1EcoGrowth" </w:instrText>
      </w:r>
      <w:r>
        <w:fldChar w:fldCharType="end"/>
      </w:r>
    </w:p>
    <w:bookmarkEnd w:id="1"/>
    <w:p w:rsidR="00F3192F" w:rsidRDefault="00F3192F">
      <w:pPr>
        <w:spacing w:after="0"/>
        <w:rPr>
          <w:rFonts w:ascii="Calibri" w:hAnsi="Calibri"/>
          <w:b/>
        </w:rPr>
      </w:pPr>
      <w:r>
        <w:br w:type="page"/>
      </w:r>
    </w:p>
    <w:p w:rsidR="0070375D" w:rsidRDefault="0070375D" w:rsidP="00751E9B">
      <w:pPr>
        <w:pStyle w:val="Tableheading"/>
      </w:pPr>
      <w:r>
        <w:lastRenderedPageBreak/>
        <w:t>Table 1.2:</w:t>
      </w:r>
      <w:r>
        <w:tab/>
        <w:t>Variations to revenue compared with estimated aggregate savings and targeted revenue measures</w:t>
      </w:r>
    </w:p>
    <w:p w:rsidR="0070375D" w:rsidRPr="00F962C2" w:rsidRDefault="0070375D" w:rsidP="00F962C2">
      <w:pPr>
        <w:pStyle w:val="million"/>
      </w:pPr>
      <w:r w:rsidRPr="00BC0802">
        <w:t>($</w:t>
      </w: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803"/>
        <w:gridCol w:w="994"/>
        <w:gridCol w:w="993"/>
        <w:gridCol w:w="993"/>
        <w:gridCol w:w="993"/>
      </w:tblGrid>
      <w:tr w:rsidR="0070375D" w:rsidRPr="00F962C2" w:rsidTr="00F962C2">
        <w:tc>
          <w:tcPr>
            <w:tcW w:w="3803" w:type="dxa"/>
            <w:tcBorders>
              <w:top w:val="single" w:sz="6" w:space="0" w:color="auto"/>
              <w:left w:val="single" w:sz="6" w:space="0" w:color="auto"/>
              <w:bottom w:val="single" w:sz="6" w:space="0" w:color="auto"/>
            </w:tcBorders>
            <w:shd w:val="clear" w:color="auto" w:fill="000000"/>
          </w:tcPr>
          <w:p w:rsidR="0070375D" w:rsidRPr="00F962C2" w:rsidRDefault="0070375D" w:rsidP="00F962C2">
            <w:pPr>
              <w:pStyle w:val="Tabletext"/>
              <w:rPr>
                <w:rFonts w:eastAsiaTheme="minorEastAsia"/>
                <w:lang w:eastAsia="en-AU"/>
              </w:rPr>
            </w:pPr>
            <w:r w:rsidRPr="00F962C2">
              <w:rPr>
                <w:rFonts w:eastAsiaTheme="minorEastAsia"/>
                <w:lang w:eastAsia="en-AU"/>
              </w:rPr>
              <w:t xml:space="preserve"> </w:t>
            </w:r>
          </w:p>
        </w:tc>
        <w:tc>
          <w:tcPr>
            <w:tcW w:w="994" w:type="dxa"/>
            <w:tcBorders>
              <w:top w:val="single" w:sz="6" w:space="0" w:color="auto"/>
              <w:bottom w:val="single" w:sz="6" w:space="0" w:color="auto"/>
            </w:tcBorders>
            <w:shd w:val="clear" w:color="auto" w:fill="000000"/>
          </w:tcPr>
          <w:p w:rsidR="0070375D" w:rsidRPr="00F962C2" w:rsidRDefault="0070375D" w:rsidP="00F962C2">
            <w:pPr>
              <w:pStyle w:val="Tabletextheading"/>
              <w:rPr>
                <w:rFonts w:eastAsiaTheme="minorEastAsia"/>
                <w:lang w:eastAsia="en-AU"/>
              </w:rPr>
            </w:pPr>
            <w:r w:rsidRPr="00F962C2">
              <w:rPr>
                <w:rFonts w:eastAsiaTheme="minorEastAsia"/>
                <w:lang w:eastAsia="en-AU"/>
              </w:rPr>
              <w:t>2013</w:t>
            </w:r>
            <w:r w:rsidR="00276239">
              <w:rPr>
                <w:rFonts w:eastAsiaTheme="minorEastAsia"/>
                <w:lang w:eastAsia="en-AU"/>
              </w:rPr>
              <w:noBreakHyphen/>
            </w:r>
            <w:r w:rsidRPr="00F962C2">
              <w:rPr>
                <w:rFonts w:eastAsiaTheme="minorEastAsia"/>
                <w:lang w:eastAsia="en-AU"/>
              </w:rPr>
              <w:t>14</w:t>
            </w:r>
          </w:p>
        </w:tc>
        <w:tc>
          <w:tcPr>
            <w:tcW w:w="993" w:type="dxa"/>
            <w:tcBorders>
              <w:top w:val="single" w:sz="6" w:space="0" w:color="auto"/>
              <w:bottom w:val="single" w:sz="6" w:space="0" w:color="auto"/>
            </w:tcBorders>
            <w:shd w:val="clear" w:color="auto" w:fill="000000"/>
          </w:tcPr>
          <w:p w:rsidR="0070375D" w:rsidRPr="00F962C2" w:rsidRDefault="0070375D" w:rsidP="00F962C2">
            <w:pPr>
              <w:pStyle w:val="Tabletextheading"/>
              <w:rPr>
                <w:rFonts w:eastAsiaTheme="minorEastAsia"/>
                <w:lang w:eastAsia="en-AU"/>
              </w:rPr>
            </w:pPr>
            <w:r w:rsidRPr="00F962C2">
              <w:rPr>
                <w:rFonts w:eastAsiaTheme="minorEastAsia"/>
                <w:lang w:eastAsia="en-AU"/>
              </w:rPr>
              <w:t>2014</w:t>
            </w:r>
            <w:r w:rsidR="00276239">
              <w:rPr>
                <w:rFonts w:eastAsiaTheme="minorEastAsia"/>
                <w:lang w:eastAsia="en-AU"/>
              </w:rPr>
              <w:noBreakHyphen/>
            </w:r>
            <w:r w:rsidRPr="00F962C2">
              <w:rPr>
                <w:rFonts w:eastAsiaTheme="minorEastAsia"/>
                <w:lang w:eastAsia="en-AU"/>
              </w:rPr>
              <w:t>15</w:t>
            </w:r>
          </w:p>
        </w:tc>
        <w:tc>
          <w:tcPr>
            <w:tcW w:w="993" w:type="dxa"/>
            <w:tcBorders>
              <w:top w:val="single" w:sz="6" w:space="0" w:color="auto"/>
              <w:bottom w:val="single" w:sz="6" w:space="0" w:color="auto"/>
            </w:tcBorders>
            <w:shd w:val="clear" w:color="auto" w:fill="000000"/>
          </w:tcPr>
          <w:p w:rsidR="0070375D" w:rsidRPr="00F962C2" w:rsidRDefault="0070375D" w:rsidP="00F962C2">
            <w:pPr>
              <w:pStyle w:val="Tabletextheading"/>
              <w:rPr>
                <w:rFonts w:eastAsiaTheme="minorEastAsia"/>
                <w:lang w:eastAsia="en-AU"/>
              </w:rPr>
            </w:pPr>
            <w:r w:rsidRPr="00F962C2">
              <w:rPr>
                <w:rFonts w:eastAsiaTheme="minorEastAsia"/>
                <w:lang w:eastAsia="en-AU"/>
              </w:rPr>
              <w:t>2015</w:t>
            </w:r>
            <w:r w:rsidR="00276239">
              <w:rPr>
                <w:rFonts w:eastAsiaTheme="minorEastAsia"/>
                <w:lang w:eastAsia="en-AU"/>
              </w:rPr>
              <w:noBreakHyphen/>
            </w:r>
            <w:r w:rsidRPr="00F962C2">
              <w:rPr>
                <w:rFonts w:eastAsiaTheme="minorEastAsia"/>
                <w:lang w:eastAsia="en-AU"/>
              </w:rPr>
              <w:t>16</w:t>
            </w:r>
          </w:p>
        </w:tc>
        <w:tc>
          <w:tcPr>
            <w:tcW w:w="993" w:type="dxa"/>
            <w:tcBorders>
              <w:top w:val="single" w:sz="6" w:space="0" w:color="auto"/>
              <w:bottom w:val="single" w:sz="6" w:space="0" w:color="auto"/>
              <w:right w:val="single" w:sz="6" w:space="0" w:color="auto"/>
            </w:tcBorders>
            <w:shd w:val="clear" w:color="auto" w:fill="000000"/>
          </w:tcPr>
          <w:p w:rsidR="0070375D" w:rsidRPr="00F962C2" w:rsidRDefault="0070375D" w:rsidP="00F962C2">
            <w:pPr>
              <w:pStyle w:val="Tabletextheading"/>
              <w:rPr>
                <w:rFonts w:eastAsiaTheme="minorEastAsia"/>
                <w:lang w:eastAsia="en-AU"/>
              </w:rPr>
            </w:pPr>
            <w:r w:rsidRPr="00F962C2">
              <w:rPr>
                <w:rFonts w:eastAsiaTheme="minorEastAsia"/>
                <w:lang w:eastAsia="en-AU"/>
              </w:rPr>
              <w:t>2016</w:t>
            </w:r>
            <w:r w:rsidR="00276239">
              <w:rPr>
                <w:rFonts w:eastAsiaTheme="minorEastAsia"/>
                <w:lang w:eastAsia="en-AU"/>
              </w:rPr>
              <w:noBreakHyphen/>
            </w:r>
            <w:r w:rsidRPr="00F962C2">
              <w:rPr>
                <w:rFonts w:eastAsiaTheme="minorEastAsia"/>
                <w:lang w:eastAsia="en-AU"/>
              </w:rPr>
              <w:t>17</w:t>
            </w:r>
          </w:p>
        </w:tc>
      </w:tr>
      <w:tr w:rsidR="0070375D" w:rsidRPr="00F962C2" w:rsidTr="00F962C2">
        <w:tc>
          <w:tcPr>
            <w:tcW w:w="3803" w:type="dxa"/>
            <w:tcBorders>
              <w:top w:val="single" w:sz="6" w:space="0" w:color="auto"/>
              <w:left w:val="nil"/>
              <w:bottom w:val="nil"/>
              <w:right w:val="nil"/>
            </w:tcBorders>
          </w:tcPr>
          <w:p w:rsidR="0070375D" w:rsidRPr="00F962C2" w:rsidRDefault="0070375D" w:rsidP="00F962C2">
            <w:pPr>
              <w:pStyle w:val="Tabletext"/>
              <w:rPr>
                <w:rFonts w:eastAsiaTheme="minorEastAsia"/>
                <w:color w:val="000000"/>
                <w:lang w:eastAsia="en-AU"/>
              </w:rPr>
            </w:pPr>
            <w:r w:rsidRPr="00F962C2">
              <w:rPr>
                <w:rFonts w:eastAsiaTheme="minorEastAsia"/>
                <w:color w:val="000000"/>
                <w:lang w:eastAsia="en-AU"/>
              </w:rPr>
              <w:t>Land transfer duty</w:t>
            </w:r>
          </w:p>
        </w:tc>
        <w:tc>
          <w:tcPr>
            <w:tcW w:w="994" w:type="dxa"/>
            <w:tcBorders>
              <w:top w:val="single" w:sz="6" w:space="0" w:color="auto"/>
              <w:left w:val="nil"/>
              <w:bottom w:val="nil"/>
              <w:right w:val="nil"/>
            </w:tcBorders>
          </w:tcPr>
          <w:p w:rsidR="0070375D" w:rsidRPr="00F962C2" w:rsidRDefault="00276239" w:rsidP="00F962C2">
            <w:pPr>
              <w:pStyle w:val="TableofFigures"/>
              <w:rPr>
                <w:rFonts w:eastAsiaTheme="minorEastAsia"/>
                <w:color w:val="000000"/>
                <w:lang w:eastAsia="en-AU"/>
              </w:rPr>
            </w:pPr>
            <w:r>
              <w:rPr>
                <w:rFonts w:eastAsiaTheme="minorEastAsia"/>
                <w:color w:val="000000"/>
                <w:lang w:eastAsia="en-AU"/>
              </w:rPr>
              <w:noBreakHyphen/>
            </w:r>
            <w:r w:rsidR="0070375D" w:rsidRPr="00F962C2">
              <w:rPr>
                <w:rFonts w:eastAsiaTheme="minorEastAsia"/>
                <w:color w:val="000000"/>
                <w:lang w:eastAsia="en-AU"/>
              </w:rPr>
              <w:t xml:space="preserve"> 831</w:t>
            </w:r>
          </w:p>
        </w:tc>
        <w:tc>
          <w:tcPr>
            <w:tcW w:w="993" w:type="dxa"/>
            <w:tcBorders>
              <w:top w:val="single" w:sz="6" w:space="0" w:color="auto"/>
              <w:left w:val="nil"/>
              <w:bottom w:val="nil"/>
              <w:right w:val="nil"/>
            </w:tcBorders>
          </w:tcPr>
          <w:p w:rsidR="0070375D" w:rsidRPr="00F962C2" w:rsidRDefault="00276239" w:rsidP="00F962C2">
            <w:pPr>
              <w:pStyle w:val="TableofFigures"/>
              <w:rPr>
                <w:rFonts w:eastAsiaTheme="minorEastAsia"/>
                <w:color w:val="000000"/>
                <w:lang w:eastAsia="en-AU"/>
              </w:rPr>
            </w:pPr>
            <w:r>
              <w:rPr>
                <w:rFonts w:eastAsiaTheme="minorEastAsia"/>
                <w:color w:val="000000"/>
                <w:lang w:eastAsia="en-AU"/>
              </w:rPr>
              <w:noBreakHyphen/>
            </w:r>
            <w:r w:rsidR="0070375D" w:rsidRPr="00F962C2">
              <w:rPr>
                <w:rFonts w:eastAsiaTheme="minorEastAsia"/>
                <w:color w:val="000000"/>
                <w:lang w:eastAsia="en-AU"/>
              </w:rPr>
              <w:t xml:space="preserve"> 719</w:t>
            </w:r>
          </w:p>
        </w:tc>
        <w:tc>
          <w:tcPr>
            <w:tcW w:w="993" w:type="dxa"/>
            <w:tcBorders>
              <w:top w:val="single" w:sz="6" w:space="0" w:color="auto"/>
              <w:left w:val="nil"/>
              <w:bottom w:val="nil"/>
              <w:right w:val="nil"/>
            </w:tcBorders>
          </w:tcPr>
          <w:p w:rsidR="0070375D" w:rsidRPr="00F962C2" w:rsidRDefault="00276239" w:rsidP="00F962C2">
            <w:pPr>
              <w:pStyle w:val="TableofFigures"/>
              <w:rPr>
                <w:rFonts w:eastAsiaTheme="minorEastAsia"/>
                <w:color w:val="000000"/>
                <w:lang w:eastAsia="en-AU"/>
              </w:rPr>
            </w:pPr>
            <w:r>
              <w:rPr>
                <w:rFonts w:eastAsiaTheme="minorEastAsia"/>
                <w:color w:val="000000"/>
                <w:lang w:eastAsia="en-AU"/>
              </w:rPr>
              <w:noBreakHyphen/>
            </w:r>
            <w:r w:rsidR="0070375D" w:rsidRPr="00F962C2">
              <w:rPr>
                <w:rFonts w:eastAsiaTheme="minorEastAsia"/>
                <w:color w:val="000000"/>
                <w:lang w:eastAsia="en-AU"/>
              </w:rPr>
              <w:t xml:space="preserve"> 629</w:t>
            </w:r>
          </w:p>
        </w:tc>
        <w:tc>
          <w:tcPr>
            <w:tcW w:w="993" w:type="dxa"/>
            <w:tcBorders>
              <w:top w:val="single" w:sz="6" w:space="0" w:color="auto"/>
              <w:left w:val="nil"/>
              <w:bottom w:val="nil"/>
              <w:right w:val="nil"/>
            </w:tcBorders>
          </w:tcPr>
          <w:p w:rsidR="0070375D" w:rsidRPr="00F962C2" w:rsidRDefault="00276239" w:rsidP="00F962C2">
            <w:pPr>
              <w:pStyle w:val="TableofFigures"/>
              <w:rPr>
                <w:rFonts w:eastAsiaTheme="minorEastAsia"/>
                <w:color w:val="000000"/>
                <w:lang w:eastAsia="en-AU"/>
              </w:rPr>
            </w:pPr>
            <w:r>
              <w:rPr>
                <w:rFonts w:eastAsiaTheme="minorEastAsia"/>
                <w:color w:val="000000"/>
                <w:lang w:eastAsia="en-AU"/>
              </w:rPr>
              <w:noBreakHyphen/>
            </w:r>
            <w:r w:rsidR="0070375D" w:rsidRPr="00F962C2">
              <w:rPr>
                <w:rFonts w:eastAsiaTheme="minorEastAsia"/>
                <w:color w:val="000000"/>
                <w:lang w:eastAsia="en-AU"/>
              </w:rPr>
              <w:t xml:space="preserve"> 394</w:t>
            </w:r>
          </w:p>
        </w:tc>
      </w:tr>
      <w:tr w:rsidR="0070375D" w:rsidRPr="00F962C2" w:rsidTr="00F962C2">
        <w:tc>
          <w:tcPr>
            <w:tcW w:w="3803" w:type="dxa"/>
            <w:tcBorders>
              <w:top w:val="nil"/>
              <w:left w:val="nil"/>
              <w:bottom w:val="nil"/>
              <w:right w:val="nil"/>
            </w:tcBorders>
          </w:tcPr>
          <w:p w:rsidR="0070375D" w:rsidRPr="00F962C2" w:rsidRDefault="0070375D" w:rsidP="00F962C2">
            <w:pPr>
              <w:pStyle w:val="Tabletext"/>
              <w:rPr>
                <w:rFonts w:eastAsiaTheme="minorEastAsia"/>
                <w:color w:val="000000"/>
                <w:lang w:eastAsia="en-AU"/>
              </w:rPr>
            </w:pPr>
            <w:r w:rsidRPr="00F962C2">
              <w:rPr>
                <w:rFonts w:eastAsiaTheme="minorEastAsia"/>
                <w:color w:val="000000"/>
                <w:lang w:eastAsia="en-AU"/>
              </w:rPr>
              <w:t>GST revenue</w:t>
            </w:r>
          </w:p>
        </w:tc>
        <w:tc>
          <w:tcPr>
            <w:tcW w:w="994" w:type="dxa"/>
            <w:tcBorders>
              <w:top w:val="nil"/>
              <w:left w:val="nil"/>
              <w:bottom w:val="nil"/>
              <w:right w:val="nil"/>
            </w:tcBorders>
          </w:tcPr>
          <w:p w:rsidR="0070375D" w:rsidRPr="00F962C2" w:rsidRDefault="00276239" w:rsidP="00F962C2">
            <w:pPr>
              <w:pStyle w:val="TableofFigures"/>
              <w:rPr>
                <w:rFonts w:eastAsiaTheme="minorEastAsia"/>
                <w:color w:val="000000"/>
                <w:lang w:eastAsia="en-AU"/>
              </w:rPr>
            </w:pPr>
            <w:r>
              <w:rPr>
                <w:rFonts w:eastAsiaTheme="minorEastAsia"/>
                <w:color w:val="000000"/>
                <w:lang w:eastAsia="en-AU"/>
              </w:rPr>
              <w:noBreakHyphen/>
            </w:r>
            <w:r w:rsidR="0070375D" w:rsidRPr="00F962C2">
              <w:rPr>
                <w:rFonts w:eastAsiaTheme="minorEastAsia"/>
                <w:color w:val="000000"/>
                <w:lang w:eastAsia="en-AU"/>
              </w:rPr>
              <w:t>1 786</w:t>
            </w:r>
          </w:p>
        </w:tc>
        <w:tc>
          <w:tcPr>
            <w:tcW w:w="993" w:type="dxa"/>
            <w:tcBorders>
              <w:top w:val="nil"/>
              <w:left w:val="nil"/>
              <w:bottom w:val="nil"/>
              <w:right w:val="nil"/>
            </w:tcBorders>
          </w:tcPr>
          <w:p w:rsidR="0070375D" w:rsidRPr="00F962C2" w:rsidRDefault="00276239" w:rsidP="00F962C2">
            <w:pPr>
              <w:pStyle w:val="TableofFigures"/>
              <w:rPr>
                <w:rFonts w:eastAsiaTheme="minorEastAsia"/>
                <w:color w:val="000000"/>
                <w:lang w:eastAsia="en-AU"/>
              </w:rPr>
            </w:pPr>
            <w:r>
              <w:rPr>
                <w:rFonts w:eastAsiaTheme="minorEastAsia"/>
                <w:color w:val="000000"/>
                <w:lang w:eastAsia="en-AU"/>
              </w:rPr>
              <w:noBreakHyphen/>
            </w:r>
            <w:r w:rsidR="0070375D" w:rsidRPr="00F962C2">
              <w:rPr>
                <w:rFonts w:eastAsiaTheme="minorEastAsia"/>
                <w:color w:val="000000"/>
                <w:lang w:eastAsia="en-AU"/>
              </w:rPr>
              <w:t>1 888</w:t>
            </w:r>
          </w:p>
        </w:tc>
        <w:tc>
          <w:tcPr>
            <w:tcW w:w="993" w:type="dxa"/>
            <w:tcBorders>
              <w:top w:val="nil"/>
              <w:left w:val="nil"/>
              <w:bottom w:val="nil"/>
              <w:right w:val="nil"/>
            </w:tcBorders>
          </w:tcPr>
          <w:p w:rsidR="0070375D" w:rsidRPr="00F962C2" w:rsidRDefault="00276239" w:rsidP="00F962C2">
            <w:pPr>
              <w:pStyle w:val="TableofFigures"/>
              <w:rPr>
                <w:rFonts w:eastAsiaTheme="minorEastAsia"/>
                <w:color w:val="000000"/>
                <w:lang w:eastAsia="en-AU"/>
              </w:rPr>
            </w:pPr>
            <w:r>
              <w:rPr>
                <w:rFonts w:eastAsiaTheme="minorEastAsia"/>
                <w:color w:val="000000"/>
                <w:lang w:eastAsia="en-AU"/>
              </w:rPr>
              <w:noBreakHyphen/>
            </w:r>
            <w:r w:rsidR="0070375D" w:rsidRPr="00F962C2">
              <w:rPr>
                <w:rFonts w:eastAsiaTheme="minorEastAsia"/>
                <w:color w:val="000000"/>
                <w:lang w:eastAsia="en-AU"/>
              </w:rPr>
              <w:t>1 860</w:t>
            </w:r>
          </w:p>
        </w:tc>
        <w:tc>
          <w:tcPr>
            <w:tcW w:w="993" w:type="dxa"/>
            <w:tcBorders>
              <w:top w:val="nil"/>
              <w:left w:val="nil"/>
              <w:bottom w:val="nil"/>
              <w:right w:val="nil"/>
            </w:tcBorders>
          </w:tcPr>
          <w:p w:rsidR="0070375D" w:rsidRPr="00F962C2" w:rsidRDefault="00276239" w:rsidP="00F962C2">
            <w:pPr>
              <w:pStyle w:val="TableofFigures"/>
              <w:rPr>
                <w:rFonts w:eastAsiaTheme="minorEastAsia"/>
                <w:color w:val="000000"/>
                <w:lang w:eastAsia="en-AU"/>
              </w:rPr>
            </w:pPr>
            <w:r>
              <w:rPr>
                <w:rFonts w:eastAsiaTheme="minorEastAsia"/>
                <w:color w:val="000000"/>
                <w:lang w:eastAsia="en-AU"/>
              </w:rPr>
              <w:noBreakHyphen/>
            </w:r>
            <w:r w:rsidR="0070375D" w:rsidRPr="00F962C2">
              <w:rPr>
                <w:rFonts w:eastAsiaTheme="minorEastAsia"/>
                <w:color w:val="000000"/>
                <w:lang w:eastAsia="en-AU"/>
              </w:rPr>
              <w:t>1 712</w:t>
            </w:r>
          </w:p>
        </w:tc>
      </w:tr>
      <w:tr w:rsidR="0070375D" w:rsidRPr="00F962C2" w:rsidTr="00F962C2">
        <w:tc>
          <w:tcPr>
            <w:tcW w:w="3803" w:type="dxa"/>
            <w:tcBorders>
              <w:top w:val="single" w:sz="6" w:space="0" w:color="auto"/>
              <w:left w:val="nil"/>
              <w:bottom w:val="single" w:sz="6" w:space="0" w:color="auto"/>
              <w:right w:val="nil"/>
            </w:tcBorders>
          </w:tcPr>
          <w:p w:rsidR="0070375D" w:rsidRPr="00F962C2" w:rsidRDefault="0070375D" w:rsidP="00F962C2">
            <w:pPr>
              <w:pStyle w:val="Tabletext"/>
              <w:rPr>
                <w:rFonts w:eastAsiaTheme="minorEastAsia"/>
                <w:b/>
                <w:bCs/>
                <w:color w:val="000000"/>
                <w:vertAlign w:val="superscript"/>
                <w:lang w:eastAsia="en-AU"/>
              </w:rPr>
            </w:pPr>
            <w:r w:rsidRPr="00F962C2">
              <w:rPr>
                <w:rFonts w:eastAsiaTheme="minorEastAsia"/>
                <w:b/>
                <w:bCs/>
                <w:color w:val="000000"/>
                <w:lang w:eastAsia="en-AU"/>
              </w:rPr>
              <w:t xml:space="preserve">Major sources of variations to revenue </w:t>
            </w:r>
            <w:r w:rsidRPr="00F962C2">
              <w:rPr>
                <w:rFonts w:eastAsiaTheme="minorEastAsia"/>
                <w:b/>
                <w:bCs/>
                <w:color w:val="000000"/>
                <w:vertAlign w:val="superscript"/>
                <w:lang w:eastAsia="en-AU"/>
              </w:rPr>
              <w:t xml:space="preserve">(a) </w:t>
            </w:r>
          </w:p>
        </w:tc>
        <w:tc>
          <w:tcPr>
            <w:tcW w:w="994" w:type="dxa"/>
            <w:tcBorders>
              <w:top w:val="single" w:sz="6" w:space="0" w:color="auto"/>
              <w:left w:val="nil"/>
              <w:bottom w:val="single" w:sz="6" w:space="0" w:color="auto"/>
              <w:right w:val="nil"/>
            </w:tcBorders>
          </w:tcPr>
          <w:p w:rsidR="0070375D" w:rsidRPr="00F962C2" w:rsidRDefault="00276239" w:rsidP="00F962C2">
            <w:pPr>
              <w:pStyle w:val="TableofFigures"/>
              <w:rPr>
                <w:rFonts w:eastAsiaTheme="minorEastAsia"/>
                <w:b/>
                <w:bCs/>
                <w:color w:val="000000"/>
                <w:lang w:eastAsia="en-AU"/>
              </w:rPr>
            </w:pPr>
            <w:r>
              <w:rPr>
                <w:rFonts w:eastAsiaTheme="minorEastAsia"/>
                <w:b/>
                <w:bCs/>
                <w:color w:val="000000"/>
                <w:lang w:eastAsia="en-AU"/>
              </w:rPr>
              <w:noBreakHyphen/>
            </w:r>
            <w:r w:rsidR="0070375D" w:rsidRPr="00F962C2">
              <w:rPr>
                <w:rFonts w:eastAsiaTheme="minorEastAsia"/>
                <w:b/>
                <w:bCs/>
                <w:color w:val="000000"/>
                <w:lang w:eastAsia="en-AU"/>
              </w:rPr>
              <w:t>2 617</w:t>
            </w:r>
          </w:p>
        </w:tc>
        <w:tc>
          <w:tcPr>
            <w:tcW w:w="993" w:type="dxa"/>
            <w:tcBorders>
              <w:top w:val="single" w:sz="6" w:space="0" w:color="auto"/>
              <w:left w:val="nil"/>
              <w:bottom w:val="single" w:sz="6" w:space="0" w:color="auto"/>
              <w:right w:val="nil"/>
            </w:tcBorders>
          </w:tcPr>
          <w:p w:rsidR="0070375D" w:rsidRPr="00F962C2" w:rsidRDefault="00276239" w:rsidP="00F962C2">
            <w:pPr>
              <w:pStyle w:val="TableofFigures"/>
              <w:rPr>
                <w:rFonts w:eastAsiaTheme="minorEastAsia"/>
                <w:b/>
                <w:bCs/>
                <w:color w:val="000000"/>
                <w:lang w:eastAsia="en-AU"/>
              </w:rPr>
            </w:pPr>
            <w:r>
              <w:rPr>
                <w:rFonts w:eastAsiaTheme="minorEastAsia"/>
                <w:b/>
                <w:bCs/>
                <w:color w:val="000000"/>
                <w:lang w:eastAsia="en-AU"/>
              </w:rPr>
              <w:noBreakHyphen/>
            </w:r>
            <w:r w:rsidR="0070375D" w:rsidRPr="00F962C2">
              <w:rPr>
                <w:rFonts w:eastAsiaTheme="minorEastAsia"/>
                <w:b/>
                <w:bCs/>
                <w:color w:val="000000"/>
                <w:lang w:eastAsia="en-AU"/>
              </w:rPr>
              <w:t>2 607</w:t>
            </w:r>
          </w:p>
        </w:tc>
        <w:tc>
          <w:tcPr>
            <w:tcW w:w="993" w:type="dxa"/>
            <w:tcBorders>
              <w:top w:val="single" w:sz="6" w:space="0" w:color="auto"/>
              <w:left w:val="nil"/>
              <w:bottom w:val="single" w:sz="6" w:space="0" w:color="auto"/>
              <w:right w:val="nil"/>
            </w:tcBorders>
          </w:tcPr>
          <w:p w:rsidR="0070375D" w:rsidRPr="00F962C2" w:rsidRDefault="00276239" w:rsidP="00F962C2">
            <w:pPr>
              <w:pStyle w:val="TableofFigures"/>
              <w:rPr>
                <w:rFonts w:eastAsiaTheme="minorEastAsia"/>
                <w:b/>
                <w:bCs/>
                <w:color w:val="000000"/>
                <w:lang w:eastAsia="en-AU"/>
              </w:rPr>
            </w:pPr>
            <w:r>
              <w:rPr>
                <w:rFonts w:eastAsiaTheme="minorEastAsia"/>
                <w:b/>
                <w:bCs/>
                <w:color w:val="000000"/>
                <w:lang w:eastAsia="en-AU"/>
              </w:rPr>
              <w:noBreakHyphen/>
            </w:r>
            <w:r w:rsidR="0070375D" w:rsidRPr="00F962C2">
              <w:rPr>
                <w:rFonts w:eastAsiaTheme="minorEastAsia"/>
                <w:b/>
                <w:bCs/>
                <w:color w:val="000000"/>
                <w:lang w:eastAsia="en-AU"/>
              </w:rPr>
              <w:t>2 490</w:t>
            </w:r>
          </w:p>
        </w:tc>
        <w:tc>
          <w:tcPr>
            <w:tcW w:w="993" w:type="dxa"/>
            <w:tcBorders>
              <w:top w:val="single" w:sz="6" w:space="0" w:color="auto"/>
              <w:left w:val="nil"/>
              <w:bottom w:val="single" w:sz="6" w:space="0" w:color="auto"/>
              <w:right w:val="nil"/>
            </w:tcBorders>
          </w:tcPr>
          <w:p w:rsidR="0070375D" w:rsidRPr="00F962C2" w:rsidRDefault="00276239" w:rsidP="00F962C2">
            <w:pPr>
              <w:pStyle w:val="TableofFigures"/>
              <w:rPr>
                <w:rFonts w:eastAsiaTheme="minorEastAsia"/>
                <w:b/>
                <w:bCs/>
                <w:color w:val="000000"/>
                <w:lang w:eastAsia="en-AU"/>
              </w:rPr>
            </w:pPr>
            <w:r>
              <w:rPr>
                <w:rFonts w:eastAsiaTheme="minorEastAsia"/>
                <w:b/>
                <w:bCs/>
                <w:color w:val="000000"/>
                <w:lang w:eastAsia="en-AU"/>
              </w:rPr>
              <w:noBreakHyphen/>
            </w:r>
            <w:r w:rsidR="0070375D" w:rsidRPr="00F962C2">
              <w:rPr>
                <w:rFonts w:eastAsiaTheme="minorEastAsia"/>
                <w:b/>
                <w:bCs/>
                <w:color w:val="000000"/>
                <w:lang w:eastAsia="en-AU"/>
              </w:rPr>
              <w:t>2 106</w:t>
            </w:r>
          </w:p>
        </w:tc>
      </w:tr>
      <w:tr w:rsidR="0070375D" w:rsidRPr="00F962C2" w:rsidTr="00F962C2">
        <w:tc>
          <w:tcPr>
            <w:tcW w:w="3803" w:type="dxa"/>
            <w:tcBorders>
              <w:top w:val="nil"/>
              <w:left w:val="nil"/>
              <w:bottom w:val="nil"/>
              <w:right w:val="nil"/>
            </w:tcBorders>
          </w:tcPr>
          <w:p w:rsidR="0070375D" w:rsidRPr="00F962C2" w:rsidRDefault="0070375D" w:rsidP="00F962C2">
            <w:pPr>
              <w:pStyle w:val="Tabletext"/>
              <w:rPr>
                <w:rFonts w:eastAsiaTheme="minorEastAsia"/>
                <w:color w:val="000000"/>
                <w:lang w:eastAsia="en-AU"/>
              </w:rPr>
            </w:pPr>
            <w:r w:rsidRPr="00F962C2">
              <w:rPr>
                <w:rFonts w:eastAsiaTheme="minorEastAsia"/>
                <w:color w:val="000000"/>
                <w:lang w:eastAsia="en-AU"/>
              </w:rPr>
              <w:t>Previous savings and targeted revenue measures</w:t>
            </w:r>
          </w:p>
        </w:tc>
        <w:tc>
          <w:tcPr>
            <w:tcW w:w="994" w:type="dxa"/>
            <w:tcBorders>
              <w:top w:val="nil"/>
              <w:left w:val="nil"/>
              <w:bottom w:val="nil"/>
              <w:right w:val="nil"/>
            </w:tcBorders>
          </w:tcPr>
          <w:p w:rsidR="0070375D" w:rsidRPr="00F962C2" w:rsidRDefault="0070375D" w:rsidP="00F962C2">
            <w:pPr>
              <w:pStyle w:val="TableofFigures"/>
              <w:rPr>
                <w:rFonts w:eastAsiaTheme="minorEastAsia"/>
                <w:color w:val="000000"/>
                <w:lang w:eastAsia="en-AU"/>
              </w:rPr>
            </w:pPr>
            <w:r w:rsidRPr="00F962C2">
              <w:rPr>
                <w:rFonts w:eastAsiaTheme="minorEastAsia"/>
                <w:color w:val="000000"/>
                <w:lang w:eastAsia="en-AU"/>
              </w:rPr>
              <w:t>2 203</w:t>
            </w:r>
          </w:p>
        </w:tc>
        <w:tc>
          <w:tcPr>
            <w:tcW w:w="993" w:type="dxa"/>
            <w:tcBorders>
              <w:top w:val="nil"/>
              <w:left w:val="nil"/>
              <w:bottom w:val="nil"/>
              <w:right w:val="nil"/>
            </w:tcBorders>
          </w:tcPr>
          <w:p w:rsidR="0070375D" w:rsidRPr="00F962C2" w:rsidRDefault="0070375D" w:rsidP="00F962C2">
            <w:pPr>
              <w:pStyle w:val="TableofFigures"/>
              <w:rPr>
                <w:rFonts w:eastAsiaTheme="minorEastAsia"/>
                <w:color w:val="000000"/>
                <w:lang w:eastAsia="en-AU"/>
              </w:rPr>
            </w:pPr>
            <w:r w:rsidRPr="00F962C2">
              <w:rPr>
                <w:rFonts w:eastAsiaTheme="minorEastAsia"/>
                <w:color w:val="000000"/>
                <w:lang w:eastAsia="en-AU"/>
              </w:rPr>
              <w:t>2 624</w:t>
            </w:r>
          </w:p>
        </w:tc>
        <w:tc>
          <w:tcPr>
            <w:tcW w:w="993" w:type="dxa"/>
            <w:tcBorders>
              <w:top w:val="nil"/>
              <w:left w:val="nil"/>
              <w:bottom w:val="nil"/>
              <w:right w:val="nil"/>
            </w:tcBorders>
          </w:tcPr>
          <w:p w:rsidR="0070375D" w:rsidRPr="00F962C2" w:rsidRDefault="0070375D" w:rsidP="00F962C2">
            <w:pPr>
              <w:pStyle w:val="TableofFigures"/>
              <w:rPr>
                <w:rFonts w:eastAsiaTheme="minorEastAsia"/>
                <w:color w:val="000000"/>
                <w:lang w:eastAsia="en-AU"/>
              </w:rPr>
            </w:pPr>
            <w:r w:rsidRPr="00F962C2">
              <w:rPr>
                <w:rFonts w:eastAsiaTheme="minorEastAsia"/>
                <w:color w:val="000000"/>
                <w:lang w:eastAsia="en-AU"/>
              </w:rPr>
              <w:t>2 956</w:t>
            </w:r>
          </w:p>
        </w:tc>
        <w:tc>
          <w:tcPr>
            <w:tcW w:w="993" w:type="dxa"/>
            <w:tcBorders>
              <w:top w:val="nil"/>
              <w:left w:val="nil"/>
              <w:bottom w:val="nil"/>
              <w:right w:val="nil"/>
            </w:tcBorders>
          </w:tcPr>
          <w:p w:rsidR="0070375D" w:rsidRPr="00F962C2" w:rsidRDefault="0070375D" w:rsidP="00F962C2">
            <w:pPr>
              <w:pStyle w:val="TableofFigures"/>
              <w:rPr>
                <w:rFonts w:eastAsiaTheme="minorEastAsia"/>
                <w:color w:val="000000"/>
                <w:lang w:eastAsia="en-AU"/>
              </w:rPr>
            </w:pPr>
            <w:r w:rsidRPr="00F962C2">
              <w:rPr>
                <w:rFonts w:eastAsiaTheme="minorEastAsia"/>
                <w:color w:val="000000"/>
                <w:lang w:eastAsia="en-AU"/>
              </w:rPr>
              <w:t>3 039</w:t>
            </w:r>
          </w:p>
        </w:tc>
      </w:tr>
      <w:tr w:rsidR="0070375D" w:rsidRPr="00F962C2" w:rsidTr="00F962C2">
        <w:tc>
          <w:tcPr>
            <w:tcW w:w="3803" w:type="dxa"/>
            <w:tcBorders>
              <w:top w:val="nil"/>
              <w:left w:val="nil"/>
              <w:bottom w:val="nil"/>
              <w:right w:val="nil"/>
            </w:tcBorders>
          </w:tcPr>
          <w:p w:rsidR="0070375D" w:rsidRPr="00F962C2" w:rsidRDefault="0070375D" w:rsidP="00F962C2">
            <w:pPr>
              <w:pStyle w:val="Tabletext"/>
              <w:rPr>
                <w:rFonts w:eastAsiaTheme="minorEastAsia"/>
                <w:color w:val="000000"/>
                <w:lang w:eastAsia="en-AU"/>
              </w:rPr>
            </w:pPr>
            <w:r w:rsidRPr="00F962C2">
              <w:rPr>
                <w:rFonts w:eastAsiaTheme="minorEastAsia"/>
                <w:color w:val="000000"/>
                <w:lang w:eastAsia="en-AU"/>
              </w:rPr>
              <w:t>2013</w:t>
            </w:r>
            <w:r w:rsidR="00276239">
              <w:rPr>
                <w:rFonts w:eastAsiaTheme="minorEastAsia"/>
                <w:color w:val="000000"/>
                <w:lang w:eastAsia="en-AU"/>
              </w:rPr>
              <w:noBreakHyphen/>
            </w:r>
            <w:r w:rsidRPr="00F962C2">
              <w:rPr>
                <w:rFonts w:eastAsiaTheme="minorEastAsia"/>
                <w:color w:val="000000"/>
                <w:lang w:eastAsia="en-AU"/>
              </w:rPr>
              <w:t>14 Budget savings and targeted revenue measures</w:t>
            </w:r>
          </w:p>
        </w:tc>
        <w:tc>
          <w:tcPr>
            <w:tcW w:w="994" w:type="dxa"/>
            <w:tcBorders>
              <w:top w:val="nil"/>
              <w:left w:val="nil"/>
              <w:bottom w:val="nil"/>
              <w:right w:val="nil"/>
            </w:tcBorders>
          </w:tcPr>
          <w:p w:rsidR="0070375D" w:rsidRPr="00F962C2" w:rsidRDefault="0070375D" w:rsidP="00F962C2">
            <w:pPr>
              <w:pStyle w:val="TableofFigures"/>
              <w:rPr>
                <w:rFonts w:eastAsiaTheme="minorEastAsia"/>
                <w:color w:val="000000"/>
                <w:lang w:eastAsia="en-AU"/>
              </w:rPr>
            </w:pPr>
            <w:r w:rsidRPr="00F962C2">
              <w:rPr>
                <w:rFonts w:eastAsiaTheme="minorEastAsia"/>
                <w:color w:val="000000"/>
                <w:lang w:eastAsia="en-AU"/>
              </w:rPr>
              <w:t xml:space="preserve"> 258</w:t>
            </w:r>
          </w:p>
        </w:tc>
        <w:tc>
          <w:tcPr>
            <w:tcW w:w="993" w:type="dxa"/>
            <w:tcBorders>
              <w:top w:val="nil"/>
              <w:left w:val="nil"/>
              <w:bottom w:val="nil"/>
              <w:right w:val="nil"/>
            </w:tcBorders>
          </w:tcPr>
          <w:p w:rsidR="0070375D" w:rsidRPr="00F962C2" w:rsidRDefault="0070375D" w:rsidP="00F962C2">
            <w:pPr>
              <w:pStyle w:val="TableofFigures"/>
              <w:rPr>
                <w:rFonts w:eastAsiaTheme="minorEastAsia"/>
                <w:color w:val="000000"/>
                <w:lang w:eastAsia="en-AU"/>
              </w:rPr>
            </w:pPr>
            <w:r w:rsidRPr="00F962C2">
              <w:rPr>
                <w:rFonts w:eastAsiaTheme="minorEastAsia"/>
                <w:color w:val="000000"/>
                <w:lang w:eastAsia="en-AU"/>
              </w:rPr>
              <w:t xml:space="preserve"> 377</w:t>
            </w:r>
          </w:p>
        </w:tc>
        <w:tc>
          <w:tcPr>
            <w:tcW w:w="993" w:type="dxa"/>
            <w:tcBorders>
              <w:top w:val="nil"/>
              <w:left w:val="nil"/>
              <w:bottom w:val="nil"/>
              <w:right w:val="nil"/>
            </w:tcBorders>
          </w:tcPr>
          <w:p w:rsidR="0070375D" w:rsidRPr="00F962C2" w:rsidRDefault="0070375D" w:rsidP="00F962C2">
            <w:pPr>
              <w:pStyle w:val="TableofFigures"/>
              <w:rPr>
                <w:rFonts w:eastAsiaTheme="minorEastAsia"/>
                <w:color w:val="000000"/>
                <w:lang w:eastAsia="en-AU"/>
              </w:rPr>
            </w:pPr>
            <w:r w:rsidRPr="00F962C2">
              <w:rPr>
                <w:rFonts w:eastAsiaTheme="minorEastAsia"/>
                <w:color w:val="000000"/>
                <w:lang w:eastAsia="en-AU"/>
              </w:rPr>
              <w:t xml:space="preserve"> 454</w:t>
            </w:r>
          </w:p>
        </w:tc>
        <w:tc>
          <w:tcPr>
            <w:tcW w:w="993" w:type="dxa"/>
            <w:tcBorders>
              <w:top w:val="nil"/>
              <w:left w:val="nil"/>
              <w:bottom w:val="nil"/>
              <w:right w:val="nil"/>
            </w:tcBorders>
          </w:tcPr>
          <w:p w:rsidR="0070375D" w:rsidRPr="00F962C2" w:rsidRDefault="0070375D" w:rsidP="00F962C2">
            <w:pPr>
              <w:pStyle w:val="TableofFigures"/>
              <w:rPr>
                <w:rFonts w:eastAsiaTheme="minorEastAsia"/>
                <w:color w:val="000000"/>
                <w:lang w:eastAsia="en-AU"/>
              </w:rPr>
            </w:pPr>
            <w:r w:rsidRPr="00F962C2">
              <w:rPr>
                <w:rFonts w:eastAsiaTheme="minorEastAsia"/>
                <w:color w:val="000000"/>
                <w:lang w:eastAsia="en-AU"/>
              </w:rPr>
              <w:t xml:space="preserve"> 547</w:t>
            </w:r>
          </w:p>
        </w:tc>
      </w:tr>
      <w:tr w:rsidR="0070375D" w:rsidRPr="00F962C2" w:rsidTr="00F962C2">
        <w:tc>
          <w:tcPr>
            <w:tcW w:w="3803" w:type="dxa"/>
            <w:tcBorders>
              <w:top w:val="single" w:sz="6" w:space="0" w:color="auto"/>
              <w:left w:val="nil"/>
              <w:bottom w:val="single" w:sz="12" w:space="0" w:color="auto"/>
              <w:right w:val="nil"/>
            </w:tcBorders>
          </w:tcPr>
          <w:p w:rsidR="0070375D" w:rsidRPr="00F962C2" w:rsidRDefault="0070375D" w:rsidP="00F962C2">
            <w:pPr>
              <w:pStyle w:val="Tabletext"/>
              <w:rPr>
                <w:rFonts w:eastAsiaTheme="minorEastAsia" w:cs="Calibri"/>
                <w:b/>
                <w:bCs/>
                <w:color w:val="000000"/>
                <w:vertAlign w:val="superscript"/>
                <w:lang w:eastAsia="en-AU"/>
              </w:rPr>
            </w:pPr>
            <w:r w:rsidRPr="00F962C2">
              <w:rPr>
                <w:rFonts w:eastAsiaTheme="minorEastAsia"/>
                <w:b/>
                <w:bCs/>
                <w:color w:val="000000"/>
                <w:lang w:eastAsia="en-AU"/>
              </w:rPr>
              <w:t xml:space="preserve">Total: savings and targeted revenue </w:t>
            </w:r>
            <w:r w:rsidRPr="00F962C2">
              <w:rPr>
                <w:rFonts w:eastAsiaTheme="minorEastAsia"/>
                <w:b/>
                <w:bCs/>
                <w:color w:val="000000"/>
                <w:vertAlign w:val="superscript"/>
                <w:lang w:eastAsia="en-AU"/>
              </w:rPr>
              <w:t>(b)(c)(</w:t>
            </w:r>
            <w:r w:rsidRPr="00F962C2">
              <w:rPr>
                <w:rFonts w:eastAsiaTheme="minorEastAsia" w:cs="Calibri"/>
                <w:b/>
                <w:bCs/>
                <w:color w:val="000000"/>
                <w:vertAlign w:val="superscript"/>
                <w:lang w:eastAsia="en-AU"/>
              </w:rPr>
              <w:t xml:space="preserve">d) </w:t>
            </w:r>
          </w:p>
        </w:tc>
        <w:tc>
          <w:tcPr>
            <w:tcW w:w="994" w:type="dxa"/>
            <w:tcBorders>
              <w:top w:val="single" w:sz="6" w:space="0" w:color="auto"/>
              <w:left w:val="nil"/>
              <w:bottom w:val="single" w:sz="12" w:space="0" w:color="auto"/>
              <w:right w:val="nil"/>
            </w:tcBorders>
          </w:tcPr>
          <w:p w:rsidR="0070375D" w:rsidRPr="00F962C2" w:rsidRDefault="0070375D" w:rsidP="00F962C2">
            <w:pPr>
              <w:pStyle w:val="TableofFigures"/>
              <w:rPr>
                <w:rFonts w:eastAsiaTheme="minorEastAsia"/>
                <w:b/>
                <w:bCs/>
                <w:color w:val="000000"/>
                <w:lang w:eastAsia="en-AU"/>
              </w:rPr>
            </w:pPr>
            <w:r w:rsidRPr="00F962C2">
              <w:rPr>
                <w:rFonts w:eastAsiaTheme="minorEastAsia"/>
                <w:b/>
                <w:bCs/>
                <w:color w:val="000000"/>
                <w:lang w:eastAsia="en-AU"/>
              </w:rPr>
              <w:t>2 461</w:t>
            </w:r>
          </w:p>
        </w:tc>
        <w:tc>
          <w:tcPr>
            <w:tcW w:w="993" w:type="dxa"/>
            <w:tcBorders>
              <w:top w:val="single" w:sz="6" w:space="0" w:color="auto"/>
              <w:left w:val="nil"/>
              <w:bottom w:val="single" w:sz="12" w:space="0" w:color="auto"/>
              <w:right w:val="nil"/>
            </w:tcBorders>
          </w:tcPr>
          <w:p w:rsidR="0070375D" w:rsidRPr="00F962C2" w:rsidRDefault="0070375D" w:rsidP="00F962C2">
            <w:pPr>
              <w:pStyle w:val="TableofFigures"/>
              <w:rPr>
                <w:rFonts w:eastAsiaTheme="minorEastAsia"/>
                <w:b/>
                <w:bCs/>
                <w:color w:val="000000"/>
                <w:lang w:eastAsia="en-AU"/>
              </w:rPr>
            </w:pPr>
            <w:r w:rsidRPr="00F962C2">
              <w:rPr>
                <w:rFonts w:eastAsiaTheme="minorEastAsia"/>
                <w:b/>
                <w:bCs/>
                <w:color w:val="000000"/>
                <w:lang w:eastAsia="en-AU"/>
              </w:rPr>
              <w:t>3 001</w:t>
            </w:r>
          </w:p>
        </w:tc>
        <w:tc>
          <w:tcPr>
            <w:tcW w:w="993" w:type="dxa"/>
            <w:tcBorders>
              <w:top w:val="single" w:sz="6" w:space="0" w:color="auto"/>
              <w:left w:val="nil"/>
              <w:bottom w:val="single" w:sz="12" w:space="0" w:color="auto"/>
              <w:right w:val="nil"/>
            </w:tcBorders>
          </w:tcPr>
          <w:p w:rsidR="0070375D" w:rsidRPr="00F962C2" w:rsidRDefault="0070375D" w:rsidP="00F962C2">
            <w:pPr>
              <w:pStyle w:val="TableofFigures"/>
              <w:rPr>
                <w:rFonts w:eastAsiaTheme="minorEastAsia"/>
                <w:b/>
                <w:bCs/>
                <w:color w:val="000000"/>
                <w:lang w:eastAsia="en-AU"/>
              </w:rPr>
            </w:pPr>
            <w:r w:rsidRPr="00F962C2">
              <w:rPr>
                <w:rFonts w:eastAsiaTheme="minorEastAsia"/>
                <w:b/>
                <w:bCs/>
                <w:color w:val="000000"/>
                <w:lang w:eastAsia="en-AU"/>
              </w:rPr>
              <w:t>3 410</w:t>
            </w:r>
          </w:p>
        </w:tc>
        <w:tc>
          <w:tcPr>
            <w:tcW w:w="993" w:type="dxa"/>
            <w:tcBorders>
              <w:top w:val="single" w:sz="6" w:space="0" w:color="auto"/>
              <w:left w:val="nil"/>
              <w:bottom w:val="single" w:sz="12" w:space="0" w:color="auto"/>
              <w:right w:val="nil"/>
            </w:tcBorders>
          </w:tcPr>
          <w:p w:rsidR="0070375D" w:rsidRPr="00F962C2" w:rsidRDefault="0070375D" w:rsidP="00F962C2">
            <w:pPr>
              <w:pStyle w:val="TableofFigures"/>
              <w:rPr>
                <w:rFonts w:eastAsiaTheme="minorEastAsia"/>
                <w:b/>
                <w:bCs/>
                <w:color w:val="000000"/>
                <w:lang w:eastAsia="en-AU"/>
              </w:rPr>
            </w:pPr>
            <w:r w:rsidRPr="00F962C2">
              <w:rPr>
                <w:rFonts w:eastAsiaTheme="minorEastAsia"/>
                <w:b/>
                <w:bCs/>
                <w:color w:val="000000"/>
                <w:lang w:eastAsia="en-AU"/>
              </w:rPr>
              <w:t>3 585</w:t>
            </w:r>
          </w:p>
        </w:tc>
      </w:tr>
    </w:tbl>
    <w:p w:rsidR="0070375D" w:rsidRPr="009C7929" w:rsidRDefault="0070375D" w:rsidP="00BC0802">
      <w:pPr>
        <w:pStyle w:val="Source"/>
      </w:pPr>
      <w:bookmarkStart w:id="4" w:name="OLE_LINK1"/>
      <w:r w:rsidRPr="009C7929">
        <w:t>Source: Department of Treasury and Finance</w:t>
      </w:r>
    </w:p>
    <w:p w:rsidR="0070375D" w:rsidRPr="009C7929" w:rsidRDefault="0070375D" w:rsidP="00751E9B">
      <w:pPr>
        <w:pStyle w:val="Notes"/>
      </w:pPr>
      <w:r w:rsidRPr="009C7929">
        <w:t>Notes:</w:t>
      </w:r>
    </w:p>
    <w:p w:rsidR="0070375D" w:rsidRPr="009C7929" w:rsidRDefault="0070375D" w:rsidP="00751E9B">
      <w:pPr>
        <w:pStyle w:val="Notes"/>
      </w:pPr>
      <w:r w:rsidRPr="009C7929">
        <w:t>(a)</w:t>
      </w:r>
      <w:r w:rsidRPr="009C7929">
        <w:tab/>
        <w:t>Variations to revenue over 2013</w:t>
      </w:r>
      <w:r w:rsidR="00276239">
        <w:noBreakHyphen/>
      </w:r>
      <w:r w:rsidRPr="009C7929">
        <w:t>14 to 2016</w:t>
      </w:r>
      <w:r w:rsidR="00276239">
        <w:noBreakHyphen/>
      </w:r>
      <w:r w:rsidRPr="009C7929">
        <w:t xml:space="preserve">17 are based on revised forecasts from the </w:t>
      </w:r>
      <w:r w:rsidRPr="009C7929">
        <w:rPr>
          <w:i w:val="0"/>
        </w:rPr>
        <w:t>2013</w:t>
      </w:r>
      <w:r w:rsidR="00276239">
        <w:rPr>
          <w:i w:val="0"/>
        </w:rPr>
        <w:noBreakHyphen/>
      </w:r>
      <w:r w:rsidRPr="009C7929">
        <w:rPr>
          <w:i w:val="0"/>
        </w:rPr>
        <w:t>14 Budget</w:t>
      </w:r>
      <w:r w:rsidRPr="009C7929">
        <w:t xml:space="preserve"> against the </w:t>
      </w:r>
      <w:r w:rsidRPr="009C7929">
        <w:rPr>
          <w:i w:val="0"/>
        </w:rPr>
        <w:t>2010</w:t>
      </w:r>
      <w:r w:rsidR="00276239">
        <w:rPr>
          <w:i w:val="0"/>
        </w:rPr>
        <w:noBreakHyphen/>
      </w:r>
      <w:r w:rsidRPr="009C7929">
        <w:rPr>
          <w:i w:val="0"/>
        </w:rPr>
        <w:t>11 Budget Update</w:t>
      </w:r>
      <w:r w:rsidRPr="009C7929">
        <w:t xml:space="preserve"> forward estimates extrapolated using an average growth rate over the period 2010</w:t>
      </w:r>
      <w:r w:rsidR="00276239">
        <w:noBreakHyphen/>
      </w:r>
      <w:r w:rsidRPr="009C7929">
        <w:t>11 to 2013</w:t>
      </w:r>
      <w:r w:rsidR="00276239">
        <w:noBreakHyphen/>
      </w:r>
      <w:r w:rsidRPr="009C7929">
        <w:t>14 and adjusted for the effect of targeted revenue measures.</w:t>
      </w:r>
    </w:p>
    <w:bookmarkEnd w:id="4"/>
    <w:p w:rsidR="00F3192F" w:rsidRDefault="0070375D" w:rsidP="0070375D">
      <w:pPr>
        <w:pStyle w:val="Notes"/>
      </w:pPr>
      <w:r w:rsidRPr="009C7929">
        <w:t>(b)</w:t>
      </w:r>
      <w:r w:rsidRPr="009C7929">
        <w:tab/>
        <w:t>Previous savings and targeted revenue</w:t>
      </w:r>
      <w:r w:rsidR="00276239">
        <w:noBreakHyphen/>
      </w:r>
      <w:r w:rsidRPr="009C7929">
        <w:t>raising measure estimates are based on budget and forward estimates announced in the 2011</w:t>
      </w:r>
      <w:r w:rsidR="00276239">
        <w:noBreakHyphen/>
      </w:r>
      <w:r w:rsidRPr="009C7929">
        <w:t>12 to 2013</w:t>
      </w:r>
      <w:r w:rsidR="00276239">
        <w:noBreakHyphen/>
      </w:r>
      <w:r w:rsidRPr="009C7929">
        <w:t xml:space="preserve">14 budget documents </w:t>
      </w:r>
      <w:r>
        <w:t xml:space="preserve">adjusted where forecasts have changed </w:t>
      </w:r>
      <w:r w:rsidRPr="009C7929">
        <w:t>and include estimates for</w:t>
      </w:r>
      <w:r w:rsidRPr="00C4118C">
        <w:t xml:space="preserve"> the continuing impact of those measures </w:t>
      </w:r>
      <w:r>
        <w:t xml:space="preserve">for the </w:t>
      </w:r>
      <w:r w:rsidRPr="004020BE">
        <w:rPr>
          <w:i w:val="0"/>
        </w:rPr>
        <w:t>2013</w:t>
      </w:r>
      <w:r w:rsidR="00276239">
        <w:rPr>
          <w:i w:val="0"/>
        </w:rPr>
        <w:noBreakHyphen/>
      </w:r>
      <w:r w:rsidRPr="004020BE">
        <w:rPr>
          <w:i w:val="0"/>
        </w:rPr>
        <w:t>14 Budget</w:t>
      </w:r>
      <w:r>
        <w:t xml:space="preserve"> and forward estimates.</w:t>
      </w:r>
    </w:p>
    <w:p w:rsidR="0070375D" w:rsidRDefault="0070375D" w:rsidP="0070375D">
      <w:pPr>
        <w:pStyle w:val="Notes"/>
      </w:pPr>
      <w:r>
        <w:t>(c)</w:t>
      </w:r>
      <w:r>
        <w:tab/>
        <w:t>Savings and targeted revenue measures are combined and presented as positive numbers in this table to demonstrate the favourable impact on the State</w:t>
      </w:r>
      <w:r w:rsidR="00276239">
        <w:t>’</w:t>
      </w:r>
      <w:r>
        <w:t>s budget capacity. The savings measures are represented as negative numbers in Chapter 1 of Budget Paper No. 3 to demonstrate reduced spending.</w:t>
      </w:r>
    </w:p>
    <w:p w:rsidR="0070375D" w:rsidRDefault="0070375D" w:rsidP="0070375D">
      <w:pPr>
        <w:pStyle w:val="Notes"/>
      </w:pPr>
      <w:r>
        <w:t>(d)</w:t>
      </w:r>
      <w:r>
        <w:tab/>
      </w:r>
      <w:r>
        <w:tab/>
        <w:t>Some totals may not add due to rounding.</w:t>
      </w:r>
    </w:p>
    <w:p w:rsidR="0070375D" w:rsidRDefault="0070375D" w:rsidP="0070375D">
      <w:pPr>
        <w:pStyle w:val="Source"/>
      </w:pPr>
    </w:p>
    <w:p w:rsidR="0070375D" w:rsidRDefault="0070375D" w:rsidP="007534B1">
      <w:r w:rsidRPr="00BF1CA3">
        <w:t>The Government</w:t>
      </w:r>
      <w:r w:rsidR="00276239">
        <w:t>’</w:t>
      </w:r>
      <w:r w:rsidRPr="00BF1CA3">
        <w:t>s public sector restructure</w:t>
      </w:r>
      <w:r>
        <w:fldChar w:fldCharType="begin"/>
      </w:r>
      <w:r>
        <w:instrText xml:space="preserve"> XE "</w:instrText>
      </w:r>
      <w:r w:rsidRPr="001033ED">
        <w:instrText>Public sector restructure</w:instrText>
      </w:r>
      <w:r>
        <w:instrText xml:space="preserve">" </w:instrText>
      </w:r>
      <w:r>
        <w:fldChar w:fldCharType="end"/>
      </w:r>
      <w:r w:rsidRPr="00BF1CA3">
        <w:t xml:space="preserve">, announced in April 2013, </w:t>
      </w:r>
      <w:r>
        <w:t>will</w:t>
      </w:r>
      <w:r w:rsidRPr="00BF1CA3">
        <w:t xml:space="preserve"> further sharpen the focus on </w:t>
      </w:r>
      <w:r>
        <w:t>promoting</w:t>
      </w:r>
      <w:r w:rsidRPr="00BF1CA3">
        <w:t xml:space="preserve"> investment and jobs, and providing better services to Victorians. Key changes include:</w:t>
      </w:r>
    </w:p>
    <w:p w:rsidR="0070375D" w:rsidRPr="00D8025E" w:rsidRDefault="0070375D" w:rsidP="00751E9B">
      <w:pPr>
        <w:pStyle w:val="BulletText"/>
      </w:pPr>
      <w:r w:rsidRPr="00D8025E">
        <w:t xml:space="preserve">integrating </w:t>
      </w:r>
      <w:r w:rsidRPr="00751E9B">
        <w:t>urban</w:t>
      </w:r>
      <w:r w:rsidRPr="00D8025E">
        <w:t xml:space="preserve"> and transport planning with local infrastructure</w:t>
      </w:r>
      <w:r>
        <w:fldChar w:fldCharType="begin"/>
      </w:r>
      <w:r>
        <w:instrText xml:space="preserve"> XE "</w:instrText>
      </w:r>
      <w:r w:rsidRPr="001033ED">
        <w:instrText>Infrastructure</w:instrText>
      </w:r>
      <w:r>
        <w:instrText xml:space="preserve">" </w:instrText>
      </w:r>
      <w:r>
        <w:fldChar w:fldCharType="end"/>
      </w:r>
      <w:r w:rsidRPr="00D8025E">
        <w:t xml:space="preserve"> and services; </w:t>
      </w:r>
    </w:p>
    <w:p w:rsidR="0070375D" w:rsidRPr="00D8025E" w:rsidRDefault="0070375D" w:rsidP="00F4086C">
      <w:pPr>
        <w:pStyle w:val="BulletText"/>
      </w:pPr>
      <w:r w:rsidRPr="00D8025E">
        <w:t xml:space="preserve">bringing land and water management together with primary industries to help boost </w:t>
      </w:r>
      <w:r>
        <w:t>productivity in</w:t>
      </w:r>
      <w:r w:rsidRPr="00D8025E">
        <w:t xml:space="preserve"> Victoria</w:t>
      </w:r>
      <w:r w:rsidR="00276239">
        <w:t>’</w:t>
      </w:r>
      <w:r w:rsidRPr="00D8025E">
        <w:t xml:space="preserve">s food and fibre sector; and </w:t>
      </w:r>
    </w:p>
    <w:p w:rsidR="0070375D" w:rsidRPr="00D8025E" w:rsidRDefault="0070375D" w:rsidP="00F4086C">
      <w:pPr>
        <w:pStyle w:val="BulletText"/>
      </w:pPr>
      <w:r w:rsidRPr="00D8025E">
        <w:t>bringing the energy and resources portfolio into the Department of State Development, Business and Innovation</w:t>
      </w:r>
      <w:r w:rsidR="0047351B">
        <w:fldChar w:fldCharType="begin"/>
      </w:r>
      <w:r w:rsidR="0047351B">
        <w:instrText xml:space="preserve"> XE "</w:instrText>
      </w:r>
      <w:r w:rsidR="0047351B" w:rsidRPr="000B604D">
        <w:instrText>Department of State Development, Business and Innovation</w:instrText>
      </w:r>
      <w:r w:rsidR="0047351B">
        <w:instrText xml:space="preserve">" </w:instrText>
      </w:r>
      <w:r w:rsidR="0047351B">
        <w:fldChar w:fldCharType="end"/>
      </w:r>
      <w:r w:rsidRPr="00D8025E">
        <w:t xml:space="preserve"> to enable a stronger focus on major development opportunities</w:t>
      </w:r>
      <w:r>
        <w:t>,</w:t>
      </w:r>
      <w:r w:rsidRPr="00D8025E">
        <w:t xml:space="preserve"> such as</w:t>
      </w:r>
      <w:r>
        <w:t xml:space="preserve"> better using</w:t>
      </w:r>
      <w:r w:rsidRPr="00D8025E">
        <w:t xml:space="preserve"> Victoria</w:t>
      </w:r>
      <w:r w:rsidR="00276239">
        <w:t>’</w:t>
      </w:r>
      <w:r w:rsidRPr="00D8025E">
        <w:t xml:space="preserve">s coal resources. </w:t>
      </w:r>
    </w:p>
    <w:p w:rsidR="0070375D" w:rsidRDefault="0070375D" w:rsidP="00F4086C">
      <w:r>
        <w:t>These changes complement the Sustainable Government Initiative</w:t>
      </w:r>
      <w:r>
        <w:fldChar w:fldCharType="begin"/>
      </w:r>
      <w:r>
        <w:instrText xml:space="preserve"> XE "</w:instrText>
      </w:r>
      <w:r w:rsidRPr="001033ED">
        <w:instrText>Sustainable Government Initiative</w:instrText>
      </w:r>
      <w:r>
        <w:instrText xml:space="preserve">" </w:instrText>
      </w:r>
      <w:r>
        <w:fldChar w:fldCharType="end"/>
      </w:r>
      <w:r>
        <w:t>, which reduced back</w:t>
      </w:r>
      <w:r w:rsidR="00276239">
        <w:noBreakHyphen/>
      </w:r>
      <w:r>
        <w:t>office and administrative positions of the public service workforce. Frontline service delivery staff have been protected from these reductions.</w:t>
      </w:r>
    </w:p>
    <w:p w:rsidR="0070375D" w:rsidRDefault="0070375D" w:rsidP="004F5F65">
      <w:r>
        <w:t xml:space="preserve">The </w:t>
      </w:r>
      <w:r w:rsidRPr="00787916">
        <w:rPr>
          <w:i/>
        </w:rPr>
        <w:t>2013</w:t>
      </w:r>
      <w:r w:rsidR="00276239">
        <w:rPr>
          <w:i/>
        </w:rPr>
        <w:noBreakHyphen/>
      </w:r>
      <w:r w:rsidRPr="00787916">
        <w:rPr>
          <w:i/>
        </w:rPr>
        <w:t>14</w:t>
      </w:r>
      <w:r>
        <w:t> </w:t>
      </w:r>
      <w:r w:rsidRPr="00787916">
        <w:rPr>
          <w:i/>
        </w:rPr>
        <w:t>Budget</w:t>
      </w:r>
      <w:r>
        <w:t xml:space="preserve"> implements several measures to reform and better target public services. Key initiatives include:</w:t>
      </w:r>
    </w:p>
    <w:p w:rsidR="0070375D" w:rsidRPr="007D7BBD" w:rsidRDefault="0070375D" w:rsidP="00CE42F5">
      <w:pPr>
        <w:pStyle w:val="BulletText"/>
      </w:pPr>
      <w:r>
        <w:t>redirecting the F</w:t>
      </w:r>
      <w:r w:rsidRPr="007D7BBD">
        <w:t xml:space="preserve">irst </w:t>
      </w:r>
      <w:r>
        <w:t>H</w:t>
      </w:r>
      <w:r w:rsidRPr="007D7BBD">
        <w:t xml:space="preserve">ome </w:t>
      </w:r>
      <w:r>
        <w:t>O</w:t>
      </w:r>
      <w:r w:rsidRPr="007D7BBD">
        <w:t xml:space="preserve">wner </w:t>
      </w:r>
      <w:r>
        <w:t>G</w:t>
      </w:r>
      <w:r w:rsidRPr="007D7BBD">
        <w:t>rant</w:t>
      </w:r>
      <w:r>
        <w:fldChar w:fldCharType="begin"/>
      </w:r>
      <w:r>
        <w:instrText xml:space="preserve"> XE "</w:instrText>
      </w:r>
      <w:r w:rsidRPr="001033ED">
        <w:instrText>First Home Owner Grant</w:instrText>
      </w:r>
      <w:r>
        <w:instrText xml:space="preserve">" </w:instrText>
      </w:r>
      <w:r>
        <w:fldChar w:fldCharType="end"/>
      </w:r>
      <w:r w:rsidRPr="007D7BBD">
        <w:t xml:space="preserve"> to new homes </w:t>
      </w:r>
      <w:r>
        <w:t xml:space="preserve">only </w:t>
      </w:r>
      <w:r w:rsidRPr="007D7BBD">
        <w:t>and increas</w:t>
      </w:r>
      <w:r>
        <w:t xml:space="preserve">ing it to </w:t>
      </w:r>
      <w:r w:rsidRPr="007D7BBD">
        <w:t>$10</w:t>
      </w:r>
      <w:r>
        <w:t> </w:t>
      </w:r>
      <w:r w:rsidRPr="007D7BBD">
        <w:t>000</w:t>
      </w:r>
      <w:r>
        <w:t>. Together w</w:t>
      </w:r>
      <w:r w:rsidRPr="007D7BBD">
        <w:t xml:space="preserve">ith </w:t>
      </w:r>
      <w:r>
        <w:t>bringing forward</w:t>
      </w:r>
      <w:r w:rsidRPr="007D7BBD">
        <w:t xml:space="preserve"> first home buyer stamp duty concessions, the retargeted program will encourage construction</w:t>
      </w:r>
      <w:r>
        <w:t xml:space="preserve"> and</w:t>
      </w:r>
      <w:r w:rsidRPr="007D7BBD">
        <w:t xml:space="preserve"> improve </w:t>
      </w:r>
      <w:r>
        <w:t xml:space="preserve">affordability, </w:t>
      </w:r>
      <w:r w:rsidRPr="00CE42F5">
        <w:t xml:space="preserve">while ensuring first home buyers of </w:t>
      </w:r>
      <w:r>
        <w:t>established dwellings receive a 40 per cent reduction in stamp duty</w:t>
      </w:r>
      <w:r>
        <w:fldChar w:fldCharType="begin"/>
      </w:r>
      <w:r>
        <w:instrText xml:space="preserve"> XE "</w:instrText>
      </w:r>
      <w:r w:rsidRPr="001033ED">
        <w:instrText>Stamp duty</w:instrText>
      </w:r>
      <w:r>
        <w:instrText xml:space="preserve">" </w:instrText>
      </w:r>
      <w:r>
        <w:fldChar w:fldCharType="end"/>
      </w:r>
      <w:r>
        <w:t xml:space="preserve"> from 1 </w:t>
      </w:r>
      <w:r w:rsidRPr="00CE42F5">
        <w:t>July 2013</w:t>
      </w:r>
      <w:r>
        <w:t>;</w:t>
      </w:r>
    </w:p>
    <w:p w:rsidR="0070375D" w:rsidRPr="00CE42F5" w:rsidRDefault="0070375D" w:rsidP="00751E9B">
      <w:pPr>
        <w:pStyle w:val="BulletText"/>
      </w:pPr>
      <w:r>
        <w:lastRenderedPageBreak/>
        <w:t>introducing a maximum to gas and electricity concessions</w:t>
      </w:r>
      <w:r>
        <w:fldChar w:fldCharType="begin"/>
      </w:r>
      <w:r>
        <w:instrText xml:space="preserve"> XE "</w:instrText>
      </w:r>
      <w:r w:rsidRPr="001033ED">
        <w:instrText>Concessions</w:instrText>
      </w:r>
      <w:r>
        <w:instrText xml:space="preserve">" </w:instrText>
      </w:r>
      <w:r>
        <w:fldChar w:fldCharType="end"/>
      </w:r>
      <w:r>
        <w:t xml:space="preserve"> automatically provided. </w:t>
      </w:r>
      <w:r w:rsidRPr="00CE42F5">
        <w:t>This is designed to curb excessive utility household costs and address fraud and misuse, while ensuring the benefit is pr</w:t>
      </w:r>
      <w:r>
        <w:t>otected for those most in need; and</w:t>
      </w:r>
    </w:p>
    <w:p w:rsidR="0070375D" w:rsidRDefault="0070375D" w:rsidP="00CE42F5">
      <w:pPr>
        <w:pStyle w:val="BulletText"/>
      </w:pPr>
      <w:r>
        <w:t xml:space="preserve">creating an additional ongoing </w:t>
      </w:r>
      <w:r w:rsidRPr="00CE42F5">
        <w:t>elective surgery</w:t>
      </w:r>
      <w:r>
        <w:fldChar w:fldCharType="begin"/>
      </w:r>
      <w:r>
        <w:instrText xml:space="preserve"> XE "</w:instrText>
      </w:r>
      <w:r w:rsidRPr="001033ED">
        <w:instrText>Elective surgery</w:instrText>
      </w:r>
      <w:r>
        <w:instrText xml:space="preserve">" </w:instrText>
      </w:r>
      <w:r>
        <w:fldChar w:fldCharType="end"/>
      </w:r>
      <w:r w:rsidRPr="00CE42F5">
        <w:t xml:space="preserve"> funding pool</w:t>
      </w:r>
      <w:r>
        <w:t xml:space="preserve">, using </w:t>
      </w:r>
      <w:r w:rsidRPr="00CE42F5">
        <w:t xml:space="preserve">greater competition to </w:t>
      </w:r>
      <w:r>
        <w:t>deliver</w:t>
      </w:r>
      <w:r w:rsidRPr="00CE42F5">
        <w:t xml:space="preserve"> better</w:t>
      </w:r>
      <w:r>
        <w:t xml:space="preserve"> and </w:t>
      </w:r>
      <w:r w:rsidRPr="00CE42F5">
        <w:t xml:space="preserve">more efficient services. This program will </w:t>
      </w:r>
      <w:r>
        <w:t>improve</w:t>
      </w:r>
      <w:r w:rsidRPr="00CE42F5">
        <w:t xml:space="preserve"> outcomes and </w:t>
      </w:r>
      <w:r>
        <w:t>allow</w:t>
      </w:r>
      <w:r w:rsidRPr="00CE42F5">
        <w:t xml:space="preserve"> </w:t>
      </w:r>
      <w:r>
        <w:t>a greater number of</w:t>
      </w:r>
      <w:r w:rsidRPr="00CE42F5">
        <w:t xml:space="preserve"> patients to be treated more quickly.</w:t>
      </w:r>
    </w:p>
    <w:p w:rsidR="0070375D" w:rsidRDefault="0070375D" w:rsidP="000215A6">
      <w:r>
        <w:t xml:space="preserve">Spending in the </w:t>
      </w:r>
      <w:r w:rsidRPr="00CA35CA">
        <w:rPr>
          <w:i/>
        </w:rPr>
        <w:t>2013</w:t>
      </w:r>
      <w:r w:rsidR="00276239">
        <w:rPr>
          <w:i/>
        </w:rPr>
        <w:noBreakHyphen/>
      </w:r>
      <w:r>
        <w:rPr>
          <w:i/>
        </w:rPr>
        <w:t>14 </w:t>
      </w:r>
      <w:r w:rsidRPr="00CA35CA">
        <w:rPr>
          <w:i/>
        </w:rPr>
        <w:t>Budget</w:t>
      </w:r>
      <w:r>
        <w:t xml:space="preserve"> prioritises frontline service delivery</w:t>
      </w:r>
      <w:r>
        <w:fldChar w:fldCharType="begin"/>
      </w:r>
      <w:r>
        <w:instrText xml:space="preserve"> XE "</w:instrText>
      </w:r>
      <w:r w:rsidRPr="001033ED">
        <w:instrText>Service delivery</w:instrText>
      </w:r>
      <w:r>
        <w:instrText xml:space="preserve">" </w:instrText>
      </w:r>
      <w:r>
        <w:fldChar w:fldCharType="end"/>
      </w:r>
      <w:r>
        <w:t>, improving efficiency across government, driving economy wide productivity and innovation and protecting the more vulnerable members of the community. This is reflected in targeted initiatives including:</w:t>
      </w:r>
    </w:p>
    <w:p w:rsidR="0070375D" w:rsidRDefault="0070375D" w:rsidP="005720E6">
      <w:pPr>
        <w:pStyle w:val="BulletText"/>
      </w:pPr>
      <w:r>
        <w:t xml:space="preserve">enhancing the </w:t>
      </w:r>
      <w:r w:rsidRPr="00D53338">
        <w:t>capacity</w:t>
      </w:r>
      <w:r>
        <w:t xml:space="preserve"> of health</w:t>
      </w:r>
      <w:r>
        <w:fldChar w:fldCharType="begin"/>
      </w:r>
      <w:r>
        <w:instrText xml:space="preserve"> XE "</w:instrText>
      </w:r>
      <w:r w:rsidRPr="00825C25">
        <w:instrText>Health:Services</w:instrText>
      </w:r>
      <w:r>
        <w:instrText xml:space="preserve">" </w:instrText>
      </w:r>
      <w:r>
        <w:fldChar w:fldCharType="end"/>
      </w:r>
      <w:r>
        <w:t xml:space="preserve"> services, focusing on emergency inpatient services, outpatient services, renal dialysis, chemotherapy and radiotherapy services; </w:t>
      </w:r>
    </w:p>
    <w:p w:rsidR="0070375D" w:rsidRDefault="0070375D" w:rsidP="005720E6">
      <w:pPr>
        <w:pStyle w:val="BulletText"/>
      </w:pPr>
      <w:r>
        <w:t>supporting proposals from TAFE</w:t>
      </w:r>
      <w:r>
        <w:fldChar w:fldCharType="begin"/>
      </w:r>
      <w:r>
        <w:instrText xml:space="preserve"> XE "</w:instrText>
      </w:r>
      <w:r w:rsidRPr="001033ED">
        <w:instrText>T</w:instrText>
      </w:r>
      <w:r w:rsidR="0047351B">
        <w:instrText>echnical and further education</w:instrText>
      </w:r>
      <w:r>
        <w:instrText xml:space="preserve">" </w:instrText>
      </w:r>
      <w:r>
        <w:fldChar w:fldCharType="end"/>
      </w:r>
      <w:r>
        <w:t xml:space="preserve"> institutes for innovation, collaboration, structural reform and business transformation;</w:t>
      </w:r>
    </w:p>
    <w:p w:rsidR="0070375D" w:rsidRDefault="0070375D" w:rsidP="005720E6">
      <w:pPr>
        <w:pStyle w:val="BulletText"/>
      </w:pPr>
      <w:r w:rsidRPr="00830777">
        <w:t>protecting Victoria</w:t>
      </w:r>
      <w:r w:rsidR="00276239">
        <w:t>’</w:t>
      </w:r>
      <w:r>
        <w:t>s vulnerable children</w:t>
      </w:r>
      <w:r w:rsidRPr="00830777">
        <w:t xml:space="preserve"> by maintaining the 24</w:t>
      </w:r>
      <w:r w:rsidR="00276239">
        <w:noBreakHyphen/>
      </w:r>
      <w:r w:rsidRPr="00830777">
        <w:t>hour child protection emergency response service and providing specialist support to vulnerable students facing barriers to learning;</w:t>
      </w:r>
    </w:p>
    <w:p w:rsidR="0070375D" w:rsidRPr="00C277C7" w:rsidRDefault="0070375D" w:rsidP="00F25B50">
      <w:pPr>
        <w:pStyle w:val="BulletText"/>
      </w:pPr>
      <w:r>
        <w:t>delivering new</w:t>
      </w:r>
      <w:r w:rsidRPr="00C277C7">
        <w:t xml:space="preserve"> spending on disability </w:t>
      </w:r>
      <w:r>
        <w:t xml:space="preserve">services, </w:t>
      </w:r>
      <w:r w:rsidRPr="00C277C7">
        <w:t xml:space="preserve">with targeted funding to government schools to support students with </w:t>
      </w:r>
      <w:r w:rsidRPr="00D53338">
        <w:t>moderate</w:t>
      </w:r>
      <w:r>
        <w:t xml:space="preserve"> to severe disabilities and</w:t>
      </w:r>
      <w:r w:rsidRPr="00C277C7">
        <w:t xml:space="preserve"> up to 720 additional individual support packages to provide essential care and support services for people with a disabil</w:t>
      </w:r>
      <w:r>
        <w:t xml:space="preserve">ity, their families and carers; </w:t>
      </w:r>
      <w:r w:rsidRPr="00C277C7">
        <w:t>and</w:t>
      </w:r>
    </w:p>
    <w:p w:rsidR="0070375D" w:rsidRPr="00710B7D" w:rsidRDefault="0070375D" w:rsidP="005720E6">
      <w:pPr>
        <w:pStyle w:val="BulletText"/>
      </w:pPr>
      <w:r>
        <w:t>committing</w:t>
      </w:r>
      <w:r w:rsidRPr="0050621E">
        <w:t xml:space="preserve"> to the launch of the National Disability Insurance Scheme</w:t>
      </w:r>
      <w:r>
        <w:fldChar w:fldCharType="begin"/>
      </w:r>
      <w:r>
        <w:instrText xml:space="preserve"> XE "</w:instrText>
      </w:r>
      <w:r w:rsidRPr="001033ED">
        <w:instrText>National Disability Insurance Scheme</w:instrText>
      </w:r>
      <w:r>
        <w:instrText xml:space="preserve">" </w:instrText>
      </w:r>
      <w:r>
        <w:fldChar w:fldCharType="end"/>
      </w:r>
      <w:r w:rsidRPr="0050621E">
        <w:t xml:space="preserve"> (NDIS) in the Barwon area</w:t>
      </w:r>
      <w:r>
        <w:t>.</w:t>
      </w:r>
    </w:p>
    <w:p w:rsidR="0070375D" w:rsidRDefault="0070375D" w:rsidP="00352BDB">
      <w:pPr>
        <w:pStyle w:val="Heading1"/>
      </w:pPr>
      <w:bookmarkStart w:id="5" w:name="_Toc355372018"/>
      <w:r w:rsidRPr="00AD7768">
        <w:rPr>
          <w:i/>
        </w:rPr>
        <w:t>2013</w:t>
      </w:r>
      <w:r w:rsidR="00276239">
        <w:rPr>
          <w:i/>
        </w:rPr>
        <w:noBreakHyphen/>
      </w:r>
      <w:r w:rsidRPr="00AD7768">
        <w:rPr>
          <w:i/>
        </w:rPr>
        <w:t>14 Budget</w:t>
      </w:r>
      <w:r>
        <w:t xml:space="preserve"> </w:t>
      </w:r>
      <w:r w:rsidRPr="004816CA">
        <w:t>strategy</w:t>
      </w:r>
      <w:bookmarkEnd w:id="5"/>
    </w:p>
    <w:p w:rsidR="0070375D" w:rsidRDefault="0070375D" w:rsidP="000137A9">
      <w:r>
        <w:t xml:space="preserve">The </w:t>
      </w:r>
      <w:r w:rsidRPr="00313CB5">
        <w:rPr>
          <w:i/>
        </w:rPr>
        <w:t>2013</w:t>
      </w:r>
      <w:r w:rsidR="00276239">
        <w:rPr>
          <w:i/>
        </w:rPr>
        <w:noBreakHyphen/>
      </w:r>
      <w:r w:rsidRPr="00313CB5">
        <w:rPr>
          <w:i/>
        </w:rPr>
        <w:t>14 Budget</w:t>
      </w:r>
      <w:r>
        <w:t xml:space="preserve"> continues to strengthen Victoria</w:t>
      </w:r>
      <w:r w:rsidR="00276239">
        <w:t>’</w:t>
      </w:r>
      <w:r>
        <w:t>s budget position. Without a strong budget position, targeted new spending would not be affordable and would exacerbate current fiscal challenges</w:t>
      </w:r>
      <w:r>
        <w:fldChar w:fldCharType="begin"/>
      </w:r>
      <w:r>
        <w:instrText xml:space="preserve"> XE "</w:instrText>
      </w:r>
      <w:r w:rsidRPr="001033ED">
        <w:instrText>Financial objectives and strategies</w:instrText>
      </w:r>
      <w:r>
        <w:instrText xml:space="preserve">" </w:instrText>
      </w:r>
      <w:r>
        <w:fldChar w:fldCharType="end"/>
      </w:r>
      <w:r>
        <w:t>.</w:t>
      </w:r>
    </w:p>
    <w:p w:rsidR="0070375D" w:rsidRDefault="0070375D" w:rsidP="00D77BB4">
      <w:pPr>
        <w:rPr>
          <w:lang w:eastAsia="en-AU"/>
        </w:rPr>
      </w:pPr>
      <w:r w:rsidRPr="006461C5">
        <w:rPr>
          <w:lang w:eastAsia="en-AU"/>
        </w:rPr>
        <w:t>Victoria</w:t>
      </w:r>
      <w:r w:rsidR="00276239">
        <w:rPr>
          <w:lang w:eastAsia="en-AU"/>
        </w:rPr>
        <w:t>’</w:t>
      </w:r>
      <w:r w:rsidRPr="006461C5">
        <w:rPr>
          <w:lang w:eastAsia="en-AU"/>
        </w:rPr>
        <w:t xml:space="preserve">s fiscal strategy uses growing surpluses to </w:t>
      </w:r>
      <w:r>
        <w:rPr>
          <w:lang w:eastAsia="en-AU"/>
        </w:rPr>
        <w:t>fund</w:t>
      </w:r>
      <w:r w:rsidRPr="006461C5">
        <w:rPr>
          <w:lang w:eastAsia="en-AU"/>
        </w:rPr>
        <w:t xml:space="preserve"> </w:t>
      </w:r>
      <w:r>
        <w:rPr>
          <w:lang w:eastAsia="en-AU"/>
        </w:rPr>
        <w:t xml:space="preserve">the </w:t>
      </w:r>
      <w:r w:rsidRPr="006461C5">
        <w:rPr>
          <w:lang w:eastAsia="en-AU"/>
        </w:rPr>
        <w:t>infrastructure</w:t>
      </w:r>
      <w:r>
        <w:rPr>
          <w:lang w:eastAsia="en-AU"/>
        </w:rPr>
        <w:t xml:space="preserve"> required by an expanding population</w:t>
      </w:r>
      <w:r>
        <w:rPr>
          <w:lang w:eastAsia="en-AU"/>
        </w:rPr>
        <w:fldChar w:fldCharType="begin"/>
      </w:r>
      <w:r>
        <w:instrText xml:space="preserve"> XE "</w:instrText>
      </w:r>
      <w:r w:rsidRPr="001033ED">
        <w:rPr>
          <w:lang w:eastAsia="en-AU"/>
        </w:rPr>
        <w:instrText>Population</w:instrText>
      </w:r>
      <w:r>
        <w:instrText xml:space="preserve">" </w:instrText>
      </w:r>
      <w:r>
        <w:rPr>
          <w:lang w:eastAsia="en-AU"/>
        </w:rPr>
        <w:fldChar w:fldCharType="end"/>
      </w:r>
      <w:r>
        <w:rPr>
          <w:lang w:eastAsia="en-AU"/>
        </w:rPr>
        <w:t xml:space="preserve"> and to sustain</w:t>
      </w:r>
      <w:r w:rsidRPr="006461C5">
        <w:rPr>
          <w:lang w:eastAsia="en-AU"/>
        </w:rPr>
        <w:t xml:space="preserve"> economic growth</w:t>
      </w:r>
      <w:r>
        <w:rPr>
          <w:lang w:eastAsia="en-AU"/>
        </w:rPr>
        <w:fldChar w:fldCharType="begin"/>
      </w:r>
      <w:r>
        <w:instrText xml:space="preserve"> XE "</w:instrText>
      </w:r>
      <w:r w:rsidRPr="001033ED">
        <w:rPr>
          <w:lang w:eastAsia="en-AU"/>
        </w:rPr>
        <w:instrText>Economic growth</w:instrText>
      </w:r>
      <w:r>
        <w:instrText xml:space="preserve">" </w:instrText>
      </w:r>
      <w:r>
        <w:rPr>
          <w:lang w:eastAsia="en-AU"/>
        </w:rPr>
        <w:fldChar w:fldCharType="end"/>
      </w:r>
      <w:r w:rsidRPr="006461C5">
        <w:rPr>
          <w:lang w:eastAsia="en-AU"/>
        </w:rPr>
        <w:t xml:space="preserve"> and </w:t>
      </w:r>
      <w:r>
        <w:rPr>
          <w:lang w:eastAsia="en-AU"/>
        </w:rPr>
        <w:t>the State</w:t>
      </w:r>
      <w:r w:rsidR="00276239">
        <w:rPr>
          <w:lang w:eastAsia="en-AU"/>
        </w:rPr>
        <w:t>’</w:t>
      </w:r>
      <w:r>
        <w:rPr>
          <w:lang w:eastAsia="en-AU"/>
        </w:rPr>
        <w:t xml:space="preserve">s </w:t>
      </w:r>
      <w:r w:rsidRPr="006461C5">
        <w:rPr>
          <w:lang w:eastAsia="en-AU"/>
        </w:rPr>
        <w:t>liveability, w</w:t>
      </w:r>
      <w:r>
        <w:rPr>
          <w:lang w:eastAsia="en-AU"/>
        </w:rPr>
        <w:t xml:space="preserve">hile prudently managing debt. </w:t>
      </w:r>
      <w:r w:rsidRPr="00AC6B9A">
        <w:t>The Government</w:t>
      </w:r>
      <w:r w:rsidR="00276239">
        <w:t>’</w:t>
      </w:r>
      <w:r w:rsidRPr="00AC6B9A">
        <w:t xml:space="preserve">s efforts </w:t>
      </w:r>
      <w:r>
        <w:t>are expected to result</w:t>
      </w:r>
      <w:r w:rsidRPr="00AC6B9A">
        <w:t xml:space="preserve"> in net </w:t>
      </w:r>
      <w:r>
        <w:t xml:space="preserve">general government </w:t>
      </w:r>
      <w:r w:rsidRPr="00AC6B9A">
        <w:t>financial liabilities falling</w:t>
      </w:r>
      <w:r>
        <w:t xml:space="preserve"> over the forward estimates</w:t>
      </w:r>
      <w:r w:rsidRPr="00AC6B9A">
        <w:t xml:space="preserve"> as a percentage of GSP</w:t>
      </w:r>
      <w:r>
        <w:fldChar w:fldCharType="begin"/>
      </w:r>
      <w:r>
        <w:instrText xml:space="preserve"> XE "</w:instrText>
      </w:r>
      <w:r w:rsidRPr="001033ED">
        <w:instrText>Gross state product</w:instrText>
      </w:r>
      <w:r>
        <w:instrText xml:space="preserve">" </w:instrText>
      </w:r>
      <w:r>
        <w:fldChar w:fldCharType="end"/>
      </w:r>
      <w:r w:rsidRPr="00AC6B9A">
        <w:t>.</w:t>
      </w:r>
    </w:p>
    <w:p w:rsidR="0070375D" w:rsidRDefault="0070375D" w:rsidP="00751E9B">
      <w:r w:rsidRPr="00CC411C">
        <w:t>The budget is projected to be in surplus</w:t>
      </w:r>
      <w:r>
        <w:fldChar w:fldCharType="begin"/>
      </w:r>
      <w:r>
        <w:instrText xml:space="preserve"> XE "</w:instrText>
      </w:r>
      <w:r w:rsidRPr="001033ED">
        <w:instrText>Surplus</w:instrText>
      </w:r>
      <w:r>
        <w:instrText xml:space="preserve">" </w:instrText>
      </w:r>
      <w:r>
        <w:fldChar w:fldCharType="end"/>
      </w:r>
      <w:r w:rsidRPr="00CC411C">
        <w:t xml:space="preserve"> every year over the forward estimates, with the net result from transactions growing </w:t>
      </w:r>
      <w:r w:rsidRPr="00615A93">
        <w:t>from $</w:t>
      </w:r>
      <w:r>
        <w:t>225 million</w:t>
      </w:r>
      <w:r w:rsidRPr="00CC411C">
        <w:t xml:space="preserve"> in</w:t>
      </w:r>
      <w:r>
        <w:t xml:space="preserve"> 2013</w:t>
      </w:r>
      <w:r w:rsidR="00276239">
        <w:noBreakHyphen/>
      </w:r>
      <w:r w:rsidRPr="00CC411C">
        <w:t xml:space="preserve">14 to </w:t>
      </w:r>
      <w:r w:rsidRPr="00615A93">
        <w:t>$2.5</w:t>
      </w:r>
      <w:r>
        <w:t> billion</w:t>
      </w:r>
      <w:r w:rsidRPr="00CC411C">
        <w:t xml:space="preserve"> in 2016</w:t>
      </w:r>
      <w:r w:rsidR="00276239">
        <w:noBreakHyphen/>
      </w:r>
      <w:r>
        <w:t>17</w:t>
      </w:r>
      <w:r w:rsidRPr="00CC411C">
        <w:t xml:space="preserve">. </w:t>
      </w:r>
      <w:r>
        <w:t>Victoria is now one of only two states, the other being resource</w:t>
      </w:r>
      <w:r w:rsidR="00276239">
        <w:noBreakHyphen/>
      </w:r>
      <w:r>
        <w:t>rich Western Australia, forecasting budget surpluses in each year over the four years to 2015</w:t>
      </w:r>
      <w:r w:rsidR="00276239">
        <w:noBreakHyphen/>
      </w:r>
      <w:r>
        <w:t xml:space="preserve">16 (Chart 1.1). </w:t>
      </w:r>
    </w:p>
    <w:p w:rsidR="0070375D" w:rsidRDefault="0070375D" w:rsidP="009A557F">
      <w:pPr>
        <w:pStyle w:val="Chartheading"/>
        <w:rPr>
          <w:vertAlign w:val="superscript"/>
        </w:rPr>
      </w:pPr>
      <w:r>
        <w:lastRenderedPageBreak/>
        <w:t>Chart 1.1:</w:t>
      </w:r>
      <w:r>
        <w:tab/>
        <w:t>Net operating balance as a share of total revenue by state</w:t>
      </w:r>
      <w:r>
        <w:rPr>
          <w:vertAlign w:val="superscript"/>
        </w:rPr>
        <w:t>(a)</w:t>
      </w:r>
    </w:p>
    <w:p w:rsidR="0070375D" w:rsidRDefault="00315427" w:rsidP="007534B1">
      <w:pPr>
        <w:pStyle w:val="Chartpara"/>
      </w:pPr>
      <w:r>
        <w:pict>
          <v:shape id="_x0000_i1026" type="#_x0000_t75" style="width:381pt;height:211.5pt">
            <v:imagedata r:id="rId15" o:title=""/>
          </v:shape>
        </w:pict>
      </w:r>
    </w:p>
    <w:p w:rsidR="0070375D" w:rsidRDefault="0070375D" w:rsidP="001F2096">
      <w:pPr>
        <w:pStyle w:val="Source"/>
      </w:pPr>
      <w:r w:rsidRPr="003E66F6">
        <w:t>Sources: Victorian budget papers and other state</w:t>
      </w:r>
      <w:r>
        <w:t>s</w:t>
      </w:r>
      <w:r w:rsidR="00276239">
        <w:t>’</w:t>
      </w:r>
      <w:r w:rsidRPr="003E66F6">
        <w:t xml:space="preserve"> budget</w:t>
      </w:r>
      <w:r>
        <w:t>s</w:t>
      </w:r>
      <w:r w:rsidRPr="003E66F6">
        <w:t xml:space="preserve"> and budget u</w:t>
      </w:r>
      <w:r>
        <w:t>pdates.</w:t>
      </w:r>
    </w:p>
    <w:p w:rsidR="0070375D" w:rsidRDefault="0070375D" w:rsidP="009A557F">
      <w:pPr>
        <w:pStyle w:val="Notes"/>
      </w:pPr>
      <w:r>
        <w:t>Note</w:t>
      </w:r>
      <w:r>
        <w:rPr>
          <w:noProof/>
        </w:rPr>
        <w:t>:</w:t>
      </w:r>
    </w:p>
    <w:p w:rsidR="0070375D" w:rsidRDefault="0070375D" w:rsidP="009A557F">
      <w:pPr>
        <w:pStyle w:val="Notes"/>
      </w:pPr>
      <w:r>
        <w:t>(a)</w:t>
      </w:r>
      <w:r>
        <w:tab/>
        <w:t>To ensure comparability, Victoria</w:t>
      </w:r>
      <w:r w:rsidR="00276239">
        <w:t>’</w:t>
      </w:r>
      <w:r>
        <w:t xml:space="preserve">s estimates are </w:t>
      </w:r>
      <w:r w:rsidRPr="005B153C">
        <w:t xml:space="preserve">adjusted </w:t>
      </w:r>
      <w:r>
        <w:t>to exclude the impact of changes to accounting standard AASB 119.</w:t>
      </w:r>
    </w:p>
    <w:p w:rsidR="0070375D" w:rsidRDefault="0070375D" w:rsidP="009A557F">
      <w:pPr>
        <w:pStyle w:val="Notes"/>
      </w:pPr>
    </w:p>
    <w:p w:rsidR="0070375D" w:rsidRDefault="0070375D" w:rsidP="00522902">
      <w:pPr>
        <w:rPr>
          <w:szCs w:val="22"/>
        </w:rPr>
      </w:pPr>
      <w:r>
        <w:rPr>
          <w:szCs w:val="22"/>
        </w:rPr>
        <w:t xml:space="preserve">As announced in </w:t>
      </w:r>
      <w:r>
        <w:rPr>
          <w:i/>
          <w:szCs w:val="22"/>
        </w:rPr>
        <w:t>2012</w:t>
      </w:r>
      <w:r w:rsidR="00276239">
        <w:rPr>
          <w:i/>
          <w:szCs w:val="22"/>
        </w:rPr>
        <w:noBreakHyphen/>
      </w:r>
      <w:r>
        <w:rPr>
          <w:i/>
          <w:szCs w:val="22"/>
        </w:rPr>
        <w:t>13 Budget</w:t>
      </w:r>
      <w:r w:rsidRPr="001A385E">
        <w:rPr>
          <w:szCs w:val="22"/>
        </w:rPr>
        <w:t>, t</w:t>
      </w:r>
      <w:r>
        <w:rPr>
          <w:szCs w:val="22"/>
        </w:rPr>
        <w:t xml:space="preserve">he Government </w:t>
      </w:r>
      <w:r w:rsidRPr="001A385E">
        <w:rPr>
          <w:szCs w:val="22"/>
        </w:rPr>
        <w:t xml:space="preserve">has adopted </w:t>
      </w:r>
      <w:r>
        <w:rPr>
          <w:szCs w:val="22"/>
        </w:rPr>
        <w:t>o</w:t>
      </w:r>
      <w:r w:rsidRPr="001A385E">
        <w:rPr>
          <w:szCs w:val="22"/>
        </w:rPr>
        <w:t>verarching financial ma</w:t>
      </w:r>
      <w:r>
        <w:rPr>
          <w:szCs w:val="22"/>
        </w:rPr>
        <w:t>nagement principles</w:t>
      </w:r>
      <w:r>
        <w:rPr>
          <w:szCs w:val="22"/>
        </w:rPr>
        <w:fldChar w:fldCharType="begin"/>
      </w:r>
      <w:r>
        <w:instrText xml:space="preserve"> XE "</w:instrText>
      </w:r>
      <w:r w:rsidRPr="001033ED">
        <w:rPr>
          <w:szCs w:val="22"/>
        </w:rPr>
        <w:instrText>Financial management principles</w:instrText>
      </w:r>
      <w:r>
        <w:instrText xml:space="preserve">" </w:instrText>
      </w:r>
      <w:r>
        <w:rPr>
          <w:szCs w:val="22"/>
        </w:rPr>
        <w:fldChar w:fldCharType="end"/>
      </w:r>
      <w:r>
        <w:rPr>
          <w:szCs w:val="22"/>
        </w:rPr>
        <w:t xml:space="preserve"> as long</w:t>
      </w:r>
      <w:r w:rsidR="00276239">
        <w:rPr>
          <w:szCs w:val="22"/>
        </w:rPr>
        <w:noBreakHyphen/>
      </w:r>
      <w:r w:rsidRPr="001A385E">
        <w:rPr>
          <w:szCs w:val="22"/>
        </w:rPr>
        <w:t>term financial management objectives</w:t>
      </w:r>
      <w:r>
        <w:rPr>
          <w:szCs w:val="22"/>
        </w:rPr>
        <w:t xml:space="preserve"> (T</w:t>
      </w:r>
      <w:r w:rsidRPr="001A385E">
        <w:rPr>
          <w:szCs w:val="22"/>
        </w:rPr>
        <w:t>able 1.3</w:t>
      </w:r>
      <w:r>
        <w:rPr>
          <w:szCs w:val="22"/>
        </w:rPr>
        <w:t>).</w:t>
      </w:r>
    </w:p>
    <w:p w:rsidR="0070375D" w:rsidRPr="005E6B6F" w:rsidRDefault="0070375D" w:rsidP="005E6B6F">
      <w:pPr>
        <w:pStyle w:val="Tableheading"/>
        <w:rPr>
          <w:rFonts w:ascii="Times New Roman" w:hAnsi="Times New Roman"/>
          <w:i/>
          <w:sz w:val="20"/>
          <w:lang w:eastAsia="en-AU"/>
        </w:rPr>
      </w:pPr>
      <w:r>
        <w:t>Table 1.3:</w:t>
      </w:r>
      <w:r>
        <w:tab/>
        <w:t>Long</w:t>
      </w:r>
      <w:r w:rsidR="00276239">
        <w:noBreakHyphen/>
      </w:r>
      <w:r>
        <w:t>term financial management objectives</w:t>
      </w:r>
    </w:p>
    <w:tbl>
      <w:tblPr>
        <w:tblW w:w="0" w:type="auto"/>
        <w:tblInd w:w="29" w:type="dxa"/>
        <w:tblLayout w:type="fixed"/>
        <w:tblCellMar>
          <w:left w:w="43" w:type="dxa"/>
          <w:right w:w="43" w:type="dxa"/>
        </w:tblCellMar>
        <w:tblLook w:val="0000" w:firstRow="0" w:lastRow="0" w:firstColumn="0" w:lastColumn="0" w:noHBand="0" w:noVBand="0"/>
      </w:tblPr>
      <w:tblGrid>
        <w:gridCol w:w="2477"/>
        <w:gridCol w:w="5241"/>
      </w:tblGrid>
      <w:tr w:rsidR="0070375D" w:rsidRPr="005E6B6F" w:rsidTr="00F00A93">
        <w:trPr>
          <w:trHeight w:val="262"/>
        </w:trPr>
        <w:tc>
          <w:tcPr>
            <w:tcW w:w="2477" w:type="dxa"/>
            <w:tcBorders>
              <w:top w:val="single" w:sz="6" w:space="0" w:color="auto"/>
              <w:left w:val="nil"/>
              <w:bottom w:val="single" w:sz="6" w:space="0" w:color="auto"/>
              <w:right w:val="nil"/>
            </w:tcBorders>
            <w:shd w:val="solid" w:color="000000" w:fill="auto"/>
          </w:tcPr>
          <w:p w:rsidR="0070375D" w:rsidRPr="005E6B6F" w:rsidRDefault="0070375D" w:rsidP="005E6B6F">
            <w:pPr>
              <w:autoSpaceDE w:val="0"/>
              <w:autoSpaceDN w:val="0"/>
              <w:adjustRightInd w:val="0"/>
              <w:spacing w:after="0"/>
              <w:jc w:val="right"/>
              <w:rPr>
                <w:rFonts w:ascii="Calibri" w:eastAsiaTheme="minorEastAsia" w:hAnsi="Calibri" w:cs="Calibri"/>
                <w:color w:val="000000"/>
                <w:sz w:val="20"/>
                <w:lang w:eastAsia="en-AU"/>
              </w:rPr>
            </w:pPr>
          </w:p>
        </w:tc>
        <w:tc>
          <w:tcPr>
            <w:tcW w:w="5241" w:type="dxa"/>
            <w:tcBorders>
              <w:top w:val="single" w:sz="6" w:space="0" w:color="auto"/>
              <w:left w:val="nil"/>
              <w:bottom w:val="single" w:sz="6" w:space="0" w:color="auto"/>
              <w:right w:val="nil"/>
            </w:tcBorders>
            <w:shd w:val="solid" w:color="000000" w:fill="auto"/>
          </w:tcPr>
          <w:p w:rsidR="0070375D" w:rsidRPr="005E6B6F" w:rsidRDefault="0070375D" w:rsidP="005E6B6F">
            <w:pPr>
              <w:autoSpaceDE w:val="0"/>
              <w:autoSpaceDN w:val="0"/>
              <w:adjustRightInd w:val="0"/>
              <w:spacing w:after="0"/>
              <w:jc w:val="right"/>
              <w:rPr>
                <w:rFonts w:ascii="Calibri" w:eastAsiaTheme="minorEastAsia" w:hAnsi="Calibri" w:cs="Calibri"/>
                <w:color w:val="000000"/>
                <w:sz w:val="20"/>
                <w:lang w:eastAsia="en-AU"/>
              </w:rPr>
            </w:pPr>
          </w:p>
        </w:tc>
      </w:tr>
      <w:tr w:rsidR="0070375D" w:rsidRPr="005E6B6F" w:rsidTr="00F00A93">
        <w:trPr>
          <w:trHeight w:val="523"/>
        </w:trPr>
        <w:tc>
          <w:tcPr>
            <w:tcW w:w="2477" w:type="dxa"/>
            <w:tcBorders>
              <w:top w:val="nil"/>
              <w:left w:val="nil"/>
              <w:bottom w:val="nil"/>
              <w:right w:val="nil"/>
            </w:tcBorders>
            <w:shd w:val="solid" w:color="FFFFFF" w:fill="auto"/>
          </w:tcPr>
          <w:p w:rsidR="0070375D" w:rsidRPr="005E6B6F" w:rsidRDefault="0070375D" w:rsidP="005E6B6F">
            <w:pPr>
              <w:autoSpaceDE w:val="0"/>
              <w:autoSpaceDN w:val="0"/>
              <w:adjustRightInd w:val="0"/>
              <w:spacing w:after="0"/>
              <w:rPr>
                <w:rFonts w:ascii="Calibri" w:eastAsiaTheme="minorEastAsia" w:hAnsi="Calibri" w:cs="Calibri"/>
                <w:b/>
                <w:bCs/>
                <w:color w:val="000000"/>
                <w:sz w:val="20"/>
                <w:lang w:eastAsia="en-AU"/>
              </w:rPr>
            </w:pPr>
            <w:r w:rsidRPr="005E6B6F">
              <w:rPr>
                <w:rFonts w:ascii="Calibri" w:eastAsiaTheme="minorEastAsia" w:hAnsi="Calibri" w:cs="Calibri"/>
                <w:b/>
                <w:bCs/>
                <w:color w:val="000000"/>
                <w:sz w:val="20"/>
                <w:lang w:eastAsia="en-AU"/>
              </w:rPr>
              <w:t>Managing responsibly</w:t>
            </w:r>
          </w:p>
        </w:tc>
        <w:tc>
          <w:tcPr>
            <w:tcW w:w="5241" w:type="dxa"/>
            <w:tcBorders>
              <w:top w:val="nil"/>
              <w:left w:val="nil"/>
              <w:bottom w:val="nil"/>
              <w:right w:val="nil"/>
            </w:tcBorders>
            <w:shd w:val="solid" w:color="FFFFFF" w:fill="auto"/>
          </w:tcPr>
          <w:p w:rsidR="0070375D" w:rsidRPr="005E6B6F" w:rsidRDefault="0070375D" w:rsidP="005E6B6F">
            <w:pPr>
              <w:autoSpaceDE w:val="0"/>
              <w:autoSpaceDN w:val="0"/>
              <w:adjustRightInd w:val="0"/>
              <w:spacing w:after="0"/>
              <w:rPr>
                <w:rFonts w:ascii="Calibri" w:eastAsiaTheme="minorEastAsia" w:hAnsi="Calibri" w:cs="Calibri"/>
                <w:color w:val="000000"/>
                <w:sz w:val="20"/>
                <w:lang w:eastAsia="en-AU"/>
              </w:rPr>
            </w:pPr>
            <w:r w:rsidRPr="005E6B6F">
              <w:rPr>
                <w:rFonts w:ascii="Calibri" w:eastAsiaTheme="minorEastAsia" w:hAnsi="Calibri" w:cs="Calibri"/>
                <w:color w:val="000000"/>
                <w:sz w:val="20"/>
                <w:lang w:eastAsia="en-AU"/>
              </w:rPr>
              <w:t>Victoria</w:t>
            </w:r>
            <w:r w:rsidR="00276239">
              <w:rPr>
                <w:rFonts w:ascii="Calibri" w:eastAsiaTheme="minorEastAsia" w:hAnsi="Calibri" w:cs="Calibri"/>
                <w:color w:val="000000"/>
                <w:sz w:val="20"/>
                <w:lang w:eastAsia="en-AU"/>
              </w:rPr>
              <w:t>’</w:t>
            </w:r>
            <w:r w:rsidRPr="005E6B6F">
              <w:rPr>
                <w:rFonts w:ascii="Calibri" w:eastAsiaTheme="minorEastAsia" w:hAnsi="Calibri" w:cs="Calibri"/>
                <w:color w:val="000000"/>
                <w:sz w:val="20"/>
                <w:lang w:eastAsia="en-AU"/>
              </w:rPr>
              <w:t>s state finances will be managed responsibly to enhance the well</w:t>
            </w:r>
            <w:r w:rsidR="00276239">
              <w:rPr>
                <w:rFonts w:ascii="Calibri" w:eastAsiaTheme="minorEastAsia" w:hAnsi="Calibri" w:cs="Calibri"/>
                <w:color w:val="000000"/>
                <w:sz w:val="20"/>
                <w:lang w:eastAsia="en-AU"/>
              </w:rPr>
              <w:noBreakHyphen/>
            </w:r>
            <w:r w:rsidRPr="005E6B6F">
              <w:rPr>
                <w:rFonts w:ascii="Calibri" w:eastAsiaTheme="minorEastAsia" w:hAnsi="Calibri" w:cs="Calibri"/>
                <w:color w:val="000000"/>
                <w:sz w:val="20"/>
                <w:lang w:eastAsia="en-AU"/>
              </w:rPr>
              <w:t>being of Victorians.</w:t>
            </w:r>
          </w:p>
        </w:tc>
      </w:tr>
      <w:tr w:rsidR="0070375D" w:rsidRPr="005E6B6F" w:rsidTr="00F00A93">
        <w:trPr>
          <w:trHeight w:val="785"/>
        </w:trPr>
        <w:tc>
          <w:tcPr>
            <w:tcW w:w="2477" w:type="dxa"/>
            <w:tcBorders>
              <w:top w:val="nil"/>
              <w:left w:val="nil"/>
              <w:bottom w:val="nil"/>
              <w:right w:val="nil"/>
            </w:tcBorders>
            <w:shd w:val="solid" w:color="FFFFFF" w:fill="auto"/>
          </w:tcPr>
          <w:p w:rsidR="0070375D" w:rsidRPr="005E6B6F" w:rsidRDefault="0070375D" w:rsidP="005E6B6F">
            <w:pPr>
              <w:autoSpaceDE w:val="0"/>
              <w:autoSpaceDN w:val="0"/>
              <w:adjustRightInd w:val="0"/>
              <w:spacing w:after="0"/>
              <w:rPr>
                <w:rFonts w:ascii="Calibri" w:eastAsiaTheme="minorEastAsia" w:hAnsi="Calibri" w:cs="Calibri"/>
                <w:b/>
                <w:bCs/>
                <w:color w:val="000000"/>
                <w:sz w:val="20"/>
                <w:lang w:eastAsia="en-AU"/>
              </w:rPr>
            </w:pPr>
            <w:r w:rsidRPr="005E6B6F">
              <w:rPr>
                <w:rFonts w:ascii="Calibri" w:eastAsiaTheme="minorEastAsia" w:hAnsi="Calibri" w:cs="Calibri"/>
                <w:b/>
                <w:bCs/>
                <w:color w:val="000000"/>
                <w:sz w:val="20"/>
                <w:lang w:eastAsia="en-AU"/>
              </w:rPr>
              <w:t>Looking after the future</w:t>
            </w:r>
          </w:p>
        </w:tc>
        <w:tc>
          <w:tcPr>
            <w:tcW w:w="5241" w:type="dxa"/>
            <w:tcBorders>
              <w:top w:val="nil"/>
              <w:left w:val="nil"/>
              <w:bottom w:val="nil"/>
              <w:right w:val="nil"/>
            </w:tcBorders>
            <w:shd w:val="solid" w:color="FFFFFF" w:fill="auto"/>
          </w:tcPr>
          <w:p w:rsidR="0070375D" w:rsidRPr="005E6B6F" w:rsidRDefault="0070375D" w:rsidP="005E6B6F">
            <w:pPr>
              <w:autoSpaceDE w:val="0"/>
              <w:autoSpaceDN w:val="0"/>
              <w:adjustRightInd w:val="0"/>
              <w:spacing w:after="0"/>
              <w:rPr>
                <w:rFonts w:ascii="Calibri" w:eastAsiaTheme="minorEastAsia" w:hAnsi="Calibri" w:cs="Calibri"/>
                <w:color w:val="000000"/>
                <w:sz w:val="20"/>
                <w:lang w:eastAsia="en-AU"/>
              </w:rPr>
            </w:pPr>
            <w:r w:rsidRPr="005E6B6F">
              <w:rPr>
                <w:rFonts w:ascii="Calibri" w:eastAsiaTheme="minorEastAsia" w:hAnsi="Calibri" w:cs="Calibri"/>
                <w:color w:val="000000"/>
                <w:sz w:val="20"/>
                <w:lang w:eastAsia="en-AU"/>
              </w:rPr>
              <w:t>The endowment of public sector wealth bequeathed by the current generation of Victorians to the next will be no less than the current generation inherited from the previous generation.</w:t>
            </w:r>
          </w:p>
        </w:tc>
      </w:tr>
      <w:tr w:rsidR="0070375D" w:rsidRPr="005E6B6F" w:rsidTr="00F00A93">
        <w:trPr>
          <w:trHeight w:val="785"/>
        </w:trPr>
        <w:tc>
          <w:tcPr>
            <w:tcW w:w="2477" w:type="dxa"/>
            <w:tcBorders>
              <w:top w:val="nil"/>
              <w:left w:val="nil"/>
              <w:bottom w:val="nil"/>
              <w:right w:val="nil"/>
            </w:tcBorders>
            <w:shd w:val="solid" w:color="FFFFFF" w:fill="auto"/>
          </w:tcPr>
          <w:p w:rsidR="0070375D" w:rsidRPr="005E6B6F" w:rsidRDefault="0070375D" w:rsidP="005E6B6F">
            <w:pPr>
              <w:autoSpaceDE w:val="0"/>
              <w:autoSpaceDN w:val="0"/>
              <w:adjustRightInd w:val="0"/>
              <w:spacing w:after="0"/>
              <w:rPr>
                <w:rFonts w:ascii="Calibri" w:eastAsiaTheme="minorEastAsia" w:hAnsi="Calibri" w:cs="Calibri"/>
                <w:b/>
                <w:bCs/>
                <w:color w:val="000000"/>
                <w:sz w:val="20"/>
                <w:lang w:eastAsia="en-AU"/>
              </w:rPr>
            </w:pPr>
            <w:r w:rsidRPr="005E6B6F">
              <w:rPr>
                <w:rFonts w:ascii="Calibri" w:eastAsiaTheme="minorEastAsia" w:hAnsi="Calibri" w:cs="Calibri"/>
                <w:b/>
                <w:bCs/>
                <w:color w:val="000000"/>
                <w:sz w:val="20"/>
                <w:lang w:eastAsia="en-AU"/>
              </w:rPr>
              <w:t>Managing the unexpected</w:t>
            </w:r>
          </w:p>
        </w:tc>
        <w:tc>
          <w:tcPr>
            <w:tcW w:w="5241" w:type="dxa"/>
            <w:tcBorders>
              <w:top w:val="nil"/>
              <w:left w:val="nil"/>
              <w:bottom w:val="nil"/>
              <w:right w:val="nil"/>
            </w:tcBorders>
            <w:shd w:val="solid" w:color="FFFFFF" w:fill="auto"/>
          </w:tcPr>
          <w:p w:rsidR="0070375D" w:rsidRPr="005E6B6F" w:rsidRDefault="0070375D" w:rsidP="005E6B6F">
            <w:pPr>
              <w:autoSpaceDE w:val="0"/>
              <w:autoSpaceDN w:val="0"/>
              <w:adjustRightInd w:val="0"/>
              <w:spacing w:after="0"/>
              <w:rPr>
                <w:rFonts w:ascii="Calibri" w:eastAsiaTheme="minorEastAsia" w:hAnsi="Calibri" w:cs="Calibri"/>
                <w:color w:val="000000"/>
                <w:sz w:val="20"/>
                <w:lang w:eastAsia="en-AU"/>
              </w:rPr>
            </w:pPr>
            <w:r w:rsidRPr="005E6B6F">
              <w:rPr>
                <w:rFonts w:ascii="Calibri" w:eastAsiaTheme="minorEastAsia" w:hAnsi="Calibri" w:cs="Calibri"/>
                <w:color w:val="000000"/>
                <w:sz w:val="20"/>
                <w:lang w:eastAsia="en-AU"/>
              </w:rPr>
              <w:t>The State</w:t>
            </w:r>
            <w:r w:rsidR="00276239">
              <w:rPr>
                <w:rFonts w:ascii="Calibri" w:eastAsiaTheme="minorEastAsia" w:hAnsi="Calibri" w:cs="Calibri"/>
                <w:color w:val="000000"/>
                <w:sz w:val="20"/>
                <w:lang w:eastAsia="en-AU"/>
              </w:rPr>
              <w:t>’</w:t>
            </w:r>
            <w:r w:rsidRPr="005E6B6F">
              <w:rPr>
                <w:rFonts w:ascii="Calibri" w:eastAsiaTheme="minorEastAsia" w:hAnsi="Calibri" w:cs="Calibri"/>
                <w:color w:val="000000"/>
                <w:sz w:val="20"/>
                <w:lang w:eastAsia="en-AU"/>
              </w:rPr>
              <w:t>s financial position will be robust enough to absorb and recover from unanticipated events, and to absorb the volatility inherent in revenues and expenses.</w:t>
            </w:r>
          </w:p>
        </w:tc>
      </w:tr>
      <w:tr w:rsidR="0070375D" w:rsidRPr="005E6B6F" w:rsidTr="00F00A93">
        <w:trPr>
          <w:trHeight w:val="785"/>
        </w:trPr>
        <w:tc>
          <w:tcPr>
            <w:tcW w:w="2477" w:type="dxa"/>
            <w:tcBorders>
              <w:top w:val="nil"/>
              <w:left w:val="nil"/>
              <w:bottom w:val="nil"/>
              <w:right w:val="nil"/>
            </w:tcBorders>
            <w:shd w:val="solid" w:color="FFFFFF" w:fill="auto"/>
          </w:tcPr>
          <w:p w:rsidR="0070375D" w:rsidRPr="005E6B6F" w:rsidRDefault="0070375D" w:rsidP="005E6B6F">
            <w:pPr>
              <w:autoSpaceDE w:val="0"/>
              <w:autoSpaceDN w:val="0"/>
              <w:adjustRightInd w:val="0"/>
              <w:spacing w:after="0"/>
              <w:rPr>
                <w:rFonts w:ascii="Calibri" w:eastAsiaTheme="minorEastAsia" w:hAnsi="Calibri" w:cs="Calibri"/>
                <w:b/>
                <w:bCs/>
                <w:color w:val="000000"/>
                <w:sz w:val="20"/>
                <w:lang w:eastAsia="en-AU"/>
              </w:rPr>
            </w:pPr>
            <w:r w:rsidRPr="005E6B6F">
              <w:rPr>
                <w:rFonts w:ascii="Calibri" w:eastAsiaTheme="minorEastAsia" w:hAnsi="Calibri" w:cs="Calibri"/>
                <w:b/>
                <w:bCs/>
                <w:color w:val="000000"/>
                <w:sz w:val="20"/>
                <w:lang w:eastAsia="en-AU"/>
              </w:rPr>
              <w:t>Improving services</w:t>
            </w:r>
          </w:p>
        </w:tc>
        <w:tc>
          <w:tcPr>
            <w:tcW w:w="5241" w:type="dxa"/>
            <w:tcBorders>
              <w:top w:val="nil"/>
              <w:left w:val="nil"/>
              <w:bottom w:val="nil"/>
              <w:right w:val="nil"/>
            </w:tcBorders>
            <w:shd w:val="solid" w:color="FFFFFF" w:fill="auto"/>
          </w:tcPr>
          <w:p w:rsidR="0070375D" w:rsidRPr="005E6B6F" w:rsidRDefault="0070375D" w:rsidP="005E6B6F">
            <w:pPr>
              <w:autoSpaceDE w:val="0"/>
              <w:autoSpaceDN w:val="0"/>
              <w:adjustRightInd w:val="0"/>
              <w:spacing w:after="0"/>
              <w:rPr>
                <w:rFonts w:ascii="Calibri" w:eastAsiaTheme="minorEastAsia" w:hAnsi="Calibri" w:cs="Calibri"/>
                <w:color w:val="000000"/>
                <w:sz w:val="20"/>
                <w:lang w:eastAsia="en-AU"/>
              </w:rPr>
            </w:pPr>
            <w:r w:rsidRPr="005E6B6F">
              <w:rPr>
                <w:rFonts w:ascii="Calibri" w:eastAsiaTheme="minorEastAsia" w:hAnsi="Calibri" w:cs="Calibri"/>
                <w:color w:val="000000"/>
                <w:sz w:val="20"/>
                <w:lang w:eastAsia="en-AU"/>
              </w:rPr>
              <w:t>Victoria</w:t>
            </w:r>
            <w:r w:rsidR="00276239">
              <w:rPr>
                <w:rFonts w:ascii="Calibri" w:eastAsiaTheme="minorEastAsia" w:hAnsi="Calibri" w:cs="Calibri"/>
                <w:color w:val="000000"/>
                <w:sz w:val="20"/>
                <w:lang w:eastAsia="en-AU"/>
              </w:rPr>
              <w:t>’</w:t>
            </w:r>
            <w:r w:rsidRPr="005E6B6F">
              <w:rPr>
                <w:rFonts w:ascii="Calibri" w:eastAsiaTheme="minorEastAsia" w:hAnsi="Calibri" w:cs="Calibri"/>
                <w:color w:val="000000"/>
                <w:sz w:val="20"/>
                <w:lang w:eastAsia="en-AU"/>
              </w:rPr>
              <w:t>s public services will improve over time through enhanced efficiency and through a growing capacity of the Victorian economy to fund those services.</w:t>
            </w:r>
          </w:p>
        </w:tc>
      </w:tr>
      <w:tr w:rsidR="0070375D" w:rsidRPr="005E6B6F" w:rsidTr="00F00A93">
        <w:trPr>
          <w:trHeight w:val="538"/>
        </w:trPr>
        <w:tc>
          <w:tcPr>
            <w:tcW w:w="2477" w:type="dxa"/>
            <w:tcBorders>
              <w:top w:val="nil"/>
              <w:left w:val="nil"/>
              <w:bottom w:val="single" w:sz="12" w:space="0" w:color="auto"/>
              <w:right w:val="nil"/>
            </w:tcBorders>
            <w:shd w:val="solid" w:color="FFFFFF" w:fill="auto"/>
          </w:tcPr>
          <w:p w:rsidR="0070375D" w:rsidRPr="005E6B6F" w:rsidRDefault="0070375D" w:rsidP="005E6B6F">
            <w:pPr>
              <w:autoSpaceDE w:val="0"/>
              <w:autoSpaceDN w:val="0"/>
              <w:adjustRightInd w:val="0"/>
              <w:spacing w:after="0"/>
              <w:rPr>
                <w:rFonts w:ascii="Calibri" w:eastAsiaTheme="minorEastAsia" w:hAnsi="Calibri" w:cs="Calibri"/>
                <w:b/>
                <w:bCs/>
                <w:color w:val="000000"/>
                <w:sz w:val="20"/>
                <w:lang w:eastAsia="en-AU"/>
              </w:rPr>
            </w:pPr>
            <w:r w:rsidRPr="005E6B6F">
              <w:rPr>
                <w:rFonts w:ascii="Calibri" w:eastAsiaTheme="minorEastAsia" w:hAnsi="Calibri" w:cs="Calibri"/>
                <w:b/>
                <w:bCs/>
                <w:color w:val="000000"/>
                <w:sz w:val="20"/>
                <w:lang w:eastAsia="en-AU"/>
              </w:rPr>
              <w:t>Maximising community benefit</w:t>
            </w:r>
          </w:p>
        </w:tc>
        <w:tc>
          <w:tcPr>
            <w:tcW w:w="5241" w:type="dxa"/>
            <w:tcBorders>
              <w:top w:val="nil"/>
              <w:left w:val="nil"/>
              <w:bottom w:val="single" w:sz="12" w:space="0" w:color="auto"/>
              <w:right w:val="nil"/>
            </w:tcBorders>
            <w:shd w:val="solid" w:color="FFFFFF" w:fill="auto"/>
          </w:tcPr>
          <w:p w:rsidR="0070375D" w:rsidRPr="005E6B6F" w:rsidRDefault="0070375D" w:rsidP="005E6B6F">
            <w:pPr>
              <w:autoSpaceDE w:val="0"/>
              <w:autoSpaceDN w:val="0"/>
              <w:adjustRightInd w:val="0"/>
              <w:spacing w:after="0"/>
              <w:rPr>
                <w:rFonts w:ascii="Calibri" w:eastAsiaTheme="minorEastAsia" w:hAnsi="Calibri" w:cs="Calibri"/>
                <w:color w:val="000000"/>
                <w:sz w:val="20"/>
                <w:lang w:eastAsia="en-AU"/>
              </w:rPr>
            </w:pPr>
            <w:r w:rsidRPr="005E6B6F">
              <w:rPr>
                <w:rFonts w:ascii="Calibri" w:eastAsiaTheme="minorEastAsia" w:hAnsi="Calibri" w:cs="Calibri"/>
                <w:color w:val="000000"/>
                <w:sz w:val="20"/>
                <w:lang w:eastAsia="en-AU"/>
              </w:rPr>
              <w:t>Public sector resources will be allocated to those activities which generate maximum community benefit.</w:t>
            </w:r>
          </w:p>
        </w:tc>
      </w:tr>
    </w:tbl>
    <w:p w:rsidR="0070375D" w:rsidRPr="007534B1" w:rsidRDefault="0070375D" w:rsidP="007534B1"/>
    <w:p w:rsidR="00F3192F" w:rsidRDefault="00F3192F">
      <w:pPr>
        <w:spacing w:after="0"/>
      </w:pPr>
      <w:r>
        <w:br w:type="page"/>
      </w:r>
    </w:p>
    <w:p w:rsidR="0070375D" w:rsidRDefault="0070375D" w:rsidP="00751E9B">
      <w:r>
        <w:lastRenderedPageBreak/>
        <w:t>The Government</w:t>
      </w:r>
      <w:r w:rsidR="00276239">
        <w:t>’</w:t>
      </w:r>
      <w:r>
        <w:t>s medium</w:t>
      </w:r>
      <w:r w:rsidR="00276239">
        <w:noBreakHyphen/>
      </w:r>
      <w:r>
        <w:t>term fiscal strategy</w:t>
      </w:r>
      <w:r>
        <w:fldChar w:fldCharType="begin"/>
      </w:r>
      <w:r>
        <w:instrText xml:space="preserve"> XE "</w:instrText>
      </w:r>
      <w:r w:rsidRPr="001033ED">
        <w:instrText>Financial objectives and strategies</w:instrText>
      </w:r>
      <w:r>
        <w:instrText xml:space="preserve">" </w:instrText>
      </w:r>
      <w:r>
        <w:fldChar w:fldCharType="end"/>
      </w:r>
      <w:r>
        <w:t xml:space="preserve"> (Table 1.4) </w:t>
      </w:r>
      <w:r w:rsidRPr="00522902">
        <w:t>provide a framework to ensure the State</w:t>
      </w:r>
      <w:r w:rsidR="00276239">
        <w:t>’</w:t>
      </w:r>
      <w:r w:rsidRPr="00522902">
        <w:t>s finances can withstand unexpected adverse fiscal or economic events</w:t>
      </w:r>
      <w:r>
        <w:t xml:space="preserve"> and that the State can continue providing </w:t>
      </w:r>
      <w:r w:rsidRPr="00522902">
        <w:t xml:space="preserve">high quality infrastructure and services. </w:t>
      </w:r>
    </w:p>
    <w:p w:rsidR="0070375D" w:rsidRDefault="0070375D" w:rsidP="007534B1">
      <w:pPr>
        <w:pStyle w:val="Tableheading"/>
        <w:rPr>
          <w:rFonts w:ascii="Times New Roman" w:hAnsi="Times New Roman"/>
          <w:i/>
          <w:sz w:val="20"/>
          <w:lang w:eastAsia="en-AU"/>
        </w:rPr>
      </w:pPr>
      <w:r>
        <w:t>Table 1.4:</w:t>
      </w:r>
      <w:r>
        <w:tab/>
        <w:t>Medium</w:t>
      </w:r>
      <w:r w:rsidR="00276239">
        <w:noBreakHyphen/>
      </w:r>
      <w:r>
        <w:t>term fiscal strategy</w:t>
      </w:r>
    </w:p>
    <w:tbl>
      <w:tblPr>
        <w:tblW w:w="0" w:type="auto"/>
        <w:tblInd w:w="29" w:type="dxa"/>
        <w:tblLayout w:type="fixed"/>
        <w:tblCellMar>
          <w:left w:w="43" w:type="dxa"/>
          <w:right w:w="43" w:type="dxa"/>
        </w:tblCellMar>
        <w:tblLook w:val="0000" w:firstRow="0" w:lastRow="0" w:firstColumn="0" w:lastColumn="0" w:noHBand="0" w:noVBand="0"/>
      </w:tblPr>
      <w:tblGrid>
        <w:gridCol w:w="2477"/>
        <w:gridCol w:w="5241"/>
      </w:tblGrid>
      <w:tr w:rsidR="0070375D" w:rsidRPr="00E8335A" w:rsidTr="00F00A93">
        <w:trPr>
          <w:trHeight w:val="262"/>
        </w:trPr>
        <w:tc>
          <w:tcPr>
            <w:tcW w:w="2477" w:type="dxa"/>
            <w:tcBorders>
              <w:top w:val="nil"/>
              <w:left w:val="nil"/>
              <w:bottom w:val="nil"/>
              <w:right w:val="nil"/>
            </w:tcBorders>
            <w:shd w:val="solid" w:color="000000" w:fill="auto"/>
          </w:tcPr>
          <w:p w:rsidR="0070375D" w:rsidRPr="00E8335A" w:rsidRDefault="0070375D">
            <w:pPr>
              <w:autoSpaceDE w:val="0"/>
              <w:autoSpaceDN w:val="0"/>
              <w:adjustRightInd w:val="0"/>
              <w:spacing w:after="0"/>
              <w:rPr>
                <w:rFonts w:ascii="Calibri" w:eastAsiaTheme="minorEastAsia" w:hAnsi="Calibri" w:cs="Calibri"/>
                <w:i/>
                <w:iCs/>
                <w:color w:val="FFFFFF"/>
                <w:sz w:val="20"/>
                <w:lang w:eastAsia="en-AU"/>
              </w:rPr>
            </w:pPr>
            <w:r w:rsidRPr="00E8335A">
              <w:rPr>
                <w:rFonts w:ascii="Calibri" w:eastAsiaTheme="minorEastAsia" w:hAnsi="Calibri" w:cs="Calibri"/>
                <w:i/>
                <w:iCs/>
                <w:color w:val="FFFFFF"/>
                <w:sz w:val="20"/>
                <w:lang w:eastAsia="en-AU"/>
              </w:rPr>
              <w:t>Financial measures</w:t>
            </w:r>
          </w:p>
        </w:tc>
        <w:tc>
          <w:tcPr>
            <w:tcW w:w="5241" w:type="dxa"/>
            <w:tcBorders>
              <w:top w:val="nil"/>
              <w:left w:val="nil"/>
              <w:bottom w:val="nil"/>
              <w:right w:val="nil"/>
            </w:tcBorders>
            <w:shd w:val="solid" w:color="000000" w:fill="auto"/>
          </w:tcPr>
          <w:p w:rsidR="0070375D" w:rsidRPr="00E8335A" w:rsidRDefault="0070375D" w:rsidP="00E8335A">
            <w:pPr>
              <w:autoSpaceDE w:val="0"/>
              <w:autoSpaceDN w:val="0"/>
              <w:adjustRightInd w:val="0"/>
              <w:spacing w:after="0"/>
              <w:rPr>
                <w:rFonts w:ascii="Calibri" w:eastAsiaTheme="minorEastAsia" w:hAnsi="Calibri" w:cs="Calibri"/>
                <w:i/>
                <w:iCs/>
                <w:color w:val="FFFFFF"/>
                <w:sz w:val="20"/>
                <w:lang w:eastAsia="en-AU"/>
              </w:rPr>
            </w:pPr>
            <w:r w:rsidRPr="00E8335A">
              <w:rPr>
                <w:rFonts w:ascii="Calibri" w:eastAsiaTheme="minorEastAsia" w:hAnsi="Calibri" w:cs="Calibri"/>
                <w:i/>
                <w:iCs/>
                <w:color w:val="FFFFFF"/>
                <w:sz w:val="20"/>
                <w:lang w:eastAsia="en-AU"/>
              </w:rPr>
              <w:t>Parameters</w:t>
            </w:r>
          </w:p>
        </w:tc>
      </w:tr>
      <w:tr w:rsidR="0070375D" w:rsidRPr="00E8335A" w:rsidTr="00F00A93">
        <w:trPr>
          <w:trHeight w:val="523"/>
        </w:trPr>
        <w:tc>
          <w:tcPr>
            <w:tcW w:w="2477" w:type="dxa"/>
            <w:tcBorders>
              <w:top w:val="nil"/>
              <w:left w:val="nil"/>
              <w:bottom w:val="nil"/>
              <w:right w:val="nil"/>
            </w:tcBorders>
            <w:shd w:val="solid" w:color="FFFFFF" w:fill="auto"/>
          </w:tcPr>
          <w:p w:rsidR="0070375D" w:rsidRPr="00E8335A" w:rsidRDefault="0070375D" w:rsidP="00E8335A">
            <w:pPr>
              <w:autoSpaceDE w:val="0"/>
              <w:autoSpaceDN w:val="0"/>
              <w:adjustRightInd w:val="0"/>
              <w:spacing w:after="0"/>
              <w:rPr>
                <w:rFonts w:ascii="Calibri" w:eastAsiaTheme="minorEastAsia" w:hAnsi="Calibri" w:cs="Calibri"/>
                <w:b/>
                <w:bCs/>
                <w:color w:val="000000"/>
                <w:sz w:val="20"/>
                <w:lang w:eastAsia="en-AU"/>
              </w:rPr>
            </w:pPr>
            <w:r w:rsidRPr="00E8335A">
              <w:rPr>
                <w:rFonts w:ascii="Calibri" w:eastAsiaTheme="minorEastAsia" w:hAnsi="Calibri" w:cs="Calibri"/>
                <w:b/>
                <w:bCs/>
                <w:color w:val="000000"/>
                <w:sz w:val="20"/>
                <w:lang w:eastAsia="en-AU"/>
              </w:rPr>
              <w:t>Infrastructure investment</w:t>
            </w:r>
          </w:p>
        </w:tc>
        <w:tc>
          <w:tcPr>
            <w:tcW w:w="5241" w:type="dxa"/>
            <w:tcBorders>
              <w:top w:val="nil"/>
              <w:left w:val="nil"/>
              <w:bottom w:val="nil"/>
              <w:right w:val="nil"/>
            </w:tcBorders>
          </w:tcPr>
          <w:p w:rsidR="0070375D" w:rsidRPr="00E8335A" w:rsidRDefault="0070375D" w:rsidP="00E8335A">
            <w:pPr>
              <w:autoSpaceDE w:val="0"/>
              <w:autoSpaceDN w:val="0"/>
              <w:adjustRightInd w:val="0"/>
              <w:spacing w:after="0"/>
              <w:rPr>
                <w:rFonts w:ascii="Calibri" w:eastAsiaTheme="minorEastAsia" w:hAnsi="Calibri" w:cs="Calibri"/>
                <w:color w:val="000000"/>
                <w:sz w:val="20"/>
                <w:lang w:eastAsia="en-AU"/>
              </w:rPr>
            </w:pPr>
            <w:r w:rsidRPr="00E8335A">
              <w:rPr>
                <w:rFonts w:ascii="Calibri" w:eastAsiaTheme="minorEastAsia" w:hAnsi="Calibri" w:cs="Calibri"/>
                <w:color w:val="000000"/>
                <w:sz w:val="20"/>
                <w:lang w:eastAsia="en-AU"/>
              </w:rPr>
              <w:t>Infrastructure investment of 1.3</w:t>
            </w:r>
            <w:r>
              <w:rPr>
                <w:rFonts w:ascii="Calibri" w:eastAsiaTheme="minorEastAsia" w:hAnsi="Calibri" w:cs="Calibri"/>
                <w:color w:val="000000"/>
                <w:sz w:val="20"/>
                <w:lang w:eastAsia="en-AU"/>
              </w:rPr>
              <w:t> per cent</w:t>
            </w:r>
            <w:r w:rsidRPr="00E8335A">
              <w:rPr>
                <w:rFonts w:ascii="Calibri" w:eastAsiaTheme="minorEastAsia" w:hAnsi="Calibri" w:cs="Calibri"/>
                <w:color w:val="000000"/>
                <w:sz w:val="20"/>
                <w:lang w:eastAsia="en-AU"/>
              </w:rPr>
              <w:t xml:space="preserve"> of GSP (calculated as a rolling five</w:t>
            </w:r>
            <w:r w:rsidR="00276239">
              <w:rPr>
                <w:rFonts w:ascii="Calibri" w:eastAsiaTheme="minorEastAsia" w:hAnsi="Calibri" w:cs="Calibri"/>
                <w:color w:val="000000"/>
                <w:sz w:val="20"/>
                <w:lang w:eastAsia="en-AU"/>
              </w:rPr>
              <w:noBreakHyphen/>
            </w:r>
            <w:r w:rsidRPr="00E8335A">
              <w:rPr>
                <w:rFonts w:ascii="Calibri" w:eastAsiaTheme="minorEastAsia" w:hAnsi="Calibri" w:cs="Calibri"/>
                <w:color w:val="000000"/>
                <w:sz w:val="20"/>
                <w:lang w:eastAsia="en-AU"/>
              </w:rPr>
              <w:t>year average).</w:t>
            </w:r>
          </w:p>
        </w:tc>
      </w:tr>
      <w:tr w:rsidR="0070375D" w:rsidRPr="00E8335A" w:rsidTr="00F00A93">
        <w:trPr>
          <w:trHeight w:val="523"/>
        </w:trPr>
        <w:tc>
          <w:tcPr>
            <w:tcW w:w="2477" w:type="dxa"/>
            <w:tcBorders>
              <w:top w:val="nil"/>
              <w:left w:val="nil"/>
              <w:bottom w:val="nil"/>
              <w:right w:val="nil"/>
            </w:tcBorders>
            <w:shd w:val="solid" w:color="FFFFFF" w:fill="auto"/>
          </w:tcPr>
          <w:p w:rsidR="0070375D" w:rsidRPr="00E8335A" w:rsidRDefault="0070375D" w:rsidP="00E8335A">
            <w:pPr>
              <w:autoSpaceDE w:val="0"/>
              <w:autoSpaceDN w:val="0"/>
              <w:adjustRightInd w:val="0"/>
              <w:spacing w:after="0"/>
              <w:rPr>
                <w:rFonts w:ascii="Calibri" w:eastAsiaTheme="minorEastAsia" w:hAnsi="Calibri" w:cs="Calibri"/>
                <w:b/>
                <w:bCs/>
                <w:color w:val="000000"/>
                <w:sz w:val="20"/>
                <w:lang w:eastAsia="en-AU"/>
              </w:rPr>
            </w:pPr>
            <w:r w:rsidRPr="00E8335A">
              <w:rPr>
                <w:rFonts w:ascii="Calibri" w:eastAsiaTheme="minorEastAsia" w:hAnsi="Calibri" w:cs="Calibri"/>
                <w:b/>
                <w:bCs/>
                <w:color w:val="000000"/>
                <w:sz w:val="20"/>
                <w:lang w:eastAsia="en-AU"/>
              </w:rPr>
              <w:t>Net debt</w:t>
            </w:r>
          </w:p>
        </w:tc>
        <w:tc>
          <w:tcPr>
            <w:tcW w:w="5241" w:type="dxa"/>
            <w:tcBorders>
              <w:top w:val="nil"/>
              <w:left w:val="nil"/>
              <w:bottom w:val="nil"/>
              <w:right w:val="nil"/>
            </w:tcBorders>
          </w:tcPr>
          <w:p w:rsidR="0070375D" w:rsidRPr="00E8335A" w:rsidRDefault="0070375D" w:rsidP="00E8335A">
            <w:pPr>
              <w:autoSpaceDE w:val="0"/>
              <w:autoSpaceDN w:val="0"/>
              <w:adjustRightInd w:val="0"/>
              <w:spacing w:after="0"/>
              <w:rPr>
                <w:rFonts w:ascii="Calibri" w:eastAsiaTheme="minorEastAsia" w:hAnsi="Calibri" w:cs="Calibri"/>
                <w:color w:val="000000"/>
                <w:sz w:val="20"/>
                <w:lang w:eastAsia="en-AU"/>
              </w:rPr>
            </w:pPr>
            <w:r w:rsidRPr="00E8335A">
              <w:rPr>
                <w:rFonts w:ascii="Calibri" w:eastAsiaTheme="minorEastAsia" w:hAnsi="Calibri" w:cs="Calibri"/>
                <w:color w:val="000000"/>
                <w:sz w:val="20"/>
                <w:lang w:eastAsia="en-AU"/>
              </w:rPr>
              <w:t>General government net debt reduced as a percentage of GSP over the decade to 2022.</w:t>
            </w:r>
          </w:p>
        </w:tc>
      </w:tr>
      <w:tr w:rsidR="0070375D" w:rsidRPr="00E8335A" w:rsidTr="00F00A93">
        <w:trPr>
          <w:trHeight w:val="262"/>
        </w:trPr>
        <w:tc>
          <w:tcPr>
            <w:tcW w:w="2477" w:type="dxa"/>
            <w:tcBorders>
              <w:top w:val="nil"/>
              <w:left w:val="nil"/>
              <w:bottom w:val="nil"/>
              <w:right w:val="nil"/>
            </w:tcBorders>
            <w:shd w:val="solid" w:color="FFFFFF" w:fill="auto"/>
          </w:tcPr>
          <w:p w:rsidR="0070375D" w:rsidRPr="00E8335A" w:rsidRDefault="0070375D" w:rsidP="00E8335A">
            <w:pPr>
              <w:autoSpaceDE w:val="0"/>
              <w:autoSpaceDN w:val="0"/>
              <w:adjustRightInd w:val="0"/>
              <w:spacing w:after="0"/>
              <w:rPr>
                <w:rFonts w:ascii="Calibri" w:eastAsiaTheme="minorEastAsia" w:hAnsi="Calibri" w:cs="Calibri"/>
                <w:b/>
                <w:bCs/>
                <w:color w:val="000000"/>
                <w:sz w:val="20"/>
                <w:lang w:eastAsia="en-AU"/>
              </w:rPr>
            </w:pPr>
            <w:r w:rsidRPr="00E8335A">
              <w:rPr>
                <w:rFonts w:ascii="Calibri" w:eastAsiaTheme="minorEastAsia" w:hAnsi="Calibri" w:cs="Calibri"/>
                <w:b/>
                <w:bCs/>
                <w:color w:val="000000"/>
                <w:sz w:val="20"/>
                <w:lang w:eastAsia="en-AU"/>
              </w:rPr>
              <w:t>Superannuation liabilities</w:t>
            </w:r>
          </w:p>
        </w:tc>
        <w:tc>
          <w:tcPr>
            <w:tcW w:w="5241" w:type="dxa"/>
            <w:tcBorders>
              <w:top w:val="nil"/>
              <w:left w:val="nil"/>
              <w:bottom w:val="nil"/>
              <w:right w:val="nil"/>
            </w:tcBorders>
          </w:tcPr>
          <w:p w:rsidR="0070375D" w:rsidRPr="00E8335A" w:rsidRDefault="0070375D" w:rsidP="00E8335A">
            <w:pPr>
              <w:autoSpaceDE w:val="0"/>
              <w:autoSpaceDN w:val="0"/>
              <w:adjustRightInd w:val="0"/>
              <w:spacing w:after="0"/>
              <w:rPr>
                <w:rFonts w:ascii="Calibri" w:eastAsiaTheme="minorEastAsia" w:hAnsi="Calibri" w:cs="Calibri"/>
                <w:color w:val="000000"/>
                <w:sz w:val="20"/>
                <w:lang w:eastAsia="en-AU"/>
              </w:rPr>
            </w:pPr>
            <w:r w:rsidRPr="00E8335A">
              <w:rPr>
                <w:rFonts w:ascii="Calibri" w:eastAsiaTheme="minorEastAsia" w:hAnsi="Calibri" w:cs="Calibri"/>
                <w:color w:val="000000"/>
                <w:sz w:val="20"/>
                <w:lang w:eastAsia="en-AU"/>
              </w:rPr>
              <w:t>Fully fund the unfunded superannuation liability by 2035.</w:t>
            </w:r>
          </w:p>
        </w:tc>
      </w:tr>
      <w:tr w:rsidR="0070375D" w:rsidRPr="00E8335A" w:rsidTr="00F00A93">
        <w:trPr>
          <w:trHeight w:val="538"/>
        </w:trPr>
        <w:tc>
          <w:tcPr>
            <w:tcW w:w="2477" w:type="dxa"/>
            <w:tcBorders>
              <w:top w:val="nil"/>
              <w:left w:val="nil"/>
              <w:bottom w:val="single" w:sz="12" w:space="0" w:color="auto"/>
              <w:right w:val="nil"/>
            </w:tcBorders>
            <w:shd w:val="solid" w:color="FFFFFF" w:fill="auto"/>
          </w:tcPr>
          <w:p w:rsidR="0070375D" w:rsidRPr="00E8335A" w:rsidRDefault="0070375D" w:rsidP="00E8335A">
            <w:pPr>
              <w:autoSpaceDE w:val="0"/>
              <w:autoSpaceDN w:val="0"/>
              <w:adjustRightInd w:val="0"/>
              <w:spacing w:after="0"/>
              <w:rPr>
                <w:rFonts w:ascii="Calibri" w:eastAsiaTheme="minorEastAsia" w:hAnsi="Calibri" w:cs="Calibri"/>
                <w:b/>
                <w:bCs/>
                <w:color w:val="000000"/>
                <w:sz w:val="20"/>
                <w:lang w:eastAsia="en-AU"/>
              </w:rPr>
            </w:pPr>
            <w:r w:rsidRPr="00E8335A">
              <w:rPr>
                <w:rFonts w:ascii="Calibri" w:eastAsiaTheme="minorEastAsia" w:hAnsi="Calibri" w:cs="Calibri"/>
                <w:b/>
                <w:bCs/>
                <w:color w:val="000000"/>
                <w:sz w:val="20"/>
                <w:lang w:eastAsia="en-AU"/>
              </w:rPr>
              <w:t>Operating surplus</w:t>
            </w:r>
          </w:p>
        </w:tc>
        <w:tc>
          <w:tcPr>
            <w:tcW w:w="5241" w:type="dxa"/>
            <w:tcBorders>
              <w:top w:val="nil"/>
              <w:left w:val="nil"/>
              <w:bottom w:val="single" w:sz="12" w:space="0" w:color="auto"/>
              <w:right w:val="nil"/>
            </w:tcBorders>
          </w:tcPr>
          <w:p w:rsidR="0070375D" w:rsidRPr="00E8335A" w:rsidRDefault="0070375D" w:rsidP="00E8335A">
            <w:pPr>
              <w:autoSpaceDE w:val="0"/>
              <w:autoSpaceDN w:val="0"/>
              <w:adjustRightInd w:val="0"/>
              <w:spacing w:after="0"/>
              <w:rPr>
                <w:rFonts w:ascii="Calibri" w:eastAsiaTheme="minorEastAsia" w:hAnsi="Calibri" w:cs="Calibri"/>
                <w:color w:val="000000"/>
                <w:sz w:val="20"/>
                <w:lang w:eastAsia="en-AU"/>
              </w:rPr>
            </w:pPr>
            <w:r w:rsidRPr="00E8335A">
              <w:rPr>
                <w:rFonts w:ascii="Calibri" w:eastAsiaTheme="minorEastAsia" w:hAnsi="Calibri" w:cs="Calibri"/>
                <w:color w:val="000000"/>
                <w:sz w:val="20"/>
                <w:lang w:eastAsia="en-AU"/>
              </w:rPr>
              <w:t>A net operating surplus of at least $100</w:t>
            </w:r>
            <w:r>
              <w:rPr>
                <w:rFonts w:ascii="Calibri" w:eastAsiaTheme="minorEastAsia" w:hAnsi="Calibri" w:cs="Calibri"/>
                <w:color w:val="000000"/>
                <w:sz w:val="20"/>
                <w:lang w:eastAsia="en-AU"/>
              </w:rPr>
              <w:t> million</w:t>
            </w:r>
            <w:r w:rsidRPr="00E8335A">
              <w:rPr>
                <w:rFonts w:ascii="Calibri" w:eastAsiaTheme="minorEastAsia" w:hAnsi="Calibri" w:cs="Calibri"/>
                <w:color w:val="000000"/>
                <w:sz w:val="20"/>
                <w:lang w:eastAsia="en-AU"/>
              </w:rPr>
              <w:t xml:space="preserve"> and consistent with the infrastructure and debt parameters.</w:t>
            </w:r>
          </w:p>
        </w:tc>
      </w:tr>
    </w:tbl>
    <w:p w:rsidR="0070375D" w:rsidRPr="00751E9B" w:rsidRDefault="0070375D" w:rsidP="007534B1"/>
    <w:p w:rsidR="0070375D" w:rsidRDefault="0070375D" w:rsidP="00CA35CA">
      <w:r w:rsidRPr="00C80D13">
        <w:t>The Government</w:t>
      </w:r>
      <w:r w:rsidR="00276239">
        <w:t>’</w:t>
      </w:r>
      <w:r w:rsidRPr="00C80D13">
        <w:t>s strategy means it can advance transforma</w:t>
      </w:r>
      <w:r>
        <w:t>tional infrastructure projects and improve</w:t>
      </w:r>
      <w:r w:rsidRPr="00C80D13">
        <w:t xml:space="preserve"> the capacity and quality of </w:t>
      </w:r>
      <w:r>
        <w:t xml:space="preserve">transport </w:t>
      </w:r>
      <w:r w:rsidRPr="00C80D13">
        <w:t xml:space="preserve">and other key economic </w:t>
      </w:r>
      <w:r>
        <w:t xml:space="preserve">and social </w:t>
      </w:r>
      <w:r w:rsidRPr="00C80D13">
        <w:t xml:space="preserve">infrastructure. </w:t>
      </w:r>
      <w:r>
        <w:t>Government infrastructure investment is projected to be $6.1 billion in 2013</w:t>
      </w:r>
      <w:r w:rsidR="00276239">
        <w:noBreakHyphen/>
      </w:r>
      <w:r>
        <w:t>14.</w:t>
      </w:r>
    </w:p>
    <w:p w:rsidR="0070375D" w:rsidRDefault="0070375D" w:rsidP="00CA35CA">
      <w:r w:rsidRPr="004F7CD0">
        <w:t>By 2015</w:t>
      </w:r>
      <w:r w:rsidR="00276239">
        <w:noBreakHyphen/>
      </w:r>
      <w:r w:rsidRPr="004F7CD0">
        <w:t>16, infrastructure investment is forecast to be fully funded from cash generated by operating surpluses</w:t>
      </w:r>
      <w:r>
        <w:t>,</w:t>
      </w:r>
      <w:r w:rsidRPr="004F7CD0">
        <w:t xml:space="preserve"> with general government net debt decreasing in nominal terms from 2015</w:t>
      </w:r>
      <w:r w:rsidRPr="0081010A">
        <w:t>.</w:t>
      </w:r>
    </w:p>
    <w:p w:rsidR="0070375D" w:rsidRDefault="0070375D" w:rsidP="00CA35CA">
      <w:r>
        <w:t>Government</w:t>
      </w:r>
      <w:r w:rsidRPr="004357E3">
        <w:t xml:space="preserve"> infrastructure investment </w:t>
      </w:r>
      <w:r>
        <w:t>of</w:t>
      </w:r>
      <w:r w:rsidRPr="004357E3">
        <w:t xml:space="preserve"> </w:t>
      </w:r>
      <w:r w:rsidRPr="003B3496">
        <w:t>$6.1</w:t>
      </w:r>
      <w:r>
        <w:t> billion</w:t>
      </w:r>
      <w:r w:rsidRPr="004357E3">
        <w:t xml:space="preserve"> </w:t>
      </w:r>
      <w:r>
        <w:t>in 2013</w:t>
      </w:r>
      <w:r w:rsidR="00276239">
        <w:noBreakHyphen/>
      </w:r>
      <w:r>
        <w:t xml:space="preserve">14 aligns with </w:t>
      </w:r>
      <w:r w:rsidRPr="004357E3">
        <w:t>the Government</w:t>
      </w:r>
      <w:r w:rsidR="00276239">
        <w:t>’</w:t>
      </w:r>
      <w:r w:rsidRPr="004357E3">
        <w:t>s medium</w:t>
      </w:r>
      <w:r w:rsidR="00276239">
        <w:noBreakHyphen/>
      </w:r>
      <w:r w:rsidRPr="004357E3">
        <w:t>term fiscal parameter of infrastructure</w:t>
      </w:r>
      <w:r>
        <w:fldChar w:fldCharType="begin"/>
      </w:r>
      <w:r>
        <w:instrText xml:space="preserve"> XE "</w:instrText>
      </w:r>
      <w:r w:rsidRPr="004A24D2">
        <w:instrText>Infrastructure:Investment</w:instrText>
      </w:r>
      <w:r>
        <w:instrText xml:space="preserve">" </w:instrText>
      </w:r>
      <w:r>
        <w:fldChar w:fldCharType="end"/>
      </w:r>
      <w:r w:rsidRPr="004357E3">
        <w:t xml:space="preserve"> investment of 1.3</w:t>
      </w:r>
      <w:r>
        <w:t> per cent</w:t>
      </w:r>
      <w:r w:rsidRPr="004357E3">
        <w:t xml:space="preserve"> of GSP</w:t>
      </w:r>
      <w:r>
        <w:fldChar w:fldCharType="begin"/>
      </w:r>
      <w:r>
        <w:instrText xml:space="preserve"> XE "</w:instrText>
      </w:r>
      <w:r w:rsidRPr="001033ED">
        <w:instrText>Gross state product</w:instrText>
      </w:r>
      <w:r>
        <w:instrText xml:space="preserve">" </w:instrText>
      </w:r>
      <w:r>
        <w:fldChar w:fldCharType="end"/>
      </w:r>
      <w:r w:rsidRPr="004357E3">
        <w:t xml:space="preserve"> (calculated as a </w:t>
      </w:r>
      <w:r>
        <w:t>five</w:t>
      </w:r>
      <w:r w:rsidR="00276239">
        <w:noBreakHyphen/>
      </w:r>
      <w:r w:rsidRPr="004357E3">
        <w:t xml:space="preserve">year rolling average). </w:t>
      </w:r>
    </w:p>
    <w:p w:rsidR="0070375D" w:rsidRPr="00C80D13" w:rsidRDefault="0070375D" w:rsidP="00CA35CA">
      <w:r>
        <w:t>The</w:t>
      </w:r>
      <w:r w:rsidRPr="00C80D13">
        <w:t xml:space="preserve"> </w:t>
      </w:r>
      <w:r w:rsidRPr="00C80D13">
        <w:rPr>
          <w:i/>
        </w:rPr>
        <w:t>2013</w:t>
      </w:r>
      <w:r w:rsidR="00276239">
        <w:rPr>
          <w:i/>
        </w:rPr>
        <w:noBreakHyphen/>
      </w:r>
      <w:r>
        <w:rPr>
          <w:i/>
        </w:rPr>
        <w:t>14 </w:t>
      </w:r>
      <w:r w:rsidRPr="00C80D13">
        <w:rPr>
          <w:i/>
        </w:rPr>
        <w:t>Budget</w:t>
      </w:r>
      <w:r w:rsidRPr="00C80D13">
        <w:t xml:space="preserve"> provides </w:t>
      </w:r>
      <w:r>
        <w:t xml:space="preserve">significant </w:t>
      </w:r>
      <w:r w:rsidRPr="00C80D13">
        <w:t xml:space="preserve">funding for </w:t>
      </w:r>
      <w:r>
        <w:t>capital</w:t>
      </w:r>
      <w:r w:rsidRPr="00C80D13">
        <w:t xml:space="preserve"> projects </w:t>
      </w:r>
      <w:r>
        <w:t>to improve the efficiency and scale of transport, freight and logistics to better link people, products and markets. Major projects include:</w:t>
      </w:r>
    </w:p>
    <w:p w:rsidR="0070375D" w:rsidRPr="007D7BBD" w:rsidRDefault="0070375D" w:rsidP="00751E9B">
      <w:pPr>
        <w:pStyle w:val="BulletText"/>
      </w:pPr>
      <w:r>
        <w:t>r</w:t>
      </w:r>
      <w:r w:rsidRPr="007D7BBD">
        <w:t>oad and rail upgrades across Melbourne and reg</w:t>
      </w:r>
      <w:r>
        <w:t xml:space="preserve">ional Victoria, including a commitment to </w:t>
      </w:r>
      <w:r w:rsidRPr="005852EF">
        <w:rPr>
          <w:rFonts w:cs="Helv"/>
          <w:szCs w:val="22"/>
          <w:lang w:eastAsia="en-AU"/>
        </w:rPr>
        <w:t>deliver the East West Link project, with the first stage being the Eastern section from the Eastern Freeway at Hoddle Street to City Link in Parkville. The Government has provided the funding capacity to deliver this first stage, commencing in 2013</w:t>
      </w:r>
      <w:r w:rsidR="00276239">
        <w:rPr>
          <w:rFonts w:cs="Helv"/>
          <w:szCs w:val="22"/>
          <w:lang w:eastAsia="en-AU"/>
        </w:rPr>
        <w:noBreakHyphen/>
      </w:r>
      <w:r w:rsidRPr="005852EF">
        <w:rPr>
          <w:rFonts w:cs="Helv"/>
          <w:szCs w:val="22"/>
          <w:lang w:eastAsia="en-AU"/>
        </w:rPr>
        <w:t>14. The East West Link – Stage 1 has an estimated capital cost of between $6 billion and $8 billion</w:t>
      </w:r>
      <w:r w:rsidRPr="005852EF">
        <w:rPr>
          <w:szCs w:val="22"/>
        </w:rPr>
        <w:t>;</w:t>
      </w:r>
    </w:p>
    <w:p w:rsidR="0070375D" w:rsidRPr="007D7BBD" w:rsidRDefault="0070375D" w:rsidP="00D77BB4">
      <w:pPr>
        <w:pStyle w:val="BulletText"/>
      </w:pPr>
      <w:r>
        <w:t xml:space="preserve">funding to further develop the </w:t>
      </w:r>
      <w:r w:rsidRPr="007D7BBD">
        <w:t>Port of Hastings</w:t>
      </w:r>
      <w:r>
        <w:fldChar w:fldCharType="begin"/>
      </w:r>
      <w:r>
        <w:instrText xml:space="preserve"> XE "</w:instrText>
      </w:r>
      <w:r w:rsidRPr="001033ED">
        <w:instrText>Port of Hastings</w:instrText>
      </w:r>
      <w:r>
        <w:instrText xml:space="preserve">" </w:instrText>
      </w:r>
      <w:r>
        <w:fldChar w:fldCharType="end"/>
      </w:r>
      <w:r w:rsidRPr="007D7BBD">
        <w:t xml:space="preserve">. </w:t>
      </w:r>
      <w:r>
        <w:t>Th</w:t>
      </w:r>
      <w:r w:rsidRPr="007D7BBD">
        <w:t xml:space="preserve">e Port of Hastings development is critical </w:t>
      </w:r>
      <w:r>
        <w:t>to accommodate</w:t>
      </w:r>
      <w:r w:rsidRPr="007D7BBD">
        <w:t xml:space="preserve"> future </w:t>
      </w:r>
      <w:r>
        <w:t>growth in freight trade and ensure appropriate goods transportation options are available for Victorian businesses</w:t>
      </w:r>
      <w:r w:rsidRPr="007D7BBD">
        <w:t xml:space="preserve">. </w:t>
      </w:r>
      <w:r>
        <w:t>Completing</w:t>
      </w:r>
      <w:r w:rsidRPr="007D7BBD">
        <w:t xml:space="preserve"> the Port of Hasting</w:t>
      </w:r>
      <w:r>
        <w:t>s</w:t>
      </w:r>
      <w:r w:rsidRPr="007D7BBD">
        <w:t xml:space="preserve"> project </w:t>
      </w:r>
      <w:r>
        <w:t>will significantly expand</w:t>
      </w:r>
      <w:r w:rsidRPr="007D7BBD">
        <w:t xml:space="preserve"> Victoria</w:t>
      </w:r>
      <w:r w:rsidR="00276239">
        <w:t>’</w:t>
      </w:r>
      <w:r w:rsidRPr="007D7BBD">
        <w:t xml:space="preserve">s container capacity </w:t>
      </w:r>
      <w:r>
        <w:t xml:space="preserve">and </w:t>
      </w:r>
      <w:r w:rsidRPr="007D7BBD">
        <w:t>complements the current $1.6</w:t>
      </w:r>
      <w:r>
        <w:t> billion</w:t>
      </w:r>
      <w:r w:rsidRPr="007D7BBD">
        <w:t xml:space="preserve"> expansion of container and automotive ca</w:t>
      </w:r>
      <w:r>
        <w:t>pacity at the Port of Melbourne; and</w:t>
      </w:r>
    </w:p>
    <w:p w:rsidR="0070375D" w:rsidRPr="007D7BBD" w:rsidRDefault="0070375D" w:rsidP="00D77BB4">
      <w:pPr>
        <w:pStyle w:val="BulletText"/>
      </w:pPr>
      <w:r>
        <w:t>f</w:t>
      </w:r>
      <w:r w:rsidRPr="007D7BBD">
        <w:t xml:space="preserve">urther planning and development of </w:t>
      </w:r>
      <w:r>
        <w:t>the Melbourne Metro Rail Tunnel</w:t>
      </w:r>
      <w:r>
        <w:fldChar w:fldCharType="begin"/>
      </w:r>
      <w:r>
        <w:instrText xml:space="preserve"> XE "</w:instrText>
      </w:r>
      <w:r w:rsidRPr="001033ED">
        <w:instrText>Melbourne Metro Rail Tunnel</w:instrText>
      </w:r>
      <w:r>
        <w:instrText xml:space="preserve">" </w:instrText>
      </w:r>
      <w:r>
        <w:fldChar w:fldCharType="end"/>
      </w:r>
      <w:r>
        <w:t xml:space="preserve">. </w:t>
      </w:r>
      <w:r w:rsidRPr="007D7BBD">
        <w:t xml:space="preserve">This project </w:t>
      </w:r>
      <w:r>
        <w:t>will build capacity in Melbourne</w:t>
      </w:r>
      <w:r w:rsidR="00276239">
        <w:t>’</w:t>
      </w:r>
      <w:r>
        <w:t>s rail network to service</w:t>
      </w:r>
      <w:r w:rsidRPr="007D7BBD">
        <w:t xml:space="preserve"> increasing demand</w:t>
      </w:r>
      <w:r>
        <w:fldChar w:fldCharType="begin"/>
      </w:r>
      <w:r>
        <w:instrText xml:space="preserve"> XE "</w:instrText>
      </w:r>
      <w:r w:rsidRPr="000F6481">
        <w:instrText>Public demand</w:instrText>
      </w:r>
      <w:r>
        <w:instrText xml:space="preserve">" </w:instrText>
      </w:r>
      <w:r>
        <w:fldChar w:fldCharType="end"/>
      </w:r>
      <w:r w:rsidRPr="007D7BBD">
        <w:t xml:space="preserve"> for train services</w:t>
      </w:r>
      <w:r>
        <w:t>, particularly</w:t>
      </w:r>
      <w:r w:rsidRPr="007D7BBD">
        <w:t xml:space="preserve"> in Melbourne</w:t>
      </w:r>
      <w:r w:rsidR="00276239">
        <w:t>’</w:t>
      </w:r>
      <w:r w:rsidRPr="007D7BBD">
        <w:t>s growth areas</w:t>
      </w:r>
      <w:r>
        <w:t xml:space="preserve"> </w:t>
      </w:r>
      <w:r w:rsidRPr="007D7BBD">
        <w:t>in the north, west and south</w:t>
      </w:r>
      <w:r w:rsidR="00276239">
        <w:noBreakHyphen/>
      </w:r>
      <w:r>
        <w:t>east</w:t>
      </w:r>
      <w:r w:rsidRPr="007D7BBD">
        <w:t>.</w:t>
      </w:r>
    </w:p>
    <w:p w:rsidR="0070375D" w:rsidRDefault="0070375D" w:rsidP="00751E9B">
      <w:r>
        <w:lastRenderedPageBreak/>
        <w:t xml:space="preserve">At the same time, the Government is </w:t>
      </w:r>
      <w:r w:rsidRPr="00C80D13">
        <w:t xml:space="preserve">investing </w:t>
      </w:r>
      <w:r w:rsidRPr="00C4118C">
        <w:t xml:space="preserve">in new </w:t>
      </w:r>
      <w:r>
        <w:t>infrastructure</w:t>
      </w:r>
      <w:r>
        <w:fldChar w:fldCharType="begin"/>
      </w:r>
      <w:r>
        <w:instrText xml:space="preserve"> XE "</w:instrText>
      </w:r>
      <w:r w:rsidRPr="001033ED">
        <w:instrText>Infrastructure</w:instrText>
      </w:r>
      <w:r>
        <w:instrText xml:space="preserve">" </w:instrText>
      </w:r>
      <w:r>
        <w:fldChar w:fldCharType="end"/>
      </w:r>
      <w:r>
        <w:t xml:space="preserve"> to meet the needs of a growing population</w:t>
      </w:r>
      <w:r>
        <w:fldChar w:fldCharType="begin"/>
      </w:r>
      <w:r>
        <w:instrText xml:space="preserve"> XE "</w:instrText>
      </w:r>
      <w:r w:rsidRPr="001033ED">
        <w:instrText>Population</w:instrText>
      </w:r>
      <w:r>
        <w:instrText xml:space="preserve">" </w:instrText>
      </w:r>
      <w:r>
        <w:fldChar w:fldCharType="end"/>
      </w:r>
      <w:r>
        <w:t xml:space="preserve">, secure future economic growth and enhance liveability. </w:t>
      </w:r>
    </w:p>
    <w:p w:rsidR="0070375D" w:rsidRDefault="0070375D" w:rsidP="00FF660C">
      <w:r>
        <w:t>T</w:t>
      </w:r>
      <w:r w:rsidRPr="00A76BB2">
        <w:t xml:space="preserve">he upgrade of Ringwood </w:t>
      </w:r>
      <w:r>
        <w:t xml:space="preserve">railway </w:t>
      </w:r>
      <w:r w:rsidRPr="00A76BB2">
        <w:t>station</w:t>
      </w:r>
      <w:r>
        <w:fldChar w:fldCharType="begin"/>
      </w:r>
      <w:r>
        <w:instrText xml:space="preserve"> XE "</w:instrText>
      </w:r>
      <w:r w:rsidRPr="001033ED">
        <w:instrText>Ringwood railway station</w:instrText>
      </w:r>
      <w:r>
        <w:instrText xml:space="preserve">" </w:instrText>
      </w:r>
      <w:r>
        <w:fldChar w:fldCharType="end"/>
      </w:r>
      <w:r w:rsidRPr="00A76BB2">
        <w:t xml:space="preserve"> will deliver a mode</w:t>
      </w:r>
      <w:r>
        <w:t>rn integrated hub for commuters</w:t>
      </w:r>
      <w:r w:rsidRPr="00A76BB2">
        <w:t xml:space="preserve"> </w:t>
      </w:r>
      <w:r>
        <w:t>and complement more</w:t>
      </w:r>
      <w:r w:rsidRPr="00A76BB2">
        <w:t xml:space="preserve"> private sector investment in the</w:t>
      </w:r>
      <w:r>
        <w:t xml:space="preserve"> adjacent retail precinct</w:t>
      </w:r>
      <w:r w:rsidRPr="00A76BB2">
        <w:t xml:space="preserve">. This project </w:t>
      </w:r>
      <w:r>
        <w:t xml:space="preserve">demonstrates </w:t>
      </w:r>
      <w:r w:rsidRPr="00A76BB2">
        <w:t>how targeted investmen</w:t>
      </w:r>
      <w:r>
        <w:t xml:space="preserve">ts, </w:t>
      </w:r>
      <w:r w:rsidRPr="00A76BB2">
        <w:t xml:space="preserve">integrated transport and urban planning can </w:t>
      </w:r>
      <w:r>
        <w:t xml:space="preserve">boost employment and </w:t>
      </w:r>
      <w:r w:rsidRPr="00A76BB2">
        <w:t>deliver better community outcomes.</w:t>
      </w:r>
      <w:r w:rsidRPr="00C277C7">
        <w:t xml:space="preserve"> This, together with other investments in public transport</w:t>
      </w:r>
      <w:r>
        <w:fldChar w:fldCharType="begin"/>
      </w:r>
      <w:r>
        <w:instrText xml:space="preserve"> XE "</w:instrText>
      </w:r>
      <w:r w:rsidRPr="001033ED">
        <w:instrText>Public transport</w:instrText>
      </w:r>
      <w:r>
        <w:instrText xml:space="preserve">" </w:instrText>
      </w:r>
      <w:r>
        <w:fldChar w:fldCharType="end"/>
      </w:r>
      <w:r w:rsidRPr="00C277C7">
        <w:t xml:space="preserve"> </w:t>
      </w:r>
      <w:r>
        <w:t>across metropolitan Melbourne and regional Victoria</w:t>
      </w:r>
      <w:r w:rsidRPr="00C277C7">
        <w:t xml:space="preserve">, </w:t>
      </w:r>
      <w:r>
        <w:t>demonstrates</w:t>
      </w:r>
      <w:r w:rsidRPr="00C277C7">
        <w:t xml:space="preserve"> the Government</w:t>
      </w:r>
      <w:r w:rsidR="00276239">
        <w:t>’</w:t>
      </w:r>
      <w:r w:rsidRPr="00C277C7">
        <w:t xml:space="preserve">s commitment to </w:t>
      </w:r>
      <w:r>
        <w:t>deliver an effective and safe</w:t>
      </w:r>
      <w:r w:rsidRPr="00C277C7">
        <w:t xml:space="preserve"> public transport</w:t>
      </w:r>
      <w:r>
        <w:t xml:space="preserve"> system</w:t>
      </w:r>
      <w:r w:rsidRPr="00C277C7">
        <w:t>.</w:t>
      </w:r>
    </w:p>
    <w:p w:rsidR="0070375D" w:rsidRPr="002E6229" w:rsidRDefault="0070375D" w:rsidP="00572818">
      <w:pPr>
        <w:rPr>
          <w:szCs w:val="22"/>
        </w:rPr>
      </w:pPr>
      <w:r w:rsidRPr="002E6229">
        <w:rPr>
          <w:rFonts w:cs="Garamond"/>
          <w:color w:val="000000"/>
          <w:szCs w:val="22"/>
          <w:lang w:eastAsia="en-AU"/>
        </w:rPr>
        <w:t>To relieve congestion, reduce individual road users</w:t>
      </w:r>
      <w:r w:rsidR="00276239">
        <w:rPr>
          <w:rFonts w:cs="Garamond"/>
          <w:color w:val="000000"/>
          <w:szCs w:val="22"/>
          <w:lang w:eastAsia="en-AU"/>
        </w:rPr>
        <w:t>’</w:t>
      </w:r>
      <w:r w:rsidRPr="002E6229">
        <w:rPr>
          <w:rFonts w:cs="Garamond"/>
          <w:color w:val="000000"/>
          <w:szCs w:val="22"/>
          <w:lang w:eastAsia="en-AU"/>
        </w:rPr>
        <w:t xml:space="preserve"> trip times and improve safety, the budget funds a package of early works as a f</w:t>
      </w:r>
      <w:r w:rsidR="00AE1BAD">
        <w:rPr>
          <w:rFonts w:cs="Garamond"/>
          <w:color w:val="000000"/>
          <w:szCs w:val="22"/>
          <w:lang w:eastAsia="en-AU"/>
        </w:rPr>
        <w:t>urther</w:t>
      </w:r>
      <w:r w:rsidRPr="002E6229">
        <w:rPr>
          <w:rFonts w:cs="Garamond"/>
          <w:color w:val="000000"/>
          <w:szCs w:val="22"/>
          <w:lang w:eastAsia="en-AU"/>
        </w:rPr>
        <w:t xml:space="preserve"> step towards the removal of railway level crossings on key main roads, including Main Road (St Albans), North Road (Ormond), Blackburn Road (Blackburn), Mountain Highway and Scoresby Road (Bayswater). Funding is also provided to undertake planning for the removal of the Murrumbeena Road (Murrumbeena) and Burke Road (Glen Iris) level crossings. </w:t>
      </w:r>
      <w:r w:rsidRPr="002E6229">
        <w:rPr>
          <w:szCs w:val="22"/>
          <w:lang w:eastAsia="en-AU"/>
        </w:rPr>
        <w:t xml:space="preserve">The Government is also providing new </w:t>
      </w:r>
      <w:r w:rsidRPr="002E6229">
        <w:rPr>
          <w:szCs w:val="22"/>
        </w:rPr>
        <w:t>funding to support maintenance of the State</w:t>
      </w:r>
      <w:r w:rsidR="00276239">
        <w:rPr>
          <w:szCs w:val="22"/>
        </w:rPr>
        <w:t>’</w:t>
      </w:r>
      <w:r w:rsidRPr="002E6229">
        <w:rPr>
          <w:szCs w:val="22"/>
        </w:rPr>
        <w:t>s arterial road network and the West Gate bridge and a range of road improvements and upgrades.</w:t>
      </w:r>
    </w:p>
    <w:p w:rsidR="0070375D" w:rsidRDefault="0070375D" w:rsidP="0058658F">
      <w:r>
        <w:t xml:space="preserve">The </w:t>
      </w:r>
      <w:r w:rsidRPr="005D61DD">
        <w:rPr>
          <w:i/>
        </w:rPr>
        <w:t>2013</w:t>
      </w:r>
      <w:r w:rsidR="00276239">
        <w:rPr>
          <w:i/>
        </w:rPr>
        <w:noBreakHyphen/>
      </w:r>
      <w:r w:rsidRPr="005D61DD">
        <w:rPr>
          <w:i/>
        </w:rPr>
        <w:t>14 Budget</w:t>
      </w:r>
      <w:r>
        <w:t xml:space="preserve"> provides for significant investment in rural Victoria, such as in the future of the Macalister Irrigation District</w:t>
      </w:r>
      <w:r>
        <w:fldChar w:fldCharType="begin"/>
      </w:r>
      <w:r>
        <w:instrText xml:space="preserve"> XE "</w:instrText>
      </w:r>
      <w:r w:rsidRPr="001033ED">
        <w:instrText>Macalister Irrigation District</w:instrText>
      </w:r>
      <w:r>
        <w:instrText xml:space="preserve">" </w:instrText>
      </w:r>
      <w:r>
        <w:fldChar w:fldCharType="end"/>
      </w:r>
      <w:r>
        <w:t xml:space="preserve"> in central Gippsland. This investment will modernise on</w:t>
      </w:r>
      <w:r w:rsidR="00276239">
        <w:noBreakHyphen/>
      </w:r>
      <w:r>
        <w:t>farm infrastructure, increase agricultural productivity</w:t>
      </w:r>
      <w:r>
        <w:fldChar w:fldCharType="begin"/>
      </w:r>
      <w:r>
        <w:instrText xml:space="preserve"> XE "</w:instrText>
      </w:r>
      <w:r w:rsidRPr="000F6481">
        <w:instrText>Agricultural production</w:instrText>
      </w:r>
      <w:r>
        <w:instrText xml:space="preserve">" </w:instrText>
      </w:r>
      <w:r>
        <w:fldChar w:fldCharType="end"/>
      </w:r>
      <w:r>
        <w:t xml:space="preserve"> and production capacity and improve the health of the area</w:t>
      </w:r>
      <w:r w:rsidR="00276239">
        <w:t>’</w:t>
      </w:r>
      <w:r>
        <w:t>s waterways and estuaries.</w:t>
      </w:r>
    </w:p>
    <w:p w:rsidR="0070375D" w:rsidRPr="00C80D13" w:rsidRDefault="0070375D" w:rsidP="00F96E67">
      <w:r>
        <w:t>All projects with a total estimated investment of $100 million or more, or those identified as high risk, must comply with the Government</w:t>
      </w:r>
      <w:r w:rsidR="00276239">
        <w:t>’</w:t>
      </w:r>
      <w:r>
        <w:t>s high</w:t>
      </w:r>
      <w:r w:rsidR="00276239">
        <w:noBreakHyphen/>
      </w:r>
      <w:r>
        <w:t>value, high</w:t>
      </w:r>
      <w:r w:rsidR="00276239">
        <w:noBreakHyphen/>
      </w:r>
      <w:r>
        <w:t>risk</w:t>
      </w:r>
      <w:r>
        <w:rPr>
          <w:lang w:eastAsia="en-AU"/>
        </w:rPr>
        <w:fldChar w:fldCharType="begin"/>
      </w:r>
      <w:r>
        <w:instrText xml:space="preserve"> XE "</w:instrText>
      </w:r>
      <w:r>
        <w:rPr>
          <w:lang w:eastAsia="en-AU"/>
        </w:rPr>
        <w:instrText>High-</w:instrText>
      </w:r>
      <w:r w:rsidRPr="001033ED">
        <w:rPr>
          <w:lang w:eastAsia="en-AU"/>
        </w:rPr>
        <w:instrText>value high</w:instrText>
      </w:r>
      <w:r>
        <w:rPr>
          <w:lang w:eastAsia="en-AU"/>
        </w:rPr>
        <w:instrText>-</w:instrText>
      </w:r>
      <w:r w:rsidRPr="001033ED">
        <w:rPr>
          <w:lang w:eastAsia="en-AU"/>
        </w:rPr>
        <w:instrText>risk</w:instrText>
      </w:r>
      <w:r>
        <w:instrText xml:space="preserve">" </w:instrText>
      </w:r>
      <w:r>
        <w:rPr>
          <w:lang w:eastAsia="en-AU"/>
        </w:rPr>
        <w:fldChar w:fldCharType="end"/>
      </w:r>
      <w:r>
        <w:t xml:space="preserve"> process. This will improve business case development and project implementation, protecting the State from cost overruns on major projects. </w:t>
      </w:r>
    </w:p>
    <w:p w:rsidR="0070375D" w:rsidRDefault="0070375D" w:rsidP="00B71974">
      <w:r>
        <w:t xml:space="preserve">Chapter 4 </w:t>
      </w:r>
      <w:r w:rsidRPr="00B71974">
        <w:rPr>
          <w:i/>
        </w:rPr>
        <w:t>Budget Position and Outlook</w:t>
      </w:r>
      <w:r>
        <w:t xml:space="preserve"> outlines the revised budget position for 2013</w:t>
      </w:r>
      <w:r w:rsidR="00276239">
        <w:noBreakHyphen/>
      </w:r>
      <w:r>
        <w:t>14 and the forward estimates period (2014</w:t>
      </w:r>
      <w:r w:rsidR="00276239">
        <w:noBreakHyphen/>
      </w:r>
      <w:r>
        <w:t>15 to 2016</w:t>
      </w:r>
      <w:r w:rsidR="00276239">
        <w:noBreakHyphen/>
      </w:r>
      <w:r>
        <w:t xml:space="preserve">17). </w:t>
      </w:r>
    </w:p>
    <w:p w:rsidR="0070375D" w:rsidRDefault="0070375D" w:rsidP="005720E6"/>
    <w:p w:rsidR="0070375D" w:rsidRDefault="0070375D" w:rsidP="00B22A9F">
      <w:pPr>
        <w:spacing w:after="0"/>
      </w:pPr>
      <w:r>
        <w:br w:type="page"/>
      </w:r>
    </w:p>
    <w:p w:rsidR="0070375D" w:rsidRDefault="0070375D" w:rsidP="00D53338"/>
    <w:p w:rsidR="0070375D" w:rsidRDefault="0070375D" w:rsidP="009B7F27">
      <w:pPr>
        <w:sectPr w:rsidR="0070375D" w:rsidSect="004816CA">
          <w:footerReference w:type="even" r:id="rId16"/>
          <w:footerReference w:type="default" r:id="rId17"/>
          <w:type w:val="oddPage"/>
          <w:pgSz w:w="9979" w:h="14181" w:code="138"/>
          <w:pgMar w:top="1138" w:right="1138" w:bottom="1138" w:left="1138" w:header="720" w:footer="720" w:gutter="0"/>
          <w:pgNumType w:start="1"/>
          <w:cols w:space="708"/>
          <w:docGrid w:linePitch="360"/>
        </w:sectPr>
      </w:pPr>
    </w:p>
    <w:p w:rsidR="0070375D" w:rsidRDefault="0070375D" w:rsidP="00E151EA">
      <w:pPr>
        <w:pStyle w:val="ChapterHeading"/>
      </w:pPr>
      <w:bookmarkStart w:id="6" w:name="_Toc355372019"/>
      <w:r>
        <w:lastRenderedPageBreak/>
        <w:t>Chapter 2 – Economic context</w:t>
      </w:r>
      <w:bookmarkEnd w:id="6"/>
    </w:p>
    <w:p w:rsidR="0070375D" w:rsidRPr="0097182C" w:rsidRDefault="0070375D" w:rsidP="006A4D14">
      <w:pPr>
        <w:pStyle w:val="HighlightBoxBullet"/>
      </w:pPr>
      <w:bookmarkStart w:id="7" w:name="BP2Chap2Population"/>
      <w:r>
        <w:t>The fundamentals supporting the Victorian economy remain strong. Consumer confidence is returning in a low interest rate environment</w:t>
      </w:r>
      <w:r>
        <w:fldChar w:fldCharType="begin"/>
      </w:r>
      <w:r>
        <w:instrText xml:space="preserve"> XE "</w:instrText>
      </w:r>
      <w:r w:rsidRPr="00B4431F">
        <w:instrText>Interest rate:Environment</w:instrText>
      </w:r>
      <w:r>
        <w:instrText xml:space="preserve">" </w:instrText>
      </w:r>
      <w:r>
        <w:fldChar w:fldCharType="end"/>
      </w:r>
      <w:r>
        <w:t xml:space="preserve">. There is renewed strength in </w:t>
      </w:r>
      <w:r w:rsidRPr="006A4D14">
        <w:t>dwelling</w:t>
      </w:r>
      <w:r>
        <w:t xml:space="preserve"> investment</w:t>
      </w:r>
      <w:r>
        <w:fldChar w:fldCharType="begin"/>
      </w:r>
      <w:r>
        <w:instrText xml:space="preserve"> XE "</w:instrText>
      </w:r>
      <w:r w:rsidRPr="00463AF4">
        <w:instrText>Dwelling investment</w:instrText>
      </w:r>
      <w:r>
        <w:instrText xml:space="preserve">" </w:instrText>
      </w:r>
      <w:r>
        <w:fldChar w:fldCharType="end"/>
      </w:r>
      <w:r>
        <w:t xml:space="preserve"> as the property market shows signs of improvement. Net migration is supporting population growth. Unemployment</w:t>
      </w:r>
      <w:r>
        <w:fldChar w:fldCharType="begin"/>
      </w:r>
      <w:r>
        <w:instrText xml:space="preserve"> XE "</w:instrText>
      </w:r>
      <w:r w:rsidRPr="00463AF4">
        <w:instrText>Unemployment</w:instrText>
      </w:r>
      <w:r>
        <w:instrText xml:space="preserve">" </w:instrText>
      </w:r>
      <w:r>
        <w:fldChar w:fldCharType="end"/>
      </w:r>
      <w:r>
        <w:t xml:space="preserve"> and inflation</w:t>
      </w:r>
      <w:r>
        <w:fldChar w:fldCharType="begin"/>
      </w:r>
      <w:r>
        <w:instrText xml:space="preserve"> XE "</w:instrText>
      </w:r>
      <w:r w:rsidRPr="00463AF4">
        <w:instrText>Inflation</w:instrText>
      </w:r>
      <w:r>
        <w:instrText xml:space="preserve">" </w:instrText>
      </w:r>
      <w:r>
        <w:fldChar w:fldCharType="end"/>
      </w:r>
      <w:r>
        <w:t xml:space="preserve"> are low, and Victoria has the highest labour participation rate</w:t>
      </w:r>
      <w:r>
        <w:fldChar w:fldCharType="begin"/>
      </w:r>
      <w:r>
        <w:instrText xml:space="preserve"> XE "</w:instrText>
      </w:r>
      <w:r w:rsidRPr="00282651">
        <w:instrText>Labour market:Labour force participation</w:instrText>
      </w:r>
      <w:r>
        <w:instrText xml:space="preserve">" </w:instrText>
      </w:r>
      <w:r>
        <w:fldChar w:fldCharType="end"/>
      </w:r>
      <w:r>
        <w:t xml:space="preserve"> of all the non</w:t>
      </w:r>
      <w:r w:rsidR="00276239">
        <w:noBreakHyphen/>
      </w:r>
      <w:r>
        <w:t xml:space="preserve">mining states. </w:t>
      </w:r>
    </w:p>
    <w:p w:rsidR="0070375D" w:rsidRPr="0097182C" w:rsidRDefault="0070375D" w:rsidP="00206E3D">
      <w:pPr>
        <w:pStyle w:val="HighlightBoxBullet"/>
      </w:pPr>
      <w:r w:rsidRPr="0097182C">
        <w:t xml:space="preserve">The Victorian economy is performing solidly and is expected to </w:t>
      </w:r>
      <w:r>
        <w:t xml:space="preserve">significantly </w:t>
      </w:r>
      <w:r w:rsidRPr="0097182C">
        <w:t>strengthen in 2013</w:t>
      </w:r>
      <w:r w:rsidR="00276239">
        <w:noBreakHyphen/>
      </w:r>
      <w:r w:rsidRPr="0097182C">
        <w:t>14, growing by 2.25</w:t>
      </w:r>
      <w:r>
        <w:t> per cent</w:t>
      </w:r>
      <w:r w:rsidRPr="0097182C">
        <w:t xml:space="preserve">. </w:t>
      </w:r>
      <w:r>
        <w:t xml:space="preserve">This </w:t>
      </w:r>
      <w:r w:rsidRPr="00625EC1">
        <w:t>compares favourably to Australia</w:t>
      </w:r>
      <w:r w:rsidR="00276239">
        <w:t>’</w:t>
      </w:r>
      <w:r w:rsidRPr="00625EC1">
        <w:t>s other non</w:t>
      </w:r>
      <w:r w:rsidR="00276239">
        <w:noBreakHyphen/>
      </w:r>
      <w:r w:rsidRPr="00625EC1">
        <w:t>mining states and international peers.</w:t>
      </w:r>
      <w:r w:rsidRPr="0097182C">
        <w:t xml:space="preserve"> </w:t>
      </w:r>
    </w:p>
    <w:p w:rsidR="0070375D" w:rsidRDefault="0070375D" w:rsidP="00CB59EA">
      <w:pPr>
        <w:pStyle w:val="HighlightBoxBullet"/>
      </w:pPr>
      <w:r w:rsidRPr="00D525DF">
        <w:t>Concerns about Europe</w:t>
      </w:r>
      <w:r>
        <w:fldChar w:fldCharType="begin"/>
      </w:r>
      <w:r>
        <w:instrText xml:space="preserve"> XE "</w:instrText>
      </w:r>
      <w:r w:rsidRPr="00463AF4">
        <w:instrText>Europe</w:instrText>
      </w:r>
      <w:r>
        <w:instrText xml:space="preserve">" </w:instrText>
      </w:r>
      <w:r>
        <w:fldChar w:fldCharType="end"/>
      </w:r>
      <w:r w:rsidRPr="00D525DF">
        <w:t xml:space="preserve"> continue to dominate the risk outlook. This has been partially offset by positive news from the US and China.</w:t>
      </w:r>
      <w:r>
        <w:t xml:space="preserve"> </w:t>
      </w:r>
      <w:r w:rsidRPr="00FB132A">
        <w:t>An improving Chinese economy or an acceleration in the US economic recovery could improve Victoria</w:t>
      </w:r>
      <w:r w:rsidR="00276239">
        <w:t>’</w:t>
      </w:r>
      <w:r w:rsidRPr="00FB132A">
        <w:t>s trade position.</w:t>
      </w:r>
      <w:r w:rsidRPr="00900F60">
        <w:rPr>
          <w:color w:val="4F81BD" w:themeColor="accent1"/>
        </w:rPr>
        <w:t xml:space="preserve"> </w:t>
      </w:r>
    </w:p>
    <w:p w:rsidR="0070375D" w:rsidRDefault="0070375D" w:rsidP="00DC34D6">
      <w:pPr>
        <w:pStyle w:val="HighlightBoxBullet"/>
      </w:pPr>
      <w:r>
        <w:t xml:space="preserve">There is a </w:t>
      </w:r>
      <w:r w:rsidRPr="004127EE">
        <w:t>divergence of ec</w:t>
      </w:r>
      <w:r>
        <w:t>onomic activity between non</w:t>
      </w:r>
      <w:r w:rsidR="00276239">
        <w:noBreakHyphen/>
      </w:r>
      <w:r w:rsidRPr="004127EE">
        <w:t>mining and mining states</w:t>
      </w:r>
      <w:r>
        <w:t>. While Victoria is also affected by this distinction, with growth rates below long term trends, Victoria compares favourably to Australia</w:t>
      </w:r>
      <w:r w:rsidR="00276239">
        <w:t>’</w:t>
      </w:r>
      <w:r>
        <w:t>s other non</w:t>
      </w:r>
      <w:r w:rsidR="00276239">
        <w:noBreakHyphen/>
      </w:r>
      <w:r>
        <w:t xml:space="preserve">mining states and international peers. The outlook is also positive </w:t>
      </w:r>
      <w:r w:rsidRPr="00DC34D6">
        <w:t>compared to many other advanced economies, especially in the euro zone</w:t>
      </w:r>
      <w:r>
        <w:fldChar w:fldCharType="begin"/>
      </w:r>
      <w:r>
        <w:instrText xml:space="preserve"> XE "</w:instrText>
      </w:r>
      <w:r w:rsidRPr="00463AF4">
        <w:instrText>Euro zone</w:instrText>
      </w:r>
      <w:r>
        <w:instrText xml:space="preserve">" </w:instrText>
      </w:r>
      <w:r>
        <w:fldChar w:fldCharType="end"/>
      </w:r>
      <w:r>
        <w:t xml:space="preserve">. </w:t>
      </w:r>
    </w:p>
    <w:p w:rsidR="00F00A93" w:rsidRPr="003B7527" w:rsidRDefault="00F00A93" w:rsidP="00F00A93"/>
    <w:p w:rsidR="0070375D" w:rsidRPr="00230B3B" w:rsidRDefault="0070375D" w:rsidP="006A4D14">
      <w:pPr>
        <w:pStyle w:val="Heading1"/>
      </w:pPr>
      <w:bookmarkStart w:id="8" w:name="_Toc355372020"/>
      <w:bookmarkStart w:id="9" w:name="BP3Chap2EconomicConditionsVictoria"/>
      <w:r w:rsidRPr="00230B3B">
        <w:t xml:space="preserve">Victorian economic </w:t>
      </w:r>
      <w:r w:rsidRPr="006A4D14">
        <w:t>conditions</w:t>
      </w:r>
      <w:r w:rsidRPr="00230B3B">
        <w:t xml:space="preserve"> and outlook</w:t>
      </w:r>
      <w:bookmarkEnd w:id="8"/>
    </w:p>
    <w:p w:rsidR="0070375D" w:rsidRPr="00FB132A" w:rsidRDefault="0070375D" w:rsidP="00CB59EA">
      <w:r w:rsidRPr="00F66FB4">
        <w:t>The economic environment in Victoria remains favourable. Unemployment</w:t>
      </w:r>
      <w:r>
        <w:fldChar w:fldCharType="begin"/>
      </w:r>
      <w:r>
        <w:instrText xml:space="preserve"> XE "</w:instrText>
      </w:r>
      <w:r w:rsidRPr="00463AF4">
        <w:instrText>Unemployment</w:instrText>
      </w:r>
      <w:r>
        <w:instrText xml:space="preserve">" </w:instrText>
      </w:r>
      <w:r>
        <w:fldChar w:fldCharType="end"/>
      </w:r>
      <w:r w:rsidRPr="00F66FB4">
        <w:t xml:space="preserve"> </w:t>
      </w:r>
      <w:r>
        <w:t xml:space="preserve">is expected to fall </w:t>
      </w:r>
      <w:r w:rsidRPr="00F66FB4">
        <w:t>and inflation</w:t>
      </w:r>
      <w:r>
        <w:fldChar w:fldCharType="begin"/>
      </w:r>
      <w:r>
        <w:instrText xml:space="preserve"> XE "</w:instrText>
      </w:r>
      <w:r w:rsidRPr="00463AF4">
        <w:instrText>Inflation</w:instrText>
      </w:r>
      <w:r>
        <w:instrText xml:space="preserve">" </w:instrText>
      </w:r>
      <w:r>
        <w:fldChar w:fldCharType="end"/>
      </w:r>
      <w:r w:rsidRPr="00F66FB4">
        <w:t xml:space="preserve"> </w:t>
      </w:r>
      <w:r>
        <w:t>is</w:t>
      </w:r>
      <w:r w:rsidRPr="00F66FB4">
        <w:t xml:space="preserve"> expected to remain low. After</w:t>
      </w:r>
      <w:r w:rsidRPr="00FB132A">
        <w:t xml:space="preserve"> relatively robust growth </w:t>
      </w:r>
      <w:r>
        <w:t>in GSP</w:t>
      </w:r>
      <w:r>
        <w:fldChar w:fldCharType="begin"/>
      </w:r>
      <w:r>
        <w:instrText xml:space="preserve"> XE "</w:instrText>
      </w:r>
      <w:r w:rsidRPr="009F3C02">
        <w:instrText>Economic growth:Gross state product</w:instrText>
      </w:r>
      <w:r>
        <w:instrText xml:space="preserve">" </w:instrText>
      </w:r>
      <w:r>
        <w:fldChar w:fldCharType="end"/>
      </w:r>
      <w:r>
        <w:t xml:space="preserve"> </w:t>
      </w:r>
      <w:r w:rsidRPr="00FB132A">
        <w:t>of 2.3</w:t>
      </w:r>
      <w:r>
        <w:t> per cent</w:t>
      </w:r>
      <w:r w:rsidRPr="00FB132A">
        <w:t xml:space="preserve"> in 2011</w:t>
      </w:r>
      <w:r w:rsidR="00276239">
        <w:noBreakHyphen/>
      </w:r>
      <w:r w:rsidRPr="00FB132A">
        <w:t xml:space="preserve">12, partial indicators point towards economic growth </w:t>
      </w:r>
      <w:r>
        <w:t>moderating</w:t>
      </w:r>
      <w:r w:rsidRPr="00FB132A">
        <w:t xml:space="preserve"> </w:t>
      </w:r>
      <w:r>
        <w:t xml:space="preserve">to 1.5 per cent </w:t>
      </w:r>
      <w:r w:rsidRPr="00FB132A">
        <w:t>in 2012</w:t>
      </w:r>
      <w:r w:rsidR="00276239">
        <w:noBreakHyphen/>
      </w:r>
      <w:r w:rsidRPr="00FB132A">
        <w:t>13, before accelerating to 2.25</w:t>
      </w:r>
      <w:r>
        <w:t> per cent</w:t>
      </w:r>
      <w:r w:rsidRPr="00FB132A">
        <w:t xml:space="preserve"> in 2013</w:t>
      </w:r>
      <w:r w:rsidR="00276239">
        <w:noBreakHyphen/>
      </w:r>
      <w:r w:rsidRPr="00FB132A">
        <w:t>14. This is consistent with Australia</w:t>
      </w:r>
      <w:r w:rsidR="00276239">
        <w:t>’</w:t>
      </w:r>
      <w:r w:rsidRPr="00FB132A">
        <w:t>s growth outlook. The factors weighing on economic growth</w:t>
      </w:r>
      <w:r>
        <w:fldChar w:fldCharType="begin"/>
      </w:r>
      <w:r>
        <w:instrText xml:space="preserve"> XE "</w:instrText>
      </w:r>
      <w:r w:rsidRPr="00463AF4">
        <w:instrText>Economic growth</w:instrText>
      </w:r>
      <w:r>
        <w:instrText xml:space="preserve">" </w:instrText>
      </w:r>
      <w:r>
        <w:fldChar w:fldCharType="end"/>
      </w:r>
      <w:r w:rsidRPr="00FB132A">
        <w:t xml:space="preserve"> are expected to persist only in the short</w:t>
      </w:r>
      <w:r>
        <w:t xml:space="preserve"> </w:t>
      </w:r>
      <w:r w:rsidRPr="00FB132A">
        <w:t>term, with the economy moving back to trend growth in 2014</w:t>
      </w:r>
      <w:r w:rsidR="00276239">
        <w:noBreakHyphen/>
      </w:r>
      <w:r w:rsidRPr="00FB132A">
        <w:t>15 as the impact of low interest rates</w:t>
      </w:r>
      <w:r>
        <w:fldChar w:fldCharType="begin"/>
      </w:r>
      <w:r>
        <w:instrText xml:space="preserve"> XE "</w:instrText>
      </w:r>
      <w:r w:rsidRPr="00463AF4">
        <w:instrText>Interest rate</w:instrText>
      </w:r>
      <w:r>
        <w:instrText xml:space="preserve">" </w:instrText>
      </w:r>
      <w:r>
        <w:fldChar w:fldCharType="end"/>
      </w:r>
      <w:r w:rsidRPr="00FB132A">
        <w:t xml:space="preserve"> and improving conditions in Asia and the </w:t>
      </w:r>
      <w:r>
        <w:t>US</w:t>
      </w:r>
      <w:r w:rsidRPr="00FB132A">
        <w:t xml:space="preserve"> flow through. </w:t>
      </w:r>
    </w:p>
    <w:p w:rsidR="00F00A93" w:rsidRDefault="00F00A93">
      <w:pPr>
        <w:spacing w:after="0"/>
      </w:pPr>
      <w:r>
        <w:br w:type="page"/>
      </w:r>
    </w:p>
    <w:p w:rsidR="0070375D" w:rsidRDefault="0070375D" w:rsidP="00CB59EA">
      <w:r>
        <w:lastRenderedPageBreak/>
        <w:t>Employment</w:t>
      </w:r>
      <w:r>
        <w:fldChar w:fldCharType="begin"/>
      </w:r>
      <w:r>
        <w:instrText xml:space="preserve"> XE "</w:instrText>
      </w:r>
      <w:r w:rsidRPr="00463AF4">
        <w:instrText>Employment</w:instrText>
      </w:r>
      <w:r>
        <w:instrText xml:space="preserve">" </w:instrText>
      </w:r>
      <w:r>
        <w:fldChar w:fldCharType="end"/>
      </w:r>
      <w:r>
        <w:t xml:space="preserve"> growth in Victoria since the global financial crisis</w:t>
      </w:r>
      <w:r>
        <w:fldChar w:fldCharType="begin"/>
      </w:r>
      <w:r>
        <w:instrText xml:space="preserve"> XE "</w:instrText>
      </w:r>
      <w:r w:rsidRPr="00463AF4">
        <w:instrText>Global financial crisis</w:instrText>
      </w:r>
      <w:r>
        <w:instrText xml:space="preserve">" </w:instrText>
      </w:r>
      <w:r>
        <w:fldChar w:fldCharType="end"/>
      </w:r>
      <w:r>
        <w:t xml:space="preserve"> has been high compared to other jurisdictions excluding Western Australia. More generally, broader indicators of economic conditions</w:t>
      </w:r>
      <w:r>
        <w:fldChar w:fldCharType="begin"/>
      </w:r>
      <w:r>
        <w:instrText xml:space="preserve"> XE "</w:instrText>
      </w:r>
      <w:r w:rsidRPr="00463AF4">
        <w:instrText>Economic conditions</w:instrText>
      </w:r>
      <w:r>
        <w:instrText xml:space="preserve">" </w:instrText>
      </w:r>
      <w:r>
        <w:fldChar w:fldCharType="end"/>
      </w:r>
      <w:r>
        <w:t xml:space="preserve"> show Victoria</w:t>
      </w:r>
      <w:r w:rsidR="00276239">
        <w:t>’</w:t>
      </w:r>
      <w:r>
        <w:t xml:space="preserve">s economy continues to perform positively. </w:t>
      </w:r>
      <w:r w:rsidRPr="00BC1B87">
        <w:t>In recent years, interstate trade (reflected in the balancing item</w:t>
      </w:r>
      <w:r>
        <w:t xml:space="preserve"> in Chart 2.1</w:t>
      </w:r>
      <w:r w:rsidRPr="00BC1B87">
        <w:t>) has been a key component of Victoria</w:t>
      </w:r>
      <w:r w:rsidR="00276239">
        <w:t>’</w:t>
      </w:r>
      <w:r w:rsidRPr="00BC1B87">
        <w:t>s economy and has significantly contributed to GSP</w:t>
      </w:r>
      <w:r>
        <w:fldChar w:fldCharType="begin"/>
      </w:r>
      <w:r>
        <w:instrText xml:space="preserve"> XE "</w:instrText>
      </w:r>
      <w:r w:rsidRPr="009F3C02">
        <w:instrText>Economic growth:Gross state product</w:instrText>
      </w:r>
      <w:r>
        <w:instrText xml:space="preserve">" </w:instrText>
      </w:r>
      <w:r>
        <w:fldChar w:fldCharType="end"/>
      </w:r>
      <w:r w:rsidRPr="00BC1B87">
        <w:t xml:space="preserve"> growth. </w:t>
      </w:r>
    </w:p>
    <w:p w:rsidR="0070375D" w:rsidRDefault="0070375D" w:rsidP="006A4D14">
      <w:pPr>
        <w:pStyle w:val="Chartheading"/>
      </w:pPr>
      <w:r w:rsidRPr="00394560">
        <w:t>Chart 2.1:</w:t>
      </w:r>
      <w:r w:rsidRPr="00394560">
        <w:tab/>
        <w:t xml:space="preserve">General economic </w:t>
      </w:r>
      <w:r w:rsidRPr="006A4D14">
        <w:t>indicators</w:t>
      </w:r>
      <w:r w:rsidRPr="00394560">
        <w:t xml:space="preserve"> of the Victorian economy</w:t>
      </w:r>
    </w:p>
    <w:p w:rsidR="0070375D" w:rsidRDefault="00315427" w:rsidP="00235559">
      <w:pPr>
        <w:pStyle w:val="Chartpara"/>
        <w:ind w:right="-487"/>
      </w:pPr>
      <w:r>
        <w:pict>
          <v:shape id="_x0000_i1027" type="#_x0000_t75" style="width:429.75pt;height:232.5pt">
            <v:imagedata r:id="rId18" o:title=""/>
          </v:shape>
        </w:pict>
      </w:r>
    </w:p>
    <w:p w:rsidR="0070375D" w:rsidRDefault="0070375D" w:rsidP="00B76000">
      <w:pPr>
        <w:pStyle w:val="Source"/>
      </w:pPr>
      <w:r w:rsidRPr="003E65BF">
        <w:t>Sources: Australian Bureau of Statistics; Department of Treasury and Finance</w:t>
      </w:r>
    </w:p>
    <w:p w:rsidR="0070375D" w:rsidRPr="00230B3B" w:rsidRDefault="0070375D" w:rsidP="00936866">
      <w:pPr>
        <w:pStyle w:val="Notes"/>
      </w:pPr>
      <w:r>
        <w:fldChar w:fldCharType="begin"/>
      </w:r>
      <w:r>
        <w:instrText xml:space="preserve"> XE "</w:instrText>
      </w:r>
      <w:r w:rsidRPr="009F3C02">
        <w:instrText>Economic growth:Gross state product</w:instrText>
      </w:r>
      <w:r>
        <w:instrText xml:space="preserve">" </w:instrText>
      </w:r>
      <w:r>
        <w:fldChar w:fldCharType="end"/>
      </w:r>
      <w:r>
        <w:t>Notes</w:t>
      </w:r>
      <w:r w:rsidRPr="00230B3B">
        <w:t>:</w:t>
      </w:r>
    </w:p>
    <w:p w:rsidR="0070375D" w:rsidRDefault="0070375D" w:rsidP="00936866">
      <w:pPr>
        <w:pStyle w:val="Notes"/>
      </w:pPr>
      <w:r w:rsidRPr="008F0A1F">
        <w:t>(a)</w:t>
      </w:r>
      <w:r>
        <w:tab/>
        <w:t>T</w:t>
      </w:r>
      <w:r w:rsidRPr="00355113">
        <w:t>he contributions to gr</w:t>
      </w:r>
      <w:r>
        <w:t>owth of the components of GS</w:t>
      </w:r>
      <w:r w:rsidRPr="00355113">
        <w:t>P do not always</w:t>
      </w:r>
      <w:r>
        <w:t xml:space="preserve"> add exactly to the growth in GS</w:t>
      </w:r>
      <w:r w:rsidRPr="00355113">
        <w:t>P. This can happen as a result of rounding and the lack of additivity of the chain volume estimates prior to the latest complete financial year.</w:t>
      </w:r>
    </w:p>
    <w:p w:rsidR="0070375D" w:rsidRPr="008F0A1F" w:rsidRDefault="0070375D" w:rsidP="00C80F33">
      <w:pPr>
        <w:pStyle w:val="Notes"/>
      </w:pPr>
      <w:r>
        <w:t>(b)</w:t>
      </w:r>
      <w:r>
        <w:tab/>
        <w:t>The balancing item reflects changes in inventories, total net</w:t>
      </w:r>
      <w:r w:rsidRPr="008F0A1F">
        <w:t xml:space="preserve"> interstate trade</w:t>
      </w:r>
      <w:r>
        <w:t xml:space="preserve"> as well as other </w:t>
      </w:r>
      <w:r w:rsidRPr="00355113">
        <w:t>miscellaneous items</w:t>
      </w:r>
      <w:r>
        <w:t xml:space="preserve"> </w:t>
      </w:r>
      <w:r w:rsidRPr="00A76658">
        <w:t>such as the balancing item discrepancy and adjustments for balance of payments trade.</w:t>
      </w:r>
    </w:p>
    <w:p w:rsidR="0070375D" w:rsidRPr="00936866" w:rsidRDefault="0070375D" w:rsidP="00936866">
      <w:pPr>
        <w:pStyle w:val="Source"/>
      </w:pPr>
    </w:p>
    <w:p w:rsidR="00F00A93" w:rsidRDefault="00F00A93">
      <w:pPr>
        <w:spacing w:after="0"/>
      </w:pPr>
      <w:r>
        <w:br w:type="page"/>
      </w:r>
    </w:p>
    <w:p w:rsidR="0070375D" w:rsidRDefault="0070375D" w:rsidP="00936866">
      <w:r>
        <w:lastRenderedPageBreak/>
        <w:t>Table 2.1 sets out the</w:t>
      </w:r>
      <w:r w:rsidRPr="00C90814">
        <w:t xml:space="preserve"> economic projections </w:t>
      </w:r>
      <w:r>
        <w:t>for the</w:t>
      </w:r>
      <w:r w:rsidRPr="00C90814">
        <w:t xml:space="preserve"> </w:t>
      </w:r>
      <w:r w:rsidRPr="00C90814">
        <w:rPr>
          <w:i/>
        </w:rPr>
        <w:t>2013</w:t>
      </w:r>
      <w:r w:rsidR="00276239">
        <w:rPr>
          <w:i/>
        </w:rPr>
        <w:noBreakHyphen/>
      </w:r>
      <w:r>
        <w:rPr>
          <w:i/>
        </w:rPr>
        <w:t>14 </w:t>
      </w:r>
      <w:r w:rsidRPr="00C90814">
        <w:rPr>
          <w:i/>
        </w:rPr>
        <w:t>Budget</w:t>
      </w:r>
      <w:r>
        <w:t xml:space="preserve">. </w:t>
      </w:r>
    </w:p>
    <w:p w:rsidR="0070375D" w:rsidRPr="00230B3B" w:rsidRDefault="0070375D" w:rsidP="00936866">
      <w:pPr>
        <w:pStyle w:val="Tableheading"/>
      </w:pPr>
      <w:r>
        <w:t>Table 2.1:</w:t>
      </w:r>
      <w:r>
        <w:tab/>
      </w:r>
      <w:r w:rsidRPr="00230B3B">
        <w:t xml:space="preserve">Victorian economic </w:t>
      </w:r>
      <w:r w:rsidRPr="00936866">
        <w:t>projections</w:t>
      </w:r>
      <w:r>
        <w:rPr>
          <w:vertAlign w:val="superscript"/>
        </w:rPr>
        <w:t>(a)</w:t>
      </w:r>
    </w:p>
    <w:p w:rsidR="0070375D" w:rsidRPr="00E50F38" w:rsidRDefault="0070375D" w:rsidP="00E50F38">
      <w:pPr>
        <w:pStyle w:val="million"/>
      </w:pPr>
      <w:r w:rsidRPr="006A07D7">
        <w:t>(per cent)</w:t>
      </w:r>
      <w:r>
        <w:t xml:space="preserve"> </w:t>
      </w:r>
    </w:p>
    <w:tbl>
      <w:tblPr>
        <w:tblW w:w="7776" w:type="dxa"/>
        <w:tblInd w:w="29" w:type="dxa"/>
        <w:tblLayout w:type="fixed"/>
        <w:tblCellMar>
          <w:left w:w="43" w:type="dxa"/>
          <w:right w:w="43" w:type="dxa"/>
        </w:tblCellMar>
        <w:tblLook w:val="0000" w:firstRow="0" w:lastRow="0" w:firstColumn="0" w:lastColumn="0" w:noHBand="0" w:noVBand="0"/>
      </w:tblPr>
      <w:tblGrid>
        <w:gridCol w:w="2714"/>
        <w:gridCol w:w="843"/>
        <w:gridCol w:w="844"/>
        <w:gridCol w:w="844"/>
        <w:gridCol w:w="843"/>
        <w:gridCol w:w="844"/>
        <w:gridCol w:w="844"/>
      </w:tblGrid>
      <w:tr w:rsidR="0070375D" w:rsidRPr="00E50F38" w:rsidTr="00E50F38">
        <w:tc>
          <w:tcPr>
            <w:tcW w:w="2714" w:type="dxa"/>
            <w:tcBorders>
              <w:top w:val="single" w:sz="4" w:space="0" w:color="auto"/>
              <w:left w:val="single" w:sz="4" w:space="0" w:color="auto"/>
              <w:bottom w:val="single" w:sz="6" w:space="0" w:color="auto"/>
              <w:right w:val="nil"/>
            </w:tcBorders>
            <w:shd w:val="clear" w:color="auto" w:fill="000000"/>
          </w:tcPr>
          <w:p w:rsidR="0070375D" w:rsidRPr="00E50F38" w:rsidRDefault="0070375D" w:rsidP="00E50F38">
            <w:pPr>
              <w:pStyle w:val="Tabletext"/>
              <w:rPr>
                <w:lang w:eastAsia="en-AU"/>
              </w:rPr>
            </w:pPr>
            <w:r w:rsidRPr="00E50F38">
              <w:rPr>
                <w:lang w:eastAsia="en-AU"/>
              </w:rPr>
              <w:t xml:space="preserve"> </w:t>
            </w:r>
          </w:p>
        </w:tc>
        <w:tc>
          <w:tcPr>
            <w:tcW w:w="843" w:type="dxa"/>
            <w:tcBorders>
              <w:top w:val="single" w:sz="4" w:space="0" w:color="auto"/>
              <w:left w:val="nil"/>
              <w:bottom w:val="single" w:sz="6" w:space="0" w:color="auto"/>
              <w:right w:val="nil"/>
            </w:tcBorders>
            <w:shd w:val="clear" w:color="auto" w:fill="000000"/>
          </w:tcPr>
          <w:p w:rsidR="0070375D" w:rsidRPr="00E50F38" w:rsidRDefault="0070375D" w:rsidP="00E50F38">
            <w:pPr>
              <w:pStyle w:val="Tabletextheading"/>
              <w:rPr>
                <w:lang w:eastAsia="en-AU"/>
              </w:rPr>
            </w:pPr>
            <w:r w:rsidRPr="00E50F38">
              <w:rPr>
                <w:lang w:eastAsia="en-AU"/>
              </w:rPr>
              <w:t>2011</w:t>
            </w:r>
            <w:r w:rsidR="00276239">
              <w:rPr>
                <w:lang w:eastAsia="en-AU"/>
              </w:rPr>
              <w:noBreakHyphen/>
            </w:r>
            <w:r w:rsidRPr="00E50F38">
              <w:rPr>
                <w:lang w:eastAsia="en-AU"/>
              </w:rPr>
              <w:t>12</w:t>
            </w:r>
          </w:p>
        </w:tc>
        <w:tc>
          <w:tcPr>
            <w:tcW w:w="844" w:type="dxa"/>
            <w:tcBorders>
              <w:top w:val="single" w:sz="4" w:space="0" w:color="auto"/>
              <w:left w:val="nil"/>
              <w:bottom w:val="single" w:sz="6" w:space="0" w:color="auto"/>
              <w:right w:val="nil"/>
            </w:tcBorders>
            <w:shd w:val="clear" w:color="auto" w:fill="000000"/>
          </w:tcPr>
          <w:p w:rsidR="0070375D" w:rsidRPr="00E50F38" w:rsidRDefault="0070375D" w:rsidP="00E50F38">
            <w:pPr>
              <w:pStyle w:val="Tabletextheading"/>
              <w:rPr>
                <w:lang w:eastAsia="en-AU"/>
              </w:rPr>
            </w:pPr>
            <w:r w:rsidRPr="00E50F38">
              <w:rPr>
                <w:lang w:eastAsia="en-AU"/>
              </w:rPr>
              <w:t>2012</w:t>
            </w:r>
            <w:r w:rsidR="00276239">
              <w:rPr>
                <w:lang w:eastAsia="en-AU"/>
              </w:rPr>
              <w:noBreakHyphen/>
            </w:r>
            <w:r w:rsidRPr="00E50F38">
              <w:rPr>
                <w:lang w:eastAsia="en-AU"/>
              </w:rPr>
              <w:t>13</w:t>
            </w:r>
          </w:p>
        </w:tc>
        <w:tc>
          <w:tcPr>
            <w:tcW w:w="844" w:type="dxa"/>
            <w:tcBorders>
              <w:top w:val="single" w:sz="4" w:space="0" w:color="auto"/>
              <w:left w:val="nil"/>
              <w:bottom w:val="single" w:sz="6" w:space="0" w:color="auto"/>
              <w:right w:val="nil"/>
            </w:tcBorders>
            <w:shd w:val="clear" w:color="auto" w:fill="000000"/>
          </w:tcPr>
          <w:p w:rsidR="0070375D" w:rsidRPr="00E50F38" w:rsidRDefault="0070375D" w:rsidP="00E50F38">
            <w:pPr>
              <w:pStyle w:val="Tabletextheading"/>
              <w:rPr>
                <w:lang w:eastAsia="en-AU"/>
              </w:rPr>
            </w:pPr>
            <w:r w:rsidRPr="00E50F38">
              <w:rPr>
                <w:lang w:eastAsia="en-AU"/>
              </w:rPr>
              <w:t>2013</w:t>
            </w:r>
            <w:r w:rsidR="00276239">
              <w:rPr>
                <w:lang w:eastAsia="en-AU"/>
              </w:rPr>
              <w:noBreakHyphen/>
            </w:r>
            <w:r w:rsidRPr="00E50F38">
              <w:rPr>
                <w:lang w:eastAsia="en-AU"/>
              </w:rPr>
              <w:t>14</w:t>
            </w:r>
          </w:p>
        </w:tc>
        <w:tc>
          <w:tcPr>
            <w:tcW w:w="843" w:type="dxa"/>
            <w:tcBorders>
              <w:top w:val="single" w:sz="4" w:space="0" w:color="auto"/>
              <w:left w:val="nil"/>
              <w:bottom w:val="single" w:sz="6" w:space="0" w:color="auto"/>
              <w:right w:val="nil"/>
            </w:tcBorders>
            <w:shd w:val="clear" w:color="auto" w:fill="000000"/>
          </w:tcPr>
          <w:p w:rsidR="0070375D" w:rsidRPr="00E50F38" w:rsidRDefault="0070375D" w:rsidP="00E50F38">
            <w:pPr>
              <w:pStyle w:val="Tabletextheading"/>
              <w:rPr>
                <w:lang w:eastAsia="en-AU"/>
              </w:rPr>
            </w:pPr>
            <w:r w:rsidRPr="00E50F38">
              <w:rPr>
                <w:lang w:eastAsia="en-AU"/>
              </w:rPr>
              <w:t>2014</w:t>
            </w:r>
            <w:r w:rsidR="00276239">
              <w:rPr>
                <w:lang w:eastAsia="en-AU"/>
              </w:rPr>
              <w:noBreakHyphen/>
            </w:r>
            <w:r w:rsidRPr="00E50F38">
              <w:rPr>
                <w:lang w:eastAsia="en-AU"/>
              </w:rPr>
              <w:t>15</w:t>
            </w:r>
          </w:p>
        </w:tc>
        <w:tc>
          <w:tcPr>
            <w:tcW w:w="844" w:type="dxa"/>
            <w:tcBorders>
              <w:top w:val="single" w:sz="4" w:space="0" w:color="auto"/>
              <w:left w:val="nil"/>
              <w:bottom w:val="single" w:sz="6" w:space="0" w:color="auto"/>
              <w:right w:val="nil"/>
            </w:tcBorders>
            <w:shd w:val="clear" w:color="auto" w:fill="000000"/>
          </w:tcPr>
          <w:p w:rsidR="0070375D" w:rsidRPr="00E50F38" w:rsidRDefault="0070375D" w:rsidP="00E50F38">
            <w:pPr>
              <w:pStyle w:val="Tabletextheading"/>
              <w:rPr>
                <w:lang w:eastAsia="en-AU"/>
              </w:rPr>
            </w:pPr>
            <w:r w:rsidRPr="00E50F38">
              <w:rPr>
                <w:lang w:eastAsia="en-AU"/>
              </w:rPr>
              <w:t>2015</w:t>
            </w:r>
            <w:r w:rsidR="00276239">
              <w:rPr>
                <w:lang w:eastAsia="en-AU"/>
              </w:rPr>
              <w:noBreakHyphen/>
            </w:r>
            <w:r w:rsidRPr="00E50F38">
              <w:rPr>
                <w:lang w:eastAsia="en-AU"/>
              </w:rPr>
              <w:t>16</w:t>
            </w:r>
          </w:p>
        </w:tc>
        <w:tc>
          <w:tcPr>
            <w:tcW w:w="844" w:type="dxa"/>
            <w:tcBorders>
              <w:top w:val="single" w:sz="4" w:space="0" w:color="auto"/>
              <w:left w:val="nil"/>
              <w:bottom w:val="single" w:sz="6" w:space="0" w:color="auto"/>
              <w:right w:val="single" w:sz="4" w:space="0" w:color="auto"/>
            </w:tcBorders>
            <w:shd w:val="clear" w:color="auto" w:fill="000000"/>
          </w:tcPr>
          <w:p w:rsidR="0070375D" w:rsidRPr="00E50F38" w:rsidRDefault="0070375D" w:rsidP="00E50F38">
            <w:pPr>
              <w:pStyle w:val="Tabletextheading"/>
              <w:rPr>
                <w:lang w:eastAsia="en-AU"/>
              </w:rPr>
            </w:pPr>
            <w:r w:rsidRPr="00E50F38">
              <w:rPr>
                <w:lang w:eastAsia="en-AU"/>
              </w:rPr>
              <w:t>2016</w:t>
            </w:r>
            <w:r w:rsidR="00276239">
              <w:rPr>
                <w:lang w:eastAsia="en-AU"/>
              </w:rPr>
              <w:noBreakHyphen/>
            </w:r>
            <w:r w:rsidRPr="00E50F38">
              <w:rPr>
                <w:lang w:eastAsia="en-AU"/>
              </w:rPr>
              <w:t>17</w:t>
            </w:r>
          </w:p>
        </w:tc>
      </w:tr>
      <w:tr w:rsidR="0070375D" w:rsidRPr="00E50F38" w:rsidTr="00E50F38">
        <w:tc>
          <w:tcPr>
            <w:tcW w:w="2714" w:type="dxa"/>
            <w:tcBorders>
              <w:top w:val="single" w:sz="6" w:space="0" w:color="auto"/>
              <w:left w:val="single" w:sz="4" w:space="0" w:color="auto"/>
              <w:bottom w:val="single" w:sz="4" w:space="0" w:color="auto"/>
              <w:right w:val="nil"/>
            </w:tcBorders>
            <w:shd w:val="clear" w:color="auto" w:fill="000000"/>
          </w:tcPr>
          <w:p w:rsidR="0070375D" w:rsidRPr="00E50F38" w:rsidRDefault="0070375D" w:rsidP="00E50F38">
            <w:pPr>
              <w:pStyle w:val="Tabletext"/>
              <w:rPr>
                <w:lang w:eastAsia="en-AU"/>
              </w:rPr>
            </w:pPr>
            <w:r w:rsidRPr="00E50F38">
              <w:rPr>
                <w:lang w:eastAsia="en-AU"/>
              </w:rPr>
              <w:t xml:space="preserve"> </w:t>
            </w:r>
          </w:p>
        </w:tc>
        <w:tc>
          <w:tcPr>
            <w:tcW w:w="843" w:type="dxa"/>
            <w:tcBorders>
              <w:top w:val="single" w:sz="6" w:space="0" w:color="auto"/>
              <w:left w:val="nil"/>
              <w:bottom w:val="single" w:sz="4" w:space="0" w:color="auto"/>
              <w:right w:val="nil"/>
            </w:tcBorders>
            <w:shd w:val="clear" w:color="auto" w:fill="000000"/>
          </w:tcPr>
          <w:p w:rsidR="0070375D" w:rsidRPr="00E50F38" w:rsidRDefault="0070375D" w:rsidP="00E50F38">
            <w:pPr>
              <w:pStyle w:val="Tabletextheading"/>
              <w:rPr>
                <w:lang w:eastAsia="en-AU"/>
              </w:rPr>
            </w:pPr>
            <w:r w:rsidRPr="00E50F38">
              <w:rPr>
                <w:lang w:eastAsia="en-AU"/>
              </w:rPr>
              <w:t>Actual</w:t>
            </w:r>
          </w:p>
        </w:tc>
        <w:tc>
          <w:tcPr>
            <w:tcW w:w="844" w:type="dxa"/>
            <w:tcBorders>
              <w:top w:val="single" w:sz="6" w:space="0" w:color="auto"/>
              <w:left w:val="nil"/>
              <w:bottom w:val="single" w:sz="4" w:space="0" w:color="auto"/>
              <w:right w:val="nil"/>
            </w:tcBorders>
            <w:shd w:val="clear" w:color="auto" w:fill="000000"/>
          </w:tcPr>
          <w:p w:rsidR="0070375D" w:rsidRPr="00E50F38" w:rsidRDefault="0070375D" w:rsidP="00E50F38">
            <w:pPr>
              <w:pStyle w:val="Tabletextheading"/>
              <w:rPr>
                <w:lang w:eastAsia="en-AU"/>
              </w:rPr>
            </w:pPr>
            <w:r w:rsidRPr="00E50F38">
              <w:rPr>
                <w:lang w:eastAsia="en-AU"/>
              </w:rPr>
              <w:t>Forecast</w:t>
            </w:r>
          </w:p>
        </w:tc>
        <w:tc>
          <w:tcPr>
            <w:tcW w:w="844" w:type="dxa"/>
            <w:tcBorders>
              <w:top w:val="single" w:sz="6" w:space="0" w:color="auto"/>
              <w:left w:val="nil"/>
              <w:bottom w:val="single" w:sz="4" w:space="0" w:color="auto"/>
              <w:right w:val="nil"/>
            </w:tcBorders>
            <w:shd w:val="clear" w:color="auto" w:fill="000000"/>
          </w:tcPr>
          <w:p w:rsidR="0070375D" w:rsidRPr="00E50F38" w:rsidRDefault="0070375D" w:rsidP="00E50F38">
            <w:pPr>
              <w:pStyle w:val="Tabletextheading"/>
              <w:rPr>
                <w:lang w:eastAsia="en-AU"/>
              </w:rPr>
            </w:pPr>
            <w:r w:rsidRPr="00E50F38">
              <w:rPr>
                <w:lang w:eastAsia="en-AU"/>
              </w:rPr>
              <w:t>Forecast</w:t>
            </w:r>
          </w:p>
        </w:tc>
        <w:tc>
          <w:tcPr>
            <w:tcW w:w="843" w:type="dxa"/>
            <w:tcBorders>
              <w:top w:val="single" w:sz="6" w:space="0" w:color="auto"/>
              <w:left w:val="nil"/>
              <w:bottom w:val="single" w:sz="4" w:space="0" w:color="auto"/>
              <w:right w:val="nil"/>
            </w:tcBorders>
            <w:shd w:val="clear" w:color="auto" w:fill="000000"/>
          </w:tcPr>
          <w:p w:rsidR="0070375D" w:rsidRPr="00E50F38" w:rsidRDefault="0070375D" w:rsidP="00E50F38">
            <w:pPr>
              <w:pStyle w:val="Tabletextheading"/>
              <w:rPr>
                <w:lang w:eastAsia="en-AU"/>
              </w:rPr>
            </w:pPr>
            <w:r w:rsidRPr="00E50F38">
              <w:rPr>
                <w:lang w:eastAsia="en-AU"/>
              </w:rPr>
              <w:t>Forecast</w:t>
            </w:r>
          </w:p>
        </w:tc>
        <w:tc>
          <w:tcPr>
            <w:tcW w:w="844" w:type="dxa"/>
            <w:tcBorders>
              <w:top w:val="single" w:sz="6" w:space="0" w:color="auto"/>
              <w:left w:val="nil"/>
              <w:bottom w:val="single" w:sz="4" w:space="0" w:color="auto"/>
              <w:right w:val="nil"/>
            </w:tcBorders>
            <w:shd w:val="clear" w:color="auto" w:fill="000000"/>
          </w:tcPr>
          <w:p w:rsidR="0070375D" w:rsidRPr="00E50F38" w:rsidRDefault="0070375D" w:rsidP="00E50F38">
            <w:pPr>
              <w:pStyle w:val="Tabletextheading"/>
              <w:rPr>
                <w:lang w:eastAsia="en-AU"/>
              </w:rPr>
            </w:pPr>
            <w:r w:rsidRPr="00E50F38">
              <w:rPr>
                <w:lang w:eastAsia="en-AU"/>
              </w:rPr>
              <w:t>Forecast</w:t>
            </w:r>
          </w:p>
        </w:tc>
        <w:tc>
          <w:tcPr>
            <w:tcW w:w="844" w:type="dxa"/>
            <w:tcBorders>
              <w:top w:val="single" w:sz="6" w:space="0" w:color="auto"/>
              <w:left w:val="nil"/>
              <w:bottom w:val="single" w:sz="4" w:space="0" w:color="auto"/>
              <w:right w:val="single" w:sz="4" w:space="0" w:color="auto"/>
            </w:tcBorders>
            <w:shd w:val="clear" w:color="auto" w:fill="000000"/>
          </w:tcPr>
          <w:p w:rsidR="0070375D" w:rsidRPr="00E50F38" w:rsidRDefault="0070375D" w:rsidP="00E50F38">
            <w:pPr>
              <w:pStyle w:val="Tabletextheading"/>
              <w:rPr>
                <w:lang w:eastAsia="en-AU"/>
              </w:rPr>
            </w:pPr>
            <w:r w:rsidRPr="00E50F38">
              <w:rPr>
                <w:lang w:eastAsia="en-AU"/>
              </w:rPr>
              <w:t>Forecast</w:t>
            </w:r>
          </w:p>
        </w:tc>
      </w:tr>
      <w:tr w:rsidR="0070375D" w:rsidRPr="00E50F38" w:rsidTr="00E50F38">
        <w:tc>
          <w:tcPr>
            <w:tcW w:w="2714" w:type="dxa"/>
            <w:tcBorders>
              <w:top w:val="single" w:sz="4" w:space="0" w:color="auto"/>
              <w:left w:val="nil"/>
              <w:bottom w:val="nil"/>
              <w:right w:val="nil"/>
            </w:tcBorders>
          </w:tcPr>
          <w:p w:rsidR="0070375D" w:rsidRPr="00E50F38" w:rsidRDefault="0070375D" w:rsidP="00E50F38">
            <w:pPr>
              <w:pStyle w:val="Tabletext"/>
              <w:rPr>
                <w:color w:val="000000"/>
                <w:lang w:eastAsia="en-AU"/>
              </w:rPr>
            </w:pPr>
            <w:r w:rsidRPr="00E50F38">
              <w:rPr>
                <w:color w:val="000000"/>
                <w:lang w:eastAsia="en-AU"/>
              </w:rPr>
              <w:t>Real gross state product</w:t>
            </w:r>
          </w:p>
        </w:tc>
        <w:tc>
          <w:tcPr>
            <w:tcW w:w="843" w:type="dxa"/>
            <w:tcBorders>
              <w:top w:val="single" w:sz="4" w:space="0" w:color="auto"/>
              <w:left w:val="nil"/>
              <w:bottom w:val="nil"/>
              <w:right w:val="nil"/>
            </w:tcBorders>
          </w:tcPr>
          <w:p w:rsidR="0070375D" w:rsidRPr="00E50F38" w:rsidRDefault="0070375D" w:rsidP="00E50F38">
            <w:pPr>
              <w:pStyle w:val="TableofFigures"/>
              <w:rPr>
                <w:color w:val="000000"/>
                <w:lang w:eastAsia="en-AU"/>
              </w:rPr>
            </w:pPr>
            <w:r w:rsidRPr="00E50F38">
              <w:rPr>
                <w:color w:val="000000"/>
                <w:lang w:eastAsia="en-AU"/>
              </w:rPr>
              <w:t>2.3</w:t>
            </w:r>
          </w:p>
        </w:tc>
        <w:tc>
          <w:tcPr>
            <w:tcW w:w="844" w:type="dxa"/>
            <w:tcBorders>
              <w:top w:val="single" w:sz="4" w:space="0" w:color="auto"/>
              <w:left w:val="nil"/>
              <w:bottom w:val="nil"/>
              <w:right w:val="nil"/>
            </w:tcBorders>
          </w:tcPr>
          <w:p w:rsidR="0070375D" w:rsidRPr="00E50F38" w:rsidRDefault="0070375D" w:rsidP="00E50F38">
            <w:pPr>
              <w:pStyle w:val="TableofFigures"/>
              <w:rPr>
                <w:color w:val="000000"/>
                <w:lang w:eastAsia="en-AU"/>
              </w:rPr>
            </w:pPr>
            <w:r w:rsidRPr="00E50F38">
              <w:rPr>
                <w:color w:val="000000"/>
                <w:lang w:eastAsia="en-AU"/>
              </w:rPr>
              <w:t>1.50</w:t>
            </w:r>
          </w:p>
        </w:tc>
        <w:tc>
          <w:tcPr>
            <w:tcW w:w="844" w:type="dxa"/>
            <w:tcBorders>
              <w:top w:val="single" w:sz="4" w:space="0" w:color="auto"/>
              <w:left w:val="nil"/>
              <w:bottom w:val="nil"/>
              <w:right w:val="nil"/>
            </w:tcBorders>
          </w:tcPr>
          <w:p w:rsidR="0070375D" w:rsidRPr="00E50F38" w:rsidRDefault="0070375D" w:rsidP="00E50F38">
            <w:pPr>
              <w:pStyle w:val="TableofFigures"/>
              <w:rPr>
                <w:color w:val="000000"/>
                <w:lang w:eastAsia="en-AU"/>
              </w:rPr>
            </w:pPr>
            <w:r w:rsidRPr="00E50F38">
              <w:rPr>
                <w:color w:val="000000"/>
                <w:lang w:eastAsia="en-AU"/>
              </w:rPr>
              <w:t>2.25</w:t>
            </w:r>
          </w:p>
        </w:tc>
        <w:tc>
          <w:tcPr>
            <w:tcW w:w="843" w:type="dxa"/>
            <w:tcBorders>
              <w:top w:val="single" w:sz="4" w:space="0" w:color="auto"/>
              <w:left w:val="nil"/>
              <w:bottom w:val="nil"/>
              <w:right w:val="nil"/>
            </w:tcBorders>
          </w:tcPr>
          <w:p w:rsidR="0070375D" w:rsidRPr="00E50F38" w:rsidRDefault="0070375D" w:rsidP="00E50F38">
            <w:pPr>
              <w:pStyle w:val="TableofFigures"/>
              <w:rPr>
                <w:color w:val="000000"/>
                <w:lang w:eastAsia="en-AU"/>
              </w:rPr>
            </w:pPr>
            <w:r w:rsidRPr="00E50F38">
              <w:rPr>
                <w:color w:val="000000"/>
                <w:lang w:eastAsia="en-AU"/>
              </w:rPr>
              <w:t>2.75</w:t>
            </w:r>
          </w:p>
        </w:tc>
        <w:tc>
          <w:tcPr>
            <w:tcW w:w="844" w:type="dxa"/>
            <w:tcBorders>
              <w:top w:val="single" w:sz="4" w:space="0" w:color="auto"/>
              <w:left w:val="nil"/>
              <w:bottom w:val="nil"/>
              <w:right w:val="nil"/>
            </w:tcBorders>
          </w:tcPr>
          <w:p w:rsidR="0070375D" w:rsidRPr="00E50F38" w:rsidRDefault="0070375D" w:rsidP="00E50F38">
            <w:pPr>
              <w:pStyle w:val="TableofFigures"/>
              <w:rPr>
                <w:color w:val="000000"/>
                <w:lang w:eastAsia="en-AU"/>
              </w:rPr>
            </w:pPr>
            <w:r w:rsidRPr="00E50F38">
              <w:rPr>
                <w:color w:val="000000"/>
                <w:lang w:eastAsia="en-AU"/>
              </w:rPr>
              <w:t>2.75</w:t>
            </w:r>
          </w:p>
        </w:tc>
        <w:tc>
          <w:tcPr>
            <w:tcW w:w="844" w:type="dxa"/>
            <w:tcBorders>
              <w:top w:val="single" w:sz="4" w:space="0" w:color="auto"/>
              <w:left w:val="nil"/>
              <w:bottom w:val="nil"/>
              <w:right w:val="nil"/>
            </w:tcBorders>
          </w:tcPr>
          <w:p w:rsidR="0070375D" w:rsidRPr="00E50F38" w:rsidRDefault="0070375D" w:rsidP="00E50F38">
            <w:pPr>
              <w:pStyle w:val="TableofFigures"/>
              <w:rPr>
                <w:color w:val="000000"/>
                <w:lang w:eastAsia="en-AU"/>
              </w:rPr>
            </w:pPr>
            <w:r w:rsidRPr="00E50F38">
              <w:rPr>
                <w:color w:val="000000"/>
                <w:lang w:eastAsia="en-AU"/>
              </w:rPr>
              <w:t>2.75</w:t>
            </w:r>
          </w:p>
        </w:tc>
      </w:tr>
      <w:tr w:rsidR="0070375D" w:rsidRPr="00E50F38" w:rsidTr="00E50F38">
        <w:tc>
          <w:tcPr>
            <w:tcW w:w="2714" w:type="dxa"/>
            <w:tcBorders>
              <w:top w:val="nil"/>
              <w:left w:val="nil"/>
              <w:bottom w:val="nil"/>
              <w:right w:val="nil"/>
            </w:tcBorders>
          </w:tcPr>
          <w:p w:rsidR="0070375D" w:rsidRPr="00E50F38" w:rsidRDefault="0070375D" w:rsidP="00E50F38">
            <w:pPr>
              <w:pStyle w:val="Tabletext"/>
              <w:rPr>
                <w:color w:val="000000"/>
                <w:lang w:eastAsia="en-AU"/>
              </w:rPr>
            </w:pPr>
            <w:r w:rsidRPr="00E50F38">
              <w:rPr>
                <w:color w:val="000000"/>
                <w:lang w:eastAsia="en-AU"/>
              </w:rPr>
              <w:t>Employment</w:t>
            </w:r>
          </w:p>
        </w:tc>
        <w:tc>
          <w:tcPr>
            <w:tcW w:w="843" w:type="dxa"/>
            <w:tcBorders>
              <w:top w:val="nil"/>
              <w:left w:val="nil"/>
              <w:bottom w:val="nil"/>
              <w:right w:val="nil"/>
            </w:tcBorders>
          </w:tcPr>
          <w:p w:rsidR="0070375D" w:rsidRPr="00E50F38" w:rsidRDefault="0070375D" w:rsidP="00E50F38">
            <w:pPr>
              <w:pStyle w:val="TableofFigures"/>
              <w:rPr>
                <w:color w:val="000000"/>
                <w:lang w:eastAsia="en-AU"/>
              </w:rPr>
            </w:pPr>
            <w:r w:rsidRPr="00E50F38">
              <w:rPr>
                <w:color w:val="000000"/>
                <w:lang w:eastAsia="en-AU"/>
              </w:rPr>
              <w:t>0.8</w:t>
            </w:r>
          </w:p>
        </w:tc>
        <w:tc>
          <w:tcPr>
            <w:tcW w:w="844" w:type="dxa"/>
            <w:tcBorders>
              <w:top w:val="nil"/>
              <w:left w:val="nil"/>
              <w:bottom w:val="nil"/>
              <w:right w:val="nil"/>
            </w:tcBorders>
          </w:tcPr>
          <w:p w:rsidR="0070375D" w:rsidRPr="00E50F38" w:rsidRDefault="0070375D" w:rsidP="00E50F38">
            <w:pPr>
              <w:pStyle w:val="TableofFigures"/>
              <w:rPr>
                <w:color w:val="000000"/>
                <w:lang w:eastAsia="en-AU"/>
              </w:rPr>
            </w:pPr>
            <w:r w:rsidRPr="00E50F38">
              <w:rPr>
                <w:color w:val="000000"/>
                <w:lang w:eastAsia="en-AU"/>
              </w:rPr>
              <w:t>0.50</w:t>
            </w:r>
          </w:p>
        </w:tc>
        <w:tc>
          <w:tcPr>
            <w:tcW w:w="844" w:type="dxa"/>
            <w:tcBorders>
              <w:top w:val="nil"/>
              <w:left w:val="nil"/>
              <w:bottom w:val="nil"/>
              <w:right w:val="nil"/>
            </w:tcBorders>
          </w:tcPr>
          <w:p w:rsidR="0070375D" w:rsidRPr="00E50F38" w:rsidRDefault="0070375D" w:rsidP="00E50F38">
            <w:pPr>
              <w:pStyle w:val="TableofFigures"/>
              <w:rPr>
                <w:color w:val="000000"/>
                <w:lang w:eastAsia="en-AU"/>
              </w:rPr>
            </w:pPr>
            <w:r w:rsidRPr="00E50F38">
              <w:rPr>
                <w:color w:val="000000"/>
                <w:lang w:eastAsia="en-AU"/>
              </w:rPr>
              <w:t>1.50</w:t>
            </w:r>
          </w:p>
        </w:tc>
        <w:tc>
          <w:tcPr>
            <w:tcW w:w="843" w:type="dxa"/>
            <w:tcBorders>
              <w:top w:val="nil"/>
              <w:left w:val="nil"/>
              <w:bottom w:val="nil"/>
              <w:right w:val="nil"/>
            </w:tcBorders>
          </w:tcPr>
          <w:p w:rsidR="0070375D" w:rsidRPr="00E50F38" w:rsidRDefault="0070375D" w:rsidP="00E50F38">
            <w:pPr>
              <w:pStyle w:val="TableofFigures"/>
              <w:rPr>
                <w:color w:val="000000"/>
                <w:lang w:eastAsia="en-AU"/>
              </w:rPr>
            </w:pPr>
            <w:r w:rsidRPr="00E50F38">
              <w:rPr>
                <w:color w:val="000000"/>
                <w:lang w:eastAsia="en-AU"/>
              </w:rPr>
              <w:t>1.75</w:t>
            </w:r>
          </w:p>
        </w:tc>
        <w:tc>
          <w:tcPr>
            <w:tcW w:w="844" w:type="dxa"/>
            <w:tcBorders>
              <w:top w:val="nil"/>
              <w:left w:val="nil"/>
              <w:bottom w:val="nil"/>
              <w:right w:val="nil"/>
            </w:tcBorders>
          </w:tcPr>
          <w:p w:rsidR="0070375D" w:rsidRPr="00E50F38" w:rsidRDefault="0070375D" w:rsidP="00E50F38">
            <w:pPr>
              <w:pStyle w:val="TableofFigures"/>
              <w:rPr>
                <w:color w:val="000000"/>
                <w:lang w:eastAsia="en-AU"/>
              </w:rPr>
            </w:pPr>
            <w:r w:rsidRPr="00E50F38">
              <w:rPr>
                <w:color w:val="000000"/>
                <w:lang w:eastAsia="en-AU"/>
              </w:rPr>
              <w:t>1.75</w:t>
            </w:r>
          </w:p>
        </w:tc>
        <w:tc>
          <w:tcPr>
            <w:tcW w:w="844" w:type="dxa"/>
            <w:tcBorders>
              <w:top w:val="nil"/>
              <w:left w:val="nil"/>
              <w:bottom w:val="nil"/>
              <w:right w:val="nil"/>
            </w:tcBorders>
          </w:tcPr>
          <w:p w:rsidR="0070375D" w:rsidRPr="00E50F38" w:rsidRDefault="0070375D" w:rsidP="00E50F38">
            <w:pPr>
              <w:pStyle w:val="TableofFigures"/>
              <w:rPr>
                <w:color w:val="000000"/>
                <w:lang w:eastAsia="en-AU"/>
              </w:rPr>
            </w:pPr>
            <w:r w:rsidRPr="00E50F38">
              <w:rPr>
                <w:color w:val="000000"/>
                <w:lang w:eastAsia="en-AU"/>
              </w:rPr>
              <w:t>1.50</w:t>
            </w:r>
          </w:p>
        </w:tc>
      </w:tr>
      <w:tr w:rsidR="0070375D" w:rsidRPr="00E50F38" w:rsidTr="00E50F38">
        <w:tc>
          <w:tcPr>
            <w:tcW w:w="2714" w:type="dxa"/>
            <w:tcBorders>
              <w:top w:val="nil"/>
              <w:left w:val="nil"/>
              <w:bottom w:val="nil"/>
              <w:right w:val="nil"/>
            </w:tcBorders>
          </w:tcPr>
          <w:p w:rsidR="0070375D" w:rsidRPr="00E50F38" w:rsidRDefault="0070375D" w:rsidP="00E50F38">
            <w:pPr>
              <w:pStyle w:val="Tabletext"/>
              <w:rPr>
                <w:color w:val="000000"/>
                <w:vertAlign w:val="superscript"/>
                <w:lang w:eastAsia="en-AU"/>
              </w:rPr>
            </w:pPr>
            <w:r w:rsidRPr="00E50F38">
              <w:rPr>
                <w:color w:val="000000"/>
                <w:lang w:eastAsia="en-AU"/>
              </w:rPr>
              <w:t xml:space="preserve">Unemployment rate </w:t>
            </w:r>
          </w:p>
        </w:tc>
        <w:tc>
          <w:tcPr>
            <w:tcW w:w="843" w:type="dxa"/>
            <w:tcBorders>
              <w:top w:val="nil"/>
              <w:left w:val="nil"/>
              <w:bottom w:val="nil"/>
              <w:right w:val="nil"/>
            </w:tcBorders>
          </w:tcPr>
          <w:p w:rsidR="0070375D" w:rsidRPr="00E50F38" w:rsidRDefault="0070375D" w:rsidP="00E50F38">
            <w:pPr>
              <w:pStyle w:val="TableofFigures"/>
              <w:rPr>
                <w:color w:val="000000"/>
                <w:lang w:eastAsia="en-AU"/>
              </w:rPr>
            </w:pPr>
            <w:r w:rsidRPr="00E50F38">
              <w:rPr>
                <w:color w:val="000000"/>
                <w:lang w:eastAsia="en-AU"/>
              </w:rPr>
              <w:t>5.4</w:t>
            </w:r>
          </w:p>
        </w:tc>
        <w:tc>
          <w:tcPr>
            <w:tcW w:w="844" w:type="dxa"/>
            <w:tcBorders>
              <w:top w:val="nil"/>
              <w:left w:val="nil"/>
              <w:bottom w:val="nil"/>
              <w:right w:val="nil"/>
            </w:tcBorders>
          </w:tcPr>
          <w:p w:rsidR="0070375D" w:rsidRPr="00E50F38" w:rsidRDefault="0070375D" w:rsidP="00E50F38">
            <w:pPr>
              <w:pStyle w:val="TableofFigures"/>
              <w:rPr>
                <w:color w:val="000000"/>
                <w:lang w:eastAsia="en-AU"/>
              </w:rPr>
            </w:pPr>
            <w:r w:rsidRPr="00E50F38">
              <w:rPr>
                <w:color w:val="000000"/>
                <w:lang w:eastAsia="en-AU"/>
              </w:rPr>
              <w:t>5.75</w:t>
            </w:r>
          </w:p>
        </w:tc>
        <w:tc>
          <w:tcPr>
            <w:tcW w:w="844" w:type="dxa"/>
            <w:tcBorders>
              <w:top w:val="nil"/>
              <w:left w:val="nil"/>
              <w:bottom w:val="nil"/>
              <w:right w:val="nil"/>
            </w:tcBorders>
          </w:tcPr>
          <w:p w:rsidR="0070375D" w:rsidRPr="00E50F38" w:rsidRDefault="0070375D" w:rsidP="00E50F38">
            <w:pPr>
              <w:pStyle w:val="TableofFigures"/>
              <w:rPr>
                <w:color w:val="000000"/>
                <w:lang w:eastAsia="en-AU"/>
              </w:rPr>
            </w:pPr>
            <w:r w:rsidRPr="00E50F38">
              <w:rPr>
                <w:color w:val="000000"/>
                <w:lang w:eastAsia="en-AU"/>
              </w:rPr>
              <w:t>5.50</w:t>
            </w:r>
          </w:p>
        </w:tc>
        <w:tc>
          <w:tcPr>
            <w:tcW w:w="843" w:type="dxa"/>
            <w:tcBorders>
              <w:top w:val="nil"/>
              <w:left w:val="nil"/>
              <w:bottom w:val="nil"/>
              <w:right w:val="nil"/>
            </w:tcBorders>
          </w:tcPr>
          <w:p w:rsidR="0070375D" w:rsidRPr="00E50F38" w:rsidRDefault="0070375D" w:rsidP="00E50F38">
            <w:pPr>
              <w:pStyle w:val="TableofFigures"/>
              <w:rPr>
                <w:color w:val="000000"/>
                <w:lang w:eastAsia="en-AU"/>
              </w:rPr>
            </w:pPr>
            <w:r w:rsidRPr="00E50F38">
              <w:rPr>
                <w:color w:val="000000"/>
                <w:lang w:eastAsia="en-AU"/>
              </w:rPr>
              <w:t>5.25</w:t>
            </w:r>
          </w:p>
        </w:tc>
        <w:tc>
          <w:tcPr>
            <w:tcW w:w="844" w:type="dxa"/>
            <w:tcBorders>
              <w:top w:val="nil"/>
              <w:left w:val="nil"/>
              <w:bottom w:val="nil"/>
              <w:right w:val="nil"/>
            </w:tcBorders>
          </w:tcPr>
          <w:p w:rsidR="0070375D" w:rsidRPr="00E50F38" w:rsidRDefault="0070375D" w:rsidP="00E50F38">
            <w:pPr>
              <w:pStyle w:val="TableofFigures"/>
              <w:rPr>
                <w:color w:val="000000"/>
                <w:lang w:eastAsia="en-AU"/>
              </w:rPr>
            </w:pPr>
            <w:r w:rsidRPr="00E50F38">
              <w:rPr>
                <w:color w:val="000000"/>
                <w:lang w:eastAsia="en-AU"/>
              </w:rPr>
              <w:t>5.00</w:t>
            </w:r>
          </w:p>
        </w:tc>
        <w:tc>
          <w:tcPr>
            <w:tcW w:w="844" w:type="dxa"/>
            <w:tcBorders>
              <w:top w:val="nil"/>
              <w:left w:val="nil"/>
              <w:bottom w:val="nil"/>
              <w:right w:val="nil"/>
            </w:tcBorders>
          </w:tcPr>
          <w:p w:rsidR="0070375D" w:rsidRPr="00E50F38" w:rsidRDefault="0070375D" w:rsidP="00E50F38">
            <w:pPr>
              <w:pStyle w:val="TableofFigures"/>
              <w:rPr>
                <w:color w:val="000000"/>
                <w:lang w:eastAsia="en-AU"/>
              </w:rPr>
            </w:pPr>
            <w:r w:rsidRPr="00E50F38">
              <w:rPr>
                <w:color w:val="000000"/>
                <w:lang w:eastAsia="en-AU"/>
              </w:rPr>
              <w:t>5.00</w:t>
            </w:r>
          </w:p>
        </w:tc>
      </w:tr>
      <w:tr w:rsidR="0070375D" w:rsidRPr="00E50F38" w:rsidTr="00E50F38">
        <w:tc>
          <w:tcPr>
            <w:tcW w:w="2714" w:type="dxa"/>
            <w:tcBorders>
              <w:top w:val="nil"/>
              <w:left w:val="nil"/>
              <w:bottom w:val="nil"/>
              <w:right w:val="nil"/>
            </w:tcBorders>
          </w:tcPr>
          <w:p w:rsidR="0070375D" w:rsidRPr="00E50F38" w:rsidRDefault="0070375D" w:rsidP="00E50F38">
            <w:pPr>
              <w:pStyle w:val="Tabletext"/>
              <w:rPr>
                <w:rFonts w:cs="Calibri"/>
                <w:color w:val="000000"/>
                <w:vertAlign w:val="superscript"/>
                <w:lang w:eastAsia="en-AU"/>
              </w:rPr>
            </w:pPr>
            <w:r w:rsidRPr="00E50F38">
              <w:rPr>
                <w:color w:val="000000"/>
                <w:lang w:eastAsia="en-AU"/>
              </w:rPr>
              <w:t>Consumer price index</w:t>
            </w:r>
            <w:r w:rsidRPr="00E50F38">
              <w:rPr>
                <w:color w:val="000000"/>
                <w:vertAlign w:val="superscript"/>
                <w:lang w:eastAsia="en-AU"/>
              </w:rPr>
              <w:t>(</w:t>
            </w:r>
            <w:r w:rsidRPr="00E50F38">
              <w:rPr>
                <w:rFonts w:cs="Calibri"/>
                <w:color w:val="000000"/>
                <w:vertAlign w:val="superscript"/>
                <w:lang w:eastAsia="en-AU"/>
              </w:rPr>
              <w:t>b)</w:t>
            </w:r>
          </w:p>
        </w:tc>
        <w:tc>
          <w:tcPr>
            <w:tcW w:w="843" w:type="dxa"/>
            <w:tcBorders>
              <w:top w:val="nil"/>
              <w:left w:val="nil"/>
              <w:bottom w:val="nil"/>
              <w:right w:val="nil"/>
            </w:tcBorders>
          </w:tcPr>
          <w:p w:rsidR="0070375D" w:rsidRPr="00E50F38" w:rsidRDefault="0070375D" w:rsidP="00E50F38">
            <w:pPr>
              <w:pStyle w:val="TableofFigures"/>
              <w:rPr>
                <w:color w:val="000000"/>
                <w:lang w:eastAsia="en-AU"/>
              </w:rPr>
            </w:pPr>
            <w:r w:rsidRPr="00E50F38">
              <w:rPr>
                <w:color w:val="000000"/>
                <w:lang w:eastAsia="en-AU"/>
              </w:rPr>
              <w:t>2.3</w:t>
            </w:r>
          </w:p>
        </w:tc>
        <w:tc>
          <w:tcPr>
            <w:tcW w:w="844" w:type="dxa"/>
            <w:tcBorders>
              <w:top w:val="nil"/>
              <w:left w:val="nil"/>
              <w:bottom w:val="nil"/>
              <w:right w:val="nil"/>
            </w:tcBorders>
          </w:tcPr>
          <w:p w:rsidR="0070375D" w:rsidRPr="00E50F38" w:rsidRDefault="0070375D" w:rsidP="00E50F38">
            <w:pPr>
              <w:pStyle w:val="TableofFigures"/>
              <w:rPr>
                <w:color w:val="000000"/>
                <w:lang w:eastAsia="en-AU"/>
              </w:rPr>
            </w:pPr>
            <w:r w:rsidRPr="00E50F38">
              <w:rPr>
                <w:color w:val="000000"/>
                <w:lang w:eastAsia="en-AU"/>
              </w:rPr>
              <w:t>2.25</w:t>
            </w:r>
          </w:p>
        </w:tc>
        <w:tc>
          <w:tcPr>
            <w:tcW w:w="844" w:type="dxa"/>
            <w:tcBorders>
              <w:top w:val="nil"/>
              <w:left w:val="nil"/>
              <w:bottom w:val="nil"/>
              <w:right w:val="nil"/>
            </w:tcBorders>
          </w:tcPr>
          <w:p w:rsidR="0070375D" w:rsidRPr="00E50F38" w:rsidRDefault="0070375D" w:rsidP="00E50F38">
            <w:pPr>
              <w:pStyle w:val="TableofFigures"/>
              <w:rPr>
                <w:color w:val="000000"/>
                <w:lang w:eastAsia="en-AU"/>
              </w:rPr>
            </w:pPr>
            <w:r w:rsidRPr="00E50F38">
              <w:rPr>
                <w:color w:val="000000"/>
                <w:lang w:eastAsia="en-AU"/>
              </w:rPr>
              <w:t>2.50</w:t>
            </w:r>
          </w:p>
        </w:tc>
        <w:tc>
          <w:tcPr>
            <w:tcW w:w="843" w:type="dxa"/>
            <w:tcBorders>
              <w:top w:val="nil"/>
              <w:left w:val="nil"/>
              <w:bottom w:val="nil"/>
              <w:right w:val="nil"/>
            </w:tcBorders>
          </w:tcPr>
          <w:p w:rsidR="0070375D" w:rsidRPr="00E50F38" w:rsidRDefault="0070375D" w:rsidP="00E50F38">
            <w:pPr>
              <w:pStyle w:val="TableofFigures"/>
              <w:rPr>
                <w:color w:val="000000"/>
                <w:lang w:eastAsia="en-AU"/>
              </w:rPr>
            </w:pPr>
            <w:r w:rsidRPr="00E50F38">
              <w:rPr>
                <w:color w:val="000000"/>
                <w:lang w:eastAsia="en-AU"/>
              </w:rPr>
              <w:t>2.50</w:t>
            </w:r>
          </w:p>
        </w:tc>
        <w:tc>
          <w:tcPr>
            <w:tcW w:w="844" w:type="dxa"/>
            <w:tcBorders>
              <w:top w:val="nil"/>
              <w:left w:val="nil"/>
              <w:bottom w:val="nil"/>
              <w:right w:val="nil"/>
            </w:tcBorders>
          </w:tcPr>
          <w:p w:rsidR="0070375D" w:rsidRPr="00E50F38" w:rsidRDefault="0070375D" w:rsidP="00E50F38">
            <w:pPr>
              <w:pStyle w:val="TableofFigures"/>
              <w:rPr>
                <w:color w:val="000000"/>
                <w:lang w:eastAsia="en-AU"/>
              </w:rPr>
            </w:pPr>
            <w:r w:rsidRPr="00E50F38">
              <w:rPr>
                <w:color w:val="000000"/>
                <w:lang w:eastAsia="en-AU"/>
              </w:rPr>
              <w:t>2.50</w:t>
            </w:r>
          </w:p>
        </w:tc>
        <w:tc>
          <w:tcPr>
            <w:tcW w:w="844" w:type="dxa"/>
            <w:tcBorders>
              <w:top w:val="nil"/>
              <w:left w:val="nil"/>
              <w:bottom w:val="nil"/>
              <w:right w:val="nil"/>
            </w:tcBorders>
          </w:tcPr>
          <w:p w:rsidR="0070375D" w:rsidRPr="00E50F38" w:rsidRDefault="0070375D" w:rsidP="00E50F38">
            <w:pPr>
              <w:pStyle w:val="TableofFigures"/>
              <w:rPr>
                <w:color w:val="000000"/>
                <w:lang w:eastAsia="en-AU"/>
              </w:rPr>
            </w:pPr>
            <w:r w:rsidRPr="00E50F38">
              <w:rPr>
                <w:color w:val="000000"/>
                <w:lang w:eastAsia="en-AU"/>
              </w:rPr>
              <w:t>2.50</w:t>
            </w:r>
          </w:p>
        </w:tc>
      </w:tr>
      <w:tr w:rsidR="0070375D" w:rsidRPr="00E50F38" w:rsidTr="00E50F38">
        <w:tc>
          <w:tcPr>
            <w:tcW w:w="2714" w:type="dxa"/>
            <w:tcBorders>
              <w:top w:val="nil"/>
              <w:left w:val="nil"/>
              <w:bottom w:val="nil"/>
              <w:right w:val="nil"/>
            </w:tcBorders>
          </w:tcPr>
          <w:p w:rsidR="0070375D" w:rsidRPr="00E50F38" w:rsidRDefault="0070375D" w:rsidP="00E50F38">
            <w:pPr>
              <w:pStyle w:val="Tabletext"/>
              <w:rPr>
                <w:color w:val="000000"/>
                <w:vertAlign w:val="superscript"/>
                <w:lang w:eastAsia="en-AU"/>
              </w:rPr>
            </w:pPr>
            <w:r w:rsidRPr="00E50F38">
              <w:rPr>
                <w:color w:val="000000"/>
                <w:lang w:eastAsia="en-AU"/>
              </w:rPr>
              <w:t xml:space="preserve">Wage price index </w:t>
            </w:r>
            <w:r w:rsidRPr="00E50F38">
              <w:rPr>
                <w:color w:val="000000"/>
                <w:vertAlign w:val="superscript"/>
                <w:lang w:eastAsia="en-AU"/>
              </w:rPr>
              <w:t>(c)</w:t>
            </w:r>
          </w:p>
        </w:tc>
        <w:tc>
          <w:tcPr>
            <w:tcW w:w="843" w:type="dxa"/>
            <w:tcBorders>
              <w:top w:val="nil"/>
              <w:left w:val="nil"/>
              <w:bottom w:val="nil"/>
              <w:right w:val="nil"/>
            </w:tcBorders>
          </w:tcPr>
          <w:p w:rsidR="0070375D" w:rsidRPr="00E50F38" w:rsidRDefault="0070375D" w:rsidP="00E50F38">
            <w:pPr>
              <w:pStyle w:val="TableofFigures"/>
              <w:rPr>
                <w:color w:val="000000"/>
                <w:lang w:eastAsia="en-AU"/>
              </w:rPr>
            </w:pPr>
            <w:r w:rsidRPr="00E50F38">
              <w:rPr>
                <w:color w:val="000000"/>
                <w:lang w:eastAsia="en-AU"/>
              </w:rPr>
              <w:t>3.5</w:t>
            </w:r>
          </w:p>
        </w:tc>
        <w:tc>
          <w:tcPr>
            <w:tcW w:w="844" w:type="dxa"/>
            <w:tcBorders>
              <w:top w:val="nil"/>
              <w:left w:val="nil"/>
              <w:bottom w:val="nil"/>
              <w:right w:val="nil"/>
            </w:tcBorders>
          </w:tcPr>
          <w:p w:rsidR="0070375D" w:rsidRPr="00E50F38" w:rsidRDefault="0070375D" w:rsidP="00E50F38">
            <w:pPr>
              <w:pStyle w:val="TableofFigures"/>
              <w:rPr>
                <w:color w:val="000000"/>
                <w:lang w:eastAsia="en-AU"/>
              </w:rPr>
            </w:pPr>
            <w:r w:rsidRPr="00E50F38">
              <w:rPr>
                <w:color w:val="000000"/>
                <w:lang w:eastAsia="en-AU"/>
              </w:rPr>
              <w:t>3.50</w:t>
            </w:r>
          </w:p>
        </w:tc>
        <w:tc>
          <w:tcPr>
            <w:tcW w:w="844" w:type="dxa"/>
            <w:tcBorders>
              <w:top w:val="nil"/>
              <w:left w:val="nil"/>
              <w:bottom w:val="nil"/>
              <w:right w:val="nil"/>
            </w:tcBorders>
          </w:tcPr>
          <w:p w:rsidR="0070375D" w:rsidRPr="00E50F38" w:rsidRDefault="0070375D" w:rsidP="00E50F38">
            <w:pPr>
              <w:pStyle w:val="TableofFigures"/>
              <w:rPr>
                <w:color w:val="000000"/>
                <w:lang w:eastAsia="en-AU"/>
              </w:rPr>
            </w:pPr>
            <w:r w:rsidRPr="00E50F38">
              <w:rPr>
                <w:color w:val="000000"/>
                <w:lang w:eastAsia="en-AU"/>
              </w:rPr>
              <w:t>3.50</w:t>
            </w:r>
          </w:p>
        </w:tc>
        <w:tc>
          <w:tcPr>
            <w:tcW w:w="843" w:type="dxa"/>
            <w:tcBorders>
              <w:top w:val="nil"/>
              <w:left w:val="nil"/>
              <w:bottom w:val="nil"/>
              <w:right w:val="nil"/>
            </w:tcBorders>
          </w:tcPr>
          <w:p w:rsidR="0070375D" w:rsidRPr="00E50F38" w:rsidRDefault="0070375D" w:rsidP="00E50F38">
            <w:pPr>
              <w:pStyle w:val="TableofFigures"/>
              <w:rPr>
                <w:color w:val="000000"/>
                <w:lang w:eastAsia="en-AU"/>
              </w:rPr>
            </w:pPr>
            <w:r w:rsidRPr="00E50F38">
              <w:rPr>
                <w:color w:val="000000"/>
                <w:lang w:eastAsia="en-AU"/>
              </w:rPr>
              <w:t>3.50</w:t>
            </w:r>
          </w:p>
        </w:tc>
        <w:tc>
          <w:tcPr>
            <w:tcW w:w="844" w:type="dxa"/>
            <w:tcBorders>
              <w:top w:val="nil"/>
              <w:left w:val="nil"/>
              <w:bottom w:val="nil"/>
              <w:right w:val="nil"/>
            </w:tcBorders>
          </w:tcPr>
          <w:p w:rsidR="0070375D" w:rsidRPr="00E50F38" w:rsidRDefault="0070375D" w:rsidP="00E50F38">
            <w:pPr>
              <w:pStyle w:val="TableofFigures"/>
              <w:rPr>
                <w:color w:val="000000"/>
                <w:lang w:eastAsia="en-AU"/>
              </w:rPr>
            </w:pPr>
            <w:r w:rsidRPr="00E50F38">
              <w:rPr>
                <w:color w:val="000000"/>
                <w:lang w:eastAsia="en-AU"/>
              </w:rPr>
              <w:t>3.50</w:t>
            </w:r>
          </w:p>
        </w:tc>
        <w:tc>
          <w:tcPr>
            <w:tcW w:w="844" w:type="dxa"/>
            <w:tcBorders>
              <w:top w:val="nil"/>
              <w:left w:val="nil"/>
              <w:bottom w:val="nil"/>
              <w:right w:val="nil"/>
            </w:tcBorders>
          </w:tcPr>
          <w:p w:rsidR="0070375D" w:rsidRPr="00E50F38" w:rsidRDefault="0070375D" w:rsidP="00E50F38">
            <w:pPr>
              <w:pStyle w:val="TableofFigures"/>
              <w:rPr>
                <w:color w:val="000000"/>
                <w:lang w:eastAsia="en-AU"/>
              </w:rPr>
            </w:pPr>
            <w:r w:rsidRPr="00E50F38">
              <w:rPr>
                <w:color w:val="000000"/>
                <w:lang w:eastAsia="en-AU"/>
              </w:rPr>
              <w:t>3.50</w:t>
            </w:r>
          </w:p>
        </w:tc>
      </w:tr>
      <w:tr w:rsidR="0070375D" w:rsidRPr="00E50F38" w:rsidTr="00E50F38">
        <w:tc>
          <w:tcPr>
            <w:tcW w:w="2714" w:type="dxa"/>
            <w:tcBorders>
              <w:top w:val="nil"/>
              <w:left w:val="nil"/>
              <w:bottom w:val="single" w:sz="12" w:space="0" w:color="auto"/>
              <w:right w:val="nil"/>
            </w:tcBorders>
          </w:tcPr>
          <w:p w:rsidR="0070375D" w:rsidRPr="00E50F38" w:rsidRDefault="0070375D" w:rsidP="00E50F38">
            <w:pPr>
              <w:pStyle w:val="Tabletext"/>
              <w:rPr>
                <w:color w:val="000000"/>
                <w:vertAlign w:val="superscript"/>
                <w:lang w:eastAsia="en-AU"/>
              </w:rPr>
            </w:pPr>
            <w:r w:rsidRPr="00E50F38">
              <w:rPr>
                <w:color w:val="000000"/>
                <w:lang w:eastAsia="en-AU"/>
              </w:rPr>
              <w:t>Population</w:t>
            </w:r>
            <w:r w:rsidRPr="00E50F38">
              <w:rPr>
                <w:color w:val="000000"/>
                <w:vertAlign w:val="superscript"/>
                <w:lang w:eastAsia="en-AU"/>
              </w:rPr>
              <w:t xml:space="preserve"> </w:t>
            </w:r>
          </w:p>
        </w:tc>
        <w:tc>
          <w:tcPr>
            <w:tcW w:w="843" w:type="dxa"/>
            <w:tcBorders>
              <w:top w:val="nil"/>
              <w:left w:val="nil"/>
              <w:bottom w:val="single" w:sz="12" w:space="0" w:color="auto"/>
              <w:right w:val="nil"/>
            </w:tcBorders>
          </w:tcPr>
          <w:p w:rsidR="0070375D" w:rsidRPr="00E50F38" w:rsidRDefault="0070375D" w:rsidP="00E50F38">
            <w:pPr>
              <w:pStyle w:val="TableofFigures"/>
              <w:rPr>
                <w:color w:val="000000"/>
                <w:lang w:eastAsia="en-AU"/>
              </w:rPr>
            </w:pPr>
            <w:r w:rsidRPr="00E50F38">
              <w:rPr>
                <w:color w:val="000000"/>
                <w:lang w:eastAsia="en-AU"/>
              </w:rPr>
              <w:t>1.6</w:t>
            </w:r>
          </w:p>
        </w:tc>
        <w:tc>
          <w:tcPr>
            <w:tcW w:w="844" w:type="dxa"/>
            <w:tcBorders>
              <w:top w:val="nil"/>
              <w:left w:val="nil"/>
              <w:bottom w:val="single" w:sz="12" w:space="0" w:color="auto"/>
              <w:right w:val="nil"/>
            </w:tcBorders>
          </w:tcPr>
          <w:p w:rsidR="0070375D" w:rsidRPr="00E50F38" w:rsidRDefault="0070375D" w:rsidP="00E50F38">
            <w:pPr>
              <w:pStyle w:val="TableofFigures"/>
              <w:rPr>
                <w:color w:val="000000"/>
                <w:lang w:eastAsia="en-AU"/>
              </w:rPr>
            </w:pPr>
            <w:r w:rsidRPr="00E50F38">
              <w:rPr>
                <w:color w:val="000000"/>
                <w:lang w:eastAsia="en-AU"/>
              </w:rPr>
              <w:t>1.70</w:t>
            </w:r>
          </w:p>
        </w:tc>
        <w:tc>
          <w:tcPr>
            <w:tcW w:w="844" w:type="dxa"/>
            <w:tcBorders>
              <w:top w:val="nil"/>
              <w:left w:val="nil"/>
              <w:bottom w:val="single" w:sz="12" w:space="0" w:color="auto"/>
              <w:right w:val="nil"/>
            </w:tcBorders>
          </w:tcPr>
          <w:p w:rsidR="0070375D" w:rsidRPr="00E50F38" w:rsidRDefault="0070375D" w:rsidP="00E50F38">
            <w:pPr>
              <w:pStyle w:val="TableofFigures"/>
              <w:rPr>
                <w:color w:val="000000"/>
                <w:lang w:eastAsia="en-AU"/>
              </w:rPr>
            </w:pPr>
            <w:r w:rsidRPr="00E50F38">
              <w:rPr>
                <w:color w:val="000000"/>
                <w:lang w:eastAsia="en-AU"/>
              </w:rPr>
              <w:t>1.70</w:t>
            </w:r>
          </w:p>
        </w:tc>
        <w:tc>
          <w:tcPr>
            <w:tcW w:w="843" w:type="dxa"/>
            <w:tcBorders>
              <w:top w:val="nil"/>
              <w:left w:val="nil"/>
              <w:bottom w:val="single" w:sz="12" w:space="0" w:color="auto"/>
              <w:right w:val="nil"/>
            </w:tcBorders>
          </w:tcPr>
          <w:p w:rsidR="0070375D" w:rsidRPr="00E50F38" w:rsidRDefault="0070375D" w:rsidP="00E50F38">
            <w:pPr>
              <w:pStyle w:val="TableofFigures"/>
              <w:rPr>
                <w:color w:val="000000"/>
                <w:lang w:eastAsia="en-AU"/>
              </w:rPr>
            </w:pPr>
            <w:r w:rsidRPr="00E50F38">
              <w:rPr>
                <w:color w:val="000000"/>
                <w:lang w:eastAsia="en-AU"/>
              </w:rPr>
              <w:t>1.70</w:t>
            </w:r>
          </w:p>
        </w:tc>
        <w:tc>
          <w:tcPr>
            <w:tcW w:w="844" w:type="dxa"/>
            <w:tcBorders>
              <w:top w:val="nil"/>
              <w:left w:val="nil"/>
              <w:bottom w:val="single" w:sz="12" w:space="0" w:color="auto"/>
              <w:right w:val="nil"/>
            </w:tcBorders>
          </w:tcPr>
          <w:p w:rsidR="0070375D" w:rsidRPr="00E50F38" w:rsidRDefault="0070375D" w:rsidP="00E50F38">
            <w:pPr>
              <w:pStyle w:val="TableofFigures"/>
              <w:rPr>
                <w:color w:val="000000"/>
                <w:lang w:eastAsia="en-AU"/>
              </w:rPr>
            </w:pPr>
            <w:r w:rsidRPr="00E50F38">
              <w:rPr>
                <w:color w:val="000000"/>
                <w:lang w:eastAsia="en-AU"/>
              </w:rPr>
              <w:t>1.70</w:t>
            </w:r>
          </w:p>
        </w:tc>
        <w:tc>
          <w:tcPr>
            <w:tcW w:w="844" w:type="dxa"/>
            <w:tcBorders>
              <w:top w:val="nil"/>
              <w:left w:val="nil"/>
              <w:bottom w:val="single" w:sz="12" w:space="0" w:color="auto"/>
              <w:right w:val="nil"/>
            </w:tcBorders>
          </w:tcPr>
          <w:p w:rsidR="0070375D" w:rsidRPr="00E50F38" w:rsidRDefault="0070375D" w:rsidP="00E50F38">
            <w:pPr>
              <w:pStyle w:val="TableofFigures"/>
              <w:rPr>
                <w:color w:val="000000"/>
                <w:lang w:eastAsia="en-AU"/>
              </w:rPr>
            </w:pPr>
            <w:r w:rsidRPr="00E50F38">
              <w:rPr>
                <w:color w:val="000000"/>
                <w:lang w:eastAsia="en-AU"/>
              </w:rPr>
              <w:t>1.70</w:t>
            </w:r>
          </w:p>
        </w:tc>
      </w:tr>
    </w:tbl>
    <w:p w:rsidR="0070375D" w:rsidRPr="00230B3B" w:rsidRDefault="0070375D" w:rsidP="00CB59EA">
      <w:pPr>
        <w:pStyle w:val="Source"/>
      </w:pPr>
      <w:r w:rsidRPr="00230B3B">
        <w:t>Sources: Australian Bureau of Statistics; Department of Treasury and Finance</w:t>
      </w:r>
    </w:p>
    <w:p w:rsidR="0070375D" w:rsidRPr="00230B3B" w:rsidRDefault="0070375D" w:rsidP="00716616">
      <w:pPr>
        <w:pStyle w:val="Notes"/>
      </w:pPr>
      <w:r>
        <w:fldChar w:fldCharType="begin"/>
      </w:r>
      <w:r>
        <w:instrText xml:space="preserve"> XE "</w:instrText>
      </w:r>
      <w:r w:rsidRPr="00463AF4">
        <w:instrText>Economic projections</w:instrText>
      </w:r>
      <w:r>
        <w:instrText xml:space="preserve">" </w:instrText>
      </w:r>
      <w:r>
        <w:fldChar w:fldCharType="end"/>
      </w:r>
      <w:r>
        <w:fldChar w:fldCharType="begin"/>
      </w:r>
      <w:r>
        <w:instrText xml:space="preserve"> XE "</w:instrText>
      </w:r>
      <w:r w:rsidRPr="00463AF4">
        <w:instrText>Employment</w:instrText>
      </w:r>
      <w:r>
        <w:instrText xml:space="preserve">" </w:instrText>
      </w:r>
      <w:r>
        <w:fldChar w:fldCharType="end"/>
      </w:r>
      <w:r>
        <w:fldChar w:fldCharType="begin"/>
      </w:r>
      <w:r>
        <w:instrText xml:space="preserve"> XE "</w:instrText>
      </w:r>
      <w:r w:rsidRPr="0058513F">
        <w:instrText>Unemployment:Unemployment rate</w:instrText>
      </w:r>
      <w:r>
        <w:instrText xml:space="preserve">" </w:instrText>
      </w:r>
      <w:r>
        <w:fldChar w:fldCharType="end"/>
      </w:r>
      <w:r>
        <w:fldChar w:fldCharType="begin"/>
      </w:r>
      <w:r>
        <w:instrText xml:space="preserve"> XE "</w:instrText>
      </w:r>
      <w:r w:rsidRPr="00463AF4">
        <w:instrText>Consumer price index</w:instrText>
      </w:r>
      <w:r>
        <w:instrText xml:space="preserve">" </w:instrText>
      </w:r>
      <w:r>
        <w:fldChar w:fldCharType="end"/>
      </w:r>
      <w:r>
        <w:fldChar w:fldCharType="begin"/>
      </w:r>
      <w:r>
        <w:instrText xml:space="preserve"> XE "</w:instrText>
      </w:r>
      <w:r w:rsidRPr="00F60C11">
        <w:instrText>Wages:Wage price index</w:instrText>
      </w:r>
      <w:r>
        <w:instrText xml:space="preserve">" </w:instrText>
      </w:r>
      <w:r>
        <w:fldChar w:fldCharType="end"/>
      </w:r>
      <w:r w:rsidRPr="00230B3B">
        <w:t>Notes:</w:t>
      </w:r>
    </w:p>
    <w:p w:rsidR="0070375D" w:rsidRPr="00230B3B" w:rsidRDefault="0070375D" w:rsidP="00716616">
      <w:pPr>
        <w:pStyle w:val="Notes"/>
      </w:pPr>
      <w:r>
        <w:t>(a)</w:t>
      </w:r>
      <w:r>
        <w:tab/>
        <w:t>Year</w:t>
      </w:r>
      <w:r w:rsidR="00276239">
        <w:noBreakHyphen/>
      </w:r>
      <w:r w:rsidRPr="00230B3B">
        <w:t>average</w:t>
      </w:r>
      <w:r>
        <w:t> per cent</w:t>
      </w:r>
      <w:r w:rsidRPr="00230B3B">
        <w:t xml:space="preserve"> change</w:t>
      </w:r>
      <w:r>
        <w:t xml:space="preserve"> </w:t>
      </w:r>
      <w:r w:rsidRPr="00230B3B">
        <w:t>on previous year</w:t>
      </w:r>
      <w:r>
        <w:t>, except for the unemployment rate which is a year</w:t>
      </w:r>
      <w:r w:rsidR="00276239">
        <w:noBreakHyphen/>
      </w:r>
      <w:r>
        <w:t>average per cent, and population which is year</w:t>
      </w:r>
      <w:r w:rsidR="00276239">
        <w:noBreakHyphen/>
      </w:r>
      <w:r>
        <w:t>ended per cent change to 30 June</w:t>
      </w:r>
      <w:r w:rsidRPr="00230B3B">
        <w:t>. All economic projections are rounded to the nearest 0.25 percentage point, except population projections, which are rounded to th</w:t>
      </w:r>
      <w:r>
        <w:t>e nearest 0.1 percentage point. The k</w:t>
      </w:r>
      <w:r w:rsidRPr="00230B3B">
        <w:t>ey assumptions underlying the economic projections include</w:t>
      </w:r>
      <w:r>
        <w:t>: interest rate movements</w:t>
      </w:r>
      <w:r w:rsidRPr="00230B3B">
        <w:t xml:space="preserve"> that follow </w:t>
      </w:r>
      <w:r>
        <w:t>market expectations from the Bloomberg survey</w:t>
      </w:r>
      <w:r w:rsidRPr="00230B3B">
        <w:t xml:space="preserve"> up to the </w:t>
      </w:r>
      <w:r w:rsidRPr="005954B4">
        <w:t>June quarter 2014</w:t>
      </w:r>
      <w:r>
        <w:t xml:space="preserve"> and held at zero thereafter,</w:t>
      </w:r>
      <w:r w:rsidRPr="00230B3B">
        <w:t xml:space="preserve"> constant exchange rates</w:t>
      </w:r>
      <w:r>
        <w:t>,</w:t>
      </w:r>
      <w:r w:rsidRPr="00230B3B">
        <w:t xml:space="preserve"> and oil prices that follow the path suggested by oil futures.</w:t>
      </w:r>
    </w:p>
    <w:p w:rsidR="0070375D" w:rsidRDefault="0070375D" w:rsidP="00C80F33">
      <w:pPr>
        <w:pStyle w:val="Notes"/>
      </w:pPr>
      <w:r>
        <w:t>(b)</w:t>
      </w:r>
      <w:r>
        <w:tab/>
      </w:r>
      <w:r w:rsidRPr="00464108">
        <w:t xml:space="preserve">All references to the consumer price index </w:t>
      </w:r>
      <w:r w:rsidRPr="00936866">
        <w:t>refer</w:t>
      </w:r>
      <w:r w:rsidRPr="00464108">
        <w:t xml:space="preserve"> to the Melbourne consumer price index.</w:t>
      </w:r>
      <w:r>
        <w:t xml:space="preserve"> </w:t>
      </w:r>
    </w:p>
    <w:p w:rsidR="0070375D" w:rsidRDefault="0070375D" w:rsidP="00716616">
      <w:pPr>
        <w:pStyle w:val="Notes"/>
      </w:pPr>
      <w:r>
        <w:t>(c)</w:t>
      </w:r>
      <w:r>
        <w:tab/>
      </w:r>
      <w:r w:rsidRPr="00230B3B">
        <w:t>Total hourly rate excluding bonuses</w:t>
      </w:r>
      <w:r>
        <w:t>.</w:t>
      </w:r>
    </w:p>
    <w:p w:rsidR="00F00A93" w:rsidRDefault="00F00A93" w:rsidP="00716616">
      <w:pPr>
        <w:pStyle w:val="Notes"/>
      </w:pPr>
    </w:p>
    <w:p w:rsidR="0070375D" w:rsidRPr="00131E9E" w:rsidRDefault="0070375D" w:rsidP="001D1378">
      <w:pPr>
        <w:pStyle w:val="Heading2"/>
      </w:pPr>
      <w:bookmarkStart w:id="10" w:name="BP3Chap2EconomicProjections"/>
      <w:r w:rsidRPr="00230B3B">
        <w:t>Gross state product</w:t>
      </w:r>
    </w:p>
    <w:p w:rsidR="0070375D" w:rsidRPr="003510AA" w:rsidRDefault="0070375D" w:rsidP="004C014B">
      <w:r>
        <w:fldChar w:fldCharType="begin"/>
      </w:r>
      <w:r>
        <w:instrText xml:space="preserve"> XE "</w:instrText>
      </w:r>
      <w:r w:rsidRPr="009F3C02">
        <w:instrText>Economic growth:Gross state product</w:instrText>
      </w:r>
      <w:r>
        <w:instrText xml:space="preserve">" </w:instrText>
      </w:r>
      <w:r>
        <w:fldChar w:fldCharType="end"/>
      </w:r>
      <w:r>
        <w:t>Growth in the</w:t>
      </w:r>
      <w:r w:rsidRPr="00F53882">
        <w:t xml:space="preserve"> Victorian economy is expected to</w:t>
      </w:r>
      <w:r>
        <w:t xml:space="preserve"> rise to 2.25 per cent in 2013</w:t>
      </w:r>
      <w:r w:rsidR="00276239">
        <w:noBreakHyphen/>
      </w:r>
      <w:r>
        <w:t>14, after growing at a more moderate rate in 2012</w:t>
      </w:r>
      <w:r w:rsidR="00276239">
        <w:noBreakHyphen/>
      </w:r>
      <w:r>
        <w:t>13.</w:t>
      </w:r>
      <w:r w:rsidRPr="00F53882">
        <w:rPr>
          <w:i/>
        </w:rPr>
        <w:t xml:space="preserve"> </w:t>
      </w:r>
    </w:p>
    <w:p w:rsidR="0070375D" w:rsidRDefault="0070375D" w:rsidP="001973A6">
      <w:r w:rsidRPr="00625EC1">
        <w:t>Household consumption is expected to post solid growth in 2013</w:t>
      </w:r>
      <w:r w:rsidR="00276239">
        <w:noBreakHyphen/>
      </w:r>
      <w:r w:rsidRPr="00625EC1">
        <w:t>14, underpinned by improving consumer sentiment</w:t>
      </w:r>
      <w:r>
        <w:fldChar w:fldCharType="begin"/>
      </w:r>
      <w:r>
        <w:instrText xml:space="preserve"> XE "</w:instrText>
      </w:r>
      <w:r w:rsidRPr="00463AF4">
        <w:instrText>Consumer sentiment</w:instrText>
      </w:r>
      <w:r>
        <w:instrText xml:space="preserve">" </w:instrText>
      </w:r>
      <w:r>
        <w:fldChar w:fldCharType="end"/>
      </w:r>
      <w:r w:rsidRPr="00625EC1">
        <w:t xml:space="preserve">, wage growth remaining around trend, </w:t>
      </w:r>
      <w:r>
        <w:t>improved</w:t>
      </w:r>
      <w:r w:rsidRPr="00625EC1">
        <w:t xml:space="preserve"> global economic conditions and equity prices, and a continued low interest rate</w:t>
      </w:r>
      <w:r>
        <w:fldChar w:fldCharType="begin"/>
      </w:r>
      <w:r>
        <w:instrText xml:space="preserve"> XE "</w:instrText>
      </w:r>
      <w:r w:rsidRPr="00B4431F">
        <w:instrText>Interest rate:Environment</w:instrText>
      </w:r>
      <w:r>
        <w:instrText xml:space="preserve">" </w:instrText>
      </w:r>
      <w:r>
        <w:fldChar w:fldCharType="end"/>
      </w:r>
      <w:r w:rsidRPr="00625EC1">
        <w:t xml:space="preserve"> environment</w:t>
      </w:r>
      <w:r>
        <w:t xml:space="preserve">. </w:t>
      </w:r>
      <w:r w:rsidRPr="00042FE9">
        <w:t xml:space="preserve">While </w:t>
      </w:r>
      <w:r>
        <w:t>consumption growth for</w:t>
      </w:r>
      <w:r w:rsidRPr="00042FE9">
        <w:t xml:space="preserve"> 2012</w:t>
      </w:r>
      <w:r w:rsidR="00276239">
        <w:noBreakHyphen/>
      </w:r>
      <w:r>
        <w:t xml:space="preserve">13 is likely to be </w:t>
      </w:r>
      <w:r w:rsidRPr="00042FE9">
        <w:t>lower than previously forecast, recent asset price growth and solid improvements in retail sales</w:t>
      </w:r>
      <w:r>
        <w:t xml:space="preserve"> suggest that activity is improving</w:t>
      </w:r>
      <w:r w:rsidRPr="00042FE9">
        <w:t xml:space="preserve">. Importantly, consumer sentiment has </w:t>
      </w:r>
      <w:r>
        <w:t>grown strongly</w:t>
      </w:r>
      <w:r w:rsidRPr="00042FE9">
        <w:t xml:space="preserve"> over the past year</w:t>
      </w:r>
      <w:r>
        <w:t>,</w:t>
      </w:r>
      <w:r w:rsidRPr="00042FE9">
        <w:t xml:space="preserve"> even as household debt relative to income </w:t>
      </w:r>
      <w:r>
        <w:t>has been</w:t>
      </w:r>
      <w:r w:rsidRPr="00042FE9">
        <w:t xml:space="preserve"> stable </w:t>
      </w:r>
      <w:r>
        <w:t>with the savings rate hovering</w:t>
      </w:r>
      <w:r w:rsidRPr="00042FE9">
        <w:t xml:space="preserve"> around 10</w:t>
      </w:r>
      <w:r>
        <w:t> per cent</w:t>
      </w:r>
      <w:r w:rsidRPr="00042FE9">
        <w:t>.</w:t>
      </w:r>
    </w:p>
    <w:p w:rsidR="0070375D" w:rsidRDefault="0070375D" w:rsidP="001973A6">
      <w:r>
        <w:t>In line with the brighter consumer outlook, Victoria</w:t>
      </w:r>
      <w:r w:rsidR="00276239">
        <w:t>’</w:t>
      </w:r>
      <w:r>
        <w:t>s property market is showing signs of improvement after slowing in 2011</w:t>
      </w:r>
      <w:r w:rsidR="00276239">
        <w:noBreakHyphen/>
      </w:r>
      <w:r>
        <w:t>12. Dwelling approvals remain high compared to other states and dwelling investment</w:t>
      </w:r>
      <w:r>
        <w:fldChar w:fldCharType="begin"/>
      </w:r>
      <w:r>
        <w:instrText xml:space="preserve"> XE "</w:instrText>
      </w:r>
      <w:r w:rsidRPr="00463AF4">
        <w:instrText>Dwelling investment</w:instrText>
      </w:r>
      <w:r>
        <w:instrText xml:space="preserve">" </w:instrText>
      </w:r>
      <w:r>
        <w:fldChar w:fldCharType="end"/>
      </w:r>
      <w:r>
        <w:t xml:space="preserve"> has consistently grown in the first half of 2013, as a low interest rate environment filters through to encourage housing finance commitments</w:t>
      </w:r>
      <w:r>
        <w:fldChar w:fldCharType="begin"/>
      </w:r>
      <w:r>
        <w:instrText xml:space="preserve"> XE "</w:instrText>
      </w:r>
      <w:r w:rsidRPr="00EC70EE">
        <w:instrText>Housing:Finance commitments</w:instrText>
      </w:r>
      <w:r>
        <w:instrText xml:space="preserve">" </w:instrText>
      </w:r>
      <w:r>
        <w:fldChar w:fldCharType="end"/>
      </w:r>
      <w:r>
        <w:t xml:space="preserve"> (Chart 2.2) and household incomes increase steadily. This suggests a positive outlook for 2013</w:t>
      </w:r>
      <w:r w:rsidR="00276239">
        <w:noBreakHyphen/>
      </w:r>
      <w:r>
        <w:t xml:space="preserve">14; partial indicators support a revival in the property market, with </w:t>
      </w:r>
      <w:r w:rsidRPr="007C4DEE">
        <w:t>modest</w:t>
      </w:r>
      <w:r>
        <w:t xml:space="preserve">ly improving </w:t>
      </w:r>
      <w:r w:rsidRPr="007C4DEE">
        <w:t>house prices</w:t>
      </w:r>
      <w:r>
        <w:fldChar w:fldCharType="begin"/>
      </w:r>
      <w:r>
        <w:instrText xml:space="preserve"> XE "</w:instrText>
      </w:r>
      <w:r w:rsidRPr="00073FA4">
        <w:instrText>Housing:House prices</w:instrText>
      </w:r>
      <w:r>
        <w:instrText xml:space="preserve">" </w:instrText>
      </w:r>
      <w:r>
        <w:fldChar w:fldCharType="end"/>
      </w:r>
      <w:r>
        <w:t xml:space="preserve"> and</w:t>
      </w:r>
      <w:r w:rsidRPr="007C4DEE">
        <w:t xml:space="preserve"> rising auction activity in the established housing market</w:t>
      </w:r>
      <w:r>
        <w:t>. Continued population growth is likely to support the return of dwelling investment to trend growth in the medium term.</w:t>
      </w:r>
      <w:r>
        <w:fldChar w:fldCharType="begin"/>
      </w:r>
      <w:r>
        <w:instrText xml:space="preserve"> XE "</w:instrText>
      </w:r>
      <w:r w:rsidRPr="00FE1DBD">
        <w:instrText>Population</w:instrText>
      </w:r>
      <w:r>
        <w:instrText xml:space="preserve">" \r "BP2Chap2Population" </w:instrText>
      </w:r>
      <w:r>
        <w:fldChar w:fldCharType="end"/>
      </w:r>
      <w:r>
        <w:t xml:space="preserve"> </w:t>
      </w:r>
    </w:p>
    <w:bookmarkEnd w:id="7"/>
    <w:p w:rsidR="0070375D" w:rsidRDefault="0070375D" w:rsidP="00127EE9">
      <w:pPr>
        <w:pStyle w:val="Chartheading"/>
        <w:spacing w:after="60"/>
      </w:pPr>
      <w:r>
        <w:lastRenderedPageBreak/>
        <w:t>Chart 2.2:</w:t>
      </w:r>
      <w:r>
        <w:tab/>
        <w:t>V</w:t>
      </w:r>
      <w:r w:rsidRPr="001727F7">
        <w:t>alue of Victorian and Australian housing finance commitments (including refinancing)</w:t>
      </w:r>
    </w:p>
    <w:p w:rsidR="0070375D" w:rsidRPr="00127EE9" w:rsidRDefault="00315427" w:rsidP="00127EE9">
      <w:pPr>
        <w:pStyle w:val="Chartpara"/>
      </w:pPr>
      <w:r>
        <w:pict>
          <v:shape id="_x0000_i1028" type="#_x0000_t75" style="width:380.25pt;height:220.5pt">
            <v:imagedata r:id="rId19" o:title=""/>
          </v:shape>
        </w:pict>
      </w:r>
    </w:p>
    <w:p w:rsidR="0070375D" w:rsidRDefault="0070375D" w:rsidP="001D1378">
      <w:pPr>
        <w:pStyle w:val="Source"/>
      </w:pPr>
      <w:r>
        <w:t>Sources</w:t>
      </w:r>
      <w:r w:rsidRPr="00230B3B">
        <w:t>: Australian Bureau of Statistics</w:t>
      </w:r>
      <w:r>
        <w:t xml:space="preserve"> (trend data); Department of Treasury and Finance </w:t>
      </w:r>
    </w:p>
    <w:p w:rsidR="00F00A93" w:rsidRPr="00F00A93" w:rsidRDefault="00F00A93" w:rsidP="00F00A93">
      <w:pPr>
        <w:pStyle w:val="Source"/>
      </w:pPr>
    </w:p>
    <w:p w:rsidR="0070375D" w:rsidRPr="00230B3B" w:rsidRDefault="0070375D" w:rsidP="005F011B">
      <w:r w:rsidRPr="00BC0F0D">
        <w:t>Business investment</w:t>
      </w:r>
      <w:r>
        <w:fldChar w:fldCharType="begin"/>
      </w:r>
      <w:r>
        <w:instrText xml:space="preserve"> XE "</w:instrText>
      </w:r>
      <w:r w:rsidRPr="00463AF4">
        <w:instrText>Business investment</w:instrText>
      </w:r>
      <w:r>
        <w:instrText xml:space="preserve">" </w:instrText>
      </w:r>
      <w:r>
        <w:fldChar w:fldCharType="end"/>
      </w:r>
      <w:r w:rsidRPr="00BC0F0D">
        <w:t xml:space="preserve"> is expected to grow modestly in 2013</w:t>
      </w:r>
      <w:r w:rsidR="00276239">
        <w:noBreakHyphen/>
      </w:r>
      <w:r w:rsidRPr="00BC0F0D">
        <w:t>14, reflecting general uncertainty about the near</w:t>
      </w:r>
      <w:r w:rsidR="00276239">
        <w:noBreakHyphen/>
      </w:r>
      <w:r w:rsidRPr="00BC0F0D">
        <w:t>term outlook for demand.</w:t>
      </w:r>
      <w:r>
        <w:t xml:space="preserve"> Businesses will likely wait for evidence of a sustained pick</w:t>
      </w:r>
      <w:r w:rsidR="00276239">
        <w:noBreakHyphen/>
      </w:r>
      <w:r>
        <w:t xml:space="preserve">up in demand before committing to significant new investment. Nonetheless, confidence has improved and financing conditions remain favourable with low interest rates and recent improvements in equity prices and profit expectations. </w:t>
      </w:r>
      <w:r w:rsidRPr="00316681">
        <w:t>Beyond 2013</w:t>
      </w:r>
      <w:r w:rsidR="00276239">
        <w:noBreakHyphen/>
      </w:r>
      <w:r w:rsidRPr="00316681">
        <w:t>14, investment activity will continue</w:t>
      </w:r>
      <w:r>
        <w:t xml:space="preserve"> to increase</w:t>
      </w:r>
      <w:r w:rsidRPr="00316681">
        <w:t>, with non</w:t>
      </w:r>
      <w:r w:rsidR="00276239">
        <w:noBreakHyphen/>
      </w:r>
      <w:r w:rsidRPr="00316681">
        <w:t xml:space="preserve">residential </w:t>
      </w:r>
      <w:r>
        <w:t>construction</w:t>
      </w:r>
      <w:r w:rsidRPr="00316681">
        <w:t xml:space="preserve"> underway to support </w:t>
      </w:r>
      <w:r>
        <w:t>the return to trend growth</w:t>
      </w:r>
      <w:r w:rsidRPr="00316681">
        <w:t xml:space="preserve"> in the forward estimates. </w:t>
      </w:r>
    </w:p>
    <w:p w:rsidR="0070375D" w:rsidRDefault="0070375D" w:rsidP="00047E0B">
      <w:r w:rsidRPr="002741E8">
        <w:t>Public demand</w:t>
      </w:r>
      <w:r>
        <w:fldChar w:fldCharType="begin"/>
      </w:r>
      <w:r>
        <w:instrText xml:space="preserve"> XE "</w:instrText>
      </w:r>
      <w:r w:rsidRPr="00463AF4">
        <w:instrText>Public demand</w:instrText>
      </w:r>
      <w:r>
        <w:instrText xml:space="preserve">" </w:instrText>
      </w:r>
      <w:r>
        <w:fldChar w:fldCharType="end"/>
      </w:r>
      <w:r w:rsidRPr="002741E8">
        <w:t xml:space="preserve"> growth has </w:t>
      </w:r>
      <w:r>
        <w:t>moderated</w:t>
      </w:r>
      <w:r w:rsidRPr="002741E8">
        <w:t xml:space="preserve"> in 2012</w:t>
      </w:r>
      <w:r w:rsidR="00276239">
        <w:noBreakHyphen/>
      </w:r>
      <w:r w:rsidRPr="002741E8">
        <w:t xml:space="preserve">13, </w:t>
      </w:r>
      <w:r>
        <w:t>however it is still supported by</w:t>
      </w:r>
      <w:r w:rsidRPr="002741E8">
        <w:t xml:space="preserve"> record capital spending by the Victorian Government.</w:t>
      </w:r>
      <w:r w:rsidRPr="00401565">
        <w:t xml:space="preserve"> Over the coming years, public demand </w:t>
      </w:r>
      <w:r>
        <w:t xml:space="preserve">growth </w:t>
      </w:r>
      <w:r w:rsidRPr="00401565">
        <w:t xml:space="preserve">is expected </w:t>
      </w:r>
      <w:r>
        <w:t>to be sustainable</w:t>
      </w:r>
      <w:r w:rsidRPr="00401565">
        <w:t xml:space="preserve">, </w:t>
      </w:r>
      <w:r>
        <w:t>below the</w:t>
      </w:r>
      <w:r w:rsidRPr="00401565">
        <w:t xml:space="preserve"> </w:t>
      </w:r>
      <w:r>
        <w:t xml:space="preserve">national </w:t>
      </w:r>
      <w:r w:rsidRPr="00401565">
        <w:t xml:space="preserve">boom years of the 2000s </w:t>
      </w:r>
      <w:r>
        <w:t>and</w:t>
      </w:r>
      <w:r w:rsidRPr="00401565">
        <w:t xml:space="preserve"> the years</w:t>
      </w:r>
      <w:r>
        <w:t xml:space="preserve"> immediately following the 2008 </w:t>
      </w:r>
      <w:r w:rsidRPr="00401565">
        <w:t>global financial crisis</w:t>
      </w:r>
      <w:r>
        <w:fldChar w:fldCharType="begin"/>
      </w:r>
      <w:r>
        <w:instrText xml:space="preserve"> XE "</w:instrText>
      </w:r>
      <w:r w:rsidRPr="00463AF4">
        <w:instrText>Global financial crisis</w:instrText>
      </w:r>
      <w:r>
        <w:instrText xml:space="preserve">" </w:instrText>
      </w:r>
      <w:r>
        <w:fldChar w:fldCharType="end"/>
      </w:r>
      <w:r>
        <w:t xml:space="preserve"> when short</w:t>
      </w:r>
      <w:r w:rsidR="00276239">
        <w:noBreakHyphen/>
      </w:r>
      <w:r>
        <w:t>term fiscal stimulus</w:t>
      </w:r>
      <w:r>
        <w:fldChar w:fldCharType="begin"/>
      </w:r>
      <w:r>
        <w:instrText xml:space="preserve"> XE "</w:instrText>
      </w:r>
      <w:r w:rsidRPr="00463AF4">
        <w:instrText>Commonwealth’s fiscal stimulus</w:instrText>
      </w:r>
      <w:r>
        <w:instrText xml:space="preserve">" </w:instrText>
      </w:r>
      <w:r>
        <w:fldChar w:fldCharType="end"/>
      </w:r>
      <w:r>
        <w:t xml:space="preserve"> funding was provided by the Commonwealth</w:t>
      </w:r>
      <w:r w:rsidRPr="00401565">
        <w:t xml:space="preserve">. </w:t>
      </w:r>
    </w:p>
    <w:p w:rsidR="00F00A93" w:rsidRDefault="00F00A93">
      <w:pPr>
        <w:spacing w:after="0"/>
      </w:pPr>
      <w:r>
        <w:br w:type="page"/>
      </w:r>
    </w:p>
    <w:p w:rsidR="0070375D" w:rsidRDefault="0070375D" w:rsidP="001A7065">
      <w:r w:rsidRPr="00862DE0">
        <w:lastRenderedPageBreak/>
        <w:t>The high Australian dollar</w:t>
      </w:r>
      <w:r>
        <w:fldChar w:fldCharType="begin"/>
      </w:r>
      <w:r>
        <w:instrText xml:space="preserve"> XE "</w:instrText>
      </w:r>
      <w:r w:rsidRPr="00463AF4">
        <w:instrText>Australian dollar</w:instrText>
      </w:r>
      <w:r>
        <w:instrText xml:space="preserve">" </w:instrText>
      </w:r>
      <w:r>
        <w:fldChar w:fldCharType="end"/>
      </w:r>
      <w:r w:rsidRPr="00862DE0">
        <w:t xml:space="preserve"> has impacted negatively on Victorian exports</w:t>
      </w:r>
      <w:r>
        <w:fldChar w:fldCharType="begin"/>
      </w:r>
      <w:r>
        <w:instrText xml:space="preserve"> XE "</w:instrText>
      </w:r>
      <w:r w:rsidRPr="00463AF4">
        <w:instrText>Exports</w:instrText>
      </w:r>
      <w:r>
        <w:instrText xml:space="preserve">" </w:instrText>
      </w:r>
      <w:r>
        <w:fldChar w:fldCharType="end"/>
      </w:r>
      <w:r w:rsidRPr="00862DE0">
        <w:t>, including education</w:t>
      </w:r>
      <w:r>
        <w:fldChar w:fldCharType="begin"/>
      </w:r>
      <w:r>
        <w:instrText xml:space="preserve"> XE "</w:instrText>
      </w:r>
      <w:r w:rsidRPr="00463AF4">
        <w:instrText>Education</w:instrText>
      </w:r>
      <w:r>
        <w:instrText xml:space="preserve">" </w:instrText>
      </w:r>
      <w:r>
        <w:fldChar w:fldCharType="end"/>
      </w:r>
      <w:r w:rsidRPr="00862DE0">
        <w:t>, tourism</w:t>
      </w:r>
      <w:r>
        <w:fldChar w:fldCharType="begin"/>
      </w:r>
      <w:r>
        <w:instrText xml:space="preserve"> XE "</w:instrText>
      </w:r>
      <w:r w:rsidRPr="00463AF4">
        <w:instrText>Tourism</w:instrText>
      </w:r>
      <w:r>
        <w:instrText xml:space="preserve">" </w:instrText>
      </w:r>
      <w:r>
        <w:fldChar w:fldCharType="end"/>
      </w:r>
      <w:r w:rsidRPr="00862DE0">
        <w:t xml:space="preserve"> and manufactured goods.</w:t>
      </w:r>
      <w:r w:rsidRPr="00047E0B">
        <w:t xml:space="preserve"> However</w:t>
      </w:r>
      <w:r>
        <w:t>,</w:t>
      </w:r>
      <w:r w:rsidRPr="00047E0B">
        <w:t xml:space="preserve"> while education exports have declined over the past few years, the Department of Immigration and Citizenship expects foreign student</w:t>
      </w:r>
      <w:r>
        <w:t xml:space="preserve"> numbers to increase over the medium term. </w:t>
      </w:r>
      <w:r w:rsidRPr="00E87B11">
        <w:t>Relaxation of Commonwealth student visa restrictions would encourage further growth in student numbers to Victoria.</w:t>
      </w:r>
      <w:r>
        <w:t xml:space="preserve"> Monetary </w:t>
      </w:r>
      <w:r w:rsidRPr="00E2705F">
        <w:t xml:space="preserve">stimulus measures in </w:t>
      </w:r>
      <w:r w:rsidRPr="008B19B5">
        <w:t>Victoria</w:t>
      </w:r>
      <w:r w:rsidR="00276239">
        <w:t>’</w:t>
      </w:r>
      <w:r w:rsidRPr="008B19B5">
        <w:t>s main export destinations (such as the US</w:t>
      </w:r>
      <w:r>
        <w:t xml:space="preserve"> and Japan</w:t>
      </w:r>
      <w:r w:rsidRPr="008B19B5">
        <w:t>) should see their growth pick up, f</w:t>
      </w:r>
      <w:r w:rsidRPr="00E2705F">
        <w:t>lowing through to an increase in merchandise export growth in 2013</w:t>
      </w:r>
      <w:r w:rsidR="00276239">
        <w:noBreakHyphen/>
      </w:r>
      <w:r w:rsidRPr="00E2705F">
        <w:t>14.</w:t>
      </w:r>
      <w:r>
        <w:t xml:space="preserve"> </w:t>
      </w:r>
    </w:p>
    <w:p w:rsidR="0070375D" w:rsidRDefault="0070375D" w:rsidP="00785CCB">
      <w:r w:rsidRPr="00785CCB">
        <w:t>Continued growth in other states will benefit Victoria through increased net interstate trade. The flows in interstate trade are likely to come from knowledge</w:t>
      </w:r>
      <w:r>
        <w:t>, innovation and technology</w:t>
      </w:r>
      <w:r w:rsidR="00276239">
        <w:noBreakHyphen/>
      </w:r>
      <w:r w:rsidRPr="00785CCB">
        <w:t xml:space="preserve">based industries </w:t>
      </w:r>
      <w:r>
        <w:t>that are based in the state such as biotechnology.</w:t>
      </w:r>
    </w:p>
    <w:p w:rsidR="0070375D" w:rsidRPr="000D7C63" w:rsidRDefault="0070375D" w:rsidP="000D7C63">
      <w:r w:rsidRPr="00CD4E44">
        <w:t>Victoria</w:t>
      </w:r>
      <w:r w:rsidR="00276239">
        <w:t>’</w:t>
      </w:r>
      <w:r w:rsidRPr="00CD4E44">
        <w:t>s agricultural production</w:t>
      </w:r>
      <w:r>
        <w:fldChar w:fldCharType="begin"/>
      </w:r>
      <w:r>
        <w:instrText xml:space="preserve"> XE "</w:instrText>
      </w:r>
      <w:r w:rsidRPr="00463AF4">
        <w:instrText>Agricultural production</w:instrText>
      </w:r>
      <w:r>
        <w:instrText xml:space="preserve">" </w:instrText>
      </w:r>
      <w:r>
        <w:fldChar w:fldCharType="end"/>
      </w:r>
      <w:r w:rsidRPr="00CD4E44">
        <w:t xml:space="preserve"> and exports </w:t>
      </w:r>
      <w:r>
        <w:t>performed strongly</w:t>
      </w:r>
      <w:r w:rsidRPr="00CD4E44">
        <w:t xml:space="preserve"> in recent years, following the ending of the drought. Wheat prices and export volumes have also been high. </w:t>
      </w:r>
      <w:r>
        <w:t xml:space="preserve">However, due to less favourable weather conditions, wheat production is </w:t>
      </w:r>
      <w:r w:rsidRPr="00CD4E44">
        <w:t>expected to return to more usual levels, and wheat prices have also bee</w:t>
      </w:r>
      <w:r>
        <w:t>n softening since the middle of </w:t>
      </w:r>
      <w:r w:rsidRPr="00CD4E44">
        <w:t>2012.</w:t>
      </w:r>
      <w:r>
        <w:t xml:space="preserve"> Exports of dairy products also improved, although Victoria faces strong competition into Asian markets from New Zealand. This might influence the contribution to GSP from exports.</w:t>
      </w:r>
    </w:p>
    <w:p w:rsidR="0070375D" w:rsidRPr="00230B3B" w:rsidRDefault="0070375D" w:rsidP="001A7065">
      <w:pPr>
        <w:pStyle w:val="Heading2"/>
      </w:pPr>
      <w:r w:rsidRPr="001A7065">
        <w:t>Other</w:t>
      </w:r>
      <w:r w:rsidRPr="00230B3B">
        <w:t xml:space="preserve"> economic indicators</w:t>
      </w:r>
    </w:p>
    <w:p w:rsidR="0070375D" w:rsidRPr="00020F0F" w:rsidRDefault="0070375D" w:rsidP="00716616">
      <w:pPr>
        <w:pStyle w:val="Heading3"/>
      </w:pPr>
      <w:r w:rsidRPr="00020F0F">
        <w:t>Labour market</w:t>
      </w:r>
    </w:p>
    <w:p w:rsidR="0070375D" w:rsidRDefault="0070375D" w:rsidP="00CB59EA">
      <w:r>
        <w:fldChar w:fldCharType="begin"/>
      </w:r>
      <w:r>
        <w:instrText xml:space="preserve"> XE "</w:instrText>
      </w:r>
      <w:r w:rsidRPr="00463AF4">
        <w:instrText>Labour market</w:instrText>
      </w:r>
      <w:r>
        <w:instrText xml:space="preserve">" </w:instrText>
      </w:r>
      <w:r>
        <w:fldChar w:fldCharType="end"/>
      </w:r>
      <w:r>
        <w:t>Victorian employment growth</w:t>
      </w:r>
      <w:r>
        <w:fldChar w:fldCharType="begin"/>
      </w:r>
      <w:r>
        <w:instrText xml:space="preserve"> XE "</w:instrText>
      </w:r>
      <w:r w:rsidRPr="006D1F4A">
        <w:instrText>Labour market:Employment growth</w:instrText>
      </w:r>
      <w:r>
        <w:instrText xml:space="preserve">" </w:instrText>
      </w:r>
      <w:r>
        <w:fldChar w:fldCharType="end"/>
      </w:r>
      <w:r>
        <w:t xml:space="preserve"> moderated in 2012</w:t>
      </w:r>
      <w:r w:rsidR="00276239">
        <w:noBreakHyphen/>
      </w:r>
      <w:r>
        <w:t>13 but should strengthen further in 2013</w:t>
      </w:r>
      <w:r w:rsidR="00276239">
        <w:noBreakHyphen/>
      </w:r>
      <w:r>
        <w:t xml:space="preserve">14 to 1.5 per cent. </w:t>
      </w:r>
    </w:p>
    <w:p w:rsidR="0070375D" w:rsidRDefault="0070375D" w:rsidP="00CB59EA">
      <w:r>
        <w:t>While some Victorian industries face challenging conditions, many industries experienced growth in employment in the past year, reflecting the benefits of Victoria</w:t>
      </w:r>
      <w:r w:rsidR="00276239">
        <w:t>’</w:t>
      </w:r>
      <w:r>
        <w:t>s diverse economy. These included</w:t>
      </w:r>
      <w:r w:rsidRPr="00A51611">
        <w:t xml:space="preserve"> professional, scientific and technical services</w:t>
      </w:r>
      <w:r>
        <w:t>,</w:t>
      </w:r>
      <w:r w:rsidRPr="00A51611">
        <w:t xml:space="preserve"> wholesale trade</w:t>
      </w:r>
      <w:r>
        <w:t>,</w:t>
      </w:r>
      <w:r w:rsidRPr="00A51611">
        <w:t xml:space="preserve"> retail trade</w:t>
      </w:r>
      <w:r>
        <w:t>,</w:t>
      </w:r>
      <w:r w:rsidRPr="00A51611">
        <w:t xml:space="preserve"> and accommodation and food services.</w:t>
      </w:r>
      <w:r>
        <w:t xml:space="preserve"> </w:t>
      </w:r>
      <w:r w:rsidRPr="003957A5">
        <w:t xml:space="preserve">However, employment in the construction industry has been subdued, along with </w:t>
      </w:r>
      <w:r>
        <w:t>the</w:t>
      </w:r>
      <w:r w:rsidRPr="003957A5">
        <w:t xml:space="preserve"> administrative and support services.</w:t>
      </w:r>
    </w:p>
    <w:p w:rsidR="0070375D" w:rsidRDefault="0070375D" w:rsidP="00E866FB">
      <w:r>
        <w:t>The unemployment rate</w:t>
      </w:r>
      <w:r>
        <w:fldChar w:fldCharType="begin"/>
      </w:r>
      <w:r>
        <w:instrText xml:space="preserve"> XE "</w:instrText>
      </w:r>
      <w:r w:rsidRPr="00D04880">
        <w:instrText>Unemployment:Unemployment rate</w:instrText>
      </w:r>
      <w:r>
        <w:instrText xml:space="preserve">" </w:instrText>
      </w:r>
      <w:r>
        <w:fldChar w:fldCharType="end"/>
      </w:r>
      <w:r>
        <w:t xml:space="preserve"> remains low (Chart 2.3), consistent with the national rate. While Victoria</w:t>
      </w:r>
      <w:r w:rsidR="00276239">
        <w:t>’</w:t>
      </w:r>
      <w:r>
        <w:t>s participation rate</w:t>
      </w:r>
      <w:r>
        <w:fldChar w:fldCharType="begin"/>
      </w:r>
      <w:r>
        <w:instrText xml:space="preserve"> XE "</w:instrText>
      </w:r>
      <w:r w:rsidRPr="003318E8">
        <w:instrText>Labour market:Labour force participation</w:instrText>
      </w:r>
      <w:r>
        <w:instrText xml:space="preserve">" </w:instrText>
      </w:r>
      <w:r>
        <w:fldChar w:fldCharType="end"/>
      </w:r>
      <w:r>
        <w:t xml:space="preserve"> has moderated over the past year, it is the highest of the non</w:t>
      </w:r>
      <w:r w:rsidR="00276239">
        <w:noBreakHyphen/>
      </w:r>
      <w:r>
        <w:t>mining states. As employment growth further strengthens from 2013</w:t>
      </w:r>
      <w:r w:rsidR="00276239">
        <w:noBreakHyphen/>
      </w:r>
      <w:r>
        <w:t xml:space="preserve">14, the unemployment rate is expected to ease back to around 5 per cent in the medium term. </w:t>
      </w:r>
    </w:p>
    <w:p w:rsidR="0070375D" w:rsidRPr="00CE4FF3" w:rsidRDefault="0070375D" w:rsidP="00716616">
      <w:pPr>
        <w:pStyle w:val="Chartheading"/>
      </w:pPr>
      <w:r>
        <w:lastRenderedPageBreak/>
        <w:t>Chart 2.3</w:t>
      </w:r>
      <w:r w:rsidRPr="00CE4FF3">
        <w:t>:</w:t>
      </w:r>
      <w:r w:rsidRPr="00CE4FF3">
        <w:tab/>
        <w:t>Victoria</w:t>
      </w:r>
      <w:r w:rsidR="00276239">
        <w:t>’</w:t>
      </w:r>
      <w:r>
        <w:t>s unemployment rate</w:t>
      </w:r>
    </w:p>
    <w:p w:rsidR="0070375D" w:rsidRDefault="00315427" w:rsidP="001A7065">
      <w:pPr>
        <w:pStyle w:val="Chartpara"/>
      </w:pPr>
      <w:r>
        <w:pict>
          <v:shape id="_x0000_i1029" type="#_x0000_t75" style="width:381pt;height:220.5pt">
            <v:imagedata r:id="rId20" o:title=""/>
          </v:shape>
        </w:pict>
      </w:r>
    </w:p>
    <w:p w:rsidR="0070375D" w:rsidRDefault="0070375D" w:rsidP="001A7065">
      <w:pPr>
        <w:pStyle w:val="Source"/>
      </w:pPr>
      <w:r>
        <w:t>Source</w:t>
      </w:r>
      <w:r w:rsidRPr="00230B3B">
        <w:t xml:space="preserve">: Australian </w:t>
      </w:r>
      <w:r w:rsidRPr="001A7065">
        <w:t>Bureau</w:t>
      </w:r>
      <w:r w:rsidRPr="00230B3B">
        <w:t xml:space="preserve"> of Statistics</w:t>
      </w:r>
    </w:p>
    <w:p w:rsidR="0070375D" w:rsidRPr="00414E03" w:rsidRDefault="0070375D" w:rsidP="001D1378">
      <w:pPr>
        <w:pStyle w:val="Source"/>
      </w:pPr>
    </w:p>
    <w:p w:rsidR="0070375D" w:rsidRDefault="0070375D" w:rsidP="001973A6">
      <w:r w:rsidRPr="00317700">
        <w:t>Over the past ten years, employment growth has been above the long</w:t>
      </w:r>
      <w:r w:rsidR="00276239">
        <w:noBreakHyphen/>
      </w:r>
      <w:r w:rsidRPr="00317700">
        <w:t xml:space="preserve">term trend, averaging over </w:t>
      </w:r>
      <w:r>
        <w:t>2 per cent</w:t>
      </w:r>
      <w:r w:rsidRPr="00317700">
        <w:t xml:space="preserve"> a year. </w:t>
      </w:r>
      <w:r>
        <w:t>Trend growth is likely to moderate later in the decade, in line with broader economic trends and demographic changes, including population</w:t>
      </w:r>
      <w:r>
        <w:fldChar w:fldCharType="begin"/>
      </w:r>
      <w:r>
        <w:instrText xml:space="preserve"> XE "</w:instrText>
      </w:r>
      <w:r w:rsidRPr="00463AF4">
        <w:instrText>Population</w:instrText>
      </w:r>
      <w:r>
        <w:instrText xml:space="preserve">" </w:instrText>
      </w:r>
      <w:r>
        <w:fldChar w:fldCharType="end"/>
      </w:r>
      <w:r>
        <w:t xml:space="preserve"> ageing.</w:t>
      </w:r>
    </w:p>
    <w:p w:rsidR="0070375D" w:rsidRPr="00020F0F" w:rsidRDefault="0070375D" w:rsidP="00716616">
      <w:pPr>
        <w:pStyle w:val="Heading3"/>
      </w:pPr>
      <w:r w:rsidRPr="00020F0F">
        <w:t>Prices and wages</w:t>
      </w:r>
    </w:p>
    <w:p w:rsidR="0070375D" w:rsidRDefault="0070375D" w:rsidP="001A7065">
      <w:r>
        <w:fldChar w:fldCharType="begin"/>
      </w:r>
      <w:r>
        <w:instrText xml:space="preserve"> XE "</w:instrText>
      </w:r>
      <w:r w:rsidRPr="00463AF4">
        <w:instrText>Wages</w:instrText>
      </w:r>
      <w:r>
        <w:instrText xml:space="preserve">" </w:instrText>
      </w:r>
      <w:r>
        <w:fldChar w:fldCharType="end"/>
      </w:r>
      <w:r>
        <w:t xml:space="preserve">Total </w:t>
      </w:r>
      <w:r w:rsidRPr="002741E8">
        <w:t>Victorian wages growth has been relatively steady with the wage price index</w:t>
      </w:r>
      <w:r>
        <w:fldChar w:fldCharType="begin"/>
      </w:r>
      <w:r>
        <w:instrText xml:space="preserve"> XE "</w:instrText>
      </w:r>
      <w:r w:rsidRPr="0025480B">
        <w:instrText>Wages:Wage price index</w:instrText>
      </w:r>
      <w:r>
        <w:instrText xml:space="preserve">" </w:instrText>
      </w:r>
      <w:r>
        <w:fldChar w:fldCharType="end"/>
      </w:r>
      <w:r w:rsidRPr="002741E8">
        <w:t xml:space="preserve"> growing around trend at 3.5</w:t>
      </w:r>
      <w:r>
        <w:t> per cent</w:t>
      </w:r>
      <w:r w:rsidRPr="002741E8">
        <w:t xml:space="preserve"> over 2012</w:t>
      </w:r>
      <w:r>
        <w:t>.</w:t>
      </w:r>
      <w:r w:rsidRPr="002741E8">
        <w:t xml:space="preserve"> </w:t>
      </w:r>
      <w:r>
        <w:t>Annual growth in public sector wages (Commonwealth, State and local governments) during 2012 has been below the private sector. This in part reflects the influence of the Victorian G</w:t>
      </w:r>
      <w:r w:rsidRPr="00427FBE">
        <w:t>overnment</w:t>
      </w:r>
      <w:r w:rsidR="00276239">
        <w:t>’</w:t>
      </w:r>
      <w:r>
        <w:t>s</w:t>
      </w:r>
      <w:r w:rsidRPr="00427FBE">
        <w:t xml:space="preserve"> public sector wages policy which provides for </w:t>
      </w:r>
      <w:r>
        <w:t>annualised wage</w:t>
      </w:r>
      <w:r w:rsidRPr="00427FBE">
        <w:t xml:space="preserve"> </w:t>
      </w:r>
      <w:r>
        <w:t xml:space="preserve">increases </w:t>
      </w:r>
      <w:r w:rsidRPr="00427FBE">
        <w:t>of 2.5</w:t>
      </w:r>
      <w:r>
        <w:t> per cent.</w:t>
      </w:r>
      <w:r w:rsidRPr="00427FBE">
        <w:t xml:space="preserve"> </w:t>
      </w:r>
      <w:r>
        <w:t>Increases above 2.5 per cent per year must be</w:t>
      </w:r>
      <w:r w:rsidRPr="00427FBE">
        <w:t xml:space="preserve"> offset by genuine productivity gains linked to workforce reform.</w:t>
      </w:r>
    </w:p>
    <w:p w:rsidR="0070375D" w:rsidRDefault="0070375D" w:rsidP="001A7065">
      <w:pPr>
        <w:rPr>
          <w:b/>
          <w:i/>
        </w:rPr>
      </w:pPr>
      <w:r>
        <w:t xml:space="preserve">Furthermore, </w:t>
      </w:r>
      <w:r w:rsidRPr="002741E8">
        <w:t>Victoria</w:t>
      </w:r>
      <w:r w:rsidR="00276239">
        <w:t>’</w:t>
      </w:r>
      <w:r w:rsidRPr="002741E8">
        <w:t>s relatively stable unemployment rate throughout 2012 has assisted the recent steadiness in wages growth. Since real wages growth is being matched by similar growth in productivity, unit labour costs have been kept in check and consumer prices constrained, placing neither upward or downward pressure on prices.</w:t>
      </w:r>
    </w:p>
    <w:p w:rsidR="0070375D" w:rsidRDefault="0070375D" w:rsidP="001A7065">
      <w:r w:rsidRPr="002741E8">
        <w:t>Wages growth is expected to remain at trend in 2013</w:t>
      </w:r>
      <w:r w:rsidR="00276239">
        <w:noBreakHyphen/>
      </w:r>
      <w:r w:rsidRPr="002741E8">
        <w:t xml:space="preserve">14 and across the forward estimates. </w:t>
      </w:r>
    </w:p>
    <w:p w:rsidR="0070375D" w:rsidRDefault="0070375D">
      <w:pPr>
        <w:spacing w:after="0"/>
      </w:pPr>
      <w:r>
        <w:br w:type="page"/>
      </w:r>
    </w:p>
    <w:p w:rsidR="0070375D" w:rsidRPr="00F134E8" w:rsidRDefault="0070375D" w:rsidP="001A7065">
      <w:r w:rsidRPr="00042FE9">
        <w:lastRenderedPageBreak/>
        <w:t>Underlying inflation</w:t>
      </w:r>
      <w:r>
        <w:fldChar w:fldCharType="begin"/>
      </w:r>
      <w:r>
        <w:instrText xml:space="preserve"> XE "</w:instrText>
      </w:r>
      <w:r w:rsidRPr="00463AF4">
        <w:instrText>Inflation</w:instrText>
      </w:r>
      <w:r>
        <w:instrText xml:space="preserve">" </w:instrText>
      </w:r>
      <w:r>
        <w:fldChar w:fldCharType="end"/>
      </w:r>
      <w:r w:rsidRPr="00042FE9">
        <w:t xml:space="preserve"> has been low and within the Reserve Bank</w:t>
      </w:r>
      <w:r>
        <w:fldChar w:fldCharType="begin"/>
      </w:r>
      <w:r>
        <w:instrText xml:space="preserve"> XE "</w:instrText>
      </w:r>
      <w:r w:rsidRPr="00463AF4">
        <w:instrText>Reserve Bank</w:instrText>
      </w:r>
      <w:r>
        <w:instrText xml:space="preserve"> of Australia" </w:instrText>
      </w:r>
      <w:r>
        <w:fldChar w:fldCharType="end"/>
      </w:r>
      <w:r w:rsidR="00276239">
        <w:t>‘</w:t>
      </w:r>
      <w:r w:rsidRPr="00A51611">
        <w:t>s</w:t>
      </w:r>
      <w:r w:rsidRPr="00042FE9">
        <w:t xml:space="preserve"> target band of 2</w:t>
      </w:r>
      <w:r>
        <w:t xml:space="preserve"> to </w:t>
      </w:r>
      <w:r w:rsidRPr="00042FE9">
        <w:t>3</w:t>
      </w:r>
      <w:r>
        <w:t> per cent. I</w:t>
      </w:r>
      <w:r w:rsidRPr="00042FE9">
        <w:t xml:space="preserve">nflation in Melbourne has been on par with </w:t>
      </w:r>
      <w:r w:rsidR="00802CDC">
        <w:t>the national headline rate over </w:t>
      </w:r>
      <w:r w:rsidRPr="00042FE9">
        <w:t>2012. With improving economic conditions, wage growth around trend and a waning of the Australian dollar</w:t>
      </w:r>
      <w:r>
        <w:fldChar w:fldCharType="begin"/>
      </w:r>
      <w:r>
        <w:instrText xml:space="preserve"> XE "</w:instrText>
      </w:r>
      <w:r w:rsidRPr="00463AF4">
        <w:instrText>Australian dollar</w:instrText>
      </w:r>
      <w:r>
        <w:instrText xml:space="preserve">" </w:instrText>
      </w:r>
      <w:r>
        <w:fldChar w:fldCharType="end"/>
      </w:r>
      <w:r w:rsidR="00276239">
        <w:t>‘</w:t>
      </w:r>
      <w:r w:rsidRPr="00A51611">
        <w:t>s</w:t>
      </w:r>
      <w:r w:rsidRPr="00042FE9">
        <w:t xml:space="preserve"> deflationary effect on trade</w:t>
      </w:r>
      <w:r w:rsidR="00276239">
        <w:noBreakHyphen/>
      </w:r>
      <w:r w:rsidRPr="00042FE9">
        <w:t>exposed prices, the</w:t>
      </w:r>
      <w:r>
        <w:t xml:space="preserve"> underlying</w:t>
      </w:r>
      <w:r w:rsidRPr="00042FE9">
        <w:t xml:space="preserve"> rate of inflation</w:t>
      </w:r>
      <w:r>
        <w:fldChar w:fldCharType="begin"/>
      </w:r>
      <w:r>
        <w:instrText xml:space="preserve"> XE "</w:instrText>
      </w:r>
      <w:r w:rsidRPr="00463AF4">
        <w:instrText>Inflation</w:instrText>
      </w:r>
      <w:r>
        <w:instrText xml:space="preserve">" </w:instrText>
      </w:r>
      <w:r>
        <w:fldChar w:fldCharType="end"/>
      </w:r>
      <w:r w:rsidRPr="00042FE9">
        <w:t xml:space="preserve"> is expected to </w:t>
      </w:r>
      <w:r>
        <w:t xml:space="preserve">remain around </w:t>
      </w:r>
      <w:r w:rsidRPr="00042FE9">
        <w:t>the middle of the Reserve Bank</w:t>
      </w:r>
      <w:r w:rsidR="00276239">
        <w:t>’</w:t>
      </w:r>
      <w:r w:rsidRPr="00A51611">
        <w:t>s</w:t>
      </w:r>
      <w:r>
        <w:fldChar w:fldCharType="begin"/>
      </w:r>
      <w:r>
        <w:instrText xml:space="preserve"> XE "</w:instrText>
      </w:r>
      <w:r w:rsidRPr="00463AF4">
        <w:instrText>Reserve Bank</w:instrText>
      </w:r>
      <w:r>
        <w:instrText xml:space="preserve"> of Australia" </w:instrText>
      </w:r>
      <w:r>
        <w:fldChar w:fldCharType="end"/>
      </w:r>
      <w:r w:rsidRPr="00A51611">
        <w:t xml:space="preserve"> </w:t>
      </w:r>
      <w:r>
        <w:t>target band at 2.5 per cent</w:t>
      </w:r>
      <w:r w:rsidRPr="00042FE9">
        <w:t>.</w:t>
      </w:r>
      <w:r>
        <w:t xml:space="preserve"> </w:t>
      </w:r>
    </w:p>
    <w:p w:rsidR="0070375D" w:rsidRPr="00020F0F" w:rsidRDefault="0070375D" w:rsidP="00716616">
      <w:pPr>
        <w:pStyle w:val="Heading3"/>
      </w:pPr>
      <w:r w:rsidRPr="00020F0F">
        <w:t>Population</w:t>
      </w:r>
    </w:p>
    <w:p w:rsidR="0070375D" w:rsidRDefault="0070375D" w:rsidP="001A7065">
      <w:r>
        <w:fldChar w:fldCharType="begin"/>
      </w:r>
      <w:r>
        <w:instrText xml:space="preserve"> XE "</w:instrText>
      </w:r>
      <w:r w:rsidRPr="00463AF4">
        <w:instrText>Population</w:instrText>
      </w:r>
      <w:r>
        <w:instrText xml:space="preserve">" </w:instrText>
      </w:r>
      <w:r>
        <w:fldChar w:fldCharType="end"/>
      </w:r>
      <w:r>
        <w:t>Over 2011</w:t>
      </w:r>
      <w:r w:rsidR="00276239">
        <w:noBreakHyphen/>
      </w:r>
      <w:r>
        <w:t>12 p</w:t>
      </w:r>
      <w:r w:rsidRPr="00625EC1">
        <w:t>opulation growth in Victoria has edged upwards. Net overseas migration</w:t>
      </w:r>
      <w:r>
        <w:fldChar w:fldCharType="begin"/>
      </w:r>
      <w:r>
        <w:instrText xml:space="preserve"> XE "</w:instrText>
      </w:r>
      <w:r w:rsidRPr="00463AF4">
        <w:instrText>Migration</w:instrText>
      </w:r>
      <w:r>
        <w:instrText xml:space="preserve">" </w:instrText>
      </w:r>
      <w:r>
        <w:fldChar w:fldCharType="end"/>
      </w:r>
      <w:r w:rsidRPr="00625EC1">
        <w:t xml:space="preserve"> continues to significantly influence annual population growth in Victoria, accounting for over half of the population increase in 2011</w:t>
      </w:r>
      <w:r w:rsidR="00276239">
        <w:noBreakHyphen/>
      </w:r>
      <w:r w:rsidRPr="00625EC1">
        <w:t>12.</w:t>
      </w:r>
      <w:r w:rsidRPr="00EB61F3">
        <w:t xml:space="preserve"> Victoria</w:t>
      </w:r>
      <w:r w:rsidR="00276239">
        <w:t>’</w:t>
      </w:r>
      <w:r w:rsidRPr="00EB61F3">
        <w:t>s share of national net overseas migration remains around historic trends,</w:t>
      </w:r>
      <w:r w:rsidRPr="00FB132A">
        <w:t xml:space="preserve"> with only New South Wales of the other non</w:t>
      </w:r>
      <w:r w:rsidR="00276239">
        <w:noBreakHyphen/>
      </w:r>
      <w:r w:rsidRPr="00FB132A">
        <w:t>mining states having a slightly higher share in 2011</w:t>
      </w:r>
      <w:r w:rsidR="00276239">
        <w:noBreakHyphen/>
      </w:r>
      <w:r w:rsidRPr="00FB132A">
        <w:t>12.</w:t>
      </w:r>
    </w:p>
    <w:p w:rsidR="0070375D" w:rsidRDefault="0070375D" w:rsidP="001A7065">
      <w:r w:rsidRPr="0073087E">
        <w:t xml:space="preserve">Victoria </w:t>
      </w:r>
      <w:r>
        <w:t>continues to attract</w:t>
      </w:r>
      <w:r w:rsidRPr="0073087E">
        <w:t xml:space="preserve"> interstate migration and receive</w:t>
      </w:r>
      <w:r>
        <w:t>s</w:t>
      </w:r>
      <w:r w:rsidRPr="0073087E">
        <w:t xml:space="preserve"> a positive net inflow of interstate migrants</w:t>
      </w:r>
      <w:r>
        <w:t xml:space="preserve"> (Chart 2.4)</w:t>
      </w:r>
      <w:r w:rsidRPr="0073087E">
        <w:t>.</w:t>
      </w:r>
      <w:r>
        <w:t xml:space="preserve"> </w:t>
      </w:r>
    </w:p>
    <w:p w:rsidR="0070375D" w:rsidRDefault="0070375D" w:rsidP="001A7065">
      <w:r w:rsidRPr="0073087E">
        <w:t>Recent trends in migration are likely to continue, leading to forecast population growth that is slightly higher than experienced in recent years.</w:t>
      </w:r>
      <w:r>
        <w:t xml:space="preserve"> Population growth is expected to grow at trend of 1.7 per cent in 2013</w:t>
      </w:r>
      <w:r w:rsidR="00276239">
        <w:noBreakHyphen/>
      </w:r>
      <w:r>
        <w:t>14 and across the forward estimates period.</w:t>
      </w:r>
    </w:p>
    <w:p w:rsidR="0070375D" w:rsidRDefault="0070375D" w:rsidP="00716616">
      <w:pPr>
        <w:pStyle w:val="Chartheading"/>
      </w:pPr>
      <w:r>
        <w:t>Chart 2.4:</w:t>
      </w:r>
      <w:r>
        <w:tab/>
        <w:t>Victoria</w:t>
      </w:r>
      <w:r w:rsidR="00276239">
        <w:t>’</w:t>
      </w:r>
      <w:r>
        <w:t>s net annual interstate migration is positive</w:t>
      </w:r>
    </w:p>
    <w:p w:rsidR="0070375D" w:rsidRPr="001A7065" w:rsidRDefault="00315427" w:rsidP="001A7065">
      <w:pPr>
        <w:pStyle w:val="Chartpara"/>
      </w:pPr>
      <w:r>
        <w:pict>
          <v:shape id="_x0000_i1030" type="#_x0000_t75" style="width:381pt;height:220.5pt">
            <v:imagedata r:id="rId21" o:title=""/>
          </v:shape>
        </w:pict>
      </w:r>
    </w:p>
    <w:p w:rsidR="0070375D" w:rsidRPr="00E54DA2" w:rsidRDefault="0070375D" w:rsidP="001D1378">
      <w:pPr>
        <w:pStyle w:val="Source"/>
      </w:pPr>
      <w:r>
        <w:t>Source</w:t>
      </w:r>
      <w:r w:rsidRPr="00230B3B">
        <w:t>: Australian Bureau of Statistics</w:t>
      </w:r>
      <w:bookmarkEnd w:id="10"/>
      <w:r>
        <w:fldChar w:fldCharType="begin"/>
      </w:r>
      <w:r>
        <w:instrText xml:space="preserve"> XE "</w:instrText>
      </w:r>
      <w:r w:rsidRPr="00463AF4">
        <w:instrText>Economic projections</w:instrText>
      </w:r>
      <w:r>
        <w:instrText xml:space="preserve">" \r "BP3Chap2EconomicProjections" </w:instrText>
      </w:r>
      <w:r>
        <w:fldChar w:fldCharType="end"/>
      </w:r>
      <w:r>
        <w:fldChar w:fldCharType="begin"/>
      </w:r>
      <w:r>
        <w:instrText xml:space="preserve"> XE "</w:instrText>
      </w:r>
      <w:r w:rsidRPr="00F22DC0">
        <w:instrText>Economic conditions:Victoria</w:instrText>
      </w:r>
      <w:r>
        <w:instrText xml:space="preserve">" \r "BP3Chap2EconomicConditionsVictoria" </w:instrText>
      </w:r>
      <w:r>
        <w:fldChar w:fldCharType="end"/>
      </w:r>
    </w:p>
    <w:p w:rsidR="0070375D" w:rsidRDefault="0070375D">
      <w:pPr>
        <w:spacing w:after="0"/>
        <w:rPr>
          <w:rFonts w:ascii="Calibri" w:hAnsi="Calibri"/>
          <w:b/>
          <w:i/>
          <w:kern w:val="28"/>
          <w:sz w:val="24"/>
          <w:szCs w:val="22"/>
        </w:rPr>
      </w:pPr>
      <w:bookmarkStart w:id="11" w:name="BP3Chap2StructuralChange"/>
      <w:bookmarkEnd w:id="9"/>
      <w:r>
        <w:br w:type="page"/>
      </w:r>
    </w:p>
    <w:p w:rsidR="0070375D" w:rsidRPr="00FE094D" w:rsidRDefault="0070375D" w:rsidP="00716616">
      <w:pPr>
        <w:pStyle w:val="Heading3"/>
      </w:pPr>
      <w:r w:rsidRPr="00936059">
        <w:lastRenderedPageBreak/>
        <w:t xml:space="preserve">Structural change in the </w:t>
      </w:r>
      <w:r w:rsidRPr="00FE094D">
        <w:t>Victorian economy</w:t>
      </w:r>
    </w:p>
    <w:p w:rsidR="0070375D" w:rsidRDefault="0070375D" w:rsidP="00936866">
      <w:r w:rsidRPr="00C647A7">
        <w:t>While manufacturing</w:t>
      </w:r>
      <w:r>
        <w:fldChar w:fldCharType="begin"/>
      </w:r>
      <w:r>
        <w:instrText xml:space="preserve"> XE "</w:instrText>
      </w:r>
      <w:r w:rsidRPr="00463AF4">
        <w:instrText>Manufacturing</w:instrText>
      </w:r>
      <w:r>
        <w:instrText xml:space="preserve">" </w:instrText>
      </w:r>
      <w:r>
        <w:fldChar w:fldCharType="end"/>
      </w:r>
      <w:r w:rsidRPr="00C647A7">
        <w:t xml:space="preserve"> output has grown by 5</w:t>
      </w:r>
      <w:r>
        <w:t> per cent</w:t>
      </w:r>
      <w:r w:rsidRPr="00C647A7">
        <w:t xml:space="preserve"> since 1989</w:t>
      </w:r>
      <w:r w:rsidR="00276239">
        <w:noBreakHyphen/>
      </w:r>
      <w:r w:rsidRPr="00C647A7">
        <w:t xml:space="preserve">90, the rest of the </w:t>
      </w:r>
      <w:r>
        <w:t xml:space="preserve">Victorian </w:t>
      </w:r>
      <w:r w:rsidRPr="00C647A7">
        <w:t>economy has grown even more strongly and so manufacturing</w:t>
      </w:r>
      <w:r w:rsidR="00276239">
        <w:t>’</w:t>
      </w:r>
      <w:r w:rsidRPr="00C647A7">
        <w:t>s share of output has fallen from 17.4</w:t>
      </w:r>
      <w:r>
        <w:t> per cent</w:t>
      </w:r>
      <w:r w:rsidRPr="00C647A7">
        <w:t xml:space="preserve"> in 1989</w:t>
      </w:r>
      <w:r w:rsidR="00276239">
        <w:noBreakHyphen/>
      </w:r>
      <w:r w:rsidRPr="00C647A7">
        <w:t>90 to 9.9</w:t>
      </w:r>
      <w:r>
        <w:t> per cent</w:t>
      </w:r>
      <w:r w:rsidRPr="00C647A7">
        <w:t xml:space="preserve"> in 2011</w:t>
      </w:r>
      <w:r w:rsidR="00276239">
        <w:noBreakHyphen/>
      </w:r>
      <w:r w:rsidRPr="00C647A7">
        <w:t>12. As the number of people working in the sector has fallen, productivity</w:t>
      </w:r>
      <w:r>
        <w:fldChar w:fldCharType="begin"/>
      </w:r>
      <w:r>
        <w:instrText xml:space="preserve"> XE "</w:instrText>
      </w:r>
      <w:r w:rsidRPr="00463AF4">
        <w:instrText>Productivity</w:instrText>
      </w:r>
      <w:r>
        <w:instrText xml:space="preserve">" </w:instrText>
      </w:r>
      <w:r>
        <w:fldChar w:fldCharType="end"/>
      </w:r>
      <w:r w:rsidRPr="00C647A7">
        <w:t xml:space="preserve"> has increased in manufacturing, reflecting a change away from low</w:t>
      </w:r>
      <w:r w:rsidR="00276239">
        <w:noBreakHyphen/>
      </w:r>
      <w:r w:rsidRPr="00C647A7">
        <w:t>value products that sought to compete on price to higher value products that compete on quality. Over the same period, there has been strong growth in business services, which include financial and insurance services and professional, scientific and technical services, that has become an increasingly important driver of Victorian economic performance (Chart 2.5). This industry has had strong links to the resources boom, attracting labour and capital away from other industries.</w:t>
      </w:r>
    </w:p>
    <w:p w:rsidR="0070375D" w:rsidRPr="001A6A9B" w:rsidRDefault="0070375D" w:rsidP="0057175D">
      <w:pPr>
        <w:pStyle w:val="Chartheading"/>
      </w:pPr>
      <w:r w:rsidRPr="00394560">
        <w:t>Chart 2.5:</w:t>
      </w:r>
      <w:r w:rsidRPr="00394560">
        <w:tab/>
        <w:t xml:space="preserve">Change in </w:t>
      </w:r>
      <w:r>
        <w:t xml:space="preserve">Victorian </w:t>
      </w:r>
      <w:r w:rsidRPr="00394560">
        <w:t>industry gross value added</w:t>
      </w:r>
      <w:r>
        <w:t xml:space="preserve"> shares,</w:t>
      </w:r>
      <w:r w:rsidRPr="00394560">
        <w:t xml:space="preserve"> 1990</w:t>
      </w:r>
      <w:r w:rsidR="00276239">
        <w:noBreakHyphen/>
      </w:r>
      <w:r w:rsidRPr="00394560">
        <w:t>91 to 2011</w:t>
      </w:r>
      <w:r w:rsidR="00276239">
        <w:noBreakHyphen/>
      </w:r>
      <w:r w:rsidRPr="00394560">
        <w:t>12</w:t>
      </w:r>
      <w:r w:rsidRPr="003947AD">
        <w:rPr>
          <w:vertAlign w:val="superscript"/>
        </w:rPr>
        <w:t>(a)</w:t>
      </w:r>
    </w:p>
    <w:p w:rsidR="0070375D" w:rsidRDefault="00315427" w:rsidP="006A4D14">
      <w:pPr>
        <w:pStyle w:val="Chartpara"/>
      </w:pPr>
      <w:r>
        <w:pict>
          <v:shape id="_x0000_i1031" type="#_x0000_t75" style="width:381.75pt;height:222.75pt">
            <v:imagedata r:id="rId22" o:title=""/>
          </v:shape>
        </w:pict>
      </w:r>
    </w:p>
    <w:p w:rsidR="0070375D" w:rsidRDefault="0070375D" w:rsidP="0057175D">
      <w:pPr>
        <w:pStyle w:val="Source"/>
      </w:pPr>
      <w:r>
        <w:t>Source</w:t>
      </w:r>
      <w:r w:rsidRPr="00230B3B">
        <w:t>: Australian Bureau of Statistics</w:t>
      </w:r>
    </w:p>
    <w:p w:rsidR="0070375D" w:rsidRPr="003947AD" w:rsidRDefault="0070375D" w:rsidP="00936866">
      <w:pPr>
        <w:pStyle w:val="Notes"/>
      </w:pPr>
      <w:r w:rsidRPr="003947AD">
        <w:t>Notes:</w:t>
      </w:r>
    </w:p>
    <w:p w:rsidR="0070375D" w:rsidRPr="003947AD" w:rsidRDefault="0070375D" w:rsidP="00936866">
      <w:pPr>
        <w:pStyle w:val="Notes"/>
      </w:pPr>
      <w:r w:rsidRPr="003947AD">
        <w:t xml:space="preserve">(a) </w:t>
      </w:r>
      <w:r w:rsidRPr="003947AD">
        <w:tab/>
        <w:t>Excluding ownership of dwellings.</w:t>
      </w:r>
    </w:p>
    <w:p w:rsidR="0070375D" w:rsidRPr="003947AD" w:rsidRDefault="0070375D" w:rsidP="00936866">
      <w:pPr>
        <w:pStyle w:val="Notes"/>
      </w:pPr>
      <w:r w:rsidRPr="003947AD">
        <w:t>(b)</w:t>
      </w:r>
      <w:r w:rsidRPr="003947AD">
        <w:tab/>
        <w:t>Includes accommodation and food services, arts and recreation services, education and training, health care and social assistance, public administration and safety and other services.</w:t>
      </w:r>
    </w:p>
    <w:p w:rsidR="0070375D" w:rsidRPr="003947AD" w:rsidRDefault="0070375D" w:rsidP="00936866">
      <w:pPr>
        <w:pStyle w:val="Notes"/>
      </w:pPr>
      <w:r w:rsidRPr="003947AD">
        <w:t>(c)</w:t>
      </w:r>
      <w:r w:rsidRPr="003947AD">
        <w:tab/>
        <w:t>Includes retail trade, wholesale trade and transport, postal and warehousing.</w:t>
      </w:r>
    </w:p>
    <w:p w:rsidR="0070375D" w:rsidRDefault="0070375D" w:rsidP="00936866">
      <w:pPr>
        <w:pStyle w:val="Notes"/>
      </w:pPr>
      <w:r w:rsidRPr="003947AD">
        <w:t xml:space="preserve">(d) </w:t>
      </w:r>
      <w:r w:rsidRPr="003947AD">
        <w:tab/>
        <w:t>Includes financial and insurance services, administrative and support services, information, media and telecommunication services, rental, hiring and real estate services and professional, scientific and technical services.</w:t>
      </w:r>
    </w:p>
    <w:p w:rsidR="0070375D" w:rsidRPr="003947AD" w:rsidRDefault="0070375D" w:rsidP="00936866"/>
    <w:p w:rsidR="0070375D" w:rsidRDefault="0070375D">
      <w:pPr>
        <w:spacing w:after="0"/>
      </w:pPr>
      <w:r>
        <w:br w:type="page"/>
      </w:r>
    </w:p>
    <w:p w:rsidR="0070375D" w:rsidRPr="00C647A7" w:rsidRDefault="0070375D" w:rsidP="006F7F32">
      <w:r w:rsidRPr="00C647A7">
        <w:lastRenderedPageBreak/>
        <w:t>The Victorian economy generated positive net employment growth</w:t>
      </w:r>
      <w:r>
        <w:fldChar w:fldCharType="begin"/>
      </w:r>
      <w:r>
        <w:instrText xml:space="preserve"> XE "</w:instrText>
      </w:r>
      <w:r w:rsidRPr="00B177FE">
        <w:instrText>Labour market:Employment growth</w:instrText>
      </w:r>
      <w:r>
        <w:instrText xml:space="preserve">" </w:instrText>
      </w:r>
      <w:r>
        <w:fldChar w:fldCharType="end"/>
      </w:r>
      <w:r w:rsidRPr="00C647A7">
        <w:t xml:space="preserve"> in 2011</w:t>
      </w:r>
      <w:r w:rsidR="00276239">
        <w:noBreakHyphen/>
      </w:r>
      <w:r w:rsidRPr="00C647A7">
        <w:t xml:space="preserve">12. Reported job losses at individual workplaces are relatively small, but can </w:t>
      </w:r>
      <w:r>
        <w:t>significantly affect</w:t>
      </w:r>
      <w:r w:rsidRPr="00C647A7">
        <w:t xml:space="preserve"> community perceptions and have concentrated impacts on particular sectors or regions which rely heavily on individual businesses.</w:t>
      </w:r>
    </w:p>
    <w:p w:rsidR="0070375D" w:rsidRDefault="0070375D" w:rsidP="006F7F32">
      <w:r w:rsidRPr="00C647A7">
        <w:t>Victoria does not rely on a single sector to drive</w:t>
      </w:r>
      <w:r>
        <w:t xml:space="preserve"> economic growth</w:t>
      </w:r>
      <w:r>
        <w:fldChar w:fldCharType="begin"/>
      </w:r>
      <w:r>
        <w:instrText xml:space="preserve"> XE "</w:instrText>
      </w:r>
      <w:r w:rsidRPr="00463AF4">
        <w:instrText>Economic growth</w:instrText>
      </w:r>
      <w:r>
        <w:instrText xml:space="preserve">" </w:instrText>
      </w:r>
      <w:r>
        <w:fldChar w:fldCharType="end"/>
      </w:r>
      <w:r>
        <w:t>. I</w:t>
      </w:r>
      <w:r w:rsidRPr="00C647A7">
        <w:t>t is a more stable economy, both resilient and adaptable to changing economic circumstances. As Victoria</w:t>
      </w:r>
      <w:r w:rsidR="00276239">
        <w:t>’</w:t>
      </w:r>
      <w:r w:rsidRPr="00C647A7">
        <w:t xml:space="preserve">s economic structure is closer to the Australian average, its growth rate is likely to be similar to the national average and is likely to be also influenced by similar factors. This is unlike those states whose growth rates are likely to diverge from the Australian average because they </w:t>
      </w:r>
      <w:r>
        <w:t>rely</w:t>
      </w:r>
      <w:r w:rsidRPr="00C647A7">
        <w:t xml:space="preserve"> on a narrower economic base (Chart 2.6). </w:t>
      </w:r>
    </w:p>
    <w:p w:rsidR="0070375D" w:rsidRDefault="0070375D" w:rsidP="006F7F32">
      <w:r w:rsidRPr="00C647A7">
        <w:t xml:space="preserve">Structural change has benefitted the Victorian economy. </w:t>
      </w:r>
      <w:r>
        <w:t>For instance, if industry shares of the economy remained as they were 20 years ago, manufacturing</w:t>
      </w:r>
      <w:r>
        <w:fldChar w:fldCharType="begin"/>
      </w:r>
      <w:r>
        <w:instrText xml:space="preserve"> XE "</w:instrText>
      </w:r>
      <w:r w:rsidRPr="00463AF4">
        <w:instrText>Manufacturing</w:instrText>
      </w:r>
      <w:r>
        <w:instrText xml:space="preserve">" </w:instrText>
      </w:r>
      <w:r>
        <w:fldChar w:fldCharType="end"/>
      </w:r>
      <w:r>
        <w:t xml:space="preserve"> would today comprise about one fifth of Victorian output. H</w:t>
      </w:r>
      <w:r w:rsidRPr="00FC7F34">
        <w:t xml:space="preserve">ad Victoria not seen the expansion of rapidly growing, high value sectors (such as </w:t>
      </w:r>
      <w:r>
        <w:t xml:space="preserve">business </w:t>
      </w:r>
      <w:r w:rsidRPr="00FC7F34">
        <w:t>service</w:t>
      </w:r>
      <w:r>
        <w:t>s and health care</w:t>
      </w:r>
      <w:r w:rsidRPr="00FC7F34">
        <w:t xml:space="preserve">) </w:t>
      </w:r>
      <w:r>
        <w:t>contributing to structural change, then the consequences of the recent high Australian dollar</w:t>
      </w:r>
      <w:r>
        <w:fldChar w:fldCharType="begin"/>
      </w:r>
      <w:r>
        <w:instrText xml:space="preserve"> XE "</w:instrText>
      </w:r>
      <w:r w:rsidRPr="00463AF4">
        <w:instrText>Australian dollar</w:instrText>
      </w:r>
      <w:r>
        <w:instrText xml:space="preserve">" </w:instrText>
      </w:r>
      <w:r>
        <w:fldChar w:fldCharType="end"/>
      </w:r>
      <w:r>
        <w:t xml:space="preserve"> would have been far more dramatic than it has been for Victoria.</w:t>
      </w:r>
    </w:p>
    <w:p w:rsidR="0070375D" w:rsidRDefault="0070375D" w:rsidP="006F7F32">
      <w:r>
        <w:t>Structural change enables productivity</w:t>
      </w:r>
      <w:r>
        <w:fldChar w:fldCharType="begin"/>
      </w:r>
      <w:r>
        <w:instrText xml:space="preserve"> XE "</w:instrText>
      </w:r>
      <w:r w:rsidRPr="00463AF4">
        <w:instrText>Productivity</w:instrText>
      </w:r>
      <w:r>
        <w:instrText xml:space="preserve">" </w:instrText>
      </w:r>
      <w:r>
        <w:fldChar w:fldCharType="end"/>
      </w:r>
      <w:r>
        <w:t xml:space="preserve"> improvements to occur. B</w:t>
      </w:r>
      <w:r w:rsidRPr="00F725BC">
        <w:t xml:space="preserve">usinesses across the </w:t>
      </w:r>
      <w:r>
        <w:t>economy</w:t>
      </w:r>
      <w:r w:rsidRPr="00F725BC">
        <w:t xml:space="preserve">, including </w:t>
      </w:r>
      <w:r>
        <w:t xml:space="preserve">in </w:t>
      </w:r>
      <w:r w:rsidRPr="00F725BC">
        <w:t xml:space="preserve">the manufacturing sector, </w:t>
      </w:r>
      <w:r>
        <w:t xml:space="preserve">recognise the need to adapt and </w:t>
      </w:r>
      <w:r w:rsidRPr="00F725BC">
        <w:t xml:space="preserve">are adjusting </w:t>
      </w:r>
      <w:r>
        <w:t>to challenges to their competitiveness</w:t>
      </w:r>
      <w:r w:rsidRPr="00F725BC">
        <w:t xml:space="preserve"> </w:t>
      </w:r>
      <w:r>
        <w:t xml:space="preserve">(for example from </w:t>
      </w:r>
      <w:r w:rsidRPr="00F725BC">
        <w:t>a high Australian dollar</w:t>
      </w:r>
      <w:r>
        <w:t>)</w:t>
      </w:r>
      <w:r w:rsidRPr="00F725BC">
        <w:t>.</w:t>
      </w:r>
      <w:bookmarkEnd w:id="11"/>
      <w:r>
        <w:fldChar w:fldCharType="begin"/>
      </w:r>
      <w:r>
        <w:instrText xml:space="preserve"> XE "</w:instrText>
      </w:r>
      <w:r w:rsidRPr="00463AF4">
        <w:instrText>Structural change</w:instrText>
      </w:r>
      <w:r>
        <w:instrText xml:space="preserve">" \r "BP3Chap2StructuralChange" </w:instrText>
      </w:r>
      <w:r>
        <w:fldChar w:fldCharType="end"/>
      </w:r>
    </w:p>
    <w:p w:rsidR="0070375D" w:rsidRPr="001A6A9B" w:rsidRDefault="0070375D" w:rsidP="009C3AA8">
      <w:pPr>
        <w:pStyle w:val="Chartheading"/>
      </w:pPr>
      <w:r w:rsidRPr="00C647A7">
        <w:lastRenderedPageBreak/>
        <w:t>Chart 2.6:</w:t>
      </w:r>
      <w:r w:rsidRPr="00C647A7">
        <w:tab/>
        <w:t>State industry share as a percentage of Australian total industry</w:t>
      </w:r>
      <w:r w:rsidRPr="00C647A7">
        <w:rPr>
          <w:vertAlign w:val="superscript"/>
        </w:rPr>
        <w:t>(a)</w:t>
      </w:r>
      <w:r w:rsidRPr="00C647A7">
        <w:t>, 2011</w:t>
      </w:r>
      <w:r w:rsidR="00276239">
        <w:noBreakHyphen/>
      </w:r>
      <w:r w:rsidRPr="00C647A7">
        <w:t>12</w:t>
      </w:r>
      <w:r>
        <w:t xml:space="preserve"> </w:t>
      </w:r>
    </w:p>
    <w:p w:rsidR="0070375D" w:rsidRDefault="00315427" w:rsidP="006A4D14">
      <w:pPr>
        <w:pStyle w:val="Chartpara"/>
      </w:pPr>
      <w:r>
        <w:pict>
          <v:shape id="_x0000_i1032" type="#_x0000_t75" style="width:381.75pt;height:223.5pt">
            <v:imagedata r:id="rId23" o:title=""/>
          </v:shape>
        </w:pict>
      </w:r>
      <w:r>
        <w:pict>
          <v:shape id="_x0000_i1033" type="#_x0000_t75" style="width:381.75pt;height:223.5pt">
            <v:imagedata r:id="rId24" o:title=""/>
          </v:shape>
        </w:pict>
      </w:r>
    </w:p>
    <w:p w:rsidR="0070375D" w:rsidRPr="006A4D14" w:rsidRDefault="0070375D" w:rsidP="006A4D14">
      <w:pPr>
        <w:pStyle w:val="Source"/>
      </w:pPr>
      <w:r w:rsidRPr="00922F03">
        <w:t>Source</w:t>
      </w:r>
      <w:r w:rsidRPr="00423F26">
        <w:t xml:space="preserve">: </w:t>
      </w:r>
      <w:r>
        <w:t>Australian Bureau of Statistics</w:t>
      </w:r>
    </w:p>
    <w:p w:rsidR="0070375D" w:rsidRDefault="0070375D" w:rsidP="009C3AA8">
      <w:pPr>
        <w:pStyle w:val="Notes"/>
      </w:pPr>
      <w:r>
        <w:t>Note:</w:t>
      </w:r>
    </w:p>
    <w:p w:rsidR="0070375D" w:rsidRPr="004A7F3C" w:rsidRDefault="0070375D" w:rsidP="009C3AA8">
      <w:pPr>
        <w:pStyle w:val="Notes"/>
      </w:pPr>
      <w:r>
        <w:t>(a)</w:t>
      </w:r>
      <w:r>
        <w:tab/>
        <w:t>Chain volume measure, excludes ownership of dwellings.</w:t>
      </w:r>
    </w:p>
    <w:p w:rsidR="0070375D" w:rsidRPr="009C3AA8" w:rsidRDefault="0070375D" w:rsidP="009C3AA8">
      <w:pPr>
        <w:pStyle w:val="Notes"/>
      </w:pPr>
    </w:p>
    <w:p w:rsidR="0070375D" w:rsidRPr="002E466B" w:rsidRDefault="0070375D" w:rsidP="004816CA">
      <w:pPr>
        <w:pStyle w:val="Heading1"/>
      </w:pPr>
      <w:r>
        <w:br w:type="page"/>
      </w:r>
      <w:bookmarkStart w:id="12" w:name="_Toc355372021"/>
      <w:r w:rsidRPr="004816CA">
        <w:lastRenderedPageBreak/>
        <w:t>Australian</w:t>
      </w:r>
      <w:r w:rsidRPr="002972D2">
        <w:t xml:space="preserve"> economic conditions and outlook</w:t>
      </w:r>
      <w:bookmarkEnd w:id="12"/>
    </w:p>
    <w:p w:rsidR="0070375D" w:rsidRDefault="0070375D" w:rsidP="001A7065">
      <w:r>
        <w:fldChar w:fldCharType="begin"/>
      </w:r>
      <w:r>
        <w:instrText xml:space="preserve"> XE "</w:instrText>
      </w:r>
      <w:r w:rsidRPr="00E613E2">
        <w:instrText>Economic conditions:Australia</w:instrText>
      </w:r>
      <w:r>
        <w:instrText xml:space="preserve">" </w:instrText>
      </w:r>
      <w:r>
        <w:fldChar w:fldCharType="end"/>
      </w:r>
      <w:r w:rsidRPr="00DE2D7F">
        <w:t>The resource</w:t>
      </w:r>
      <w:r w:rsidR="00276239">
        <w:noBreakHyphen/>
      </w:r>
      <w:r w:rsidRPr="00DE2D7F">
        <w:t xml:space="preserve">rich states of Western Australia and Queensland recorded the strongest </w:t>
      </w:r>
      <w:r>
        <w:t>real GSP</w:t>
      </w:r>
      <w:r>
        <w:fldChar w:fldCharType="begin"/>
      </w:r>
      <w:r>
        <w:instrText xml:space="preserve"> XE "</w:instrText>
      </w:r>
      <w:r w:rsidRPr="00A1659C">
        <w:instrText>Economic growth:Gross state product</w:instrText>
      </w:r>
      <w:r>
        <w:instrText xml:space="preserve">" </w:instrText>
      </w:r>
      <w:r>
        <w:fldChar w:fldCharType="end"/>
      </w:r>
      <w:r>
        <w:t xml:space="preserve"> growth among the states in 2011</w:t>
      </w:r>
      <w:r w:rsidR="00276239">
        <w:noBreakHyphen/>
      </w:r>
      <w:r>
        <w:t xml:space="preserve">12, while </w:t>
      </w:r>
      <w:r w:rsidRPr="00DE2D7F">
        <w:t>Victoria</w:t>
      </w:r>
      <w:r w:rsidR="00276239">
        <w:t>’</w:t>
      </w:r>
      <w:r w:rsidRPr="00DE2D7F">
        <w:t xml:space="preserve">s GSP growth </w:t>
      </w:r>
      <w:r>
        <w:t>compares favourably with other non</w:t>
      </w:r>
      <w:r w:rsidR="00276239">
        <w:noBreakHyphen/>
      </w:r>
      <w:r>
        <w:t xml:space="preserve">mining states (Chart 2.7). </w:t>
      </w:r>
    </w:p>
    <w:p w:rsidR="0070375D" w:rsidRPr="006A6FFE" w:rsidRDefault="0070375D" w:rsidP="00021DD5">
      <w:pPr>
        <w:rPr>
          <w:rFonts w:ascii="Calibri" w:hAnsi="Calibri" w:cs="Calibri"/>
          <w:b/>
        </w:rPr>
      </w:pPr>
      <w:r>
        <w:rPr>
          <w:rFonts w:ascii="Calibri" w:hAnsi="Calibri" w:cs="Calibri"/>
          <w:b/>
        </w:rPr>
        <w:t>Chart 2.7:</w:t>
      </w:r>
      <w:r>
        <w:rPr>
          <w:rFonts w:ascii="Calibri" w:hAnsi="Calibri" w:cs="Calibri"/>
          <w:b/>
        </w:rPr>
        <w:tab/>
        <w:t>State GSP growth in 2011</w:t>
      </w:r>
      <w:r w:rsidR="00276239">
        <w:rPr>
          <w:rFonts w:ascii="Calibri" w:hAnsi="Calibri" w:cs="Calibri"/>
          <w:b/>
        </w:rPr>
        <w:noBreakHyphen/>
      </w:r>
      <w:r>
        <w:rPr>
          <w:rFonts w:ascii="Calibri" w:hAnsi="Calibri" w:cs="Calibri"/>
          <w:b/>
        </w:rPr>
        <w:t>12</w:t>
      </w:r>
    </w:p>
    <w:p w:rsidR="0070375D" w:rsidRDefault="00315427" w:rsidP="006A4D14">
      <w:pPr>
        <w:pStyle w:val="Chartpara"/>
      </w:pPr>
      <w:r>
        <w:pict>
          <v:shape id="_x0000_i1034" type="#_x0000_t75" style="width:381.75pt;height:222.75pt">
            <v:imagedata r:id="rId25" o:title=""/>
          </v:shape>
        </w:pict>
      </w:r>
    </w:p>
    <w:p w:rsidR="0070375D" w:rsidRDefault="0070375D" w:rsidP="00490BE9">
      <w:pPr>
        <w:pStyle w:val="Source"/>
      </w:pPr>
      <w:r w:rsidRPr="009D0C81">
        <w:t xml:space="preserve">Source: </w:t>
      </w:r>
      <w:r>
        <w:t>Australian Bureau of Statistics</w:t>
      </w:r>
    </w:p>
    <w:p w:rsidR="0070375D" w:rsidRPr="00152EB0" w:rsidRDefault="0070375D" w:rsidP="00152EB0">
      <w:pPr>
        <w:pStyle w:val="Source"/>
      </w:pPr>
    </w:p>
    <w:p w:rsidR="0070375D" w:rsidRDefault="0070375D" w:rsidP="006A4D14">
      <w:r>
        <w:t>Falls in global commodity prices</w:t>
      </w:r>
      <w:r>
        <w:fldChar w:fldCharType="begin"/>
      </w:r>
      <w:r>
        <w:instrText xml:space="preserve"> XE "</w:instrText>
      </w:r>
      <w:r w:rsidRPr="00463AF4">
        <w:instrText>Commodity prices</w:instrText>
      </w:r>
      <w:r>
        <w:instrText xml:space="preserve">" </w:instrText>
      </w:r>
      <w:r>
        <w:fldChar w:fldCharType="end"/>
      </w:r>
      <w:r>
        <w:t xml:space="preserve"> in the middle of 2012 have </w:t>
      </w:r>
      <w:r w:rsidRPr="00E15161">
        <w:t>led to some scaling back of investment plans in the coal and iron ore sectors</w:t>
      </w:r>
      <w:r>
        <w:t>. As a result, the peak in mining investment is close to being reached or has passed. While there may be a period before full mining production is reached, the medium</w:t>
      </w:r>
      <w:r w:rsidR="00276239">
        <w:noBreakHyphen/>
      </w:r>
      <w:r w:rsidRPr="00D60535">
        <w:t>term outlook for commodity prices</w:t>
      </w:r>
      <w:r>
        <w:t xml:space="preserve"> is positive which will benefit the resource</w:t>
      </w:r>
      <w:r w:rsidR="00276239">
        <w:noBreakHyphen/>
      </w:r>
      <w:r>
        <w:t>rich states and indirectly benefit Victoria.</w:t>
      </w:r>
    </w:p>
    <w:p w:rsidR="0070375D" w:rsidRDefault="0070375D" w:rsidP="006A4D14">
      <w:r>
        <w:t>Overall, t</w:t>
      </w:r>
      <w:r w:rsidRPr="00E16F1D">
        <w:t>he fundamentals of the Australian economy remain strong a</w:t>
      </w:r>
      <w:r>
        <w:t>nd the outlook remains positive compared to many other advanced economies, especially in the euro zone. The Reserve Bank</w:t>
      </w:r>
      <w:r>
        <w:fldChar w:fldCharType="begin"/>
      </w:r>
      <w:r>
        <w:instrText xml:space="preserve"> XE "</w:instrText>
      </w:r>
      <w:r w:rsidRPr="00463AF4">
        <w:instrText>Reserve Bank</w:instrText>
      </w:r>
      <w:r>
        <w:instrText xml:space="preserve"> of Australia" </w:instrText>
      </w:r>
      <w:r>
        <w:fldChar w:fldCharType="end"/>
      </w:r>
      <w:r>
        <w:rPr>
          <w:rStyle w:val="FootnoteReference"/>
        </w:rPr>
        <w:footnoteReference w:id="1"/>
      </w:r>
      <w:r>
        <w:t xml:space="preserve"> expects Australian economic growth to be below trend at around 2.5 per cent</w:t>
      </w:r>
      <w:r w:rsidRPr="002A57D2">
        <w:t xml:space="preserve"> over 2013 before picking up to just under 3</w:t>
      </w:r>
      <w:r>
        <w:t> per cent over </w:t>
      </w:r>
      <w:r w:rsidRPr="002A57D2">
        <w:t>2014.</w:t>
      </w:r>
      <w:r>
        <w:t xml:space="preserve"> </w:t>
      </w:r>
    </w:p>
    <w:p w:rsidR="0070375D" w:rsidRDefault="0070375D" w:rsidP="00230E51">
      <w:r w:rsidRPr="00111C0B">
        <w:t>National employment growth</w:t>
      </w:r>
      <w:r>
        <w:fldChar w:fldCharType="begin"/>
      </w:r>
      <w:r>
        <w:instrText xml:space="preserve"> XE "</w:instrText>
      </w:r>
      <w:r w:rsidRPr="00F94217">
        <w:instrText>Labour market:Employment growth</w:instrText>
      </w:r>
      <w:r>
        <w:instrText xml:space="preserve">" </w:instrText>
      </w:r>
      <w:r>
        <w:fldChar w:fldCharType="end"/>
      </w:r>
      <w:r w:rsidRPr="00111C0B">
        <w:t xml:space="preserve"> was below trend in 2011</w:t>
      </w:r>
      <w:r w:rsidR="00276239">
        <w:noBreakHyphen/>
      </w:r>
      <w:r w:rsidRPr="00111C0B">
        <w:t>12 at 1.1</w:t>
      </w:r>
      <w:r>
        <w:t xml:space="preserve"> per cent. </w:t>
      </w:r>
      <w:r w:rsidRPr="00111C0B">
        <w:t>There wa</w:t>
      </w:r>
      <w:r>
        <w:t>s some strength in the resource</w:t>
      </w:r>
      <w:r w:rsidR="00276239">
        <w:noBreakHyphen/>
      </w:r>
      <w:r w:rsidRPr="00111C0B">
        <w:t xml:space="preserve">rich states </w:t>
      </w:r>
      <w:r>
        <w:t>which</w:t>
      </w:r>
      <w:r w:rsidRPr="00111C0B">
        <w:t xml:space="preserve"> were the only states to record growth stronger than the </w:t>
      </w:r>
      <w:r>
        <w:t>national average</w:t>
      </w:r>
      <w:r w:rsidRPr="00111C0B">
        <w:t>. Despite below trend employment growth, the national unemployment rate</w:t>
      </w:r>
      <w:r>
        <w:fldChar w:fldCharType="begin"/>
      </w:r>
      <w:r>
        <w:instrText xml:space="preserve"> XE "</w:instrText>
      </w:r>
      <w:r w:rsidRPr="00EC6929">
        <w:instrText>Unemployment:Unemployment rate</w:instrText>
      </w:r>
      <w:r>
        <w:instrText xml:space="preserve">" </w:instrText>
      </w:r>
      <w:r>
        <w:fldChar w:fldCharType="end"/>
      </w:r>
      <w:r w:rsidRPr="00111C0B">
        <w:t xml:space="preserve"> has only increased </w:t>
      </w:r>
      <w:r>
        <w:t>marginally</w:t>
      </w:r>
      <w:r w:rsidRPr="00111C0B">
        <w:t xml:space="preserve"> over the past year. At the same time the </w:t>
      </w:r>
    </w:p>
    <w:p w:rsidR="0070375D" w:rsidRDefault="0070375D">
      <w:pPr>
        <w:spacing w:after="0"/>
      </w:pPr>
      <w:r>
        <w:br w:type="page"/>
      </w:r>
    </w:p>
    <w:p w:rsidR="0070375D" w:rsidRDefault="0070375D" w:rsidP="00230E51">
      <w:r w:rsidRPr="00111C0B">
        <w:lastRenderedPageBreak/>
        <w:t>participation rate</w:t>
      </w:r>
      <w:r>
        <w:fldChar w:fldCharType="begin"/>
      </w:r>
      <w:r>
        <w:instrText xml:space="preserve"> XE "</w:instrText>
      </w:r>
      <w:r w:rsidRPr="007F4553">
        <w:instrText>Labour market:Labour force participation</w:instrText>
      </w:r>
      <w:r>
        <w:instrText xml:space="preserve">" </w:instrText>
      </w:r>
      <w:r>
        <w:fldChar w:fldCharType="end"/>
      </w:r>
      <w:r w:rsidRPr="00111C0B">
        <w:t xml:space="preserve"> has eased slightly. Leading indicators point towards modest employment growth in the near term, with pressures on parts of the domestic economy and the global outlook likely to weigh on hiring decisions. </w:t>
      </w:r>
    </w:p>
    <w:p w:rsidR="0070375D" w:rsidRPr="002C1F61" w:rsidRDefault="0070375D" w:rsidP="004816CA">
      <w:pPr>
        <w:pStyle w:val="Heading1"/>
      </w:pPr>
      <w:bookmarkStart w:id="13" w:name="_Toc355372022"/>
      <w:r w:rsidRPr="004816CA">
        <w:t>International</w:t>
      </w:r>
      <w:r w:rsidRPr="002C1F61">
        <w:t xml:space="preserve"> economic conditions and outlook</w:t>
      </w:r>
      <w:bookmarkEnd w:id="13"/>
    </w:p>
    <w:p w:rsidR="0070375D" w:rsidRDefault="0070375D" w:rsidP="005E2F2A">
      <w:pPr>
        <w:tabs>
          <w:tab w:val="left" w:pos="3060"/>
        </w:tabs>
      </w:pPr>
      <w:r>
        <w:t>The risks to the global growth outlook have lessened and appear to be more balanced. The International Monetary Fund</w:t>
      </w:r>
      <w:r>
        <w:fldChar w:fldCharType="begin"/>
      </w:r>
      <w:r>
        <w:instrText xml:space="preserve"> XE "</w:instrText>
      </w:r>
      <w:r w:rsidRPr="00463AF4">
        <w:instrText>International Monetary Fund</w:instrText>
      </w:r>
      <w:r>
        <w:instrText xml:space="preserve">" </w:instrText>
      </w:r>
      <w:r>
        <w:fldChar w:fldCharType="end"/>
      </w:r>
      <w:r>
        <w:rPr>
          <w:rStyle w:val="FootnoteReference"/>
        </w:rPr>
        <w:footnoteReference w:id="2"/>
      </w:r>
      <w:r>
        <w:t xml:space="preserve"> expects an ongoing gradual mending of the global economy for 2013 with growth forecast to accelerate in 2014. </w:t>
      </w:r>
    </w:p>
    <w:p w:rsidR="0070375D" w:rsidRDefault="0070375D" w:rsidP="00371AFF">
      <w:r>
        <w:t>Economic g</w:t>
      </w:r>
      <w:r w:rsidRPr="001973A6">
        <w:t>rowth is expected to remain solid in many emerging economies, which include some key trading partners of both Au</w:t>
      </w:r>
      <w:r>
        <w:t>stralia and Victoria (Chart 2.8). Growth has</w:t>
      </w:r>
      <w:r w:rsidRPr="001973A6">
        <w:t xml:space="preserve"> stabilised in China at what appears to be a sustainable pace while picking up in the rest of east Asia (excluding Japan).</w:t>
      </w:r>
    </w:p>
    <w:p w:rsidR="0070375D" w:rsidRPr="00CE304C" w:rsidRDefault="0070375D" w:rsidP="009C3AA8">
      <w:pPr>
        <w:pStyle w:val="Chartheading"/>
        <w:spacing w:before="200"/>
      </w:pPr>
      <w:r w:rsidRPr="00E1043C">
        <w:t>Chart 2.8:</w:t>
      </w:r>
      <w:r w:rsidRPr="00E1043C">
        <w:tab/>
        <w:t>Economic growth forecasts for Victoria</w:t>
      </w:r>
      <w:r w:rsidR="00276239">
        <w:t>’</w:t>
      </w:r>
      <w:r w:rsidRPr="00E1043C">
        <w:t>s main merchandise export destinations</w:t>
      </w:r>
      <w:r w:rsidRPr="00E1043C">
        <w:rPr>
          <w:vertAlign w:val="superscript"/>
        </w:rPr>
        <w:t>(a)</w:t>
      </w:r>
      <w:r w:rsidRPr="004A7F3C">
        <w:t xml:space="preserve"> </w:t>
      </w:r>
    </w:p>
    <w:p w:rsidR="0070375D" w:rsidRDefault="00315427" w:rsidP="009C3AA8">
      <w:pPr>
        <w:pStyle w:val="Chartpara"/>
      </w:pPr>
      <w:r>
        <w:pict>
          <v:shape id="_x0000_i1035" type="#_x0000_t75" style="width:381.75pt;height:259.5pt">
            <v:imagedata r:id="rId26" o:title=""/>
          </v:shape>
        </w:pict>
      </w:r>
    </w:p>
    <w:p w:rsidR="0070375D" w:rsidRDefault="0070375D" w:rsidP="00B45E03">
      <w:pPr>
        <w:pStyle w:val="Source"/>
      </w:pPr>
      <w:r w:rsidRPr="009C3AA8">
        <w:t>Sources: International Monetary Fund; Australian Bureau of Statistics</w:t>
      </w:r>
    </w:p>
    <w:p w:rsidR="0070375D" w:rsidRDefault="0070375D" w:rsidP="00B45E03">
      <w:pPr>
        <w:pStyle w:val="Notes"/>
      </w:pPr>
      <w:r>
        <w:fldChar w:fldCharType="begin"/>
      </w:r>
      <w:r>
        <w:instrText xml:space="preserve"> XE "</w:instrText>
      </w:r>
      <w:r w:rsidRPr="00463AF4">
        <w:instrText>Economic growth</w:instrText>
      </w:r>
      <w:r>
        <w:instrText xml:space="preserve">" </w:instrText>
      </w:r>
      <w:r>
        <w:fldChar w:fldCharType="end"/>
      </w:r>
      <w:r>
        <w:t>Note:</w:t>
      </w:r>
    </w:p>
    <w:p w:rsidR="0070375D" w:rsidRDefault="0070375D" w:rsidP="00B45E03">
      <w:pPr>
        <w:pStyle w:val="Notes"/>
      </w:pPr>
      <w:r>
        <w:t>(a)</w:t>
      </w:r>
      <w:r>
        <w:tab/>
        <w:t>The main trading partners growth rates are weighted averages of the growth rates for China, New Zealand, Japan and the US, with the weights being the value of Victorian merchandise exports to these destinations.</w:t>
      </w:r>
    </w:p>
    <w:p w:rsidR="0070375D" w:rsidRDefault="0070375D" w:rsidP="00B45E03">
      <w:pPr>
        <w:pStyle w:val="Notes"/>
      </w:pPr>
    </w:p>
    <w:p w:rsidR="0070375D" w:rsidRDefault="0070375D" w:rsidP="00C308A3">
      <w:r>
        <w:br w:type="page"/>
      </w:r>
      <w:r>
        <w:lastRenderedPageBreak/>
        <w:t>Economic weakness persists in Japan (a significant trading partner for Victoria). As a result, the Japanese government has recently adopted more expansionary macroeconomic policies. These measures are expected to assist the Japanese economy after years of stagnation.</w:t>
      </w:r>
    </w:p>
    <w:p w:rsidR="0070375D" w:rsidRDefault="0070375D" w:rsidP="00C308A3">
      <w:r>
        <w:t xml:space="preserve">The </w:t>
      </w:r>
      <w:r w:rsidRPr="00FD5B91">
        <w:t xml:space="preserve">US economy </w:t>
      </w:r>
      <w:r>
        <w:t>continues</w:t>
      </w:r>
      <w:r w:rsidRPr="00FD5B91">
        <w:t xml:space="preserve"> to grow moderately, with further improvement in the housing market, and </w:t>
      </w:r>
      <w:r>
        <w:t>the labour market showing signs of recovery. However, the downside risk in the medium</w:t>
      </w:r>
      <w:r w:rsidR="00276239">
        <w:noBreakHyphen/>
      </w:r>
      <w:r>
        <w:t>term for the US is the absence of a strong fiscal consolidation plan.</w:t>
      </w:r>
    </w:p>
    <w:p w:rsidR="0070375D" w:rsidRDefault="0070375D" w:rsidP="009C3AA8">
      <w:r w:rsidRPr="006B0D89">
        <w:t>While indicators of economic activity in the advanced economies have improved slightly, vulnerabilities remain, particularly in Europe</w:t>
      </w:r>
      <w:r>
        <w:fldChar w:fldCharType="begin"/>
      </w:r>
      <w:r>
        <w:instrText xml:space="preserve"> XE "</w:instrText>
      </w:r>
      <w:r w:rsidRPr="00463AF4">
        <w:instrText>Europe</w:instrText>
      </w:r>
      <w:r>
        <w:instrText xml:space="preserve">" </w:instrText>
      </w:r>
      <w:r>
        <w:fldChar w:fldCharType="end"/>
      </w:r>
      <w:r w:rsidRPr="006B0D89">
        <w:t>. Economic activity in the euro zone</w:t>
      </w:r>
      <w:r>
        <w:fldChar w:fldCharType="begin"/>
      </w:r>
      <w:r>
        <w:instrText xml:space="preserve"> XE "</w:instrText>
      </w:r>
      <w:r w:rsidRPr="00463AF4">
        <w:instrText>Euro zone</w:instrText>
      </w:r>
      <w:r>
        <w:instrText xml:space="preserve">" </w:instrText>
      </w:r>
      <w:r>
        <w:fldChar w:fldCharType="end"/>
      </w:r>
      <w:r w:rsidRPr="006B0D89">
        <w:t xml:space="preserve"> contracted further in 2012, with the growth</w:t>
      </w:r>
      <w:r>
        <w:t xml:space="preserve"> outlook for 2013 being subdued</w:t>
      </w:r>
      <w:r w:rsidRPr="006B0D89">
        <w:t>. The European Union</w:t>
      </w:r>
      <w:r w:rsidR="00276239">
        <w:t>’</w:t>
      </w:r>
      <w:r w:rsidRPr="006B0D89">
        <w:t>s deal to fund the bailout of Cyprus using bank deposits has the potential to aggravate future flights of capital in response to bad</w:t>
      </w:r>
      <w:r>
        <w:t xml:space="preserve"> news. In addition, record high </w:t>
      </w:r>
      <w:r w:rsidRPr="006B0D89">
        <w:t>unemployment in several of the larger euro zone economies is affecting economic growth.</w:t>
      </w:r>
    </w:p>
    <w:p w:rsidR="0070375D" w:rsidRDefault="0070375D" w:rsidP="009C3AA8">
      <w:r w:rsidRPr="00BC0F0D">
        <w:t>Nonetheless, the impact of a renewed European crisis on Victoria is expected to be softened by more positive developments in its major trading partners.</w:t>
      </w:r>
      <w:r>
        <w:t xml:space="preserve"> </w:t>
      </w:r>
    </w:p>
    <w:p w:rsidR="0070375D" w:rsidRPr="006B5A6C" w:rsidRDefault="0070375D" w:rsidP="006B5A6C">
      <w:pPr>
        <w:pStyle w:val="Heading2"/>
      </w:pPr>
      <w:r w:rsidRPr="0087710F">
        <w:t>Risks to the outlook</w:t>
      </w:r>
    </w:p>
    <w:p w:rsidR="0070375D" w:rsidRDefault="0070375D" w:rsidP="00152EB0">
      <w:r>
        <w:fldChar w:fldCharType="begin"/>
      </w:r>
      <w:r>
        <w:instrText xml:space="preserve"> XE "</w:instrText>
      </w:r>
      <w:r w:rsidRPr="00463AF4">
        <w:instrText>Risks to the outlook</w:instrText>
      </w:r>
      <w:r>
        <w:instrText xml:space="preserve">" </w:instrText>
      </w:r>
      <w:r>
        <w:fldChar w:fldCharType="end"/>
      </w:r>
      <w:r w:rsidRPr="00ED0868">
        <w:t>Economic growth</w:t>
      </w:r>
      <w:r>
        <w:fldChar w:fldCharType="begin"/>
      </w:r>
      <w:r>
        <w:instrText xml:space="preserve"> XE "</w:instrText>
      </w:r>
      <w:r w:rsidRPr="00463AF4">
        <w:instrText>Economic growth</w:instrText>
      </w:r>
      <w:r>
        <w:instrText xml:space="preserve">" </w:instrText>
      </w:r>
      <w:r>
        <w:fldChar w:fldCharType="end"/>
      </w:r>
      <w:r w:rsidRPr="00ED0868">
        <w:t xml:space="preserve"> could be stronger in 2013</w:t>
      </w:r>
      <w:r w:rsidR="00276239">
        <w:noBreakHyphen/>
      </w:r>
      <w:r w:rsidRPr="00ED0868">
        <w:t xml:space="preserve">14 and beyond. Global risks are receding compared to previous expectations and </w:t>
      </w:r>
      <w:r>
        <w:t xml:space="preserve">there have been </w:t>
      </w:r>
      <w:r w:rsidRPr="00ED0868">
        <w:t xml:space="preserve">a number of </w:t>
      </w:r>
      <w:r>
        <w:t>partial indicators showing strength</w:t>
      </w:r>
      <w:r w:rsidRPr="00ED0868">
        <w:t>. An improving Chinese economy due to domestic factors or an acceleration in the US economic recovery could</w:t>
      </w:r>
      <w:r w:rsidRPr="006B5A6C">
        <w:t xml:space="preserve"> improve </w:t>
      </w:r>
      <w:r>
        <w:t>Victoria</w:t>
      </w:r>
      <w:r w:rsidR="00276239">
        <w:t>’</w:t>
      </w:r>
      <w:r>
        <w:t>s</w:t>
      </w:r>
      <w:r w:rsidRPr="006B5A6C">
        <w:t xml:space="preserve"> trade position</w:t>
      </w:r>
      <w:r>
        <w:t xml:space="preserve"> both directly and as the benefits flow to our major trading partners. Improvements in productivity</w:t>
      </w:r>
      <w:r>
        <w:fldChar w:fldCharType="begin"/>
      </w:r>
      <w:r>
        <w:instrText xml:space="preserve"> XE "</w:instrText>
      </w:r>
      <w:r w:rsidRPr="00463AF4">
        <w:instrText>Productivity</w:instrText>
      </w:r>
      <w:r>
        <w:instrText xml:space="preserve">" </w:instrText>
      </w:r>
      <w:r>
        <w:fldChar w:fldCharType="end"/>
      </w:r>
      <w:r>
        <w:t xml:space="preserve"> as businesses adapt to competitiveness challenges and a more positive international environment would contribute to a stronger outlook. The fundamentals for both households and businesses remain strong, and along with a low interest rate</w:t>
      </w:r>
      <w:r>
        <w:fldChar w:fldCharType="begin"/>
      </w:r>
      <w:r>
        <w:instrText xml:space="preserve"> XE "</w:instrText>
      </w:r>
      <w:r w:rsidRPr="00B4431F">
        <w:instrText>Interest rate:Environment</w:instrText>
      </w:r>
      <w:r>
        <w:instrText xml:space="preserve">" </w:instrText>
      </w:r>
      <w:r>
        <w:fldChar w:fldCharType="end"/>
      </w:r>
      <w:r>
        <w:t xml:space="preserve"> environment may result in a stronger rebound than currently anticipated.</w:t>
      </w:r>
    </w:p>
    <w:p w:rsidR="0070375D" w:rsidRDefault="0070375D" w:rsidP="00152EB0">
      <w:r>
        <w:t xml:space="preserve">On the downside, should the international outlook deteriorate, with Europe remaining as a key risk, then local confidence could fall and domestic growth weaken. </w:t>
      </w:r>
      <w:r w:rsidRPr="00141DC3">
        <w:t xml:space="preserve">A European crisis is likely to impact Victoria through direct and indirect channels. Panic in international financial markets could undermine liquidity to Victorian businesses and consumers, raising borrowing costs. A worsening in the economic outlook for the euro zone </w:t>
      </w:r>
      <w:r>
        <w:t xml:space="preserve">or international security concerns </w:t>
      </w:r>
      <w:r w:rsidRPr="00141DC3">
        <w:t>could affect growth in Australia</w:t>
      </w:r>
      <w:r w:rsidR="00276239">
        <w:t>’</w:t>
      </w:r>
      <w:r w:rsidRPr="00141DC3">
        <w:t xml:space="preserve">s major trading partners. This </w:t>
      </w:r>
      <w:r>
        <w:t>could</w:t>
      </w:r>
      <w:r w:rsidRPr="00141DC3">
        <w:t xml:space="preserve"> </w:t>
      </w:r>
      <w:r>
        <w:t>be reflected</w:t>
      </w:r>
      <w:r w:rsidRPr="00141DC3">
        <w:t xml:space="preserve"> not only </w:t>
      </w:r>
      <w:r>
        <w:t>in Victoria</w:t>
      </w:r>
      <w:r w:rsidR="00276239">
        <w:t>’</w:t>
      </w:r>
      <w:r>
        <w:t>s</w:t>
      </w:r>
      <w:r w:rsidRPr="00141DC3">
        <w:t xml:space="preserve"> international exports</w:t>
      </w:r>
      <w:r>
        <w:fldChar w:fldCharType="begin"/>
      </w:r>
      <w:r>
        <w:instrText xml:space="preserve"> XE "</w:instrText>
      </w:r>
      <w:r w:rsidRPr="00463AF4">
        <w:instrText>Exports</w:instrText>
      </w:r>
      <w:r>
        <w:instrText xml:space="preserve">" </w:instrText>
      </w:r>
      <w:r>
        <w:fldChar w:fldCharType="end"/>
      </w:r>
      <w:r w:rsidRPr="00141DC3">
        <w:t xml:space="preserve">, but also interstate exports as demand for our </w:t>
      </w:r>
      <w:r>
        <w:t>goods and</w:t>
      </w:r>
      <w:r w:rsidRPr="00141DC3">
        <w:t xml:space="preserve"> services declines</w:t>
      </w:r>
      <w:r w:rsidRPr="00ED0868">
        <w:t xml:space="preserve"> </w:t>
      </w:r>
      <w:r w:rsidRPr="00141DC3">
        <w:t>in other states.</w:t>
      </w:r>
    </w:p>
    <w:p w:rsidR="0070375D" w:rsidRDefault="0070375D" w:rsidP="00152EB0">
      <w:r>
        <w:t>A</w:t>
      </w:r>
      <w:r w:rsidRPr="00141DC3">
        <w:t xml:space="preserve"> significant fall in the value of the Australian dollar</w:t>
      </w:r>
      <w:r>
        <w:fldChar w:fldCharType="begin"/>
      </w:r>
      <w:r>
        <w:instrText xml:space="preserve"> XE "</w:instrText>
      </w:r>
      <w:r w:rsidRPr="00463AF4">
        <w:instrText>Australian dollar</w:instrText>
      </w:r>
      <w:r>
        <w:instrText xml:space="preserve">" </w:instrText>
      </w:r>
      <w:r>
        <w:fldChar w:fldCharType="end"/>
      </w:r>
      <w:r w:rsidRPr="00141DC3">
        <w:t>, should it occur, would put upward</w:t>
      </w:r>
      <w:r>
        <w:t xml:space="preserve"> pressure on the inflation</w:t>
      </w:r>
      <w:r>
        <w:fldChar w:fldCharType="begin"/>
      </w:r>
      <w:r>
        <w:instrText xml:space="preserve"> XE "</w:instrText>
      </w:r>
      <w:r w:rsidRPr="00463AF4">
        <w:instrText>Inflation</w:instrText>
      </w:r>
      <w:r>
        <w:instrText xml:space="preserve">" </w:instrText>
      </w:r>
      <w:r>
        <w:fldChar w:fldCharType="end"/>
      </w:r>
      <w:r>
        <w:t xml:space="preserve"> rate. But it would also </w:t>
      </w:r>
      <w:r w:rsidRPr="00141DC3">
        <w:t>ease pressure on exporters and import competitors.</w:t>
      </w:r>
      <w:r>
        <w:t xml:space="preserve"> </w:t>
      </w:r>
    </w:p>
    <w:p w:rsidR="0070375D" w:rsidRDefault="0070375D" w:rsidP="00152EB0"/>
    <w:p w:rsidR="00F00A93" w:rsidRDefault="00F00A93">
      <w:pPr>
        <w:spacing w:after="0"/>
      </w:pPr>
      <w:r>
        <w:br w:type="page"/>
      </w:r>
    </w:p>
    <w:p w:rsidR="0070375D" w:rsidRDefault="0070375D" w:rsidP="00497606"/>
    <w:p w:rsidR="0070375D" w:rsidRDefault="0070375D" w:rsidP="00497606"/>
    <w:p w:rsidR="0070375D" w:rsidRDefault="0070375D" w:rsidP="009B7F27">
      <w:pPr>
        <w:sectPr w:rsidR="0070375D" w:rsidSect="004816CA">
          <w:footerReference w:type="even" r:id="rId27"/>
          <w:footerReference w:type="default" r:id="rId28"/>
          <w:type w:val="oddPage"/>
          <w:pgSz w:w="9979" w:h="14170" w:code="34"/>
          <w:pgMar w:top="1138" w:right="1138" w:bottom="1138" w:left="1138" w:header="720" w:footer="720" w:gutter="0"/>
          <w:cols w:space="708"/>
          <w:docGrid w:linePitch="360"/>
        </w:sectPr>
      </w:pPr>
    </w:p>
    <w:p w:rsidR="0070375D" w:rsidRDefault="0070375D" w:rsidP="00496EA2">
      <w:pPr>
        <w:pStyle w:val="ChapterHeading"/>
      </w:pPr>
      <w:bookmarkStart w:id="14" w:name="_Toc355372023"/>
      <w:r>
        <w:lastRenderedPageBreak/>
        <w:t>Chapter 3 – Long</w:t>
      </w:r>
      <w:r w:rsidR="00276239">
        <w:noBreakHyphen/>
      </w:r>
      <w:r>
        <w:t xml:space="preserve">term </w:t>
      </w:r>
      <w:r w:rsidRPr="00496EA2">
        <w:t>economic</w:t>
      </w:r>
      <w:r>
        <w:rPr>
          <w:caps w:val="0"/>
        </w:rPr>
        <w:t xml:space="preserve"> </w:t>
      </w:r>
      <w:r>
        <w:t>and fiscal outlook</w:t>
      </w:r>
      <w:bookmarkEnd w:id="14"/>
    </w:p>
    <w:p w:rsidR="0070375D" w:rsidRDefault="0070375D" w:rsidP="00143DE0">
      <w:pPr>
        <w:pStyle w:val="HighlightBoxBullet"/>
        <w:tabs>
          <w:tab w:val="clear" w:pos="360"/>
          <w:tab w:val="num" w:pos="90"/>
        </w:tabs>
        <w:ind w:left="450"/>
      </w:pPr>
      <w:r w:rsidRPr="00C33D16">
        <w:t>Victoria</w:t>
      </w:r>
      <w:r w:rsidR="00276239">
        <w:t>’</w:t>
      </w:r>
      <w:r w:rsidRPr="00C33D16">
        <w:t>s long</w:t>
      </w:r>
      <w:r w:rsidR="00276239">
        <w:noBreakHyphen/>
      </w:r>
      <w:r w:rsidRPr="00C33D16">
        <w:t>term economic outlook</w:t>
      </w:r>
      <w:r>
        <w:fldChar w:fldCharType="begin"/>
      </w:r>
      <w:r>
        <w:instrText xml:space="preserve"> XE "</w:instrText>
      </w:r>
      <w:r w:rsidRPr="00C20031">
        <w:instrText>Economic outlook</w:instrText>
      </w:r>
      <w:r>
        <w:instrText xml:space="preserve">" </w:instrText>
      </w:r>
      <w:r>
        <w:fldChar w:fldCharType="end"/>
      </w:r>
      <w:r w:rsidRPr="00C33D16">
        <w:t xml:space="preserve"> is strong</w:t>
      </w:r>
      <w:r>
        <w:t>, but</w:t>
      </w:r>
      <w:r w:rsidRPr="00C33D16">
        <w:t xml:space="preserve"> </w:t>
      </w:r>
      <w:r>
        <w:t xml:space="preserve">(as is the case nationally) is not expected to return to </w:t>
      </w:r>
      <w:r w:rsidRPr="00C33D16">
        <w:t xml:space="preserve">levels seen </w:t>
      </w:r>
      <w:r>
        <w:t xml:space="preserve">in the two decades </w:t>
      </w:r>
      <w:r w:rsidRPr="00C33D16">
        <w:t>prior to the global financial crisis</w:t>
      </w:r>
      <w:r>
        <w:fldChar w:fldCharType="begin"/>
      </w:r>
      <w:r>
        <w:instrText xml:space="preserve"> XE "</w:instrText>
      </w:r>
      <w:r w:rsidRPr="00C20031">
        <w:instrText>Global financial crisis</w:instrText>
      </w:r>
      <w:r>
        <w:instrText xml:space="preserve">" </w:instrText>
      </w:r>
      <w:r>
        <w:fldChar w:fldCharType="end"/>
      </w:r>
      <w:r w:rsidRPr="00C33D16">
        <w:t xml:space="preserve">. </w:t>
      </w:r>
      <w:r>
        <w:t>Long</w:t>
      </w:r>
      <w:r w:rsidR="00276239">
        <w:noBreakHyphen/>
      </w:r>
      <w:r w:rsidRPr="00C33D16">
        <w:t>term economic growth</w:t>
      </w:r>
      <w:r>
        <w:fldChar w:fldCharType="begin"/>
      </w:r>
      <w:r>
        <w:instrText xml:space="preserve"> XE "</w:instrText>
      </w:r>
      <w:r w:rsidRPr="00407B3B">
        <w:instrText>Economic</w:instrText>
      </w:r>
      <w:r>
        <w:instrText xml:space="preserve"> growth</w:instrText>
      </w:r>
      <w:r w:rsidRPr="00407B3B">
        <w:instrText>:Victoria</w:instrText>
      </w:r>
      <w:r>
        <w:instrText xml:space="preserve">" </w:instrText>
      </w:r>
      <w:r>
        <w:fldChar w:fldCharType="end"/>
      </w:r>
      <w:r w:rsidRPr="00C33D16">
        <w:t xml:space="preserve"> is likely to average 2.75</w:t>
      </w:r>
      <w:r>
        <w:t> per cent</w:t>
      </w:r>
      <w:r w:rsidRPr="00C33D16">
        <w:t xml:space="preserve"> per year rather than the 3.5</w:t>
      </w:r>
      <w:r>
        <w:t> per cent</w:t>
      </w:r>
      <w:r w:rsidRPr="00C33D16">
        <w:t xml:space="preserve"> per year recorded in the late 1990s and e</w:t>
      </w:r>
      <w:r>
        <w:t>arly 2000s.</w:t>
      </w:r>
    </w:p>
    <w:p w:rsidR="0070375D" w:rsidRPr="00C33D16" w:rsidRDefault="0070375D" w:rsidP="00143DE0">
      <w:pPr>
        <w:pStyle w:val="HighlightBoxBullet"/>
        <w:tabs>
          <w:tab w:val="clear" w:pos="360"/>
          <w:tab w:val="num" w:pos="90"/>
        </w:tabs>
        <w:ind w:left="450"/>
      </w:pPr>
      <w:r>
        <w:t xml:space="preserve">This demands a strong policy response focussed on key building blocks that drive long term growth: </w:t>
      </w:r>
      <w:r w:rsidRPr="00C33D16">
        <w:t>greater productivity</w:t>
      </w:r>
      <w:r>
        <w:fldChar w:fldCharType="begin"/>
      </w:r>
      <w:r>
        <w:instrText xml:space="preserve"> XE "</w:instrText>
      </w:r>
      <w:r w:rsidRPr="00C20031">
        <w:instrText>Productivity</w:instrText>
      </w:r>
      <w:r>
        <w:instrText xml:space="preserve">" </w:instrText>
      </w:r>
      <w:r>
        <w:fldChar w:fldCharType="end"/>
      </w:r>
      <w:r w:rsidRPr="00C33D16">
        <w:t xml:space="preserve">, strong finances, efficient services, low taxes and a climate conducive to investment. </w:t>
      </w:r>
    </w:p>
    <w:p w:rsidR="0070375D" w:rsidRPr="00476313" w:rsidRDefault="0070375D" w:rsidP="00143DE0">
      <w:pPr>
        <w:pStyle w:val="HighlightBoxBullet"/>
        <w:tabs>
          <w:tab w:val="clear" w:pos="360"/>
          <w:tab w:val="num" w:pos="90"/>
        </w:tabs>
        <w:ind w:left="450"/>
      </w:pPr>
      <w:r>
        <w:t>The r</w:t>
      </w:r>
      <w:r w:rsidRPr="00476313">
        <w:t>evenue outlook for the State is positive and likely to recover to an annual average growth rate of 4.0 per cent over the forward estimates. However, growth is unlikely to return to the rates of the last decade due to a lower level of</w:t>
      </w:r>
      <w:r>
        <w:t xml:space="preserve"> forecast economic growth,</w:t>
      </w:r>
      <w:r w:rsidRPr="00476313">
        <w:t xml:space="preserve"> and the changing composition of economic growth </w:t>
      </w:r>
      <w:r>
        <w:t xml:space="preserve">which is less skewed towards key revenue lines. </w:t>
      </w:r>
      <w:r w:rsidR="006F0E0F">
        <w:t>For Victoria, these trends are exacerbated by a consistently low share of the GST pool.</w:t>
      </w:r>
    </w:p>
    <w:p w:rsidR="0070375D" w:rsidRDefault="0070375D" w:rsidP="00143DE0">
      <w:pPr>
        <w:pStyle w:val="HighlightBoxBullet"/>
        <w:tabs>
          <w:tab w:val="clear" w:pos="360"/>
          <w:tab w:val="num" w:pos="90"/>
        </w:tabs>
        <w:ind w:left="450"/>
      </w:pPr>
      <w:r>
        <w:t>The Commonwealth Government is also experiencing fiscal pressures</w:t>
      </w:r>
      <w:r w:rsidRPr="00C33D16">
        <w:t xml:space="preserve">. </w:t>
      </w:r>
      <w:r>
        <w:t>There is</w:t>
      </w:r>
      <w:r w:rsidRPr="00C33D16">
        <w:t xml:space="preserve"> a substantial risk that the Commonwealth will seek to alleviate its budget pressures by reducing grants or increasing cost shifting to the states. In a number of areas, the Commonwealth has raised service delivery</w:t>
      </w:r>
      <w:r>
        <w:fldChar w:fldCharType="begin"/>
      </w:r>
      <w:r>
        <w:instrText xml:space="preserve"> XE "</w:instrText>
      </w:r>
      <w:r w:rsidRPr="00C20031">
        <w:instrText>Service delivery</w:instrText>
      </w:r>
      <w:r>
        <w:instrText xml:space="preserve">" </w:instrText>
      </w:r>
      <w:r>
        <w:fldChar w:fldCharType="end"/>
      </w:r>
      <w:r w:rsidRPr="00C33D16">
        <w:t xml:space="preserve"> expectations in areas of state responsibility without </w:t>
      </w:r>
      <w:r>
        <w:t xml:space="preserve">providing </w:t>
      </w:r>
      <w:r w:rsidRPr="00C33D16">
        <w:t>appropriate funding support</w:t>
      </w:r>
      <w:r>
        <w:t>.</w:t>
      </w:r>
    </w:p>
    <w:p w:rsidR="0070375D" w:rsidRDefault="0070375D" w:rsidP="00143DE0">
      <w:pPr>
        <w:pStyle w:val="HighlightBoxBullet"/>
        <w:tabs>
          <w:tab w:val="clear" w:pos="360"/>
          <w:tab w:val="num" w:pos="90"/>
        </w:tabs>
        <w:ind w:left="450"/>
      </w:pPr>
      <w:r>
        <w:t xml:space="preserve">Increasing public debt is not the answer to revenue or economic growth pressures. State governments cannot accumulate </w:t>
      </w:r>
      <w:r w:rsidRPr="00787A5D">
        <w:rPr>
          <w:szCs w:val="22"/>
        </w:rPr>
        <w:t>significant</w:t>
      </w:r>
      <w:r>
        <w:rPr>
          <w:szCs w:val="22"/>
        </w:rPr>
        <w:t xml:space="preserve"> </w:t>
      </w:r>
      <w:r>
        <w:t>debt without compromising service delivery capacity and tax competitiveness in future years.</w:t>
      </w:r>
    </w:p>
    <w:p w:rsidR="0070375D" w:rsidRPr="00EF0D10" w:rsidRDefault="0070375D" w:rsidP="00143DE0">
      <w:pPr>
        <w:pStyle w:val="HighlightBoxBullet"/>
        <w:tabs>
          <w:tab w:val="clear" w:pos="360"/>
          <w:tab w:val="num" w:pos="90"/>
        </w:tabs>
        <w:ind w:left="450"/>
      </w:pPr>
      <w:r w:rsidRPr="00EF0D10">
        <w:t>The Government</w:t>
      </w:r>
      <w:r>
        <w:t xml:space="preserve"> has a strong </w:t>
      </w:r>
      <w:r w:rsidRPr="00EF0D10">
        <w:t>economic and fiscal strategy based on strengthening the State</w:t>
      </w:r>
      <w:r w:rsidR="00276239">
        <w:t>’</w:t>
      </w:r>
      <w:r w:rsidRPr="00EF0D10">
        <w:t>s finances, improving productivity</w:t>
      </w:r>
      <w:r>
        <w:fldChar w:fldCharType="begin"/>
      </w:r>
      <w:r>
        <w:instrText xml:space="preserve"> XE "</w:instrText>
      </w:r>
      <w:r w:rsidRPr="00C20031">
        <w:instrText>Productivity</w:instrText>
      </w:r>
      <w:r>
        <w:instrText xml:space="preserve">" </w:instrText>
      </w:r>
      <w:r>
        <w:fldChar w:fldCharType="end"/>
      </w:r>
      <w:r w:rsidRPr="00EF0D10">
        <w:t xml:space="preserve"> growth, targeting spend</w:t>
      </w:r>
      <w:r>
        <w:t>ing to improve service delivery</w:t>
      </w:r>
      <w:r w:rsidRPr="00EF0D10">
        <w:t xml:space="preserve"> and investing in high quality infrastructure</w:t>
      </w:r>
      <w:r>
        <w:fldChar w:fldCharType="begin"/>
      </w:r>
      <w:r>
        <w:instrText xml:space="preserve"> XE "</w:instrText>
      </w:r>
      <w:r w:rsidRPr="00C20031">
        <w:instrText>Infrastructure</w:instrText>
      </w:r>
      <w:r>
        <w:instrText xml:space="preserve">" </w:instrText>
      </w:r>
      <w:r>
        <w:fldChar w:fldCharType="end"/>
      </w:r>
      <w:r w:rsidRPr="00EF0D10">
        <w:t>.</w:t>
      </w:r>
    </w:p>
    <w:p w:rsidR="0070375D" w:rsidRPr="00C33D16" w:rsidRDefault="0070375D" w:rsidP="00496EA2">
      <w:pPr>
        <w:pStyle w:val="Heading1"/>
      </w:pPr>
      <w:r>
        <w:br w:type="page"/>
      </w:r>
      <w:bookmarkStart w:id="15" w:name="_Toc355372024"/>
      <w:r w:rsidRPr="00496EA2">
        <w:lastRenderedPageBreak/>
        <w:t>Future</w:t>
      </w:r>
      <w:r w:rsidRPr="00C33D16">
        <w:rPr>
          <w:caps w:val="0"/>
        </w:rPr>
        <w:t xml:space="preserve"> </w:t>
      </w:r>
      <w:r w:rsidRPr="00C33D16">
        <w:t>growth must come from strong fundamentals</w:t>
      </w:r>
      <w:bookmarkEnd w:id="15"/>
    </w:p>
    <w:p w:rsidR="0070375D" w:rsidRDefault="0070375D" w:rsidP="00353D5D">
      <w:r w:rsidRPr="00C33D16">
        <w:t>Victoria</w:t>
      </w:r>
      <w:r w:rsidR="00276239">
        <w:t>’</w:t>
      </w:r>
      <w:r w:rsidRPr="00C33D16">
        <w:t>s economic outlook</w:t>
      </w:r>
      <w:r>
        <w:fldChar w:fldCharType="begin"/>
      </w:r>
      <w:r>
        <w:instrText xml:space="preserve"> XE "</w:instrText>
      </w:r>
      <w:r w:rsidRPr="00C20031">
        <w:instrText>Economic outlook</w:instrText>
      </w:r>
      <w:r>
        <w:instrText xml:space="preserve">" </w:instrText>
      </w:r>
      <w:r>
        <w:fldChar w:fldCharType="end"/>
      </w:r>
      <w:r w:rsidRPr="00C33D16">
        <w:t xml:space="preserve"> is strong</w:t>
      </w:r>
      <w:r>
        <w:t>, but</w:t>
      </w:r>
      <w:r w:rsidR="006F0E0F">
        <w:t xml:space="preserve"> (as is the case throughout Australia) </w:t>
      </w:r>
      <w:r>
        <w:t>economic growth is unlikely to return to levels seen prior to the global financial crisis. G</w:t>
      </w:r>
      <w:r w:rsidRPr="00C33D16">
        <w:t>rowth over the last two decades was driven by factors that are unlikely to be repeated. The medium</w:t>
      </w:r>
      <w:r w:rsidR="00276239">
        <w:noBreakHyphen/>
      </w:r>
      <w:r w:rsidRPr="00C33D16">
        <w:t>term estimate of trend economic growth</w:t>
      </w:r>
      <w:r>
        <w:fldChar w:fldCharType="begin"/>
      </w:r>
      <w:r>
        <w:instrText xml:space="preserve"> XE "</w:instrText>
      </w:r>
      <w:r w:rsidRPr="005F6D2C">
        <w:instrText>Economic growth:Victoria</w:instrText>
      </w:r>
      <w:r>
        <w:instrText xml:space="preserve">" </w:instrText>
      </w:r>
      <w:r>
        <w:fldChar w:fldCharType="end"/>
      </w:r>
      <w:r w:rsidRPr="00C33D16">
        <w:t xml:space="preserve"> is 2.75</w:t>
      </w:r>
      <w:r>
        <w:t> per cent</w:t>
      </w:r>
      <w:r w:rsidRPr="00C33D16">
        <w:t>, compared with 3.5</w:t>
      </w:r>
      <w:r>
        <w:t> per cent</w:t>
      </w:r>
      <w:r w:rsidRPr="00C33D16">
        <w:t xml:space="preserve"> a decade ago. This is close to the national growth trend outlook of 3</w:t>
      </w:r>
      <w:r>
        <w:t> per cent</w:t>
      </w:r>
      <w:r w:rsidRPr="00C33D16">
        <w:t>.</w:t>
      </w:r>
      <w:r>
        <w:t xml:space="preserve"> </w:t>
      </w:r>
    </w:p>
    <w:p w:rsidR="0070375D" w:rsidRPr="00413778" w:rsidRDefault="0070375D" w:rsidP="00472E53">
      <w:pPr>
        <w:pStyle w:val="Chartheading"/>
      </w:pPr>
      <w:r w:rsidRPr="00413778">
        <w:t>Chart 3.1:</w:t>
      </w:r>
      <w:r w:rsidRPr="00413778">
        <w:tab/>
        <w:t xml:space="preserve">Victorian </w:t>
      </w:r>
      <w:r>
        <w:t xml:space="preserve">historical </w:t>
      </w:r>
      <w:r w:rsidR="006F0E0F">
        <w:t>real GSP</w:t>
      </w:r>
      <w:r w:rsidR="006F0E0F" w:rsidRPr="006F0E0F">
        <w:rPr>
          <w:vertAlign w:val="superscript"/>
        </w:rPr>
        <w:t>(a)</w:t>
      </w:r>
    </w:p>
    <w:p w:rsidR="0070375D" w:rsidRDefault="00315427" w:rsidP="0016039E">
      <w:pPr>
        <w:pStyle w:val="Chartpara"/>
      </w:pPr>
      <w:r>
        <w:pict>
          <v:shape id="_x0000_i1036" type="#_x0000_t75" style="width:378.75pt;height:221.25pt">
            <v:imagedata r:id="rId29" o:title=""/>
          </v:shape>
        </w:pict>
      </w:r>
    </w:p>
    <w:p w:rsidR="0070375D" w:rsidRPr="00042ADB" w:rsidRDefault="0070375D" w:rsidP="0016039E">
      <w:pPr>
        <w:pStyle w:val="Source"/>
      </w:pPr>
      <w:r w:rsidRPr="00C01618">
        <w:t>Source: Department of Treasury and Finance; Australian Bureau of Statistics</w:t>
      </w:r>
    </w:p>
    <w:p w:rsidR="0070375D" w:rsidRDefault="0070375D" w:rsidP="008C7E57">
      <w:pPr>
        <w:pStyle w:val="Notes"/>
      </w:pPr>
      <w:r>
        <w:fldChar w:fldCharType="begin"/>
      </w:r>
      <w:r>
        <w:instrText xml:space="preserve"> XE "</w:instrText>
      </w:r>
      <w:r w:rsidRPr="00C20031">
        <w:instrText>Gross state product</w:instrText>
      </w:r>
      <w:r>
        <w:instrText xml:space="preserve">" </w:instrText>
      </w:r>
      <w:r>
        <w:fldChar w:fldCharType="end"/>
      </w:r>
      <w:r w:rsidRPr="003E66F6">
        <w:t>Note</w:t>
      </w:r>
      <w:r>
        <w:t>:</w:t>
      </w:r>
    </w:p>
    <w:p w:rsidR="0070375D" w:rsidRDefault="0070375D" w:rsidP="008C7E57">
      <w:pPr>
        <w:pStyle w:val="Notes"/>
      </w:pPr>
      <w:r>
        <w:t>(a)</w:t>
      </w:r>
      <w:r>
        <w:tab/>
        <w:t>Data prior to 1989</w:t>
      </w:r>
      <w:r w:rsidR="00276239">
        <w:noBreakHyphen/>
      </w:r>
      <w:r w:rsidRPr="008C7E57">
        <w:t>90</w:t>
      </w:r>
      <w:r>
        <w:t xml:space="preserve"> are calculated using growth rates from a constant price GSP series.</w:t>
      </w:r>
    </w:p>
    <w:p w:rsidR="0070375D" w:rsidRPr="008C7E57" w:rsidRDefault="0070375D" w:rsidP="008C7E57">
      <w:pPr>
        <w:pStyle w:val="Source"/>
      </w:pPr>
    </w:p>
    <w:p w:rsidR="0070375D" w:rsidRDefault="0070375D" w:rsidP="008C7E57">
      <w:r w:rsidRPr="00BE3741">
        <w:t xml:space="preserve">The very strong growth </w:t>
      </w:r>
      <w:r>
        <w:t>(</w:t>
      </w:r>
      <w:r w:rsidRPr="00BE3741">
        <w:t xml:space="preserve">of </w:t>
      </w:r>
      <w:r>
        <w:t xml:space="preserve">up to </w:t>
      </w:r>
      <w:r w:rsidRPr="00BE3741">
        <w:t>4</w:t>
      </w:r>
      <w:r>
        <w:t> per cent</w:t>
      </w:r>
      <w:r w:rsidRPr="00BE3741">
        <w:t xml:space="preserve"> </w:t>
      </w:r>
      <w:r>
        <w:t xml:space="preserve">average annual growth) </w:t>
      </w:r>
      <w:r w:rsidRPr="00BE3741">
        <w:t xml:space="preserve">over the last two decades was driven by </w:t>
      </w:r>
      <w:r>
        <w:t xml:space="preserve">exceptional </w:t>
      </w:r>
      <w:r w:rsidRPr="00BE3741">
        <w:t xml:space="preserve">factors. During the early 1990s Victoria was recovering from a severe recession and experienced high growth rates as the </w:t>
      </w:r>
      <w:r>
        <w:t>economy utilised excess capacity. During the</w:t>
      </w:r>
      <w:r w:rsidRPr="00BE3741">
        <w:t xml:space="preserve"> late 1990s and early 2000s</w:t>
      </w:r>
      <w:r>
        <w:t>,</w:t>
      </w:r>
      <w:r w:rsidRPr="00BE3741">
        <w:t xml:space="preserve"> Victoria benefited </w:t>
      </w:r>
      <w:r w:rsidRPr="00CF2B45">
        <w:t>from strong productivity</w:t>
      </w:r>
      <w:r>
        <w:fldChar w:fldCharType="begin"/>
      </w:r>
      <w:r>
        <w:instrText xml:space="preserve"> XE "</w:instrText>
      </w:r>
      <w:r w:rsidRPr="00C20031">
        <w:instrText>Productivity</w:instrText>
      </w:r>
      <w:r>
        <w:instrText xml:space="preserve">" </w:instrText>
      </w:r>
      <w:r>
        <w:fldChar w:fldCharType="end"/>
      </w:r>
      <w:r w:rsidRPr="00CF2B45">
        <w:t xml:space="preserve"> growth flowing from microeconomic reform. In the mid 2000s, growth was supported</w:t>
      </w:r>
      <w:r w:rsidRPr="00BE3741">
        <w:t xml:space="preserve"> by the emergence of strong trading partners and high </w:t>
      </w:r>
      <w:bookmarkStart w:id="16" w:name="BP3Ch3HouseholdConsum"/>
      <w:r w:rsidRPr="00BE3741">
        <w:t xml:space="preserve">levels of </w:t>
      </w:r>
      <w:r>
        <w:t xml:space="preserve">household </w:t>
      </w:r>
      <w:r w:rsidRPr="00BE3741">
        <w:t>consumption.</w:t>
      </w:r>
      <w:r>
        <w:t xml:space="preserve"> </w:t>
      </w:r>
    </w:p>
    <w:p w:rsidR="0070375D" w:rsidRDefault="0070375D" w:rsidP="008C7E57">
      <w:bookmarkStart w:id="17" w:name="BP3Ch3Savings"/>
      <w:r>
        <w:t>S</w:t>
      </w:r>
      <w:r w:rsidRPr="00BE2E56">
        <w:t>trong house</w:t>
      </w:r>
      <w:r w:rsidRPr="00353D5D">
        <w:t>h</w:t>
      </w:r>
      <w:r w:rsidRPr="00BE2E56">
        <w:t xml:space="preserve">old consumption </w:t>
      </w:r>
      <w:r>
        <w:t xml:space="preserve">over the last decade was fuelled </w:t>
      </w:r>
      <w:r w:rsidRPr="00BE2E56">
        <w:t xml:space="preserve">by an unsustainable increase in debt and reduced household </w:t>
      </w:r>
      <w:r w:rsidRPr="0082749C">
        <w:t xml:space="preserve">savings, driven by a structural decline in interest rates. In response to a more unstable global </w:t>
      </w:r>
      <w:r w:rsidRPr="00C33D16">
        <w:t>environment since the global financial crisis</w:t>
      </w:r>
      <w:r>
        <w:fldChar w:fldCharType="begin"/>
      </w:r>
      <w:r>
        <w:instrText xml:space="preserve"> XE "</w:instrText>
      </w:r>
      <w:r w:rsidRPr="00C20031">
        <w:instrText>Global financial crisis</w:instrText>
      </w:r>
      <w:r>
        <w:instrText xml:space="preserve">" </w:instrText>
      </w:r>
      <w:r>
        <w:fldChar w:fldCharType="end"/>
      </w:r>
      <w:r w:rsidRPr="00C33D16">
        <w:t>, household consumption and savings are now returning to more sustainable levels and towards the long</w:t>
      </w:r>
      <w:r w:rsidR="00276239">
        <w:noBreakHyphen/>
      </w:r>
      <w:r w:rsidRPr="00C33D16">
        <w:t>term trend, with higher levels of debt repayment and lower consumption.</w:t>
      </w:r>
      <w:r>
        <w:fldChar w:fldCharType="begin"/>
      </w:r>
      <w:r>
        <w:instrText xml:space="preserve"> XE "</w:instrText>
      </w:r>
      <w:r w:rsidRPr="00C20031">
        <w:instrText>Household consumption</w:instrText>
      </w:r>
      <w:r>
        <w:instrText xml:space="preserve">" \r "BP3Ch3HouseholdConsum" </w:instrText>
      </w:r>
      <w:r>
        <w:fldChar w:fldCharType="end"/>
      </w:r>
      <w:r>
        <w:t xml:space="preserve"> </w:t>
      </w:r>
    </w:p>
    <w:bookmarkEnd w:id="16"/>
    <w:p w:rsidR="0070375D" w:rsidRDefault="0070375D" w:rsidP="008C7E57">
      <w:r w:rsidRPr="00BE3741">
        <w:lastRenderedPageBreak/>
        <w:t>C</w:t>
      </w:r>
      <w:r>
        <w:t>hart 3.2</w:t>
      </w:r>
      <w:r w:rsidRPr="00BE3741">
        <w:t xml:space="preserve"> shows Victoria</w:t>
      </w:r>
      <w:r w:rsidR="00276239">
        <w:t>’</w:t>
      </w:r>
      <w:r w:rsidRPr="00BE3741">
        <w:t>s gross household savings reached 2.4</w:t>
      </w:r>
      <w:r>
        <w:t> per cent</w:t>
      </w:r>
      <w:r w:rsidRPr="00BE3741">
        <w:t xml:space="preserve"> in 2004</w:t>
      </w:r>
      <w:r w:rsidR="00276239">
        <w:noBreakHyphen/>
      </w:r>
      <w:r w:rsidRPr="00BE3741">
        <w:t xml:space="preserve">05. This </w:t>
      </w:r>
      <w:r>
        <w:t xml:space="preserve">is abnormally low </w:t>
      </w:r>
      <w:r w:rsidRPr="00BE3741">
        <w:t xml:space="preserve">compared </w:t>
      </w:r>
      <w:r>
        <w:t>with</w:t>
      </w:r>
      <w:r w:rsidRPr="00BE3741">
        <w:t xml:space="preserve"> the previous average savings rate of 12.1</w:t>
      </w:r>
      <w:r>
        <w:t> per cent</w:t>
      </w:r>
      <w:r w:rsidRPr="00BE3741">
        <w:t xml:space="preserve"> between 1990</w:t>
      </w:r>
      <w:r w:rsidR="00276239">
        <w:noBreakHyphen/>
      </w:r>
      <w:r w:rsidRPr="00BE3741">
        <w:t xml:space="preserve">97 and </w:t>
      </w:r>
      <w:r>
        <w:t xml:space="preserve">the </w:t>
      </w:r>
      <w:r w:rsidRPr="00BE3741">
        <w:t>more recent average of 11.2</w:t>
      </w:r>
      <w:r>
        <w:t> per cent</w:t>
      </w:r>
      <w:r w:rsidRPr="00BE3741">
        <w:t xml:space="preserve"> between 2009</w:t>
      </w:r>
      <w:r w:rsidR="00276239">
        <w:noBreakHyphen/>
      </w:r>
      <w:r w:rsidRPr="00BE3741">
        <w:t>12.</w:t>
      </w:r>
      <w:r>
        <w:t xml:space="preserve"> </w:t>
      </w:r>
    </w:p>
    <w:p w:rsidR="0070375D" w:rsidRDefault="0070375D" w:rsidP="001903ED">
      <w:pPr>
        <w:pStyle w:val="Chartheading"/>
      </w:pPr>
      <w:r>
        <w:t>Chart 3.2:</w:t>
      </w:r>
      <w:r>
        <w:tab/>
        <w:t>Victoria</w:t>
      </w:r>
      <w:r w:rsidR="00276239">
        <w:t>’</w:t>
      </w:r>
      <w:r>
        <w:t>s gross household savings ratio</w:t>
      </w:r>
    </w:p>
    <w:p w:rsidR="0070375D" w:rsidRPr="008C7E57" w:rsidRDefault="00315427" w:rsidP="008C7E57">
      <w:pPr>
        <w:rPr>
          <w:rStyle w:val="SourceChar"/>
        </w:rPr>
      </w:pPr>
      <w:r>
        <w:pict>
          <v:shape id="_x0000_i1037" type="#_x0000_t75" style="width:382.5pt;height:222.75pt">
            <v:imagedata r:id="rId30" o:title=""/>
          </v:shape>
        </w:pict>
      </w:r>
      <w:r w:rsidR="0070375D" w:rsidRPr="00AF4FE3">
        <w:rPr>
          <w:rStyle w:val="SourceChar"/>
        </w:rPr>
        <w:t>Source: Department of Treasury and Finance; Australian Bureau of Statistics</w:t>
      </w:r>
      <w:r w:rsidR="0070375D">
        <w:rPr>
          <w:rStyle w:val="SourceChar"/>
        </w:rPr>
        <w:fldChar w:fldCharType="begin"/>
      </w:r>
      <w:r w:rsidR="0070375D">
        <w:instrText xml:space="preserve"> XE "</w:instrText>
      </w:r>
      <w:r w:rsidR="0070375D" w:rsidRPr="00C20031">
        <w:instrText>Savings</w:instrText>
      </w:r>
      <w:r w:rsidR="0070375D">
        <w:instrText xml:space="preserve">" \r "BP3Ch3Savings" </w:instrText>
      </w:r>
      <w:r w:rsidR="0070375D">
        <w:rPr>
          <w:rStyle w:val="SourceChar"/>
        </w:rPr>
        <w:fldChar w:fldCharType="end"/>
      </w:r>
    </w:p>
    <w:bookmarkEnd w:id="17"/>
    <w:p w:rsidR="0070375D" w:rsidRPr="004F2B3B" w:rsidRDefault="0070375D" w:rsidP="004F2B3B">
      <w:pPr>
        <w:pStyle w:val="Source"/>
      </w:pPr>
    </w:p>
    <w:p w:rsidR="0070375D" w:rsidRPr="00C33D16" w:rsidRDefault="0070375D" w:rsidP="00FD7CA1">
      <w:pPr>
        <w:rPr>
          <w:b/>
          <w:caps/>
        </w:rPr>
      </w:pPr>
      <w:bookmarkStart w:id="18" w:name="BP3Ch3DemogChange"/>
      <w:r w:rsidRPr="00BE3741">
        <w:t>At the same time, Victoria</w:t>
      </w:r>
      <w:r w:rsidR="00276239">
        <w:t>’</w:t>
      </w:r>
      <w:r w:rsidRPr="00BE3741">
        <w:t>s population, like that of other Australian jurisdictions and industrialised nations, is ageing. The ageing of the population will reduce the number of people of working</w:t>
      </w:r>
      <w:r>
        <w:t xml:space="preserve"> age supporting each person of</w:t>
      </w:r>
      <w:r w:rsidRPr="00BE3741">
        <w:t xml:space="preserve"> retirement a</w:t>
      </w:r>
      <w:r>
        <w:t xml:space="preserve">ge. This </w:t>
      </w:r>
      <w:r w:rsidRPr="00C33D16">
        <w:t xml:space="preserve">could have a negative effect on the rate of </w:t>
      </w:r>
      <w:r>
        <w:t xml:space="preserve">economic </w:t>
      </w:r>
      <w:r w:rsidRPr="00C33D16">
        <w:t>growth</w:t>
      </w:r>
      <w:r>
        <w:fldChar w:fldCharType="begin"/>
      </w:r>
      <w:r>
        <w:instrText xml:space="preserve"> XE "</w:instrText>
      </w:r>
      <w:r w:rsidRPr="009B2344">
        <w:instrText>Economic growth:Australia</w:instrText>
      </w:r>
      <w:r>
        <w:instrText xml:space="preserve">" </w:instrText>
      </w:r>
      <w:r>
        <w:fldChar w:fldCharType="end"/>
      </w:r>
      <w:r w:rsidRPr="00C33D16">
        <w:t xml:space="preserve"> over the medium and longer</w:t>
      </w:r>
      <w:r w:rsidR="00276239">
        <w:noBreakHyphen/>
      </w:r>
      <w:r w:rsidRPr="00C33D16">
        <w:t>term.</w:t>
      </w:r>
      <w:r>
        <w:fldChar w:fldCharType="begin"/>
      </w:r>
      <w:r>
        <w:instrText xml:space="preserve"> XE "</w:instrText>
      </w:r>
      <w:r w:rsidRPr="00C20031">
        <w:instrText>Demographic change</w:instrText>
      </w:r>
      <w:r>
        <w:instrText xml:space="preserve">" \r "BP3Ch3DemogChange" </w:instrText>
      </w:r>
      <w:r>
        <w:fldChar w:fldCharType="end"/>
      </w:r>
    </w:p>
    <w:p w:rsidR="0070375D" w:rsidRPr="00476313" w:rsidRDefault="0070375D" w:rsidP="00476313">
      <w:pPr>
        <w:keepNext/>
        <w:spacing w:before="360"/>
        <w:outlineLvl w:val="0"/>
        <w:rPr>
          <w:rFonts w:ascii="Calibri" w:hAnsi="Calibri"/>
          <w:b/>
          <w:caps/>
          <w:sz w:val="26"/>
          <w:szCs w:val="22"/>
        </w:rPr>
      </w:pPr>
      <w:bookmarkStart w:id="19" w:name="BP3Ch3GST"/>
      <w:bookmarkStart w:id="20" w:name="BP3Ch3CwthStateFinRelPt2"/>
      <w:bookmarkStart w:id="21" w:name="BP3Ch3Revenue"/>
      <w:bookmarkEnd w:id="18"/>
      <w:r w:rsidRPr="00476313">
        <w:rPr>
          <w:rFonts w:ascii="Calibri" w:hAnsi="Calibri"/>
          <w:b/>
          <w:caps/>
          <w:sz w:val="26"/>
          <w:szCs w:val="22"/>
        </w:rPr>
        <w:t>CHANGE</w:t>
      </w:r>
      <w:r>
        <w:rPr>
          <w:rFonts w:ascii="Calibri" w:hAnsi="Calibri"/>
          <w:b/>
          <w:caps/>
          <w:sz w:val="26"/>
          <w:szCs w:val="22"/>
        </w:rPr>
        <w:t>s</w:t>
      </w:r>
      <w:r w:rsidRPr="00476313">
        <w:rPr>
          <w:rFonts w:ascii="Calibri" w:hAnsi="Calibri"/>
          <w:b/>
          <w:caps/>
          <w:sz w:val="26"/>
          <w:szCs w:val="22"/>
        </w:rPr>
        <w:t xml:space="preserve"> IN THE REVENUE BASE</w:t>
      </w:r>
    </w:p>
    <w:p w:rsidR="0070375D" w:rsidRPr="00476313" w:rsidRDefault="0070375D" w:rsidP="00476313">
      <w:r w:rsidRPr="00476313">
        <w:t>The lower economic growth</w:t>
      </w:r>
      <w:r>
        <w:fldChar w:fldCharType="begin"/>
      </w:r>
      <w:r>
        <w:instrText xml:space="preserve"> XE "</w:instrText>
      </w:r>
      <w:r w:rsidRPr="00451516">
        <w:instrText>Economic growth</w:instrText>
      </w:r>
      <w:r>
        <w:instrText xml:space="preserve">" </w:instrText>
      </w:r>
      <w:r>
        <w:fldChar w:fldCharType="end"/>
      </w:r>
      <w:r w:rsidRPr="00476313">
        <w:t xml:space="preserve"> outlook is likely to reduce revenue growth</w:t>
      </w:r>
      <w:r>
        <w:t>,</w:t>
      </w:r>
      <w:r w:rsidRPr="00476313">
        <w:t xml:space="preserve"> particularly goods and services tax (GST) revenue </w:t>
      </w:r>
      <w:r>
        <w:t xml:space="preserve">and </w:t>
      </w:r>
      <w:r w:rsidRPr="00476313">
        <w:t>state taxation. In addition, changes in the composition of economic growth mean growth in revenue, particularly from GST</w:t>
      </w:r>
      <w:r>
        <w:t xml:space="preserve"> and </w:t>
      </w:r>
      <w:r w:rsidRPr="00476313">
        <w:t>land transfer</w:t>
      </w:r>
      <w:r>
        <w:t xml:space="preserve"> d</w:t>
      </w:r>
      <w:r w:rsidRPr="00476313">
        <w:t>uty, is likely to be lower for a given level of growth than in the past.</w:t>
      </w:r>
    </w:p>
    <w:p w:rsidR="0070375D" w:rsidRPr="00476313" w:rsidRDefault="0070375D" w:rsidP="00476313">
      <w:pPr>
        <w:keepNext/>
        <w:spacing w:before="240"/>
        <w:outlineLvl w:val="1"/>
        <w:rPr>
          <w:rFonts w:ascii="Calibri" w:hAnsi="Calibri"/>
          <w:b/>
          <w:kern w:val="28"/>
          <w:sz w:val="26"/>
          <w:szCs w:val="22"/>
        </w:rPr>
      </w:pPr>
      <w:bookmarkStart w:id="22" w:name="BP3Ch3TaxRevenue"/>
      <w:r w:rsidRPr="00476313">
        <w:rPr>
          <w:rFonts w:ascii="Calibri" w:hAnsi="Calibri"/>
          <w:b/>
          <w:kern w:val="28"/>
          <w:sz w:val="26"/>
          <w:szCs w:val="22"/>
        </w:rPr>
        <w:t>Reduced medium</w:t>
      </w:r>
      <w:r w:rsidR="00276239">
        <w:rPr>
          <w:rFonts w:ascii="Calibri" w:hAnsi="Calibri"/>
          <w:b/>
          <w:kern w:val="28"/>
          <w:sz w:val="26"/>
          <w:szCs w:val="22"/>
        </w:rPr>
        <w:noBreakHyphen/>
      </w:r>
      <w:r w:rsidRPr="00476313">
        <w:rPr>
          <w:rFonts w:ascii="Calibri" w:hAnsi="Calibri"/>
          <w:b/>
          <w:kern w:val="28"/>
          <w:sz w:val="26"/>
          <w:szCs w:val="22"/>
        </w:rPr>
        <w:t>term state taxation revenue growth outlook</w:t>
      </w:r>
    </w:p>
    <w:p w:rsidR="0070375D" w:rsidRPr="00476313" w:rsidRDefault="0070375D" w:rsidP="00476313">
      <w:bookmarkStart w:id="23" w:name="BP3Ch3GrosStateProd"/>
      <w:r w:rsidRPr="00476313">
        <w:t>Growth in the State</w:t>
      </w:r>
      <w:r w:rsidR="00276239">
        <w:t>’</w:t>
      </w:r>
      <w:r w:rsidRPr="00476313">
        <w:t>s taxation revenue</w:t>
      </w:r>
      <w:r>
        <w:fldChar w:fldCharType="begin"/>
      </w:r>
      <w:r>
        <w:instrText xml:space="preserve"> XE "</w:instrText>
      </w:r>
      <w:r w:rsidRPr="00A843D6">
        <w:instrText>Taxation:Revenue</w:instrText>
      </w:r>
      <w:r>
        <w:instrText xml:space="preserve">" </w:instrText>
      </w:r>
      <w:r>
        <w:fldChar w:fldCharType="end"/>
      </w:r>
      <w:r w:rsidRPr="00476313">
        <w:t xml:space="preserve"> has slowed </w:t>
      </w:r>
      <w:r>
        <w:t xml:space="preserve">in part as a </w:t>
      </w:r>
      <w:r w:rsidRPr="00476313">
        <w:t xml:space="preserve">result of </w:t>
      </w:r>
      <w:r>
        <w:t xml:space="preserve">moderated </w:t>
      </w:r>
      <w:r w:rsidRPr="00476313">
        <w:t>gross state product</w:t>
      </w:r>
      <w:r>
        <w:fldChar w:fldCharType="begin"/>
      </w:r>
      <w:r>
        <w:instrText xml:space="preserve"> XE "</w:instrText>
      </w:r>
      <w:r w:rsidRPr="004F75DB">
        <w:instrText>Gross state product:Growth</w:instrText>
      </w:r>
      <w:r>
        <w:instrText xml:space="preserve">" </w:instrText>
      </w:r>
      <w:r>
        <w:fldChar w:fldCharType="end"/>
      </w:r>
      <w:r w:rsidRPr="00476313">
        <w:t xml:space="preserve"> (GSP) growth. Between 2002</w:t>
      </w:r>
      <w:r w:rsidR="00276239">
        <w:noBreakHyphen/>
      </w:r>
      <w:r w:rsidRPr="00476313">
        <w:t>03 and 2007</w:t>
      </w:r>
      <w:r w:rsidR="00276239">
        <w:noBreakHyphen/>
      </w:r>
      <w:r w:rsidRPr="00476313">
        <w:t>08 average revenue growth was 6.6 per cent per year, compared with 4.1 per cent between 2008</w:t>
      </w:r>
      <w:r w:rsidR="00276239">
        <w:noBreakHyphen/>
      </w:r>
      <w:r w:rsidRPr="00476313">
        <w:t>09 t</w:t>
      </w:r>
      <w:r>
        <w:t>o 2011</w:t>
      </w:r>
      <w:r w:rsidR="00276239">
        <w:noBreakHyphen/>
      </w:r>
      <w:r>
        <w:t>12. As shown in Chart 3.3</w:t>
      </w:r>
      <w:r w:rsidRPr="00476313">
        <w:t xml:space="preserve">, state taxation revenue has moved broadly in line with trends in GSP. Since trend GSP growth is forecast to be lower (but still positive), it is likely that taxation revenue growth will also be lower. </w:t>
      </w:r>
    </w:p>
    <w:p w:rsidR="0070375D" w:rsidRPr="00476313" w:rsidRDefault="0070375D" w:rsidP="00476313">
      <w:pPr>
        <w:keepNext/>
        <w:spacing w:before="240"/>
        <w:ind w:left="1152" w:hanging="1152"/>
        <w:rPr>
          <w:rFonts w:ascii="Calibri" w:hAnsi="Calibri"/>
          <w:b/>
        </w:rPr>
      </w:pPr>
      <w:r>
        <w:rPr>
          <w:rFonts w:ascii="Calibri" w:hAnsi="Calibri"/>
          <w:b/>
        </w:rPr>
        <w:lastRenderedPageBreak/>
        <w:t>Chart 3.3</w:t>
      </w:r>
      <w:r w:rsidRPr="00476313">
        <w:rPr>
          <w:rFonts w:ascii="Calibri" w:hAnsi="Calibri"/>
          <w:b/>
        </w:rPr>
        <w:t>:</w:t>
      </w:r>
      <w:r w:rsidRPr="00476313">
        <w:rPr>
          <w:rFonts w:ascii="Calibri" w:hAnsi="Calibri"/>
          <w:b/>
        </w:rPr>
        <w:tab/>
        <w:t xml:space="preserve">State taxation revenue and nominal GSP growth </w:t>
      </w:r>
    </w:p>
    <w:p w:rsidR="0070375D" w:rsidRPr="00476313" w:rsidRDefault="0070375D" w:rsidP="00476313">
      <w:pPr>
        <w:spacing w:after="0"/>
        <w:jc w:val="center"/>
      </w:pPr>
      <w:r>
        <w:rPr>
          <w:noProof/>
          <w:lang w:eastAsia="en-AU"/>
        </w:rPr>
        <w:drawing>
          <wp:inline distT="0" distB="0" distL="0" distR="0" wp14:anchorId="64959BA6" wp14:editId="5A811C2D">
            <wp:extent cx="4810760" cy="2759075"/>
            <wp:effectExtent l="0" t="0" r="889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10760" cy="2759075"/>
                    </a:xfrm>
                    <a:prstGeom prst="rect">
                      <a:avLst/>
                    </a:prstGeom>
                    <a:noFill/>
                    <a:ln>
                      <a:noFill/>
                    </a:ln>
                  </pic:spPr>
                </pic:pic>
              </a:graphicData>
            </a:graphic>
          </wp:inline>
        </w:drawing>
      </w:r>
    </w:p>
    <w:p w:rsidR="0070375D" w:rsidRPr="00476313" w:rsidRDefault="0070375D" w:rsidP="00476313">
      <w:pPr>
        <w:rPr>
          <w:rFonts w:ascii="Calibri" w:hAnsi="Calibri"/>
          <w:i/>
          <w:sz w:val="15"/>
        </w:rPr>
      </w:pPr>
      <w:r w:rsidRPr="00476313">
        <w:rPr>
          <w:rFonts w:ascii="Calibri" w:hAnsi="Calibri"/>
          <w:i/>
          <w:sz w:val="15"/>
        </w:rPr>
        <w:t xml:space="preserve">Source: Department of Treasury and Finance; Australian Bureau of Statistics </w:t>
      </w:r>
      <w:r w:rsidRPr="00476313">
        <w:rPr>
          <w:rFonts w:ascii="Calibri" w:hAnsi="Calibri"/>
          <w:i/>
          <w:sz w:val="15"/>
        </w:rPr>
        <w:fldChar w:fldCharType="begin"/>
      </w:r>
      <w:r w:rsidRPr="00476313">
        <w:instrText xml:space="preserve"> XE "Gross state product" \r "BP3Ch3GrosStateProd" </w:instrText>
      </w:r>
      <w:r w:rsidRPr="00476313">
        <w:rPr>
          <w:rFonts w:ascii="Calibri" w:hAnsi="Calibri"/>
          <w:i/>
          <w:sz w:val="15"/>
        </w:rPr>
        <w:fldChar w:fldCharType="end"/>
      </w:r>
    </w:p>
    <w:bookmarkEnd w:id="23"/>
    <w:p w:rsidR="0070375D" w:rsidRPr="00476313" w:rsidRDefault="0070375D" w:rsidP="00476313">
      <w:pPr>
        <w:rPr>
          <w:rFonts w:ascii="Calibri" w:hAnsi="Calibri"/>
          <w:i/>
          <w:sz w:val="15"/>
        </w:rPr>
      </w:pPr>
    </w:p>
    <w:p w:rsidR="0070375D" w:rsidRPr="00476313" w:rsidRDefault="0070375D" w:rsidP="00476313">
      <w:r w:rsidRPr="00476313">
        <w:t xml:space="preserve">Notwithstanding positive GSP growth, expectations of lower economic growth will impact all taxation revenue lines. </w:t>
      </w:r>
      <w:bookmarkStart w:id="24" w:name="BP3Ch3LandTransDuty"/>
      <w:r w:rsidRPr="00476313">
        <w:t>Property</w:t>
      </w:r>
      <w:r w:rsidR="00276239">
        <w:noBreakHyphen/>
      </w:r>
      <w:r w:rsidRPr="00476313">
        <w:t>based taxes</w:t>
      </w:r>
      <w:r>
        <w:fldChar w:fldCharType="begin"/>
      </w:r>
      <w:r>
        <w:instrText xml:space="preserve"> XE "</w:instrText>
      </w:r>
      <w:r w:rsidRPr="00CB2D1B">
        <w:instrText>Taxation:Property</w:instrText>
      </w:r>
      <w:r>
        <w:instrText xml:space="preserve">" </w:instrText>
      </w:r>
      <w:r>
        <w:fldChar w:fldCharType="end"/>
      </w:r>
      <w:r w:rsidRPr="00476313">
        <w:t xml:space="preserve"> are likely to be the most affected. While the property market is prone to cycles, it is unlikely that growth in property tax revenue will consistently return to the rates observed during the boom years</w:t>
      </w:r>
      <w:bookmarkEnd w:id="24"/>
      <w:r w:rsidRPr="00476313">
        <w:t>.</w:t>
      </w:r>
      <w:r w:rsidRPr="00476313">
        <w:fldChar w:fldCharType="begin"/>
      </w:r>
      <w:r w:rsidRPr="00476313">
        <w:instrText xml:space="preserve"> XE "Land transfer duty" \r "BP3Ch3LandTransDuty" </w:instrText>
      </w:r>
      <w:r w:rsidRPr="00476313">
        <w:fldChar w:fldCharType="end"/>
      </w:r>
      <w:r w:rsidRPr="00476313">
        <w:t xml:space="preserve"> </w:t>
      </w:r>
      <w:r>
        <w:fldChar w:fldCharType="begin"/>
      </w:r>
      <w:r>
        <w:instrText xml:space="preserve"> XE "</w:instrText>
      </w:r>
      <w:r w:rsidRPr="008F228E">
        <w:instrText>Taxation:Revenue</w:instrText>
      </w:r>
      <w:r>
        <w:instrText xml:space="preserve">" \r "BP3Ch3TaxRevenue" </w:instrText>
      </w:r>
      <w:r>
        <w:fldChar w:fldCharType="end"/>
      </w:r>
      <w:r>
        <w:fldChar w:fldCharType="begin"/>
      </w:r>
      <w:r>
        <w:instrText xml:space="preserve"> XE "</w:instrText>
      </w:r>
      <w:r w:rsidRPr="00451516">
        <w:instrText>Revenue</w:instrText>
      </w:r>
      <w:r>
        <w:instrText xml:space="preserve">" \r "BP3Ch3TaxRevenue" </w:instrText>
      </w:r>
      <w:r>
        <w:fldChar w:fldCharType="end"/>
      </w:r>
    </w:p>
    <w:p w:rsidR="0070375D" w:rsidRPr="00476313" w:rsidRDefault="0070375D" w:rsidP="00476313">
      <w:r w:rsidRPr="00476313">
        <w:t>Similar economic trends are evident at the national level, suggesting growth in Commonwealth grants</w:t>
      </w:r>
      <w:r>
        <w:fldChar w:fldCharType="begin"/>
      </w:r>
      <w:r>
        <w:instrText xml:space="preserve"> XE "</w:instrText>
      </w:r>
      <w:r w:rsidRPr="00A52AD6">
        <w:instrText>Grants:Commonwealth</w:instrText>
      </w:r>
      <w:r>
        <w:instrText xml:space="preserve">" </w:instrText>
      </w:r>
      <w:r>
        <w:fldChar w:fldCharType="end"/>
      </w:r>
      <w:r w:rsidRPr="00476313">
        <w:t xml:space="preserve"> revenue, particularly from the GST, will also be lower going forward. For example, the </w:t>
      </w:r>
      <w:r>
        <w:t>Commonwealth</w:t>
      </w:r>
      <w:r w:rsidR="00276239">
        <w:t>’</w:t>
      </w:r>
      <w:r>
        <w:t xml:space="preserve">s </w:t>
      </w:r>
      <w:r w:rsidRPr="00476313">
        <w:rPr>
          <w:i/>
        </w:rPr>
        <w:t>2012</w:t>
      </w:r>
      <w:r w:rsidR="00276239">
        <w:rPr>
          <w:i/>
        </w:rPr>
        <w:noBreakHyphen/>
      </w:r>
      <w:r w:rsidRPr="00476313">
        <w:rPr>
          <w:i/>
        </w:rPr>
        <w:t>13</w:t>
      </w:r>
      <w:r w:rsidRPr="00476313">
        <w:t xml:space="preserve"> </w:t>
      </w:r>
      <w:r w:rsidRPr="00476313">
        <w:rPr>
          <w:i/>
        </w:rPr>
        <w:t>Mid</w:t>
      </w:r>
      <w:r w:rsidR="00276239">
        <w:rPr>
          <w:i/>
        </w:rPr>
        <w:noBreakHyphen/>
      </w:r>
      <w:r w:rsidRPr="00476313">
        <w:rPr>
          <w:i/>
        </w:rPr>
        <w:t>Year Economic and Fiscal Outlook</w:t>
      </w:r>
      <w:r w:rsidRPr="00476313">
        <w:t xml:space="preserve"> incorporated a medium</w:t>
      </w:r>
      <w:r w:rsidR="00276239">
        <w:noBreakHyphen/>
      </w:r>
      <w:r w:rsidRPr="00476313">
        <w:t>term project</w:t>
      </w:r>
      <w:r>
        <w:t>ion for nominal GDP growth</w:t>
      </w:r>
      <w:r>
        <w:fldChar w:fldCharType="begin"/>
      </w:r>
      <w:r>
        <w:instrText xml:space="preserve"> XE "</w:instrText>
      </w:r>
      <w:r w:rsidRPr="0082412C">
        <w:instrText>Gross domestic product:</w:instrText>
      </w:r>
      <w:r>
        <w:instrText>G</w:instrText>
      </w:r>
      <w:r w:rsidRPr="0082412C">
        <w:instrText>rowth</w:instrText>
      </w:r>
      <w:r>
        <w:instrText xml:space="preserve">" </w:instrText>
      </w:r>
      <w:r>
        <w:fldChar w:fldCharType="end"/>
      </w:r>
      <w:r>
        <w:t xml:space="preserve"> of 5.25</w:t>
      </w:r>
      <w:r w:rsidRPr="00476313">
        <w:t xml:space="preserve"> per cent, com</w:t>
      </w:r>
      <w:r>
        <w:t>pared with average growth of 8</w:t>
      </w:r>
      <w:r w:rsidRPr="00476313">
        <w:t xml:space="preserve"> per cent a year in the five years to 2007</w:t>
      </w:r>
      <w:r w:rsidR="00276239">
        <w:noBreakHyphen/>
      </w:r>
      <w:r w:rsidRPr="00476313">
        <w:t xml:space="preserve">08. </w:t>
      </w:r>
      <w:r>
        <w:t>W</w:t>
      </w:r>
      <w:r w:rsidRPr="00476313">
        <w:t xml:space="preserve">hile GST growth is forecast to </w:t>
      </w:r>
      <w:r>
        <w:t xml:space="preserve">pick up </w:t>
      </w:r>
      <w:r w:rsidRPr="00476313">
        <w:t>over the forward estimates, it is likely to settle at a lower rate of growth than in the past.</w:t>
      </w:r>
      <w:r>
        <w:t xml:space="preserve"> For Victoria, these impacts are exacerbated by a consistently low share of the overall GST pool.</w:t>
      </w:r>
    </w:p>
    <w:p w:rsidR="0070375D" w:rsidRPr="00476313" w:rsidRDefault="0070375D" w:rsidP="00476313">
      <w:pPr>
        <w:keepNext/>
        <w:spacing w:before="240"/>
        <w:outlineLvl w:val="1"/>
        <w:rPr>
          <w:rFonts w:ascii="Calibri" w:hAnsi="Calibri"/>
          <w:b/>
          <w:kern w:val="28"/>
          <w:sz w:val="26"/>
          <w:szCs w:val="22"/>
        </w:rPr>
      </w:pPr>
      <w:r w:rsidRPr="00476313">
        <w:rPr>
          <w:rFonts w:ascii="Calibri" w:hAnsi="Calibri"/>
          <w:b/>
          <w:kern w:val="28"/>
          <w:sz w:val="26"/>
          <w:szCs w:val="22"/>
        </w:rPr>
        <w:t xml:space="preserve">Less </w:t>
      </w:r>
      <w:r>
        <w:rPr>
          <w:rFonts w:ascii="Calibri" w:hAnsi="Calibri"/>
          <w:b/>
          <w:kern w:val="28"/>
          <w:sz w:val="26"/>
          <w:szCs w:val="22"/>
        </w:rPr>
        <w:t xml:space="preserve">GST and state </w:t>
      </w:r>
      <w:r w:rsidRPr="00476313">
        <w:rPr>
          <w:rFonts w:ascii="Calibri" w:hAnsi="Calibri"/>
          <w:b/>
          <w:kern w:val="28"/>
          <w:sz w:val="26"/>
          <w:szCs w:val="22"/>
        </w:rPr>
        <w:t>revenue as a proportion of the economy</w:t>
      </w:r>
    </w:p>
    <w:p w:rsidR="0070375D" w:rsidRPr="00476313" w:rsidRDefault="0070375D" w:rsidP="00476313">
      <w:r w:rsidRPr="00476313">
        <w:t>In addition to lower economic growth, the composition of economic growth</w:t>
      </w:r>
      <w:r>
        <w:fldChar w:fldCharType="begin"/>
      </w:r>
      <w:r>
        <w:instrText xml:space="preserve"> XE "</w:instrText>
      </w:r>
      <w:r w:rsidRPr="00451516">
        <w:instrText>Economic growth</w:instrText>
      </w:r>
      <w:r>
        <w:instrText xml:space="preserve">" </w:instrText>
      </w:r>
      <w:r>
        <w:fldChar w:fldCharType="end"/>
      </w:r>
      <w:r w:rsidRPr="00476313">
        <w:t xml:space="preserve"> is expected to be less skewed towards the state</w:t>
      </w:r>
      <w:r w:rsidR="00276239">
        <w:t>’</w:t>
      </w:r>
      <w:r w:rsidRPr="00476313">
        <w:t xml:space="preserve">s key revenue lines, including </w:t>
      </w:r>
      <w:r>
        <w:t xml:space="preserve">GST and </w:t>
      </w:r>
      <w:r w:rsidRPr="00476313">
        <w:t>land transfer duty. This suggests the revenue growth will be lower for a given level of economic growth than in the past.</w:t>
      </w:r>
    </w:p>
    <w:p w:rsidR="0070375D" w:rsidRPr="00476313" w:rsidRDefault="0070375D" w:rsidP="00476313">
      <w:r w:rsidRPr="00476313">
        <w:t>Prior to the global financial crisis, growth in land transfer duty</w:t>
      </w:r>
      <w:r>
        <w:fldChar w:fldCharType="begin"/>
      </w:r>
      <w:r>
        <w:instrText xml:space="preserve"> XE "</w:instrText>
      </w:r>
      <w:r w:rsidRPr="00451516">
        <w:instrText>Land transfer duty</w:instrText>
      </w:r>
      <w:r>
        <w:instrText xml:space="preserve">" </w:instrText>
      </w:r>
      <w:r>
        <w:fldChar w:fldCharType="end"/>
      </w:r>
      <w:r w:rsidRPr="00476313">
        <w:t xml:space="preserve"> surged, growing by an average of 16.3 per cent a year from 2001</w:t>
      </w:r>
      <w:r w:rsidR="00276239">
        <w:noBreakHyphen/>
      </w:r>
      <w:r w:rsidRPr="00476313">
        <w:t>02 to 2007</w:t>
      </w:r>
      <w:r w:rsidR="00276239">
        <w:noBreakHyphen/>
      </w:r>
      <w:r w:rsidRPr="00476313">
        <w:t xml:space="preserve">08, as falling interest rates fuelled a housing boom. This reduced to an average rate of </w:t>
      </w:r>
      <w:r w:rsidR="00276239">
        <w:noBreakHyphen/>
      </w:r>
      <w:r w:rsidRPr="00476313">
        <w:t>2.8 per cent a year from 2008</w:t>
      </w:r>
      <w:r w:rsidR="00276239">
        <w:noBreakHyphen/>
      </w:r>
      <w:r w:rsidRPr="00476313">
        <w:t>09 to 2011</w:t>
      </w:r>
      <w:r w:rsidR="00276239">
        <w:noBreakHyphen/>
      </w:r>
      <w:r w:rsidRPr="00476313">
        <w:t>12.</w:t>
      </w:r>
    </w:p>
    <w:p w:rsidR="0070375D" w:rsidRPr="00476313" w:rsidRDefault="0070375D" w:rsidP="00476313">
      <w:r w:rsidRPr="00476313">
        <w:lastRenderedPageBreak/>
        <w:t>While the property market is forecast to recover, it is unlikely that growth in land transfer duty revenue will consistently maintain the rates observed during the boom years going forward.</w:t>
      </w:r>
    </w:p>
    <w:p w:rsidR="0070375D" w:rsidRPr="00476313" w:rsidRDefault="0070375D" w:rsidP="00476313">
      <w:r w:rsidRPr="00476313">
        <w:t>As with land transfer duty,</w:t>
      </w:r>
      <w:r>
        <w:t xml:space="preserve"> Victorian </w:t>
      </w:r>
      <w:r w:rsidRPr="00476313">
        <w:t>GST revenue was strong prior to the global financial crisis</w:t>
      </w:r>
      <w:r>
        <w:fldChar w:fldCharType="begin"/>
      </w:r>
      <w:r>
        <w:instrText xml:space="preserve"> XE "</w:instrText>
      </w:r>
      <w:r w:rsidRPr="00451516">
        <w:instrText>Global financial crisis</w:instrText>
      </w:r>
      <w:r>
        <w:instrText xml:space="preserve">" </w:instrText>
      </w:r>
      <w:r>
        <w:fldChar w:fldCharType="end"/>
      </w:r>
      <w:r w:rsidRPr="00476313">
        <w:t>, averaging growth of 8.9 per cent year from 2001</w:t>
      </w:r>
      <w:r w:rsidR="00276239">
        <w:noBreakHyphen/>
      </w:r>
      <w:r w:rsidRPr="00476313">
        <w:t>02 to 2007</w:t>
      </w:r>
      <w:r w:rsidR="00276239">
        <w:noBreakHyphen/>
      </w:r>
      <w:r w:rsidRPr="00476313">
        <w:t>08. Since then, growth has slowed to just 2.9 per cent a year over the past four years.</w:t>
      </w:r>
    </w:p>
    <w:p w:rsidR="0070375D" w:rsidRPr="00476313" w:rsidRDefault="0070375D" w:rsidP="00476313">
      <w:r w:rsidRPr="00476313">
        <w:t>In addition to slower nominal GDP growth, GST revenue is being affected by the recent decline in the share of consumption in the economy, and a change in the composition of consumer spending away from goo</w:t>
      </w:r>
      <w:r>
        <w:t>ds subject to GST (see Chart 3.4</w:t>
      </w:r>
      <w:r w:rsidRPr="00476313">
        <w:t xml:space="preserve">). </w:t>
      </w:r>
    </w:p>
    <w:p w:rsidR="0070375D" w:rsidRPr="00476313" w:rsidRDefault="0070375D" w:rsidP="00476313">
      <w:r w:rsidRPr="00476313">
        <w:t>The decline in the consumption</w:t>
      </w:r>
      <w:r>
        <w:fldChar w:fldCharType="begin"/>
      </w:r>
      <w:r>
        <w:instrText xml:space="preserve"> XE "</w:instrText>
      </w:r>
      <w:r w:rsidRPr="00451516">
        <w:instrText>Consumption</w:instrText>
      </w:r>
      <w:r>
        <w:instrText xml:space="preserve">" </w:instrText>
      </w:r>
      <w:r>
        <w:fldChar w:fldCharType="end"/>
      </w:r>
      <w:r w:rsidRPr="00476313">
        <w:t xml:space="preserve"> share of the economy has been steady since </w:t>
      </w:r>
      <w:r>
        <w:t>2002</w:t>
      </w:r>
      <w:r w:rsidR="00276239">
        <w:noBreakHyphen/>
      </w:r>
      <w:r>
        <w:t>03</w:t>
      </w:r>
      <w:r w:rsidRPr="00476313">
        <w:t>, largely reflecting the strength of investment, as distinct from sustained weakness in household consumption</w:t>
      </w:r>
      <w:r>
        <w:fldChar w:fldCharType="begin"/>
      </w:r>
      <w:r>
        <w:instrText xml:space="preserve"> XE "</w:instrText>
      </w:r>
      <w:r w:rsidRPr="00451516">
        <w:instrText>Household consumption</w:instrText>
      </w:r>
      <w:r>
        <w:instrText xml:space="preserve">" </w:instrText>
      </w:r>
      <w:r>
        <w:fldChar w:fldCharType="end"/>
      </w:r>
      <w:r w:rsidRPr="00476313">
        <w:t>. Indeed, growth in nominal household consumption has averaged 6 per cent a year over this period. This process is l</w:t>
      </w:r>
      <w:r>
        <w:t>ikely to stabilise</w:t>
      </w:r>
      <w:r w:rsidRPr="00476313">
        <w:t>, as the investment boom runs its course.</w:t>
      </w:r>
    </w:p>
    <w:p w:rsidR="0070375D" w:rsidRDefault="0070375D" w:rsidP="00476313">
      <w:r>
        <w:t>More dramatic</w:t>
      </w:r>
      <w:r w:rsidRPr="00476313">
        <w:t xml:space="preserve"> in recent years has been the decline in the share of consumption that is subject to GST. In other words, growth in household consumption in recent years has largely been driven by growth in g</w:t>
      </w:r>
      <w:r>
        <w:t>oods not subject to GST, including</w:t>
      </w:r>
      <w:r w:rsidRPr="00476313">
        <w:t xml:space="preserve"> education, health, utilities and rents. By comparison, growth in goods subject to GST has been more modest since the global financial crisis.</w:t>
      </w:r>
    </w:p>
    <w:p w:rsidR="0070375D" w:rsidRPr="00476313" w:rsidRDefault="0070375D" w:rsidP="00476313">
      <w:r>
        <w:rPr>
          <w:rFonts w:ascii="Calibri" w:hAnsi="Calibri"/>
          <w:b/>
        </w:rPr>
        <w:t>Chart 3.4</w:t>
      </w:r>
      <w:r w:rsidRPr="00476313">
        <w:rPr>
          <w:rFonts w:ascii="Calibri" w:hAnsi="Calibri"/>
          <w:b/>
        </w:rPr>
        <w:t>:</w:t>
      </w:r>
      <w:r w:rsidRPr="00476313">
        <w:rPr>
          <w:rFonts w:ascii="Calibri" w:hAnsi="Calibri"/>
          <w:b/>
        </w:rPr>
        <w:tab/>
        <w:t xml:space="preserve">The movement away from consumption subject to GST </w:t>
      </w:r>
      <w:r w:rsidR="00315427">
        <w:pict>
          <v:shape id="_x0000_i1038" type="#_x0000_t75" style="width:351pt;height:200.25pt">
            <v:imagedata r:id="rId32" o:title=""/>
          </v:shape>
        </w:pict>
      </w:r>
    </w:p>
    <w:p w:rsidR="0070375D" w:rsidRPr="00476313" w:rsidRDefault="0070375D" w:rsidP="00476313">
      <w:pPr>
        <w:rPr>
          <w:rFonts w:ascii="Calibri" w:hAnsi="Calibri"/>
          <w:i/>
          <w:sz w:val="15"/>
        </w:rPr>
      </w:pPr>
      <w:r w:rsidRPr="00476313">
        <w:rPr>
          <w:rFonts w:ascii="Calibri" w:hAnsi="Calibri"/>
          <w:i/>
          <w:sz w:val="15"/>
        </w:rPr>
        <w:t>Source: Department of Treasury and Finance; Australian Bureau of Statistics</w:t>
      </w:r>
    </w:p>
    <w:p w:rsidR="0070375D" w:rsidRPr="00476313" w:rsidRDefault="0070375D" w:rsidP="00476313">
      <w:pPr>
        <w:rPr>
          <w:rFonts w:ascii="Calibri" w:hAnsi="Calibri"/>
          <w:i/>
          <w:sz w:val="15"/>
        </w:rPr>
      </w:pPr>
    </w:p>
    <w:p w:rsidR="002F421C" w:rsidRDefault="0070375D" w:rsidP="00476313">
      <w:r w:rsidRPr="00476313">
        <w:t>Underpinning this trend is changing consumption patterns. Growth in the volume of consumption goods subject to GST has declined since the global financial crisis while growth in GST</w:t>
      </w:r>
      <w:r w:rsidR="00276239">
        <w:noBreakHyphen/>
      </w:r>
      <w:r w:rsidRPr="00476313">
        <w:t>exempt consumption goods has largely maintained its pre</w:t>
      </w:r>
      <w:r w:rsidR="00276239">
        <w:noBreakHyphen/>
      </w:r>
      <w:r w:rsidRPr="00476313">
        <w:t>crisis rate. At the same time, there has been slower price inflation for goods subject to GST since the global financial crisis. The appreciation of the Australian dollar</w:t>
      </w:r>
      <w:r>
        <w:fldChar w:fldCharType="begin"/>
      </w:r>
      <w:r>
        <w:instrText xml:space="preserve"> XE "</w:instrText>
      </w:r>
      <w:r w:rsidRPr="00451516">
        <w:instrText>Australian dollar</w:instrText>
      </w:r>
      <w:r>
        <w:instrText xml:space="preserve">" </w:instrText>
      </w:r>
      <w:r>
        <w:fldChar w:fldCharType="end"/>
      </w:r>
      <w:r w:rsidRPr="00476313">
        <w:t xml:space="preserve"> over this period is likely to </w:t>
      </w:r>
    </w:p>
    <w:p w:rsidR="0070375D" w:rsidRPr="00476313" w:rsidRDefault="0070375D" w:rsidP="00476313">
      <w:r w:rsidRPr="00476313">
        <w:lastRenderedPageBreak/>
        <w:t>have been a major contributor to weak inflation in consumption goods subject to GST, which tend to be more trade exposed. In contrast, GST</w:t>
      </w:r>
      <w:r w:rsidR="00276239">
        <w:noBreakHyphen/>
      </w:r>
      <w:r w:rsidRPr="00476313">
        <w:t>exempt consumption goods, which are typically non</w:t>
      </w:r>
      <w:r w:rsidR="00276239">
        <w:noBreakHyphen/>
      </w:r>
      <w:r w:rsidRPr="00476313">
        <w:t>traded, maintained a similar pace of inflation before and after the global financial crisis.</w:t>
      </w:r>
    </w:p>
    <w:p w:rsidR="0070375D" w:rsidRPr="00476313" w:rsidRDefault="0070375D" w:rsidP="00476313">
      <w:r w:rsidRPr="00476313">
        <w:t>Combining these various impacts, the national GST pool has fallen from a peak of 3.9 per cent of GDP in 2003</w:t>
      </w:r>
      <w:r w:rsidR="00276239">
        <w:noBreakHyphen/>
      </w:r>
      <w:r w:rsidRPr="00476313">
        <w:t>04 to 3.1 per cent in 2011</w:t>
      </w:r>
      <w:r w:rsidR="00276239">
        <w:noBreakHyphen/>
      </w:r>
      <w:r w:rsidRPr="00476313">
        <w:t>12, and is expected to remain flat over the forward estimates period. While the decline appears modest in percentage terms, in dollar terms the national GST pool would have been $10.9 billion higher in 2011</w:t>
      </w:r>
      <w:r w:rsidR="00276239">
        <w:noBreakHyphen/>
      </w:r>
      <w:r w:rsidRPr="00476313">
        <w:t>12 had the ratio of GST to GDP been maintained, and Victoria would have received an additional $2.5 billion in GST grants.</w:t>
      </w:r>
    </w:p>
    <w:p w:rsidR="0070375D" w:rsidRPr="00476313" w:rsidRDefault="0070375D" w:rsidP="00476313">
      <w:r w:rsidRPr="00476313">
        <w:t>Victoria is also expecting to receive a lower share of the GST in 2013</w:t>
      </w:r>
      <w:r w:rsidR="00276239">
        <w:noBreakHyphen/>
      </w:r>
      <w:r w:rsidRPr="00476313">
        <w:t>14 than in 2012</w:t>
      </w:r>
      <w:r w:rsidR="00276239">
        <w:noBreakHyphen/>
      </w:r>
      <w:r w:rsidRPr="00476313">
        <w:t xml:space="preserve">13. This is based on the </w:t>
      </w:r>
      <w:r w:rsidRPr="00476313">
        <w:rPr>
          <w:i/>
        </w:rPr>
        <w:t>Commonwealth Grants Commission Report on GST Revenue Sharing Relativities – 2013 Update</w:t>
      </w:r>
      <w:r w:rsidRPr="00476313">
        <w:t xml:space="preserve">, </w:t>
      </w:r>
      <w:r>
        <w:fldChar w:fldCharType="begin"/>
      </w:r>
      <w:r>
        <w:instrText xml:space="preserve"> XE "</w:instrText>
      </w:r>
      <w:r w:rsidRPr="00F87270">
        <w:instrText>Grants:Com</w:instrText>
      </w:r>
      <w:r w:rsidR="00AE1BAD">
        <w:instrText>m</w:instrText>
      </w:r>
      <w:r w:rsidRPr="00F87270">
        <w:instrText>onwealth</w:instrText>
      </w:r>
      <w:r>
        <w:instrText xml:space="preserve">" </w:instrText>
      </w:r>
      <w:r>
        <w:fldChar w:fldCharType="end"/>
      </w:r>
      <w:r w:rsidRPr="00476313">
        <w:t>which recommends a decrease in Victoria</w:t>
      </w:r>
      <w:r w:rsidR="00276239">
        <w:t>’</w:t>
      </w:r>
      <w:r w:rsidRPr="00476313">
        <w:t>s GST share from 22.9 per cent in 2012</w:t>
      </w:r>
      <w:r w:rsidR="00276239">
        <w:noBreakHyphen/>
      </w:r>
      <w:r w:rsidRPr="00476313">
        <w:t>13 to 22.6 per cent in 2013</w:t>
      </w:r>
      <w:r w:rsidR="00276239">
        <w:noBreakHyphen/>
      </w:r>
      <w:r w:rsidRPr="00476313">
        <w:t>14. This equates to 90 cents for every dollar of GST Victoria would receive if the money were distributed on a per capita basis, instead of 92 cents. Combining both the weaker outlook for the national GST pool and Victoria</w:t>
      </w:r>
      <w:r w:rsidR="00276239">
        <w:t>’</w:t>
      </w:r>
      <w:r w:rsidRPr="00476313">
        <w:t>s lower relative share, GST revenue is expected to be $1.5</w:t>
      </w:r>
      <w:r>
        <w:t xml:space="preserve"> </w:t>
      </w:r>
      <w:r w:rsidRPr="00476313">
        <w:t>b</w:t>
      </w:r>
      <w:r>
        <w:t>illion</w:t>
      </w:r>
      <w:r w:rsidRPr="00476313">
        <w:t xml:space="preserve"> lower than previously expected from 2012</w:t>
      </w:r>
      <w:r w:rsidR="00276239">
        <w:noBreakHyphen/>
      </w:r>
      <w:r w:rsidRPr="00476313">
        <w:t>13 through the forward estimates.</w:t>
      </w:r>
      <w:r>
        <w:fldChar w:fldCharType="begin"/>
      </w:r>
      <w:r>
        <w:instrText xml:space="preserve"> XE "</w:instrText>
      </w:r>
      <w:r w:rsidRPr="00451516">
        <w:instrText>Goods and services tax</w:instrText>
      </w:r>
      <w:r>
        <w:instrText xml:space="preserve">" \r "BP3Ch3GST" </w:instrText>
      </w:r>
      <w:r>
        <w:fldChar w:fldCharType="end"/>
      </w:r>
    </w:p>
    <w:bookmarkEnd w:id="19"/>
    <w:bookmarkEnd w:id="22"/>
    <w:p w:rsidR="0070375D" w:rsidRDefault="0070375D" w:rsidP="0044039C">
      <w:pPr>
        <w:pStyle w:val="Heading2"/>
      </w:pPr>
      <w:r>
        <w:t>A fairer share from Canberra</w:t>
      </w:r>
    </w:p>
    <w:p w:rsidR="0070375D" w:rsidRDefault="0070375D" w:rsidP="00713E57">
      <w:r w:rsidRPr="00713E57">
        <w:t>The Commonwealth is</w:t>
      </w:r>
      <w:r>
        <w:t xml:space="preserve"> also facing fiscal pressures. This creates a risk that the Commonwealth will seek to alleviate its budget pressures by cutting funding or</w:t>
      </w:r>
      <w:r w:rsidRPr="00713E57">
        <w:t xml:space="preserve"> shifting cost</w:t>
      </w:r>
      <w:r>
        <w:t>s</w:t>
      </w:r>
      <w:r w:rsidRPr="00713E57">
        <w:t xml:space="preserve"> to t</w:t>
      </w:r>
      <w:r>
        <w:t>he s</w:t>
      </w:r>
      <w:r w:rsidRPr="00713E57">
        <w:t>tate</w:t>
      </w:r>
      <w:r>
        <w:t xml:space="preserve">s. </w:t>
      </w:r>
    </w:p>
    <w:p w:rsidR="0070375D" w:rsidRPr="00E35307" w:rsidRDefault="0070375D" w:rsidP="002922EB">
      <w:r w:rsidRPr="00E35307">
        <w:t>The Commonwealth has disregarded</w:t>
      </w:r>
      <w:r>
        <w:t xml:space="preserve"> the</w:t>
      </w:r>
      <w:r w:rsidRPr="00E35307">
        <w:t xml:space="preserve"> service delivery</w:t>
      </w:r>
      <w:r>
        <w:fldChar w:fldCharType="begin"/>
      </w:r>
      <w:r>
        <w:instrText xml:space="preserve"> XE "</w:instrText>
      </w:r>
      <w:r w:rsidRPr="00C20031">
        <w:instrText>Service delivery</w:instrText>
      </w:r>
      <w:r>
        <w:instrText xml:space="preserve">" </w:instrText>
      </w:r>
      <w:r>
        <w:fldChar w:fldCharType="end"/>
      </w:r>
      <w:r w:rsidRPr="00E35307">
        <w:t xml:space="preserve"> realities faced by state governments </w:t>
      </w:r>
      <w:r>
        <w:t>when negotiating</w:t>
      </w:r>
      <w:r w:rsidRPr="00E35307">
        <w:t xml:space="preserve"> with </w:t>
      </w:r>
      <w:r>
        <w:t xml:space="preserve">the </w:t>
      </w:r>
      <w:r w:rsidRPr="00E35307">
        <w:t>states. For example, it chose to ignore the advice of its own statistical agency and misinterpret Census data in order to reduce hospital</w:t>
      </w:r>
      <w:r>
        <w:fldChar w:fldCharType="begin"/>
      </w:r>
      <w:r>
        <w:instrText xml:space="preserve"> XE "</w:instrText>
      </w:r>
      <w:r w:rsidRPr="00EF279E">
        <w:instrText>Health:Hospitals</w:instrText>
      </w:r>
      <w:r>
        <w:instrText xml:space="preserve">" </w:instrText>
      </w:r>
      <w:r>
        <w:fldChar w:fldCharType="end"/>
      </w:r>
      <w:r w:rsidRPr="00E35307">
        <w:t xml:space="preserve"> funding </w:t>
      </w:r>
      <w:r>
        <w:t>to</w:t>
      </w:r>
      <w:r w:rsidRPr="00E35307">
        <w:t xml:space="preserve"> Victoria in</w:t>
      </w:r>
      <w:r>
        <w:t xml:space="preserve"> 2012</w:t>
      </w:r>
      <w:r w:rsidR="00276239">
        <w:noBreakHyphen/>
      </w:r>
      <w:r>
        <w:t xml:space="preserve">13. </w:t>
      </w:r>
      <w:r w:rsidRPr="00E35307">
        <w:t xml:space="preserve">Demonstrating a lack understanding of how hospitals are funded, the Commonwealth withdrew funding after the finalisation of budgets, leaving hospitals with no choice </w:t>
      </w:r>
      <w:r>
        <w:t>but to cut services</w:t>
      </w:r>
      <w:r w:rsidRPr="00E35307">
        <w:t>.</w:t>
      </w:r>
    </w:p>
    <w:p w:rsidR="0070375D" w:rsidRPr="00E35307" w:rsidRDefault="0070375D" w:rsidP="00A21AF2">
      <w:r w:rsidRPr="00E35307">
        <w:t>At the same time that revenue gr</w:t>
      </w:r>
      <w:r>
        <w:t>owth is easing, the responsibilities of the Victorian government in responding to the diverse and changing requirements of the population are significant and growing.</w:t>
      </w:r>
      <w:r w:rsidRPr="00E35307">
        <w:t xml:space="preserve"> This underscores the importance of reforms</w:t>
      </w:r>
      <w:r>
        <w:fldChar w:fldCharType="begin"/>
      </w:r>
      <w:r>
        <w:instrText xml:space="preserve"> XE "</w:instrText>
      </w:r>
      <w:r w:rsidRPr="00C20031">
        <w:instrText>Reforms</w:instrText>
      </w:r>
      <w:r>
        <w:instrText xml:space="preserve">" </w:instrText>
      </w:r>
      <w:r>
        <w:fldChar w:fldCharType="end"/>
      </w:r>
      <w:r w:rsidRPr="00E35307">
        <w:t xml:space="preserve"> to ensure services are provided to the community in the most </w:t>
      </w:r>
      <w:r>
        <w:t xml:space="preserve">efficient </w:t>
      </w:r>
      <w:r w:rsidRPr="00E35307">
        <w:t>and effective way. New approaches to service delivery</w:t>
      </w:r>
      <w:r>
        <w:fldChar w:fldCharType="begin"/>
      </w:r>
      <w:r>
        <w:instrText xml:space="preserve"> XE "</w:instrText>
      </w:r>
      <w:r w:rsidRPr="00C20031">
        <w:instrText>Service delivery</w:instrText>
      </w:r>
      <w:r>
        <w:instrText xml:space="preserve">" </w:instrText>
      </w:r>
      <w:r>
        <w:fldChar w:fldCharType="end"/>
      </w:r>
      <w:r w:rsidRPr="00E35307">
        <w:t xml:space="preserve"> will be required, along with a focus on the outcomes being sought rather than funding inputs.</w:t>
      </w:r>
    </w:p>
    <w:p w:rsidR="003C7B08" w:rsidRDefault="0070375D" w:rsidP="002922EB">
      <w:r w:rsidRPr="00E35307">
        <w:t>The Government is ensuring it can deliver services to the public more cost effectively. Implementation of the Sustainable Government Initiative</w:t>
      </w:r>
      <w:r>
        <w:fldChar w:fldCharType="begin"/>
      </w:r>
      <w:r>
        <w:instrText xml:space="preserve"> XE "</w:instrText>
      </w:r>
      <w:r w:rsidRPr="00C20031">
        <w:instrText>Sustainable Government Initiative</w:instrText>
      </w:r>
      <w:r>
        <w:instrText xml:space="preserve">" </w:instrText>
      </w:r>
      <w:r>
        <w:fldChar w:fldCharType="end"/>
      </w:r>
      <w:r w:rsidRPr="00E35307">
        <w:t xml:space="preserve"> has helped</w:t>
      </w:r>
      <w:r w:rsidRPr="00645BA4">
        <w:t xml:space="preserve"> minimise government costs and the public sector restructure</w:t>
      </w:r>
      <w:r>
        <w:fldChar w:fldCharType="begin"/>
      </w:r>
      <w:r>
        <w:instrText xml:space="preserve"> XE "</w:instrText>
      </w:r>
      <w:r w:rsidRPr="00C20031">
        <w:instrText xml:space="preserve">Public </w:instrText>
      </w:r>
      <w:r>
        <w:instrText>sector</w:instrText>
      </w:r>
      <w:r w:rsidRPr="00C20031">
        <w:instrText xml:space="preserve"> restructure</w:instrText>
      </w:r>
      <w:r>
        <w:instrText xml:space="preserve">" </w:instrText>
      </w:r>
      <w:r>
        <w:fldChar w:fldCharType="end"/>
      </w:r>
      <w:r w:rsidRPr="00645BA4">
        <w:t xml:space="preserve"> announced in April 2013 will refocus departments to ensure better service delivery.</w:t>
      </w:r>
      <w:bookmarkEnd w:id="20"/>
      <w:r>
        <w:fldChar w:fldCharType="begin"/>
      </w:r>
      <w:r>
        <w:instrText xml:space="preserve"> XE "</w:instrText>
      </w:r>
      <w:r w:rsidRPr="00C20031">
        <w:instrText>Commonwealth – State financial relations</w:instrText>
      </w:r>
      <w:r>
        <w:instrText xml:space="preserve">" \r "BP3Ch3CwthStateFinRelPt2" </w:instrText>
      </w:r>
      <w:r>
        <w:fldChar w:fldCharType="end"/>
      </w:r>
      <w:r w:rsidRPr="00BE3741">
        <w:t xml:space="preserve"> </w:t>
      </w:r>
      <w:r>
        <w:fldChar w:fldCharType="begin"/>
      </w:r>
      <w:r>
        <w:instrText xml:space="preserve"> XE "</w:instrText>
      </w:r>
      <w:r w:rsidRPr="00C20031">
        <w:instrText>Revenue</w:instrText>
      </w:r>
      <w:r>
        <w:instrText xml:space="preserve">" \r "BP3Ch3Revenue" </w:instrText>
      </w:r>
      <w:r>
        <w:fldChar w:fldCharType="end"/>
      </w:r>
    </w:p>
    <w:p w:rsidR="003C7B08" w:rsidRDefault="003C7B08">
      <w:pPr>
        <w:spacing w:after="0"/>
      </w:pPr>
      <w:r>
        <w:br w:type="page"/>
      </w:r>
    </w:p>
    <w:p w:rsidR="0070375D" w:rsidRDefault="0070375D" w:rsidP="00244023">
      <w:pPr>
        <w:pStyle w:val="Heading1"/>
      </w:pPr>
      <w:bookmarkStart w:id="25" w:name="_Toc355372025"/>
      <w:bookmarkStart w:id="26" w:name="BP3Ch3GovtFiscalStrat"/>
      <w:bookmarkEnd w:id="21"/>
      <w:r w:rsidRPr="004816CA">
        <w:lastRenderedPageBreak/>
        <w:t>The</w:t>
      </w:r>
      <w:r>
        <w:t xml:space="preserve"> Government</w:t>
      </w:r>
      <w:r w:rsidR="00276239">
        <w:t>’</w:t>
      </w:r>
      <w:r>
        <w:t>s economic and fiscal strategy</w:t>
      </w:r>
      <w:bookmarkEnd w:id="25"/>
    </w:p>
    <w:p w:rsidR="0070375D" w:rsidRPr="003A3BFD" w:rsidRDefault="0070375D" w:rsidP="0044039C">
      <w:pPr>
        <w:rPr>
          <w:szCs w:val="22"/>
        </w:rPr>
      </w:pPr>
      <w:r>
        <w:rPr>
          <w:szCs w:val="22"/>
        </w:rPr>
        <w:t>The Government has responded decisively and responsibly to the economic and financial challenges facing Victoria. The Government</w:t>
      </w:r>
      <w:r w:rsidR="00276239">
        <w:rPr>
          <w:szCs w:val="22"/>
        </w:rPr>
        <w:t>’</w:t>
      </w:r>
      <w:r>
        <w:rPr>
          <w:szCs w:val="22"/>
        </w:rPr>
        <w:t xml:space="preserve">s economic and fiscal strategy addresses the challenges directly, and within the appropriate scope and capability of a state government, to drive future economic growth and prosperity. </w:t>
      </w:r>
    </w:p>
    <w:p w:rsidR="0070375D" w:rsidRPr="0082749C" w:rsidRDefault="0070375D" w:rsidP="0056303C">
      <w:pPr>
        <w:rPr>
          <w:szCs w:val="22"/>
        </w:rPr>
      </w:pPr>
      <w:r w:rsidRPr="0082749C">
        <w:rPr>
          <w:szCs w:val="22"/>
        </w:rPr>
        <w:t>The Government is focused on:</w:t>
      </w:r>
    </w:p>
    <w:p w:rsidR="0070375D" w:rsidRPr="0082749C" w:rsidRDefault="0070375D" w:rsidP="0016039E">
      <w:pPr>
        <w:pStyle w:val="BulletText"/>
      </w:pPr>
      <w:r w:rsidRPr="0082749C">
        <w:t>rebuilding budget capacity;</w:t>
      </w:r>
    </w:p>
    <w:p w:rsidR="0070375D" w:rsidRPr="0082749C" w:rsidRDefault="0070375D" w:rsidP="0016039E">
      <w:pPr>
        <w:pStyle w:val="BulletText"/>
      </w:pPr>
      <w:r w:rsidRPr="0082749C">
        <w:t>improving productivity</w:t>
      </w:r>
      <w:r>
        <w:fldChar w:fldCharType="begin"/>
      </w:r>
      <w:r>
        <w:instrText xml:space="preserve"> XE "</w:instrText>
      </w:r>
      <w:r w:rsidRPr="00C20031">
        <w:instrText>Productivity</w:instrText>
      </w:r>
      <w:r>
        <w:instrText xml:space="preserve">" </w:instrText>
      </w:r>
      <w:r>
        <w:fldChar w:fldCharType="end"/>
      </w:r>
      <w:r w:rsidRPr="0082749C">
        <w:t>, including through the provision of major infrastructure</w:t>
      </w:r>
      <w:r>
        <w:fldChar w:fldCharType="begin"/>
      </w:r>
      <w:r>
        <w:instrText xml:space="preserve"> XE "</w:instrText>
      </w:r>
      <w:r w:rsidRPr="00C20031">
        <w:instrText>Infrastructure</w:instrText>
      </w:r>
      <w:r>
        <w:instrText xml:space="preserve">" </w:instrText>
      </w:r>
      <w:r>
        <w:fldChar w:fldCharType="end"/>
      </w:r>
      <w:r w:rsidRPr="0082749C">
        <w:t>,</w:t>
      </w:r>
      <w:r>
        <w:t xml:space="preserve"> more responsive and productive service delivery</w:t>
      </w:r>
      <w:r>
        <w:fldChar w:fldCharType="begin"/>
      </w:r>
      <w:r>
        <w:instrText xml:space="preserve"> XE "</w:instrText>
      </w:r>
      <w:r w:rsidRPr="00C20031">
        <w:instrText>Service delivery</w:instrText>
      </w:r>
      <w:r>
        <w:instrText xml:space="preserve">" </w:instrText>
      </w:r>
      <w:r>
        <w:fldChar w:fldCharType="end"/>
      </w:r>
      <w:r>
        <w:t xml:space="preserve"> </w:t>
      </w:r>
      <w:r w:rsidRPr="0082749C">
        <w:t>and continuing to build the skills</w:t>
      </w:r>
      <w:r>
        <w:fldChar w:fldCharType="begin"/>
      </w:r>
      <w:r>
        <w:instrText xml:space="preserve"> XE "</w:instrText>
      </w:r>
      <w:r w:rsidRPr="00C20031">
        <w:instrText>Skills</w:instrText>
      </w:r>
      <w:r>
        <w:instrText xml:space="preserve">" </w:instrText>
      </w:r>
      <w:r>
        <w:fldChar w:fldCharType="end"/>
      </w:r>
      <w:r w:rsidRPr="0082749C">
        <w:t xml:space="preserve"> and capabilities of the Victorian workforce;</w:t>
      </w:r>
      <w:r>
        <w:t xml:space="preserve"> and</w:t>
      </w:r>
      <w:r w:rsidRPr="0082749C">
        <w:t xml:space="preserve"> </w:t>
      </w:r>
    </w:p>
    <w:p w:rsidR="0070375D" w:rsidRPr="0082749C" w:rsidRDefault="0070375D" w:rsidP="0016039E">
      <w:pPr>
        <w:pStyle w:val="BulletText"/>
      </w:pPr>
      <w:r w:rsidRPr="0082749C">
        <w:t>ensuring Victoria is a competitive and low</w:t>
      </w:r>
      <w:r w:rsidR="00276239">
        <w:noBreakHyphen/>
      </w:r>
      <w:r w:rsidRPr="0082749C">
        <w:t>cost place to do business.</w:t>
      </w:r>
    </w:p>
    <w:p w:rsidR="0070375D" w:rsidRPr="00097CB2" w:rsidRDefault="0070375D" w:rsidP="0016039E">
      <w:pPr>
        <w:pStyle w:val="Heading2"/>
      </w:pPr>
      <w:r w:rsidRPr="00097CB2">
        <w:t xml:space="preserve">Rebuilding </w:t>
      </w:r>
      <w:r w:rsidRPr="0016039E">
        <w:t>budget</w:t>
      </w:r>
      <w:r w:rsidRPr="00097CB2">
        <w:t xml:space="preserve"> capacity</w:t>
      </w:r>
    </w:p>
    <w:p w:rsidR="0070375D" w:rsidRPr="006461C5" w:rsidRDefault="0070375D" w:rsidP="005A062F">
      <w:pPr>
        <w:rPr>
          <w:lang w:eastAsia="en-AU"/>
        </w:rPr>
      </w:pPr>
      <w:r w:rsidRPr="006461C5">
        <w:rPr>
          <w:lang w:eastAsia="en-AU"/>
        </w:rPr>
        <w:t>A strong budget position is critical to secure Victoria</w:t>
      </w:r>
      <w:r w:rsidR="00276239">
        <w:rPr>
          <w:lang w:eastAsia="en-AU"/>
        </w:rPr>
        <w:t>’</w:t>
      </w:r>
      <w:r w:rsidRPr="006461C5">
        <w:rPr>
          <w:lang w:eastAsia="en-AU"/>
        </w:rPr>
        <w:t xml:space="preserve">s growth. </w:t>
      </w:r>
    </w:p>
    <w:p w:rsidR="0070375D" w:rsidRPr="006461C5" w:rsidRDefault="0070375D" w:rsidP="005A062F">
      <w:pPr>
        <w:rPr>
          <w:lang w:eastAsia="en-AU"/>
        </w:rPr>
      </w:pPr>
      <w:r w:rsidRPr="006461C5">
        <w:t>Strong fiscal management supports Victoria</w:t>
      </w:r>
      <w:r w:rsidR="00276239">
        <w:t>’</w:t>
      </w:r>
      <w:r w:rsidRPr="006461C5">
        <w:t>s growth prospects, enhances business</w:t>
      </w:r>
      <w:r>
        <w:fldChar w:fldCharType="begin"/>
      </w:r>
      <w:r>
        <w:instrText xml:space="preserve"> XE "</w:instrText>
      </w:r>
      <w:r w:rsidRPr="00C20031">
        <w:instrText>Business confidence</w:instrText>
      </w:r>
      <w:r>
        <w:instrText xml:space="preserve">" </w:instrText>
      </w:r>
      <w:r>
        <w:fldChar w:fldCharType="end"/>
      </w:r>
      <w:r w:rsidRPr="006461C5">
        <w:t xml:space="preserve"> confidence and attracts investment in the State, while also safeguarding Victoria against adverse financial shocks.</w:t>
      </w:r>
    </w:p>
    <w:p w:rsidR="0070375D" w:rsidRPr="006461C5" w:rsidRDefault="0070375D" w:rsidP="005A062F">
      <w:pPr>
        <w:rPr>
          <w:lang w:eastAsia="en-AU"/>
        </w:rPr>
      </w:pPr>
      <w:r>
        <w:rPr>
          <w:lang w:eastAsia="en-AU"/>
        </w:rPr>
        <w:t xml:space="preserve">The Government will use </w:t>
      </w:r>
      <w:r w:rsidRPr="006461C5">
        <w:rPr>
          <w:lang w:eastAsia="en-AU"/>
        </w:rPr>
        <w:t xml:space="preserve">growing </w:t>
      </w:r>
      <w:r>
        <w:rPr>
          <w:lang w:eastAsia="en-AU"/>
        </w:rPr>
        <w:t>operating surpluses</w:t>
      </w:r>
      <w:r>
        <w:rPr>
          <w:lang w:eastAsia="en-AU"/>
        </w:rPr>
        <w:fldChar w:fldCharType="begin"/>
      </w:r>
      <w:r>
        <w:instrText xml:space="preserve"> XE "</w:instrText>
      </w:r>
      <w:r w:rsidRPr="00C20031">
        <w:rPr>
          <w:lang w:eastAsia="en-AU"/>
        </w:rPr>
        <w:instrText>Operating surplus</w:instrText>
      </w:r>
      <w:r>
        <w:instrText xml:space="preserve">" </w:instrText>
      </w:r>
      <w:r>
        <w:rPr>
          <w:lang w:eastAsia="en-AU"/>
        </w:rPr>
        <w:fldChar w:fldCharType="end"/>
      </w:r>
      <w:r>
        <w:rPr>
          <w:lang w:eastAsia="en-AU"/>
        </w:rPr>
        <w:t xml:space="preserve"> to provide </w:t>
      </w:r>
      <w:r w:rsidRPr="006461C5">
        <w:rPr>
          <w:lang w:eastAsia="en-AU"/>
        </w:rPr>
        <w:t>infrastructure</w:t>
      </w:r>
      <w:r>
        <w:rPr>
          <w:lang w:eastAsia="en-AU"/>
        </w:rPr>
        <w:fldChar w:fldCharType="begin"/>
      </w:r>
      <w:r>
        <w:instrText xml:space="preserve"> XE "</w:instrText>
      </w:r>
      <w:r w:rsidRPr="00C20031">
        <w:rPr>
          <w:lang w:eastAsia="en-AU"/>
        </w:rPr>
        <w:instrText>Infrastructure</w:instrText>
      </w:r>
      <w:r>
        <w:instrText xml:space="preserve">" </w:instrText>
      </w:r>
      <w:r>
        <w:rPr>
          <w:lang w:eastAsia="en-AU"/>
        </w:rPr>
        <w:fldChar w:fldCharType="end"/>
      </w:r>
      <w:r w:rsidRPr="006461C5">
        <w:rPr>
          <w:lang w:eastAsia="en-AU"/>
        </w:rPr>
        <w:t xml:space="preserve"> to meet the needs of an expanding population and to maintain economic growth and liveability, without accumulating </w:t>
      </w:r>
      <w:r>
        <w:rPr>
          <w:lang w:eastAsia="en-AU"/>
        </w:rPr>
        <w:t xml:space="preserve">unsustainable </w:t>
      </w:r>
      <w:r w:rsidRPr="006461C5">
        <w:rPr>
          <w:lang w:eastAsia="en-AU"/>
        </w:rPr>
        <w:t>public debt</w:t>
      </w:r>
      <w:r>
        <w:rPr>
          <w:lang w:eastAsia="en-AU"/>
        </w:rPr>
        <w:fldChar w:fldCharType="begin"/>
      </w:r>
      <w:r>
        <w:instrText xml:space="preserve"> XE "</w:instrText>
      </w:r>
      <w:r w:rsidRPr="00C20031">
        <w:rPr>
          <w:lang w:eastAsia="en-AU"/>
        </w:rPr>
        <w:instrText>Debt</w:instrText>
      </w:r>
      <w:r>
        <w:instrText xml:space="preserve">" </w:instrText>
      </w:r>
      <w:r>
        <w:rPr>
          <w:lang w:eastAsia="en-AU"/>
        </w:rPr>
        <w:fldChar w:fldCharType="end"/>
      </w:r>
      <w:r w:rsidRPr="006461C5">
        <w:rPr>
          <w:lang w:eastAsia="en-AU"/>
        </w:rPr>
        <w:t>.</w:t>
      </w:r>
    </w:p>
    <w:p w:rsidR="0070375D" w:rsidRPr="006461C5" w:rsidRDefault="0070375D" w:rsidP="005A062F">
      <w:pPr>
        <w:rPr>
          <w:lang w:eastAsia="en-AU"/>
        </w:rPr>
      </w:pPr>
      <w:bookmarkStart w:id="27" w:name="BP3Ch3Debt"/>
      <w:r>
        <w:rPr>
          <w:lang w:eastAsia="en-AU"/>
        </w:rPr>
        <w:t>The Government</w:t>
      </w:r>
      <w:r w:rsidR="00276239">
        <w:rPr>
          <w:lang w:eastAsia="en-AU"/>
        </w:rPr>
        <w:t>’</w:t>
      </w:r>
      <w:r>
        <w:rPr>
          <w:lang w:eastAsia="en-AU"/>
        </w:rPr>
        <w:t>s medium</w:t>
      </w:r>
      <w:r w:rsidR="00276239">
        <w:rPr>
          <w:lang w:eastAsia="en-AU"/>
        </w:rPr>
        <w:noBreakHyphen/>
      </w:r>
      <w:r>
        <w:rPr>
          <w:lang w:eastAsia="en-AU"/>
        </w:rPr>
        <w:t>term infrastructure</w:t>
      </w:r>
      <w:r>
        <w:rPr>
          <w:lang w:eastAsia="en-AU"/>
        </w:rPr>
        <w:fldChar w:fldCharType="begin"/>
      </w:r>
      <w:r>
        <w:instrText xml:space="preserve"> XE "</w:instrText>
      </w:r>
      <w:r w:rsidRPr="00C20031">
        <w:rPr>
          <w:lang w:eastAsia="en-AU"/>
        </w:rPr>
        <w:instrText>Infrastructure</w:instrText>
      </w:r>
      <w:r>
        <w:instrText xml:space="preserve">" </w:instrText>
      </w:r>
      <w:r>
        <w:rPr>
          <w:lang w:eastAsia="en-AU"/>
        </w:rPr>
        <w:fldChar w:fldCharType="end"/>
      </w:r>
      <w:r>
        <w:rPr>
          <w:lang w:eastAsia="en-AU"/>
        </w:rPr>
        <w:t xml:space="preserve"> investment parameter of 1.3 per cent of GSP</w:t>
      </w:r>
      <w:r>
        <w:rPr>
          <w:lang w:eastAsia="en-AU"/>
        </w:rPr>
        <w:fldChar w:fldCharType="begin"/>
      </w:r>
      <w:r>
        <w:instrText xml:space="preserve"> XE "</w:instrText>
      </w:r>
      <w:r w:rsidRPr="00C20031">
        <w:instrText>Gross state product</w:instrText>
      </w:r>
      <w:r>
        <w:instrText xml:space="preserve">" </w:instrText>
      </w:r>
      <w:r>
        <w:rPr>
          <w:lang w:eastAsia="en-AU"/>
        </w:rPr>
        <w:fldChar w:fldCharType="end"/>
      </w:r>
      <w:r>
        <w:rPr>
          <w:lang w:eastAsia="en-AU"/>
        </w:rPr>
        <w:t xml:space="preserve"> (calculated as a rolling average to take into </w:t>
      </w:r>
      <w:r w:rsidRPr="0082749C">
        <w:rPr>
          <w:lang w:eastAsia="en-AU"/>
        </w:rPr>
        <w:t>account the variation in the size of asset</w:t>
      </w:r>
      <w:r>
        <w:rPr>
          <w:lang w:eastAsia="en-AU"/>
        </w:rPr>
        <w:t xml:space="preserve"> investment</w:t>
      </w:r>
      <w:r>
        <w:rPr>
          <w:lang w:eastAsia="en-AU"/>
        </w:rPr>
        <w:fldChar w:fldCharType="begin"/>
      </w:r>
      <w:r>
        <w:instrText xml:space="preserve"> XE "</w:instrText>
      </w:r>
      <w:r w:rsidRPr="00C076D1">
        <w:instrText>Asset:</w:instrText>
      </w:r>
      <w:r>
        <w:instrText>I</w:instrText>
      </w:r>
      <w:r w:rsidRPr="00C076D1">
        <w:instrText>nvestment</w:instrText>
      </w:r>
      <w:r>
        <w:instrText xml:space="preserve">" </w:instrText>
      </w:r>
      <w:r>
        <w:rPr>
          <w:lang w:eastAsia="en-AU"/>
        </w:rPr>
        <w:fldChar w:fldCharType="end"/>
      </w:r>
      <w:r>
        <w:rPr>
          <w:lang w:eastAsia="en-AU"/>
        </w:rPr>
        <w:t xml:space="preserve">) provides a target for the level of government expenditure needed to ensure Victorians can access high quality services that improve over time. </w:t>
      </w:r>
    </w:p>
    <w:p w:rsidR="0070375D" w:rsidRPr="006461C5" w:rsidRDefault="0070375D" w:rsidP="005A062F">
      <w:pPr>
        <w:rPr>
          <w:lang w:eastAsia="en-AU"/>
        </w:rPr>
      </w:pPr>
      <w:r w:rsidRPr="006461C5">
        <w:rPr>
          <w:lang w:eastAsia="en-AU"/>
        </w:rPr>
        <w:t xml:space="preserve">Funding additional expenditure through deficits and the accumulation of </w:t>
      </w:r>
      <w:r>
        <w:rPr>
          <w:lang w:eastAsia="en-AU"/>
        </w:rPr>
        <w:t xml:space="preserve">further </w:t>
      </w:r>
      <w:r w:rsidRPr="006461C5">
        <w:rPr>
          <w:lang w:eastAsia="en-AU"/>
        </w:rPr>
        <w:t>debt is unsustainable</w:t>
      </w:r>
      <w:r>
        <w:rPr>
          <w:lang w:eastAsia="en-AU"/>
        </w:rPr>
        <w:t xml:space="preserve">, and would </w:t>
      </w:r>
      <w:r w:rsidRPr="006461C5">
        <w:rPr>
          <w:lang w:eastAsia="en-AU"/>
        </w:rPr>
        <w:t>compromis</w:t>
      </w:r>
      <w:r>
        <w:rPr>
          <w:lang w:eastAsia="en-AU"/>
        </w:rPr>
        <w:t>e</w:t>
      </w:r>
      <w:r w:rsidRPr="006461C5">
        <w:rPr>
          <w:lang w:eastAsia="en-AU"/>
        </w:rPr>
        <w:t xml:space="preserve"> future services and tax competitiveness, increasing the burden on future generations.</w:t>
      </w:r>
    </w:p>
    <w:p w:rsidR="0070375D" w:rsidRPr="006461C5" w:rsidRDefault="0070375D" w:rsidP="005A062F">
      <w:r w:rsidRPr="006461C5">
        <w:t>The use of borrowing by state governments to fund the acquisition of long</w:t>
      </w:r>
      <w:r w:rsidR="00276239">
        <w:noBreakHyphen/>
      </w:r>
      <w:r w:rsidRPr="006461C5">
        <w:t xml:space="preserve">term </w:t>
      </w:r>
      <w:r>
        <w:t>assets</w:t>
      </w:r>
      <w:r>
        <w:rPr>
          <w:lang w:eastAsia="en-AU"/>
        </w:rPr>
        <w:fldChar w:fldCharType="begin"/>
      </w:r>
      <w:r>
        <w:instrText xml:space="preserve"> XE "</w:instrText>
      </w:r>
      <w:r w:rsidRPr="00C076D1">
        <w:instrText>Asset:Asset investment</w:instrText>
      </w:r>
      <w:r>
        <w:instrText xml:space="preserve">" </w:instrText>
      </w:r>
      <w:r>
        <w:rPr>
          <w:lang w:eastAsia="en-AU"/>
        </w:rPr>
        <w:fldChar w:fldCharType="end"/>
      </w:r>
      <w:r>
        <w:t xml:space="preserve"> is often justified by a</w:t>
      </w:r>
      <w:r w:rsidRPr="006461C5">
        <w:t xml:space="preserve"> claim that the benefits generated will be enjoyed over a number of years. This argument has validity in corporate settings where the assets</w:t>
      </w:r>
      <w:r>
        <w:rPr>
          <w:lang w:eastAsia="en-AU"/>
        </w:rPr>
        <w:fldChar w:fldCharType="begin"/>
      </w:r>
      <w:r>
        <w:instrText xml:space="preserve"> XE "</w:instrText>
      </w:r>
      <w:r w:rsidRPr="00C076D1">
        <w:instrText>Asset:</w:instrText>
      </w:r>
      <w:r>
        <w:instrText>I</w:instrText>
      </w:r>
      <w:r w:rsidRPr="00C076D1">
        <w:instrText>nvestment</w:instrText>
      </w:r>
      <w:r>
        <w:instrText xml:space="preserve">" </w:instrText>
      </w:r>
      <w:r>
        <w:rPr>
          <w:lang w:eastAsia="en-AU"/>
        </w:rPr>
        <w:fldChar w:fldCharType="end"/>
      </w:r>
      <w:r w:rsidRPr="006461C5">
        <w:t xml:space="preserve"> are </w:t>
      </w:r>
      <w:r>
        <w:t>i</w:t>
      </w:r>
      <w:r w:rsidRPr="006461C5">
        <w:t>ncome</w:t>
      </w:r>
      <w:r w:rsidR="00276239">
        <w:noBreakHyphen/>
      </w:r>
      <w:r w:rsidRPr="006461C5">
        <w:t>producing and are often acquired in discrete bundles</w:t>
      </w:r>
      <w:r>
        <w:t xml:space="preserve">. </w:t>
      </w:r>
      <w:r w:rsidRPr="006461C5">
        <w:t>Similarly, households can accumulate a lar</w:t>
      </w:r>
      <w:r>
        <w:t>ger amount of debt</w:t>
      </w:r>
      <w:r>
        <w:fldChar w:fldCharType="begin"/>
      </w:r>
      <w:r>
        <w:instrText xml:space="preserve"> XE "</w:instrText>
      </w:r>
      <w:r w:rsidRPr="00C20031">
        <w:instrText>Debt</w:instrText>
      </w:r>
      <w:r>
        <w:instrText xml:space="preserve">" </w:instrText>
      </w:r>
      <w:r>
        <w:fldChar w:fldCharType="end"/>
      </w:r>
      <w:r>
        <w:t xml:space="preserve"> in the short</w:t>
      </w:r>
      <w:r w:rsidR="00276239">
        <w:noBreakHyphen/>
      </w:r>
      <w:r w:rsidRPr="006461C5">
        <w:t>term</w:t>
      </w:r>
      <w:r>
        <w:t>,</w:t>
      </w:r>
      <w:r w:rsidRPr="006461C5">
        <w:t xml:space="preserve"> knowing they have the rest of their working lives to save and repay</w:t>
      </w:r>
      <w:r>
        <w:t xml:space="preserve">. </w:t>
      </w:r>
      <w:r w:rsidRPr="006461C5">
        <w:t>However, for governments, capital expenditure</w:t>
      </w:r>
      <w:r>
        <w:fldChar w:fldCharType="begin"/>
      </w:r>
      <w:r>
        <w:instrText xml:space="preserve"> XE "</w:instrText>
      </w:r>
      <w:r w:rsidRPr="00C20031">
        <w:instrText>Capital expenditure</w:instrText>
      </w:r>
      <w:r>
        <w:instrText xml:space="preserve">" </w:instrText>
      </w:r>
      <w:r>
        <w:fldChar w:fldCharType="end"/>
      </w:r>
      <w:r w:rsidRPr="006461C5">
        <w:t xml:space="preserve"> to support service delivery</w:t>
      </w:r>
      <w:r>
        <w:fldChar w:fldCharType="begin"/>
      </w:r>
      <w:r>
        <w:instrText xml:space="preserve"> XE "</w:instrText>
      </w:r>
      <w:r w:rsidRPr="00C20031">
        <w:instrText>Service delivery</w:instrText>
      </w:r>
      <w:r>
        <w:instrText xml:space="preserve">" </w:instrText>
      </w:r>
      <w:r>
        <w:fldChar w:fldCharType="end"/>
      </w:r>
      <w:r w:rsidRPr="006461C5">
        <w:t xml:space="preserve"> and public good provision is required every year and does not </w:t>
      </w:r>
      <w:r>
        <w:t xml:space="preserve">normally </w:t>
      </w:r>
      <w:r w:rsidRPr="006461C5">
        <w:t>generate income</w:t>
      </w:r>
      <w:r>
        <w:t>.</w:t>
      </w:r>
      <w:r w:rsidRPr="006461C5">
        <w:t xml:space="preserve"> </w:t>
      </w:r>
    </w:p>
    <w:p w:rsidR="00F615EA" w:rsidRDefault="00F615EA">
      <w:pPr>
        <w:spacing w:after="0"/>
        <w:rPr>
          <w:lang w:eastAsia="en-AU"/>
        </w:rPr>
      </w:pPr>
      <w:r>
        <w:rPr>
          <w:lang w:eastAsia="en-AU"/>
        </w:rPr>
        <w:br w:type="page"/>
      </w:r>
    </w:p>
    <w:p w:rsidR="0070375D" w:rsidRPr="006461C5" w:rsidRDefault="0070375D" w:rsidP="005A062F">
      <w:pPr>
        <w:rPr>
          <w:lang w:eastAsia="en-AU"/>
        </w:rPr>
      </w:pPr>
      <w:r>
        <w:rPr>
          <w:lang w:eastAsia="en-AU"/>
        </w:rPr>
        <w:lastRenderedPageBreak/>
        <w:t xml:space="preserve">Some commentators argue that increasing state debt is sometimes justified to </w:t>
      </w:r>
      <w:r w:rsidR="00276239">
        <w:rPr>
          <w:lang w:eastAsia="en-AU"/>
        </w:rPr>
        <w:t>‘</w:t>
      </w:r>
      <w:r>
        <w:rPr>
          <w:lang w:eastAsia="en-AU"/>
        </w:rPr>
        <w:t>kick</w:t>
      </w:r>
      <w:r w:rsidR="00276239">
        <w:rPr>
          <w:lang w:eastAsia="en-AU"/>
        </w:rPr>
        <w:noBreakHyphen/>
      </w:r>
      <w:r>
        <w:rPr>
          <w:lang w:eastAsia="en-AU"/>
        </w:rPr>
        <w:t>start</w:t>
      </w:r>
      <w:r w:rsidR="00276239">
        <w:rPr>
          <w:lang w:eastAsia="en-AU"/>
        </w:rPr>
        <w:t>’</w:t>
      </w:r>
      <w:r>
        <w:rPr>
          <w:lang w:eastAsia="en-AU"/>
        </w:rPr>
        <w:t xml:space="preserve"> the economy. </w:t>
      </w:r>
      <w:r w:rsidRPr="006461C5">
        <w:rPr>
          <w:lang w:eastAsia="en-AU"/>
        </w:rPr>
        <w:t>Moving the State</w:t>
      </w:r>
      <w:r w:rsidR="00276239">
        <w:rPr>
          <w:lang w:eastAsia="en-AU"/>
        </w:rPr>
        <w:t>’</w:t>
      </w:r>
      <w:r w:rsidRPr="006461C5">
        <w:rPr>
          <w:lang w:eastAsia="en-AU"/>
        </w:rPr>
        <w:t>s finances into deficit is not an effective way to counteract business cycle fluctuations or the forces of structural change</w:t>
      </w:r>
      <w:r>
        <w:rPr>
          <w:lang w:eastAsia="en-AU"/>
        </w:rPr>
        <w:fldChar w:fldCharType="begin"/>
      </w:r>
      <w:r>
        <w:instrText xml:space="preserve"> XE "</w:instrText>
      </w:r>
      <w:r w:rsidRPr="00C20031">
        <w:rPr>
          <w:lang w:eastAsia="en-AU"/>
        </w:rPr>
        <w:instrText>Structural change</w:instrText>
      </w:r>
      <w:r>
        <w:instrText xml:space="preserve">" </w:instrText>
      </w:r>
      <w:r>
        <w:rPr>
          <w:lang w:eastAsia="en-AU"/>
        </w:rPr>
        <w:fldChar w:fldCharType="end"/>
      </w:r>
      <w:r w:rsidRPr="006461C5">
        <w:rPr>
          <w:lang w:eastAsia="en-AU"/>
        </w:rPr>
        <w:t xml:space="preserve"> because:</w:t>
      </w:r>
    </w:p>
    <w:p w:rsidR="0070375D" w:rsidRPr="006461C5" w:rsidRDefault="0070375D" w:rsidP="005A062F">
      <w:pPr>
        <w:pStyle w:val="BulletText"/>
        <w:rPr>
          <w:lang w:eastAsia="en-AU"/>
        </w:rPr>
      </w:pPr>
      <w:r w:rsidRPr="006461C5">
        <w:rPr>
          <w:lang w:eastAsia="en-AU"/>
        </w:rPr>
        <w:t>government activity is around 15</w:t>
      </w:r>
      <w:r>
        <w:rPr>
          <w:lang w:eastAsia="en-AU"/>
        </w:rPr>
        <w:t> per cent</w:t>
      </w:r>
      <w:r w:rsidRPr="006461C5">
        <w:rPr>
          <w:lang w:eastAsia="en-AU"/>
        </w:rPr>
        <w:t xml:space="preserve"> of Victoria</w:t>
      </w:r>
      <w:r w:rsidR="00276239">
        <w:rPr>
          <w:lang w:eastAsia="en-AU"/>
        </w:rPr>
        <w:t>’</w:t>
      </w:r>
      <w:r w:rsidRPr="006461C5">
        <w:rPr>
          <w:lang w:eastAsia="en-AU"/>
        </w:rPr>
        <w:t>s</w:t>
      </w:r>
      <w:r>
        <w:rPr>
          <w:lang w:eastAsia="en-AU"/>
        </w:rPr>
        <w:t xml:space="preserve"> GSP</w:t>
      </w:r>
      <w:r>
        <w:rPr>
          <w:lang w:eastAsia="en-AU"/>
        </w:rPr>
        <w:fldChar w:fldCharType="begin"/>
      </w:r>
      <w:r>
        <w:instrText xml:space="preserve"> XE "</w:instrText>
      </w:r>
      <w:r w:rsidRPr="00C20031">
        <w:instrText>Gross state product</w:instrText>
      </w:r>
      <w:r>
        <w:instrText xml:space="preserve">" </w:instrText>
      </w:r>
      <w:r>
        <w:rPr>
          <w:lang w:eastAsia="en-AU"/>
        </w:rPr>
        <w:fldChar w:fldCharType="end"/>
      </w:r>
      <w:r w:rsidRPr="006461C5">
        <w:rPr>
          <w:lang w:eastAsia="en-AU"/>
        </w:rPr>
        <w:t xml:space="preserve">, so the ability of State spending to influence aggregate demand is limited; </w:t>
      </w:r>
    </w:p>
    <w:p w:rsidR="0070375D" w:rsidRPr="006461C5" w:rsidRDefault="0070375D" w:rsidP="005A062F">
      <w:pPr>
        <w:pStyle w:val="BulletText"/>
        <w:rPr>
          <w:lang w:eastAsia="en-AU"/>
        </w:rPr>
      </w:pPr>
      <w:r w:rsidRPr="006461C5">
        <w:rPr>
          <w:lang w:eastAsia="en-AU"/>
        </w:rPr>
        <w:t>unlike the Commonwealth, state governments have a limited ability to make significant immediate payments to individuals, as the Commonwealth did in the global financial crisis</w:t>
      </w:r>
      <w:r>
        <w:rPr>
          <w:lang w:eastAsia="en-AU"/>
        </w:rPr>
        <w:fldChar w:fldCharType="begin"/>
      </w:r>
      <w:r>
        <w:instrText xml:space="preserve"> XE "</w:instrText>
      </w:r>
      <w:r w:rsidRPr="00C20031">
        <w:rPr>
          <w:lang w:eastAsia="en-AU"/>
        </w:rPr>
        <w:instrText>Global financial crisis</w:instrText>
      </w:r>
      <w:r>
        <w:instrText xml:space="preserve">" </w:instrText>
      </w:r>
      <w:r>
        <w:rPr>
          <w:lang w:eastAsia="en-AU"/>
        </w:rPr>
        <w:fldChar w:fldCharType="end"/>
      </w:r>
      <w:r w:rsidRPr="006461C5">
        <w:rPr>
          <w:lang w:eastAsia="en-AU"/>
        </w:rPr>
        <w:t xml:space="preserve"> </w:t>
      </w:r>
      <w:r>
        <w:rPr>
          <w:lang w:eastAsia="en-AU"/>
        </w:rPr>
        <w:t xml:space="preserve">in an attempt </w:t>
      </w:r>
      <w:r w:rsidRPr="006461C5">
        <w:rPr>
          <w:lang w:eastAsia="en-AU"/>
        </w:rPr>
        <w:t xml:space="preserve">to stimulate the economy; </w:t>
      </w:r>
    </w:p>
    <w:p w:rsidR="0070375D" w:rsidRPr="006461C5" w:rsidRDefault="0070375D" w:rsidP="005A062F">
      <w:pPr>
        <w:pStyle w:val="BulletText"/>
        <w:rPr>
          <w:lang w:eastAsia="en-AU"/>
        </w:rPr>
      </w:pPr>
      <w:r w:rsidRPr="006461C5">
        <w:rPr>
          <w:lang w:eastAsia="en-AU"/>
        </w:rPr>
        <w:t>states have a small tax base which limits the capacity to make short</w:t>
      </w:r>
      <w:r w:rsidR="00276239">
        <w:rPr>
          <w:lang w:eastAsia="en-AU"/>
        </w:rPr>
        <w:noBreakHyphen/>
      </w:r>
      <w:r w:rsidRPr="006461C5">
        <w:rPr>
          <w:lang w:eastAsia="en-AU"/>
        </w:rPr>
        <w:t xml:space="preserve">run tax changes, or changes to how and when grant funding is spent; and </w:t>
      </w:r>
    </w:p>
    <w:p w:rsidR="0070375D" w:rsidRPr="006461C5" w:rsidRDefault="0070375D" w:rsidP="00257D05">
      <w:pPr>
        <w:pStyle w:val="BulletText"/>
        <w:rPr>
          <w:lang w:eastAsia="en-AU"/>
        </w:rPr>
      </w:pPr>
      <w:r>
        <w:rPr>
          <w:lang w:eastAsia="en-AU"/>
        </w:rPr>
        <w:t>decisions to undertake</w:t>
      </w:r>
      <w:r w:rsidRPr="006461C5">
        <w:rPr>
          <w:lang w:eastAsia="en-AU"/>
        </w:rPr>
        <w:t xml:space="preserve"> significant new service delivery</w:t>
      </w:r>
      <w:r>
        <w:rPr>
          <w:lang w:eastAsia="en-AU"/>
        </w:rPr>
        <w:fldChar w:fldCharType="begin"/>
      </w:r>
      <w:r>
        <w:instrText xml:space="preserve"> XE "</w:instrText>
      </w:r>
      <w:r w:rsidRPr="00C20031">
        <w:rPr>
          <w:lang w:eastAsia="en-AU"/>
        </w:rPr>
        <w:instrText>Service delivery</w:instrText>
      </w:r>
      <w:r>
        <w:instrText xml:space="preserve">" </w:instrText>
      </w:r>
      <w:r>
        <w:rPr>
          <w:lang w:eastAsia="en-AU"/>
        </w:rPr>
        <w:fldChar w:fldCharType="end"/>
      </w:r>
      <w:r w:rsidRPr="006461C5">
        <w:rPr>
          <w:lang w:eastAsia="en-AU"/>
        </w:rPr>
        <w:t xml:space="preserve"> programs or infrastructure</w:t>
      </w:r>
      <w:r>
        <w:rPr>
          <w:lang w:eastAsia="en-AU"/>
        </w:rPr>
        <w:fldChar w:fldCharType="begin"/>
      </w:r>
      <w:r>
        <w:instrText xml:space="preserve"> XE "</w:instrText>
      </w:r>
      <w:r w:rsidRPr="00C20031">
        <w:rPr>
          <w:lang w:eastAsia="en-AU"/>
        </w:rPr>
        <w:instrText>Infrastructure</w:instrText>
      </w:r>
      <w:r>
        <w:instrText xml:space="preserve">" </w:instrText>
      </w:r>
      <w:r>
        <w:rPr>
          <w:lang w:eastAsia="en-AU"/>
        </w:rPr>
        <w:fldChar w:fldCharType="end"/>
      </w:r>
      <w:r w:rsidRPr="006461C5">
        <w:rPr>
          <w:lang w:eastAsia="en-AU"/>
        </w:rPr>
        <w:t xml:space="preserve"> </w:t>
      </w:r>
      <w:r>
        <w:rPr>
          <w:lang w:eastAsia="en-AU"/>
        </w:rPr>
        <w:t xml:space="preserve">projects </w:t>
      </w:r>
      <w:r w:rsidRPr="006461C5">
        <w:rPr>
          <w:lang w:eastAsia="en-AU"/>
        </w:rPr>
        <w:t>require long lead times</w:t>
      </w:r>
      <w:r>
        <w:rPr>
          <w:lang w:eastAsia="en-AU"/>
        </w:rPr>
        <w:t xml:space="preserve">. </w:t>
      </w:r>
      <w:r w:rsidRPr="006461C5">
        <w:rPr>
          <w:lang w:eastAsia="en-AU"/>
        </w:rPr>
        <w:t xml:space="preserve">Project </w:t>
      </w:r>
      <w:r w:rsidRPr="00257D05">
        <w:t>complexities</w:t>
      </w:r>
      <w:r w:rsidRPr="006461C5">
        <w:rPr>
          <w:lang w:eastAsia="en-AU"/>
        </w:rPr>
        <w:t xml:space="preserve"> and lead times associated with sourcing and training new staff make timely and short</w:t>
      </w:r>
      <w:r w:rsidR="00276239">
        <w:rPr>
          <w:lang w:eastAsia="en-AU"/>
        </w:rPr>
        <w:noBreakHyphen/>
      </w:r>
      <w:r w:rsidRPr="006461C5">
        <w:rPr>
          <w:lang w:eastAsia="en-AU"/>
        </w:rPr>
        <w:t>term fiscal stimulus</w:t>
      </w:r>
      <w:r>
        <w:rPr>
          <w:lang w:eastAsia="en-AU"/>
        </w:rPr>
        <w:fldChar w:fldCharType="begin"/>
      </w:r>
      <w:r>
        <w:instrText xml:space="preserve"> XE "</w:instrText>
      </w:r>
      <w:r w:rsidRPr="00C20031">
        <w:rPr>
          <w:lang w:eastAsia="en-AU"/>
        </w:rPr>
        <w:instrText>Fiscal stimulus</w:instrText>
      </w:r>
      <w:r>
        <w:instrText xml:space="preserve">" </w:instrText>
      </w:r>
      <w:r>
        <w:rPr>
          <w:lang w:eastAsia="en-AU"/>
        </w:rPr>
        <w:fldChar w:fldCharType="end"/>
      </w:r>
      <w:r w:rsidRPr="006461C5">
        <w:rPr>
          <w:lang w:eastAsia="en-AU"/>
        </w:rPr>
        <w:t xml:space="preserve"> difficult, with such initiatives potentially ending up pro</w:t>
      </w:r>
      <w:r w:rsidR="00276239">
        <w:rPr>
          <w:lang w:eastAsia="en-AU"/>
        </w:rPr>
        <w:noBreakHyphen/>
      </w:r>
      <w:r w:rsidRPr="006461C5">
        <w:rPr>
          <w:lang w:eastAsia="en-AU"/>
        </w:rPr>
        <w:t>cyclical.</w:t>
      </w:r>
      <w:r>
        <w:rPr>
          <w:lang w:eastAsia="en-AU"/>
        </w:rPr>
        <w:fldChar w:fldCharType="begin"/>
      </w:r>
      <w:r>
        <w:instrText xml:space="preserve"> XE "</w:instrText>
      </w:r>
      <w:r w:rsidRPr="00C20031">
        <w:instrText>Debt</w:instrText>
      </w:r>
      <w:r>
        <w:instrText xml:space="preserve">" \r "BP3Ch3Debt" </w:instrText>
      </w:r>
      <w:r>
        <w:rPr>
          <w:lang w:eastAsia="en-AU"/>
        </w:rPr>
        <w:fldChar w:fldCharType="end"/>
      </w:r>
      <w:r w:rsidRPr="006461C5">
        <w:rPr>
          <w:lang w:eastAsia="en-AU"/>
        </w:rPr>
        <w:t xml:space="preserve"> </w:t>
      </w:r>
      <w:bookmarkEnd w:id="27"/>
    </w:p>
    <w:p w:rsidR="0070375D" w:rsidRPr="006461C5" w:rsidRDefault="0070375D" w:rsidP="005A062F">
      <w:pPr>
        <w:rPr>
          <w:lang w:eastAsia="en-AU"/>
        </w:rPr>
      </w:pPr>
      <w:r w:rsidRPr="006461C5">
        <w:rPr>
          <w:lang w:eastAsia="en-AU"/>
        </w:rPr>
        <w:t>Global experience also suggests that debt is sticky. Once a government starts to live beyond</w:t>
      </w:r>
      <w:r>
        <w:rPr>
          <w:lang w:eastAsia="en-AU"/>
        </w:rPr>
        <w:t xml:space="preserve"> its means</w:t>
      </w:r>
      <w:r w:rsidRPr="006461C5">
        <w:rPr>
          <w:lang w:eastAsia="en-AU"/>
        </w:rPr>
        <w:t xml:space="preserve">, it is very difficult to return to stability. </w:t>
      </w:r>
    </w:p>
    <w:p w:rsidR="0070375D" w:rsidRPr="006461C5" w:rsidRDefault="0070375D" w:rsidP="005A062F">
      <w:pPr>
        <w:rPr>
          <w:lang w:eastAsia="en-AU"/>
        </w:rPr>
      </w:pPr>
      <w:r w:rsidRPr="006461C5">
        <w:rPr>
          <w:lang w:eastAsia="en-AU"/>
        </w:rPr>
        <w:t>State governments drive activity and employment</w:t>
      </w:r>
      <w:r>
        <w:rPr>
          <w:lang w:eastAsia="en-AU"/>
        </w:rPr>
        <w:fldChar w:fldCharType="begin"/>
      </w:r>
      <w:r>
        <w:instrText xml:space="preserve"> XE "</w:instrText>
      </w:r>
      <w:r w:rsidRPr="00C20031">
        <w:rPr>
          <w:lang w:eastAsia="en-AU"/>
        </w:rPr>
        <w:instrText>Employment</w:instrText>
      </w:r>
      <w:r>
        <w:instrText xml:space="preserve">" </w:instrText>
      </w:r>
      <w:r>
        <w:rPr>
          <w:lang w:eastAsia="en-AU"/>
        </w:rPr>
        <w:fldChar w:fldCharType="end"/>
      </w:r>
      <w:r w:rsidRPr="006461C5">
        <w:rPr>
          <w:lang w:eastAsia="en-AU"/>
        </w:rPr>
        <w:t xml:space="preserve"> through creating a strong business environment with competitive taxes, good services, efficient regulation and high quality infrastructure</w:t>
      </w:r>
      <w:r>
        <w:rPr>
          <w:lang w:eastAsia="en-AU"/>
        </w:rPr>
        <w:fldChar w:fldCharType="begin"/>
      </w:r>
      <w:r>
        <w:instrText xml:space="preserve"> XE "</w:instrText>
      </w:r>
      <w:r w:rsidRPr="00C20031">
        <w:rPr>
          <w:lang w:eastAsia="en-AU"/>
        </w:rPr>
        <w:instrText>Infrastructure</w:instrText>
      </w:r>
      <w:r>
        <w:instrText xml:space="preserve">" </w:instrText>
      </w:r>
      <w:r>
        <w:rPr>
          <w:lang w:eastAsia="en-AU"/>
        </w:rPr>
        <w:fldChar w:fldCharType="end"/>
      </w:r>
      <w:r>
        <w:rPr>
          <w:lang w:eastAsia="en-AU"/>
        </w:rPr>
        <w:t xml:space="preserve">. </w:t>
      </w:r>
    </w:p>
    <w:p w:rsidR="0070375D" w:rsidRPr="006461C5" w:rsidRDefault="0070375D" w:rsidP="005A062F">
      <w:pPr>
        <w:rPr>
          <w:lang w:eastAsia="en-AU"/>
        </w:rPr>
      </w:pPr>
      <w:r>
        <w:rPr>
          <w:lang w:eastAsia="en-AU"/>
        </w:rPr>
        <w:t>The Government</w:t>
      </w:r>
      <w:r w:rsidR="00276239">
        <w:rPr>
          <w:lang w:eastAsia="en-AU"/>
        </w:rPr>
        <w:t>’</w:t>
      </w:r>
      <w:r>
        <w:rPr>
          <w:lang w:eastAsia="en-AU"/>
        </w:rPr>
        <w:t xml:space="preserve">s </w:t>
      </w:r>
      <w:r w:rsidRPr="006461C5">
        <w:rPr>
          <w:lang w:eastAsia="en-AU"/>
        </w:rPr>
        <w:t xml:space="preserve">economic and fiscal strategy is based on </w:t>
      </w:r>
      <w:r w:rsidRPr="00B67717">
        <w:rPr>
          <w:lang w:eastAsia="en-AU"/>
        </w:rPr>
        <w:t>strengthening the State</w:t>
      </w:r>
      <w:r w:rsidR="00276239">
        <w:rPr>
          <w:lang w:eastAsia="en-AU"/>
        </w:rPr>
        <w:t>’</w:t>
      </w:r>
      <w:r w:rsidRPr="00B67717">
        <w:rPr>
          <w:lang w:eastAsia="en-AU"/>
        </w:rPr>
        <w:t>s</w:t>
      </w:r>
      <w:r>
        <w:rPr>
          <w:lang w:eastAsia="en-AU"/>
        </w:rPr>
        <w:t xml:space="preserve"> </w:t>
      </w:r>
      <w:r w:rsidRPr="006461C5">
        <w:rPr>
          <w:lang w:eastAsia="en-AU"/>
        </w:rPr>
        <w:t>finances, improving productivity growth</w:t>
      </w:r>
      <w:r>
        <w:rPr>
          <w:lang w:eastAsia="en-AU"/>
        </w:rPr>
        <w:t>,</w:t>
      </w:r>
      <w:r w:rsidRPr="006461C5">
        <w:rPr>
          <w:lang w:eastAsia="en-AU"/>
        </w:rPr>
        <w:t xml:space="preserve"> targeting spending to improve service delivery</w:t>
      </w:r>
      <w:r>
        <w:rPr>
          <w:lang w:eastAsia="en-AU"/>
        </w:rPr>
        <w:t>,</w:t>
      </w:r>
      <w:r w:rsidRPr="006461C5">
        <w:rPr>
          <w:lang w:eastAsia="en-AU"/>
        </w:rPr>
        <w:t xml:space="preserve"> and invest</w:t>
      </w:r>
      <w:r>
        <w:rPr>
          <w:lang w:eastAsia="en-AU"/>
        </w:rPr>
        <w:t>ing</w:t>
      </w:r>
      <w:r w:rsidRPr="006461C5">
        <w:rPr>
          <w:lang w:eastAsia="en-AU"/>
        </w:rPr>
        <w:t xml:space="preserve"> in high quality infrastructure</w:t>
      </w:r>
      <w:r>
        <w:rPr>
          <w:lang w:eastAsia="en-AU"/>
        </w:rPr>
        <w:fldChar w:fldCharType="begin"/>
      </w:r>
      <w:r>
        <w:instrText xml:space="preserve"> XE "</w:instrText>
      </w:r>
      <w:r w:rsidRPr="00C20031">
        <w:rPr>
          <w:lang w:eastAsia="en-AU"/>
        </w:rPr>
        <w:instrText>Infrastructure</w:instrText>
      </w:r>
      <w:r>
        <w:instrText xml:space="preserve">" </w:instrText>
      </w:r>
      <w:r>
        <w:rPr>
          <w:lang w:eastAsia="en-AU"/>
        </w:rPr>
        <w:fldChar w:fldCharType="end"/>
      </w:r>
      <w:r w:rsidRPr="006461C5">
        <w:rPr>
          <w:lang w:eastAsia="en-AU"/>
        </w:rPr>
        <w:t xml:space="preserve">. </w:t>
      </w:r>
    </w:p>
    <w:p w:rsidR="0070375D" w:rsidRDefault="0070375D" w:rsidP="00137763">
      <w:pPr>
        <w:pStyle w:val="Heading2"/>
      </w:pPr>
      <w:bookmarkStart w:id="28" w:name="BP2Ch3ImpProdu"/>
      <w:bookmarkStart w:id="29" w:name="BP3Ch3ReformsCompMkt"/>
      <w:r>
        <w:t>Improving productivity</w:t>
      </w:r>
    </w:p>
    <w:p w:rsidR="0070375D" w:rsidRDefault="0070375D" w:rsidP="00557BDD">
      <w:r>
        <w:t>Productivity, not debt</w:t>
      </w:r>
      <w:r>
        <w:fldChar w:fldCharType="begin"/>
      </w:r>
      <w:r>
        <w:instrText xml:space="preserve"> XE "</w:instrText>
      </w:r>
      <w:r w:rsidRPr="00BF43C3">
        <w:instrText>Debt</w:instrText>
      </w:r>
      <w:r>
        <w:instrText xml:space="preserve">" </w:instrText>
      </w:r>
      <w:r>
        <w:fldChar w:fldCharType="end"/>
      </w:r>
      <w:r>
        <w:t>, is the key to sustainable prosperity.</w:t>
      </w:r>
    </w:p>
    <w:p w:rsidR="0070375D" w:rsidRDefault="0070375D" w:rsidP="005A062F">
      <w:r w:rsidRPr="00F2241E">
        <w:t xml:space="preserve">As </w:t>
      </w:r>
      <w:r>
        <w:t>Chart 3.5</w:t>
      </w:r>
      <w:r w:rsidRPr="00F2241E">
        <w:t xml:space="preserve"> shows, labour productivity growth in Victoria has deteriorated over the past decade, dipping below the national average in the most recent incomplete productivity gr</w:t>
      </w:r>
      <w:r>
        <w:t>owth cycle. Despite this longer</w:t>
      </w:r>
      <w:r w:rsidR="00276239">
        <w:noBreakHyphen/>
      </w:r>
      <w:r w:rsidRPr="00F2241E">
        <w:t>term trend, Victorian labour productivity growth modestly resumed in 2011</w:t>
      </w:r>
      <w:r w:rsidR="00276239">
        <w:noBreakHyphen/>
      </w:r>
      <w:r w:rsidRPr="00F2241E">
        <w:t xml:space="preserve">12, suggesting </w:t>
      </w:r>
      <w:r>
        <w:t>scope for improvement in longer</w:t>
      </w:r>
      <w:r w:rsidR="00276239">
        <w:noBreakHyphen/>
      </w:r>
      <w:r w:rsidRPr="00F2241E">
        <w:t>term outcomes.</w:t>
      </w:r>
      <w:r>
        <w:t xml:space="preserve"> </w:t>
      </w:r>
    </w:p>
    <w:p w:rsidR="0070375D" w:rsidRDefault="0070375D" w:rsidP="00796375">
      <w:pPr>
        <w:pStyle w:val="Chartheading"/>
      </w:pPr>
      <w:r>
        <w:lastRenderedPageBreak/>
        <w:t>Chart 3.5:</w:t>
      </w:r>
      <w:r>
        <w:tab/>
      </w:r>
      <w:r w:rsidRPr="00396197">
        <w:t xml:space="preserve">Victorian </w:t>
      </w:r>
      <w:r>
        <w:t xml:space="preserve">and Australian </w:t>
      </w:r>
      <w:r w:rsidRPr="00396197">
        <w:t>labour productivity growth (average annual growth), 1993</w:t>
      </w:r>
      <w:r w:rsidR="00276239">
        <w:noBreakHyphen/>
      </w:r>
      <w:r w:rsidRPr="00396197">
        <w:t>94 to 2011</w:t>
      </w:r>
      <w:r w:rsidR="00276239">
        <w:noBreakHyphen/>
      </w:r>
      <w:r>
        <w:t>12</w:t>
      </w:r>
      <w:r w:rsidR="002F421C" w:rsidRPr="002F421C">
        <w:rPr>
          <w:vertAlign w:val="superscript"/>
        </w:rPr>
        <w:t>(a)</w:t>
      </w:r>
    </w:p>
    <w:p w:rsidR="0070375D" w:rsidRDefault="0070375D" w:rsidP="002319AD">
      <w:pPr>
        <w:pStyle w:val="Chartpara"/>
      </w:pPr>
      <w:r>
        <w:rPr>
          <w:noProof/>
          <w:lang w:eastAsia="en-AU"/>
        </w:rPr>
        <w:drawing>
          <wp:inline distT="0" distB="0" distL="0" distR="0" wp14:anchorId="2622C144" wp14:editId="1E5D1C28">
            <wp:extent cx="4858385" cy="28308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58385" cy="2830830"/>
                    </a:xfrm>
                    <a:prstGeom prst="rect">
                      <a:avLst/>
                    </a:prstGeom>
                    <a:noFill/>
                    <a:ln>
                      <a:noFill/>
                    </a:ln>
                  </pic:spPr>
                </pic:pic>
              </a:graphicData>
            </a:graphic>
          </wp:inline>
        </w:drawing>
      </w:r>
    </w:p>
    <w:p w:rsidR="0070375D" w:rsidRDefault="0070375D" w:rsidP="001F1C4C">
      <w:pPr>
        <w:pStyle w:val="Source"/>
      </w:pPr>
      <w:r w:rsidRPr="00796375">
        <w:t xml:space="preserve">Source: Australian Bureau of Statistics. </w:t>
      </w:r>
    </w:p>
    <w:p w:rsidR="0070375D" w:rsidRPr="003E66F6" w:rsidRDefault="0070375D" w:rsidP="001F1C4C">
      <w:pPr>
        <w:pStyle w:val="Notes"/>
      </w:pPr>
      <w:r w:rsidRPr="003E66F6">
        <w:t>Note:</w:t>
      </w:r>
    </w:p>
    <w:p w:rsidR="0070375D" w:rsidRDefault="0070375D" w:rsidP="001F1C4C">
      <w:pPr>
        <w:pStyle w:val="Notes"/>
      </w:pPr>
      <w:r>
        <w:t>(a)</w:t>
      </w:r>
      <w:r>
        <w:tab/>
      </w:r>
      <w:r w:rsidRPr="008D7DC4">
        <w:t>2007</w:t>
      </w:r>
      <w:r w:rsidR="00276239">
        <w:noBreakHyphen/>
      </w:r>
      <w:r w:rsidRPr="008D7DC4">
        <w:t>08 to 2011</w:t>
      </w:r>
      <w:r w:rsidR="00276239">
        <w:noBreakHyphen/>
      </w:r>
      <w:r w:rsidRPr="008D7DC4">
        <w:t>12 represents an incomplete productivity cycle. The ABS use peak</w:t>
      </w:r>
      <w:r w:rsidR="00276239">
        <w:noBreakHyphen/>
      </w:r>
      <w:r w:rsidRPr="008D7DC4">
        <w:t>to</w:t>
      </w:r>
      <w:r w:rsidR="00276239">
        <w:noBreakHyphen/>
      </w:r>
      <w:r w:rsidRPr="008D7DC4">
        <w:t>peak productivity data to determine productivity growth cycles. The ABS is yet to determine if 2007</w:t>
      </w:r>
      <w:r w:rsidR="00276239">
        <w:noBreakHyphen/>
      </w:r>
      <w:r w:rsidRPr="008D7DC4">
        <w:t>08 to 2011</w:t>
      </w:r>
      <w:r w:rsidR="00276239">
        <w:noBreakHyphen/>
      </w:r>
      <w:r w:rsidRPr="008D7DC4">
        <w:t>12 is a complete productivity growth cycle.</w:t>
      </w:r>
    </w:p>
    <w:p w:rsidR="0070375D" w:rsidRPr="008C7E57" w:rsidRDefault="0070375D" w:rsidP="008C7E57">
      <w:pPr>
        <w:pStyle w:val="Source"/>
      </w:pPr>
    </w:p>
    <w:p w:rsidR="0070375D" w:rsidRDefault="0070375D" w:rsidP="00557BDD">
      <w:r w:rsidRPr="00347835">
        <w:t>The productivity and competi</w:t>
      </w:r>
      <w:r>
        <w:t>tiveness of enterprises reflects</w:t>
      </w:r>
      <w:r w:rsidRPr="00347835">
        <w:t xml:space="preserve"> decisions about how to organise production and deliver services, </w:t>
      </w:r>
      <w:r>
        <w:t xml:space="preserve">capacity to </w:t>
      </w:r>
      <w:r w:rsidRPr="00347835">
        <w:t xml:space="preserve">adopt new technology and customer relationships. This means that </w:t>
      </w:r>
      <w:r>
        <w:t>t</w:t>
      </w:r>
      <w:r w:rsidRPr="00347835">
        <w:t>he Victorian Government</w:t>
      </w:r>
      <w:r w:rsidR="00276239">
        <w:t>’</w:t>
      </w:r>
      <w:r w:rsidRPr="00347835">
        <w:t>s influence on productivi</w:t>
      </w:r>
      <w:r>
        <w:t>ty is largely through the impact</w:t>
      </w:r>
      <w:r w:rsidRPr="00347835">
        <w:t xml:space="preserve"> of its institutional frameworks and </w:t>
      </w:r>
      <w:r>
        <w:t xml:space="preserve">policies on business decisions. </w:t>
      </w:r>
    </w:p>
    <w:p w:rsidR="0070375D" w:rsidRDefault="0070375D" w:rsidP="00557BDD">
      <w:pPr>
        <w:rPr>
          <w:szCs w:val="22"/>
        </w:rPr>
      </w:pPr>
      <w:r>
        <w:rPr>
          <w:szCs w:val="22"/>
        </w:rPr>
        <w:t>F</w:t>
      </w:r>
      <w:r w:rsidRPr="00347835">
        <w:rPr>
          <w:szCs w:val="22"/>
        </w:rPr>
        <w:t>ostering competitive markets and exposing organisations to external disciplines to perform well is critical to enhancing productivity growth</w:t>
      </w:r>
      <w:r>
        <w:rPr>
          <w:szCs w:val="22"/>
        </w:rPr>
        <w:t xml:space="preserve">. In the public sector, </w:t>
      </w:r>
      <w:r w:rsidRPr="00347835">
        <w:rPr>
          <w:szCs w:val="22"/>
        </w:rPr>
        <w:t>where many services are delivered in non</w:t>
      </w:r>
      <w:r w:rsidR="00276239">
        <w:rPr>
          <w:szCs w:val="22"/>
        </w:rPr>
        <w:noBreakHyphen/>
      </w:r>
      <w:r w:rsidRPr="00347835">
        <w:rPr>
          <w:szCs w:val="22"/>
        </w:rPr>
        <w:t>market environments characterised by restrictive and anti</w:t>
      </w:r>
      <w:r w:rsidR="00276239">
        <w:rPr>
          <w:szCs w:val="22"/>
        </w:rPr>
        <w:noBreakHyphen/>
      </w:r>
      <w:r w:rsidRPr="00347835">
        <w:rPr>
          <w:szCs w:val="22"/>
        </w:rPr>
        <w:t>competitive practices</w:t>
      </w:r>
      <w:r>
        <w:rPr>
          <w:szCs w:val="22"/>
        </w:rPr>
        <w:t xml:space="preserve">, </w:t>
      </w:r>
      <w:r w:rsidR="003C7B08">
        <w:rPr>
          <w:szCs w:val="22"/>
        </w:rPr>
        <w:t>structures that promote competition and innovation</w:t>
      </w:r>
      <w:r w:rsidRPr="00347835">
        <w:rPr>
          <w:szCs w:val="22"/>
        </w:rPr>
        <w:t xml:space="preserve"> can help drive efficiency and </w:t>
      </w:r>
      <w:r>
        <w:rPr>
          <w:szCs w:val="22"/>
        </w:rPr>
        <w:t xml:space="preserve">improve the diversity and </w:t>
      </w:r>
      <w:r w:rsidRPr="00347835">
        <w:rPr>
          <w:szCs w:val="22"/>
        </w:rPr>
        <w:t xml:space="preserve">quality </w:t>
      </w:r>
      <w:r>
        <w:rPr>
          <w:szCs w:val="22"/>
        </w:rPr>
        <w:t xml:space="preserve">of </w:t>
      </w:r>
      <w:r w:rsidRPr="00347835">
        <w:rPr>
          <w:szCs w:val="22"/>
        </w:rPr>
        <w:t>services</w:t>
      </w:r>
      <w:r>
        <w:rPr>
          <w:szCs w:val="22"/>
        </w:rPr>
        <w:t xml:space="preserve"> available</w:t>
      </w:r>
      <w:r w:rsidRPr="00347835">
        <w:rPr>
          <w:szCs w:val="22"/>
        </w:rPr>
        <w:t xml:space="preserve">. </w:t>
      </w:r>
    </w:p>
    <w:p w:rsidR="0070375D" w:rsidRDefault="0070375D" w:rsidP="001F1C4C">
      <w:pPr>
        <w:rPr>
          <w:szCs w:val="22"/>
        </w:rPr>
      </w:pPr>
      <w:r>
        <w:rPr>
          <w:szCs w:val="22"/>
        </w:rPr>
        <w:t xml:space="preserve">The </w:t>
      </w:r>
      <w:r w:rsidRPr="00347835">
        <w:rPr>
          <w:szCs w:val="22"/>
        </w:rPr>
        <w:t xml:space="preserve">Government </w:t>
      </w:r>
      <w:r>
        <w:rPr>
          <w:szCs w:val="22"/>
        </w:rPr>
        <w:t xml:space="preserve">is focusing on </w:t>
      </w:r>
      <w:r w:rsidRPr="00347835">
        <w:rPr>
          <w:szCs w:val="22"/>
        </w:rPr>
        <w:t xml:space="preserve">policies </w:t>
      </w:r>
      <w:r>
        <w:rPr>
          <w:szCs w:val="22"/>
        </w:rPr>
        <w:t>to ensure the delivery of productivity</w:t>
      </w:r>
      <w:r w:rsidR="00276239">
        <w:rPr>
          <w:szCs w:val="22"/>
        </w:rPr>
        <w:noBreakHyphen/>
      </w:r>
      <w:r>
        <w:rPr>
          <w:szCs w:val="22"/>
        </w:rPr>
        <w:t xml:space="preserve">enhancing infrastructure that attracts private sector investment, </w:t>
      </w:r>
      <w:r w:rsidRPr="00347835">
        <w:rPr>
          <w:szCs w:val="22"/>
        </w:rPr>
        <w:t>planning regulation that is responsive to productive investment</w:t>
      </w:r>
      <w:r>
        <w:rPr>
          <w:szCs w:val="22"/>
        </w:rPr>
        <w:t>,</w:t>
      </w:r>
      <w:r w:rsidRPr="00347835">
        <w:rPr>
          <w:szCs w:val="22"/>
        </w:rPr>
        <w:t xml:space="preserve"> a regulatory framework that is efficient and minimises the impact on business</w:t>
      </w:r>
      <w:r>
        <w:rPr>
          <w:szCs w:val="22"/>
        </w:rPr>
        <w:t>, and</w:t>
      </w:r>
      <w:r w:rsidRPr="00D02335">
        <w:rPr>
          <w:szCs w:val="22"/>
        </w:rPr>
        <w:t xml:space="preserve"> </w:t>
      </w:r>
      <w:r w:rsidRPr="00347835">
        <w:rPr>
          <w:szCs w:val="22"/>
        </w:rPr>
        <w:t>develop</w:t>
      </w:r>
      <w:r>
        <w:rPr>
          <w:szCs w:val="22"/>
        </w:rPr>
        <w:t>ing</w:t>
      </w:r>
      <w:r w:rsidRPr="00347835">
        <w:rPr>
          <w:szCs w:val="22"/>
        </w:rPr>
        <w:t xml:space="preserve"> the skills</w:t>
      </w:r>
      <w:r>
        <w:rPr>
          <w:szCs w:val="22"/>
        </w:rPr>
        <w:fldChar w:fldCharType="begin"/>
      </w:r>
      <w:r>
        <w:instrText xml:space="preserve"> XE "</w:instrText>
      </w:r>
      <w:r w:rsidRPr="00BF43C3">
        <w:rPr>
          <w:szCs w:val="22"/>
        </w:rPr>
        <w:instrText>Skills</w:instrText>
      </w:r>
      <w:r>
        <w:instrText xml:space="preserve">" </w:instrText>
      </w:r>
      <w:r>
        <w:rPr>
          <w:szCs w:val="22"/>
        </w:rPr>
        <w:fldChar w:fldCharType="end"/>
      </w:r>
      <w:r w:rsidRPr="00347835">
        <w:rPr>
          <w:szCs w:val="22"/>
        </w:rPr>
        <w:t xml:space="preserve"> and capabilities of the Victorian workforce to improve quality and efficiency </w:t>
      </w:r>
    </w:p>
    <w:p w:rsidR="0070375D" w:rsidRPr="00C80D13" w:rsidRDefault="0070375D" w:rsidP="00557BDD">
      <w:pPr>
        <w:pStyle w:val="Heading2"/>
      </w:pPr>
      <w:r>
        <w:br w:type="page"/>
      </w:r>
      <w:bookmarkStart w:id="30" w:name="BP3Ch3InfraInvest"/>
      <w:r>
        <w:lastRenderedPageBreak/>
        <w:t>Building major infrastructure</w:t>
      </w:r>
    </w:p>
    <w:p w:rsidR="0070375D" w:rsidRDefault="0070375D" w:rsidP="00557BDD">
      <w:r>
        <w:t>High</w:t>
      </w:r>
      <w:r w:rsidR="00276239">
        <w:noBreakHyphen/>
      </w:r>
      <w:r>
        <w:t>quality</w:t>
      </w:r>
      <w:r w:rsidRPr="00277F6A">
        <w:t xml:space="preserve"> </w:t>
      </w:r>
      <w:r>
        <w:t xml:space="preserve">economic </w:t>
      </w:r>
      <w:r w:rsidRPr="00277F6A">
        <w:t xml:space="preserve">infrastructure </w:t>
      </w:r>
      <w:r>
        <w:t>reduces business costs, attracts</w:t>
      </w:r>
      <w:r w:rsidRPr="00277F6A">
        <w:t xml:space="preserve"> new private investment</w:t>
      </w:r>
      <w:r>
        <w:t>, and improves workforce participation and productivity</w:t>
      </w:r>
      <w:r w:rsidRPr="00277F6A">
        <w:t xml:space="preserve">. </w:t>
      </w:r>
    </w:p>
    <w:p w:rsidR="0070375D" w:rsidRDefault="0070375D" w:rsidP="00557BDD">
      <w:r>
        <w:t>The Government is facilitating</w:t>
      </w:r>
      <w:r w:rsidRPr="00C80D13">
        <w:t xml:space="preserve"> </w:t>
      </w:r>
      <w:r>
        <w:t xml:space="preserve">major </w:t>
      </w:r>
      <w:r w:rsidRPr="00C80D13">
        <w:t>transforma</w:t>
      </w:r>
      <w:r>
        <w:t>tional infrastructure projects and investing in the capacity</w:t>
      </w:r>
      <w:r w:rsidRPr="00C80D13">
        <w:t xml:space="preserve"> and quality of road, rail and other key economic </w:t>
      </w:r>
      <w:r>
        <w:t xml:space="preserve">and social </w:t>
      </w:r>
      <w:r w:rsidRPr="00C80D13">
        <w:t xml:space="preserve">infrastructure. </w:t>
      </w:r>
      <w:r w:rsidRPr="00F63B35">
        <w:t xml:space="preserve">The </w:t>
      </w:r>
      <w:r w:rsidRPr="005A1DFC">
        <w:rPr>
          <w:i/>
        </w:rPr>
        <w:t>2013</w:t>
      </w:r>
      <w:r w:rsidR="00276239">
        <w:rPr>
          <w:i/>
        </w:rPr>
        <w:noBreakHyphen/>
      </w:r>
      <w:r w:rsidRPr="005A1DFC">
        <w:rPr>
          <w:i/>
        </w:rPr>
        <w:t>14 Budget</w:t>
      </w:r>
      <w:r w:rsidRPr="00F63B35">
        <w:t xml:space="preserve"> delivers Government infrastructure investment in </w:t>
      </w:r>
      <w:r>
        <w:t xml:space="preserve"> </w:t>
      </w:r>
      <w:r w:rsidRPr="00F63B35">
        <w:t>2013</w:t>
      </w:r>
      <w:r w:rsidR="00276239">
        <w:noBreakHyphen/>
      </w:r>
      <w:r w:rsidRPr="00F63B35">
        <w:t>14 of $6.1 billion, which aligns with the Government</w:t>
      </w:r>
      <w:r w:rsidR="00276239">
        <w:t>’</w:t>
      </w:r>
      <w:r w:rsidRPr="00F63B35">
        <w:t>s medium</w:t>
      </w:r>
      <w:r w:rsidR="00276239">
        <w:noBreakHyphen/>
      </w:r>
      <w:r w:rsidRPr="00F63B35">
        <w:t xml:space="preserve">term fiscal parameter </w:t>
      </w:r>
      <w:r w:rsidR="003C7B08">
        <w:t>for</w:t>
      </w:r>
      <w:r w:rsidRPr="00F63B35">
        <w:t xml:space="preserve"> infrastructure investment of 1.3 per cent of GSP (calculated as a five</w:t>
      </w:r>
      <w:r w:rsidR="00276239">
        <w:noBreakHyphen/>
      </w:r>
      <w:r w:rsidRPr="00F63B35">
        <w:t>year rolling average).</w:t>
      </w:r>
    </w:p>
    <w:p w:rsidR="0070375D" w:rsidRDefault="0070375D" w:rsidP="00557BDD">
      <w:r w:rsidRPr="00F2241E">
        <w:t>At the same time, new infrastructure pro</w:t>
      </w:r>
      <w:r>
        <w:t>jects over $100 million or classified as high risk must comply with the high</w:t>
      </w:r>
      <w:r w:rsidR="00276239">
        <w:noBreakHyphen/>
      </w:r>
      <w:r>
        <w:t>value high</w:t>
      </w:r>
      <w:r w:rsidR="00276239">
        <w:noBreakHyphen/>
      </w:r>
      <w:r w:rsidRPr="00F2241E">
        <w:t>risk</w:t>
      </w:r>
      <w:r>
        <w:fldChar w:fldCharType="begin"/>
      </w:r>
      <w:r>
        <w:instrText xml:space="preserve"> XE "</w:instrText>
      </w:r>
      <w:r w:rsidRPr="00BF43C3">
        <w:instrText>High</w:instrText>
      </w:r>
      <w:r w:rsidRPr="00BF43C3">
        <w:noBreakHyphen/>
        <w:instrText>value high</w:instrText>
      </w:r>
      <w:r w:rsidRPr="00BF43C3">
        <w:noBreakHyphen/>
        <w:instrText>risk</w:instrText>
      </w:r>
      <w:r>
        <w:instrText xml:space="preserve">" </w:instrText>
      </w:r>
      <w:r>
        <w:fldChar w:fldCharType="end"/>
      </w:r>
      <w:r w:rsidRPr="00F2241E">
        <w:t xml:space="preserve"> process to improve business case development and project implementation, protecting the budget from cost overruns on major projects.</w:t>
      </w:r>
    </w:p>
    <w:p w:rsidR="0070375D" w:rsidRDefault="0070375D" w:rsidP="00557BDD">
      <w:pPr>
        <w:rPr>
          <w:highlight w:val="yellow"/>
        </w:rPr>
      </w:pPr>
      <w:r>
        <w:rPr>
          <w:rFonts w:cs="Garamond"/>
          <w:color w:val="000000"/>
          <w:szCs w:val="22"/>
          <w:lang w:eastAsia="en-AU"/>
        </w:rPr>
        <w:t>Improved infrastructure procurement processes are being implemented with reforms</w:t>
      </w:r>
      <w:r>
        <w:rPr>
          <w:rFonts w:cs="Garamond"/>
          <w:color w:val="000000"/>
          <w:szCs w:val="22"/>
          <w:lang w:eastAsia="en-AU"/>
        </w:rPr>
        <w:fldChar w:fldCharType="begin"/>
      </w:r>
      <w:r>
        <w:instrText xml:space="preserve"> XE "</w:instrText>
      </w:r>
      <w:r w:rsidRPr="00BF43C3">
        <w:rPr>
          <w:rFonts w:cs="Garamond"/>
          <w:color w:val="000000"/>
          <w:szCs w:val="22"/>
          <w:lang w:eastAsia="en-AU"/>
        </w:rPr>
        <w:instrText>Reforms</w:instrText>
      </w:r>
      <w:r>
        <w:instrText xml:space="preserve">" </w:instrText>
      </w:r>
      <w:r>
        <w:rPr>
          <w:rFonts w:cs="Garamond"/>
          <w:color w:val="000000"/>
          <w:szCs w:val="22"/>
          <w:lang w:eastAsia="en-AU"/>
        </w:rPr>
        <w:fldChar w:fldCharType="end"/>
      </w:r>
      <w:r>
        <w:rPr>
          <w:rFonts w:cs="Garamond"/>
          <w:color w:val="000000"/>
          <w:szCs w:val="22"/>
          <w:lang w:eastAsia="en-AU"/>
        </w:rPr>
        <w:t xml:space="preserve"> to the public private partnership</w:t>
      </w:r>
      <w:r>
        <w:rPr>
          <w:rFonts w:cs="Garamond"/>
          <w:color w:val="000000"/>
          <w:szCs w:val="22"/>
          <w:lang w:eastAsia="en-AU"/>
        </w:rPr>
        <w:fldChar w:fldCharType="begin"/>
      </w:r>
      <w:r>
        <w:instrText xml:space="preserve"> XE "</w:instrText>
      </w:r>
      <w:r w:rsidRPr="00BF43C3">
        <w:rPr>
          <w:rFonts w:cs="Garamond"/>
          <w:color w:val="000000"/>
          <w:szCs w:val="22"/>
          <w:lang w:eastAsia="en-AU"/>
        </w:rPr>
        <w:instrText>Public private partnership</w:instrText>
      </w:r>
      <w:r>
        <w:instrText xml:space="preserve">" </w:instrText>
      </w:r>
      <w:r>
        <w:rPr>
          <w:rFonts w:cs="Garamond"/>
          <w:color w:val="000000"/>
          <w:szCs w:val="22"/>
          <w:lang w:eastAsia="en-AU"/>
        </w:rPr>
        <w:fldChar w:fldCharType="end"/>
      </w:r>
      <w:r>
        <w:rPr>
          <w:rFonts w:cs="Garamond"/>
          <w:color w:val="000000"/>
          <w:szCs w:val="22"/>
          <w:lang w:eastAsia="en-AU"/>
        </w:rPr>
        <w:t xml:space="preserve"> (PPP) model as part of the </w:t>
      </w:r>
      <w:r>
        <w:rPr>
          <w:rFonts w:cs="Garamond"/>
          <w:i/>
          <w:iCs/>
          <w:color w:val="000000"/>
          <w:szCs w:val="22"/>
          <w:lang w:eastAsia="en-AU"/>
        </w:rPr>
        <w:t>2013</w:t>
      </w:r>
      <w:r w:rsidR="00276239">
        <w:rPr>
          <w:rFonts w:cs="Garamond"/>
          <w:i/>
          <w:iCs/>
          <w:color w:val="000000"/>
          <w:szCs w:val="22"/>
          <w:lang w:eastAsia="en-AU"/>
        </w:rPr>
        <w:noBreakHyphen/>
      </w:r>
      <w:r>
        <w:rPr>
          <w:rFonts w:cs="Garamond"/>
          <w:i/>
          <w:iCs/>
          <w:color w:val="000000"/>
          <w:szCs w:val="22"/>
          <w:lang w:eastAsia="en-AU"/>
        </w:rPr>
        <w:t>14 Budget</w:t>
      </w:r>
      <w:r>
        <w:rPr>
          <w:rFonts w:cs="Garamond"/>
          <w:color w:val="000000"/>
          <w:szCs w:val="22"/>
          <w:lang w:eastAsia="en-AU"/>
        </w:rPr>
        <w:t>. The changes will ensure Victoria has the right model to engage the private sector to drive innovation and efficiency in infrastructure delivery. Changes include adopting modified financing structures, including a greater range of services and streamlining PPP</w:t>
      </w:r>
      <w:r>
        <w:rPr>
          <w:rFonts w:cs="Garamond"/>
          <w:color w:val="000000"/>
          <w:szCs w:val="22"/>
          <w:lang w:eastAsia="en-AU"/>
        </w:rPr>
        <w:fldChar w:fldCharType="begin"/>
      </w:r>
      <w:r>
        <w:instrText xml:space="preserve"> XE "</w:instrText>
      </w:r>
      <w:r w:rsidRPr="00BF43C3">
        <w:rPr>
          <w:rFonts w:cs="Garamond"/>
          <w:color w:val="000000"/>
          <w:szCs w:val="22"/>
          <w:lang w:eastAsia="en-AU"/>
        </w:rPr>
        <w:instrText>Public private partnership</w:instrText>
      </w:r>
      <w:r>
        <w:instrText xml:space="preserve">" </w:instrText>
      </w:r>
      <w:r>
        <w:rPr>
          <w:rFonts w:cs="Garamond"/>
          <w:color w:val="000000"/>
          <w:szCs w:val="22"/>
          <w:lang w:eastAsia="en-AU"/>
        </w:rPr>
        <w:fldChar w:fldCharType="end"/>
      </w:r>
      <w:r>
        <w:rPr>
          <w:rFonts w:cs="Garamond"/>
          <w:color w:val="000000"/>
          <w:szCs w:val="22"/>
          <w:lang w:eastAsia="en-AU"/>
        </w:rPr>
        <w:t xml:space="preserve"> tender processes. </w:t>
      </w:r>
      <w:r w:rsidRPr="00D945CF">
        <w:rPr>
          <w:rFonts w:cs="Garamond"/>
          <w:bCs/>
          <w:color w:val="000000"/>
          <w:szCs w:val="22"/>
          <w:lang w:eastAsia="en-AU"/>
        </w:rPr>
        <w:t xml:space="preserve">Value for money will continue to be tested </w:t>
      </w:r>
      <w:r>
        <w:rPr>
          <w:rFonts w:cs="Garamond"/>
          <w:bCs/>
          <w:color w:val="000000"/>
          <w:szCs w:val="22"/>
          <w:lang w:eastAsia="en-AU"/>
        </w:rPr>
        <w:t>through</w:t>
      </w:r>
      <w:r w:rsidRPr="00D945CF">
        <w:rPr>
          <w:rFonts w:cs="Garamond"/>
          <w:bCs/>
          <w:color w:val="000000"/>
          <w:szCs w:val="22"/>
          <w:lang w:eastAsia="en-AU"/>
        </w:rPr>
        <w:t xml:space="preserve"> a robust Public Sector Comparator benchmark. The assumed alternative procurement option will be removed and where appropriate the comparator will be an affordability benchmark with a scope ladder</w:t>
      </w:r>
      <w:r>
        <w:rPr>
          <w:rFonts w:cs="Garamond"/>
          <w:bCs/>
          <w:color w:val="000000"/>
          <w:szCs w:val="22"/>
          <w:lang w:eastAsia="en-AU"/>
        </w:rPr>
        <w:t xml:space="preserve">. </w:t>
      </w:r>
    </w:p>
    <w:p w:rsidR="0070375D" w:rsidRDefault="0070375D" w:rsidP="00557BDD">
      <w:pPr>
        <w:rPr>
          <w:lang w:eastAsia="en-AU"/>
        </w:rPr>
      </w:pPr>
      <w:r>
        <w:rPr>
          <w:lang w:eastAsia="en-AU"/>
        </w:rPr>
        <w:t xml:space="preserve">The </w:t>
      </w:r>
      <w:r>
        <w:rPr>
          <w:i/>
          <w:iCs/>
          <w:lang w:eastAsia="en-AU"/>
        </w:rPr>
        <w:t>2013</w:t>
      </w:r>
      <w:r w:rsidR="00276239">
        <w:rPr>
          <w:i/>
          <w:iCs/>
          <w:lang w:eastAsia="en-AU"/>
        </w:rPr>
        <w:noBreakHyphen/>
      </w:r>
      <w:r>
        <w:rPr>
          <w:i/>
          <w:iCs/>
          <w:lang w:eastAsia="en-AU"/>
        </w:rPr>
        <w:t>14 Budget</w:t>
      </w:r>
      <w:r>
        <w:rPr>
          <w:lang w:eastAsia="en-AU"/>
        </w:rPr>
        <w:t xml:space="preserve"> provides funding for the further development of </w:t>
      </w:r>
      <w:r w:rsidRPr="003C737B">
        <w:rPr>
          <w:lang w:eastAsia="en-AU"/>
        </w:rPr>
        <w:t xml:space="preserve">new </w:t>
      </w:r>
      <w:r>
        <w:rPr>
          <w:lang w:eastAsia="en-AU"/>
        </w:rPr>
        <w:t>long</w:t>
      </w:r>
      <w:r w:rsidR="00276239">
        <w:rPr>
          <w:lang w:eastAsia="en-AU"/>
        </w:rPr>
        <w:noBreakHyphen/>
      </w:r>
      <w:r>
        <w:rPr>
          <w:lang w:eastAsia="en-AU"/>
        </w:rPr>
        <w:t>term major infrastructure projects to improve the efficiency and scale of freight and logistics to better link people, products and markets. This includes:</w:t>
      </w:r>
      <w:r>
        <w:rPr>
          <w:lang w:eastAsia="en-AU"/>
        </w:rPr>
        <w:fldChar w:fldCharType="begin"/>
      </w:r>
      <w:r>
        <w:instrText xml:space="preserve"> XE "</w:instrText>
      </w:r>
      <w:r w:rsidRPr="003010C4">
        <w:instrText>Infrastructure:Investment</w:instrText>
      </w:r>
      <w:r>
        <w:instrText xml:space="preserve">" \r "BP3Ch3InfraInvest" </w:instrText>
      </w:r>
      <w:r>
        <w:rPr>
          <w:lang w:eastAsia="en-AU"/>
        </w:rPr>
        <w:fldChar w:fldCharType="end"/>
      </w:r>
    </w:p>
    <w:p w:rsidR="0070375D" w:rsidRPr="005F382E" w:rsidRDefault="0070375D" w:rsidP="00557BDD">
      <w:pPr>
        <w:pStyle w:val="BulletText"/>
      </w:pPr>
      <w:bookmarkStart w:id="31" w:name="BP3Ch3InfraAssetInvest"/>
      <w:bookmarkEnd w:id="30"/>
      <w:r>
        <w:t>c</w:t>
      </w:r>
      <w:r w:rsidRPr="005F382E">
        <w:t>ommitment to deliver the East West Link</w:t>
      </w:r>
      <w:r>
        <w:fldChar w:fldCharType="begin"/>
      </w:r>
      <w:r>
        <w:instrText xml:space="preserve"> XE "</w:instrText>
      </w:r>
      <w:r w:rsidRPr="00BF43C3">
        <w:instrText>East West Link</w:instrText>
      </w:r>
      <w:r>
        <w:instrText xml:space="preserve">" </w:instrText>
      </w:r>
      <w:r>
        <w:fldChar w:fldCharType="end"/>
      </w:r>
      <w:r w:rsidRPr="005F382E">
        <w:t xml:space="preserve"> project, with the first stage being the Eastern section </w:t>
      </w:r>
      <w:r w:rsidR="003C7B08">
        <w:t>to connect</w:t>
      </w:r>
      <w:r w:rsidRPr="005F382E">
        <w:t xml:space="preserve"> the Eastern Freeway at Hoddle Street to City Link in Parkville. The East West Link – Stage 1 has an estimated capital cost of between $6</w:t>
      </w:r>
      <w:r>
        <w:t> billion</w:t>
      </w:r>
      <w:r w:rsidRPr="005F382E">
        <w:t xml:space="preserve"> and $8</w:t>
      </w:r>
      <w:r>
        <w:t> billion</w:t>
      </w:r>
      <w:r w:rsidRPr="005F382E">
        <w:t xml:space="preserve">. Construction is expected to commence in late 2014 and is </w:t>
      </w:r>
      <w:r>
        <w:t>anticipated to be completed in</w:t>
      </w:r>
      <w:r w:rsidRPr="005F382E">
        <w:t xml:space="preserve"> </w:t>
      </w:r>
      <w:r>
        <w:t>5 years</w:t>
      </w:r>
      <w:r w:rsidRPr="005F382E">
        <w:t>; and</w:t>
      </w:r>
    </w:p>
    <w:p w:rsidR="0070375D" w:rsidRPr="009C7A64" w:rsidRDefault="0070375D" w:rsidP="00557BDD">
      <w:pPr>
        <w:pStyle w:val="BulletText"/>
      </w:pPr>
      <w:r>
        <w:t xml:space="preserve">funding to further develop </w:t>
      </w:r>
      <w:r w:rsidRPr="002161E1">
        <w:t>the Port of Hastings</w:t>
      </w:r>
      <w:r>
        <w:t>. When the Port of Hastings</w:t>
      </w:r>
      <w:r>
        <w:fldChar w:fldCharType="begin"/>
      </w:r>
      <w:r>
        <w:instrText xml:space="preserve"> XE "</w:instrText>
      </w:r>
      <w:r w:rsidRPr="00BF43C3">
        <w:instrText>Port of Hastings</w:instrText>
      </w:r>
      <w:r>
        <w:instrText xml:space="preserve">" </w:instrText>
      </w:r>
      <w:r>
        <w:fldChar w:fldCharType="end"/>
      </w:r>
      <w:r>
        <w:t xml:space="preserve"> project is complete</w:t>
      </w:r>
      <w:r w:rsidRPr="009C7A64">
        <w:t>, Victoria</w:t>
      </w:r>
      <w:r w:rsidR="00276239">
        <w:t>’</w:t>
      </w:r>
      <w:r w:rsidRPr="009C7A64">
        <w:t xml:space="preserve">s container capacity will be significantly enhanced. </w:t>
      </w:r>
    </w:p>
    <w:p w:rsidR="0070375D" w:rsidRDefault="0070375D" w:rsidP="00557BDD">
      <w:r w:rsidRPr="00C80D13">
        <w:t xml:space="preserve">The Government is also investing </w:t>
      </w:r>
      <w:r>
        <w:t>to develop and modernise infrastructure to meet the needs of a growing population</w:t>
      </w:r>
      <w:r>
        <w:fldChar w:fldCharType="begin"/>
      </w:r>
      <w:r>
        <w:instrText xml:space="preserve"> XE "</w:instrText>
      </w:r>
      <w:r w:rsidRPr="00BF43C3">
        <w:instrText>Population</w:instrText>
      </w:r>
      <w:r>
        <w:instrText xml:space="preserve">" </w:instrText>
      </w:r>
      <w:r>
        <w:fldChar w:fldCharType="end"/>
      </w:r>
      <w:r>
        <w:t xml:space="preserve"> and to maintain economic growth</w:t>
      </w:r>
      <w:r>
        <w:fldChar w:fldCharType="begin"/>
      </w:r>
      <w:r>
        <w:instrText xml:space="preserve"> XE "</w:instrText>
      </w:r>
      <w:r w:rsidRPr="00BF43C3">
        <w:instrText>Economic growth</w:instrText>
      </w:r>
      <w:r>
        <w:instrText xml:space="preserve">" </w:instrText>
      </w:r>
      <w:r>
        <w:fldChar w:fldCharType="end"/>
      </w:r>
      <w:r>
        <w:t xml:space="preserve"> and liveability. The </w:t>
      </w:r>
      <w:r>
        <w:rPr>
          <w:i/>
        </w:rPr>
        <w:t>2013</w:t>
      </w:r>
      <w:r w:rsidR="00276239">
        <w:rPr>
          <w:i/>
        </w:rPr>
        <w:noBreakHyphen/>
      </w:r>
      <w:r>
        <w:rPr>
          <w:i/>
        </w:rPr>
        <w:t>14 </w:t>
      </w:r>
      <w:r w:rsidRPr="00DA3224">
        <w:rPr>
          <w:i/>
        </w:rPr>
        <w:t>Budget</w:t>
      </w:r>
      <w:r>
        <w:t xml:space="preserve"> funds</w:t>
      </w:r>
      <w:r w:rsidRPr="00C80D13">
        <w:t>:</w:t>
      </w:r>
    </w:p>
    <w:p w:rsidR="0070375D" w:rsidRPr="00F74DCC" w:rsidRDefault="0070375D" w:rsidP="00596942">
      <w:pPr>
        <w:pStyle w:val="BulletText"/>
      </w:pPr>
      <w:r w:rsidRPr="00F74DCC">
        <w:t>Major investment in health and hospitals including the new Monash Children</w:t>
      </w:r>
      <w:r w:rsidR="00276239">
        <w:t>’</w:t>
      </w:r>
      <w:r w:rsidRPr="00F74DCC">
        <w:t>s Hospital</w:t>
      </w:r>
      <w:r>
        <w:fldChar w:fldCharType="begin"/>
      </w:r>
      <w:r>
        <w:instrText xml:space="preserve"> XE "</w:instrText>
      </w:r>
      <w:r w:rsidRPr="003B5B6D">
        <w:instrText>Monash Children’s Hospital</w:instrText>
      </w:r>
      <w:r>
        <w:instrText xml:space="preserve">" </w:instrText>
      </w:r>
      <w:r>
        <w:fldChar w:fldCharType="end"/>
      </w:r>
      <w:r>
        <w:fldChar w:fldCharType="begin"/>
      </w:r>
      <w:r>
        <w:instrText xml:space="preserve"> XE "Health:</w:instrText>
      </w:r>
      <w:r w:rsidRPr="003B5B6D">
        <w:instrText>Monash Children’s Hospital</w:instrText>
      </w:r>
      <w:r>
        <w:instrText xml:space="preserve">" </w:instrText>
      </w:r>
      <w:r>
        <w:fldChar w:fldCharType="end"/>
      </w:r>
      <w:r w:rsidRPr="00F74DCC">
        <w:t>, which will deliver 230 beds and enable families to access specialist paediatric services closer to where they live, the Royal Victorian Eye and Ear Hospital</w:t>
      </w:r>
      <w:r>
        <w:fldChar w:fldCharType="begin"/>
      </w:r>
      <w:r>
        <w:instrText xml:space="preserve"> XE "</w:instrText>
      </w:r>
      <w:r w:rsidRPr="003B5B6D">
        <w:instrText>Royal Victorian Eye and Ear Hospital</w:instrText>
      </w:r>
      <w:r>
        <w:instrText xml:space="preserve">" </w:instrText>
      </w:r>
      <w:r>
        <w:fldChar w:fldCharType="end"/>
      </w:r>
      <w:r>
        <w:fldChar w:fldCharType="begin"/>
      </w:r>
      <w:r>
        <w:instrText xml:space="preserve"> XE "Health:</w:instrText>
      </w:r>
      <w:r w:rsidRPr="003B5B6D">
        <w:instrText>Royal Victorian Eye and Ear Hospital</w:instrText>
      </w:r>
      <w:r>
        <w:instrText xml:space="preserve">" </w:instrText>
      </w:r>
      <w:r>
        <w:fldChar w:fldCharType="end"/>
      </w:r>
      <w:r w:rsidRPr="00F74DCC">
        <w:t xml:space="preserve"> redevelopment and construction of the new Waurn Ponds Community Hospital</w:t>
      </w:r>
      <w:r>
        <w:fldChar w:fldCharType="begin"/>
      </w:r>
      <w:r>
        <w:instrText xml:space="preserve"> XE "</w:instrText>
      </w:r>
      <w:r w:rsidRPr="003B5B6D">
        <w:instrText>Waurn Ponds Hospital</w:instrText>
      </w:r>
      <w:r>
        <w:instrText xml:space="preserve">" </w:instrText>
      </w:r>
      <w:r>
        <w:fldChar w:fldCharType="end"/>
      </w:r>
      <w:r>
        <w:fldChar w:fldCharType="begin"/>
      </w:r>
      <w:r>
        <w:instrText xml:space="preserve"> XE "Health:</w:instrText>
      </w:r>
      <w:r w:rsidRPr="003B5B6D">
        <w:instrText>Waurn Ponds Hospital</w:instrText>
      </w:r>
      <w:r>
        <w:instrText xml:space="preserve">" </w:instrText>
      </w:r>
      <w:r>
        <w:fldChar w:fldCharType="end"/>
      </w:r>
      <w:r w:rsidRPr="00F74DCC">
        <w:t xml:space="preserve"> in Southern Geelong, delivering 32 beds. The Government is also committing to an expansion of the Northern Hospital to increase in</w:t>
      </w:r>
      <w:r w:rsidR="00276239">
        <w:noBreakHyphen/>
      </w:r>
      <w:r w:rsidRPr="00F74DCC">
        <w:t>patient capacity by 32 additional beds, as well as redevelopment and expansion of the Werribee Mercy Hospital</w:t>
      </w:r>
      <w:r>
        <w:fldChar w:fldCharType="begin"/>
      </w:r>
      <w:r>
        <w:instrText xml:space="preserve"> XE "</w:instrText>
      </w:r>
      <w:r w:rsidRPr="003B5B6D">
        <w:instrText>Werribee Mercy Hospital</w:instrText>
      </w:r>
      <w:r>
        <w:instrText xml:space="preserve">" </w:instrText>
      </w:r>
      <w:r>
        <w:fldChar w:fldCharType="end"/>
      </w:r>
      <w:r>
        <w:fldChar w:fldCharType="begin"/>
      </w:r>
      <w:r>
        <w:instrText xml:space="preserve"> XE "Health:</w:instrText>
      </w:r>
      <w:r w:rsidRPr="003B5B6D">
        <w:instrText>Werribee Mercy Hospital</w:instrText>
      </w:r>
      <w:r>
        <w:instrText xml:space="preserve">" </w:instrText>
      </w:r>
      <w:r>
        <w:fldChar w:fldCharType="end"/>
      </w:r>
      <w:r w:rsidRPr="00F74DCC">
        <w:t xml:space="preserve"> mental health facilities. This is in addition to the continuing investment in the new Bendigo </w:t>
      </w:r>
      <w:r w:rsidR="003C7B08">
        <w:lastRenderedPageBreak/>
        <w:t xml:space="preserve">Hospital, </w:t>
      </w:r>
      <w:r w:rsidRPr="00F74DCC">
        <w:t>the construction of the Victorian Comprehensive Cancer Centre and the redevelopment of Box Hill Hospital</w:t>
      </w:r>
      <w:r>
        <w:fldChar w:fldCharType="begin"/>
      </w:r>
      <w:r>
        <w:instrText xml:space="preserve"> XE "</w:instrText>
      </w:r>
      <w:r w:rsidRPr="003B5B6D">
        <w:instrText>Box Hill Hospital</w:instrText>
      </w:r>
      <w:r>
        <w:instrText xml:space="preserve">" </w:instrText>
      </w:r>
      <w:r>
        <w:fldChar w:fldCharType="end"/>
      </w:r>
      <w:r>
        <w:fldChar w:fldCharType="begin"/>
      </w:r>
      <w:r>
        <w:instrText xml:space="preserve"> XE "Health:</w:instrText>
      </w:r>
      <w:r w:rsidRPr="003B5B6D">
        <w:instrText>Box Hill Hospital</w:instrText>
      </w:r>
      <w:r>
        <w:instrText xml:space="preserve">" </w:instrText>
      </w:r>
      <w:r>
        <w:fldChar w:fldCharType="end"/>
      </w:r>
      <w:r w:rsidRPr="00F74DCC">
        <w:t>.</w:t>
      </w:r>
    </w:p>
    <w:p w:rsidR="0070375D" w:rsidRDefault="0070375D" w:rsidP="008C7E57">
      <w:pPr>
        <w:pStyle w:val="BulletText"/>
      </w:pPr>
      <w:r>
        <w:t>P</w:t>
      </w:r>
      <w:r w:rsidRPr="00AA3033">
        <w:t>ublic transport</w:t>
      </w:r>
      <w:r>
        <w:fldChar w:fldCharType="begin"/>
      </w:r>
      <w:r>
        <w:instrText xml:space="preserve"> XE "</w:instrText>
      </w:r>
      <w:r w:rsidRPr="00BF43C3">
        <w:instrText>Public transport</w:instrText>
      </w:r>
      <w:r>
        <w:instrText xml:space="preserve">" </w:instrText>
      </w:r>
      <w:r>
        <w:fldChar w:fldCharType="end"/>
      </w:r>
      <w:r w:rsidRPr="00AA3033">
        <w:t xml:space="preserve"> investment, including eight new X</w:t>
      </w:r>
      <w:r w:rsidR="00276239">
        <w:t>’</w:t>
      </w:r>
      <w:r w:rsidRPr="00AA3033">
        <w:t xml:space="preserve">Trapolis metropolitan commuter trains to commence running on the network by 2015, which adds to the seven funded in the </w:t>
      </w:r>
      <w:r w:rsidRPr="00EC28B2">
        <w:rPr>
          <w:i/>
        </w:rPr>
        <w:t>2011</w:t>
      </w:r>
      <w:r w:rsidR="00276239">
        <w:rPr>
          <w:i/>
        </w:rPr>
        <w:noBreakHyphen/>
      </w:r>
      <w:r w:rsidRPr="00EC28B2">
        <w:rPr>
          <w:i/>
        </w:rPr>
        <w:t>12 Budget</w:t>
      </w:r>
      <w:r w:rsidRPr="00AA3033">
        <w:t xml:space="preserve"> (of which four of the seven are now in service). The Government has also ordered 40 new regional carriages to fully realise the benefits of the Regional Rail Link</w:t>
      </w:r>
      <w:r>
        <w:fldChar w:fldCharType="begin"/>
      </w:r>
      <w:r>
        <w:instrText xml:space="preserve"> XE "</w:instrText>
      </w:r>
      <w:r w:rsidRPr="00BF43C3">
        <w:instrText>Regional Rail Link</w:instrText>
      </w:r>
      <w:r>
        <w:instrText xml:space="preserve">" </w:instrText>
      </w:r>
      <w:r>
        <w:fldChar w:fldCharType="end"/>
      </w:r>
      <w:r w:rsidRPr="00AA3033">
        <w:t xml:space="preserve"> project when it is operational</w:t>
      </w:r>
      <w:r>
        <w:t xml:space="preserve">. </w:t>
      </w:r>
      <w:r w:rsidRPr="00AA3033">
        <w:t>These investments are in addition to 50 new low</w:t>
      </w:r>
      <w:r w:rsidR="00276239">
        <w:noBreakHyphen/>
      </w:r>
      <w:r w:rsidRPr="00AA3033">
        <w:t>floor trams currently being built for Melbourne</w:t>
      </w:r>
      <w:r w:rsidR="00276239">
        <w:t>’</w:t>
      </w:r>
      <w:r>
        <w:t>s tram network.</w:t>
      </w:r>
    </w:p>
    <w:p w:rsidR="0070375D" w:rsidRDefault="0070375D" w:rsidP="00557BDD">
      <w:pPr>
        <w:pStyle w:val="BulletText"/>
      </w:pPr>
      <w:r>
        <w:t>I</w:t>
      </w:r>
      <w:r w:rsidRPr="00F8142B">
        <w:t>mportant public transport</w:t>
      </w:r>
      <w:r>
        <w:fldChar w:fldCharType="begin"/>
      </w:r>
      <w:r>
        <w:instrText xml:space="preserve"> XE "</w:instrText>
      </w:r>
      <w:r w:rsidRPr="00BF43C3">
        <w:instrText>Public transport</w:instrText>
      </w:r>
      <w:r>
        <w:instrText xml:space="preserve">" </w:instrText>
      </w:r>
      <w:r>
        <w:fldChar w:fldCharType="end"/>
      </w:r>
      <w:r w:rsidRPr="00F8142B">
        <w:t xml:space="preserve"> initiatives</w:t>
      </w:r>
      <w:r>
        <w:t>,</w:t>
      </w:r>
      <w:r w:rsidRPr="00F8142B">
        <w:t xml:space="preserve"> including $100</w:t>
      </w:r>
      <w:r>
        <w:t> million for Bayside rail improvements</w:t>
      </w:r>
      <w:r w:rsidRPr="00F8142B">
        <w:t>, which will improve services and station amenity for passengers on the Frankston line and support the deployment of X</w:t>
      </w:r>
      <w:r w:rsidR="00276239">
        <w:t>’</w:t>
      </w:r>
      <w:r w:rsidRPr="00F8142B">
        <w:t>Trapolis trains on the</w:t>
      </w:r>
      <w:r>
        <w:t xml:space="preserve"> Frankston, Werribee and Williamstown</w:t>
      </w:r>
      <w:r w:rsidRPr="00F8142B">
        <w:t xml:space="preserve"> lines</w:t>
      </w:r>
      <w:r>
        <w:t>.</w:t>
      </w:r>
      <w:r w:rsidRPr="00F8142B">
        <w:t xml:space="preserve"> </w:t>
      </w:r>
      <w:r>
        <w:t>New rail stations</w:t>
      </w:r>
      <w:r w:rsidRPr="00F8142B">
        <w:t xml:space="preserve"> including a new Grovedale Station for residents of Greater Geelong, a new Epsom Station in northern Bendigo, and, subject to negotiations with the owners of Southland Shopping Centre, a new station at Southland Shoppi</w:t>
      </w:r>
      <w:r>
        <w:t>ng Centre on the Frankston line. A</w:t>
      </w:r>
      <w:r w:rsidRPr="00F8142B">
        <w:t xml:space="preserve"> package of early works toward the removal of five level crossings through the Metro </w:t>
      </w:r>
      <w:r w:rsidR="00A70306" w:rsidRPr="00F8142B">
        <w:t xml:space="preserve">level crossing blitz </w:t>
      </w:r>
      <w:r w:rsidRPr="00F8142B">
        <w:t>program, as well as further planning and investigations for another two level crossings. This builds on the removal of five level crossings already underway</w:t>
      </w:r>
      <w:r>
        <w:t xml:space="preserve">. </w:t>
      </w:r>
    </w:p>
    <w:p w:rsidR="0070375D" w:rsidRDefault="0070375D" w:rsidP="00557BDD">
      <w:pPr>
        <w:pStyle w:val="BulletText"/>
      </w:pPr>
      <w:r w:rsidRPr="00F8142B">
        <w:t>$202</w:t>
      </w:r>
      <w:r>
        <w:t> million</w:t>
      </w:r>
      <w:r w:rsidRPr="00F8142B">
        <w:t xml:space="preserve"> for arterial road restoration and maintenance</w:t>
      </w:r>
      <w:r>
        <w:t xml:space="preserve">, such as the West Gate Bridge, which </w:t>
      </w:r>
      <w:r w:rsidRPr="00F8142B">
        <w:t>augment</w:t>
      </w:r>
      <w:r>
        <w:t>s</w:t>
      </w:r>
      <w:r w:rsidRPr="00F8142B">
        <w:t xml:space="preserve"> VicRoads</w:t>
      </w:r>
      <w:r w:rsidR="00276239">
        <w:t>’</w:t>
      </w:r>
      <w:r>
        <w:t xml:space="preserve"> base funding for road maintenance. </w:t>
      </w:r>
    </w:p>
    <w:p w:rsidR="0070375D" w:rsidRDefault="0070375D" w:rsidP="00557BDD">
      <w:pPr>
        <w:pStyle w:val="BulletText"/>
      </w:pPr>
      <w:r w:rsidRPr="0056303C">
        <w:t>$20</w:t>
      </w:r>
      <w:r>
        <w:t>3 million</w:t>
      </w:r>
      <w:r w:rsidRPr="0056303C">
        <w:t xml:space="preserve"> for the State</w:t>
      </w:r>
      <w:r w:rsidR="00276239">
        <w:t>’</w:t>
      </w:r>
      <w:r>
        <w:t>s school capital program.</w:t>
      </w:r>
      <w:r w:rsidRPr="0056303C">
        <w:t xml:space="preserve"> </w:t>
      </w:r>
    </w:p>
    <w:bookmarkEnd w:id="31"/>
    <w:p w:rsidR="0070375D" w:rsidRPr="00C80D13" w:rsidRDefault="0070375D" w:rsidP="00557BDD">
      <w:pPr>
        <w:keepNext/>
        <w:spacing w:before="240"/>
        <w:outlineLvl w:val="1"/>
        <w:rPr>
          <w:rFonts w:ascii="Calibri" w:hAnsi="Calibri"/>
          <w:b/>
          <w:kern w:val="28"/>
          <w:sz w:val="26"/>
          <w:szCs w:val="22"/>
        </w:rPr>
      </w:pPr>
      <w:r w:rsidRPr="00C80D13">
        <w:rPr>
          <w:rFonts w:ascii="Calibri" w:hAnsi="Calibri"/>
          <w:b/>
          <w:kern w:val="28"/>
          <w:sz w:val="26"/>
          <w:szCs w:val="22"/>
        </w:rPr>
        <w:t>Public sector reform to boost growth</w:t>
      </w:r>
    </w:p>
    <w:p w:rsidR="0070375D" w:rsidRDefault="0070375D" w:rsidP="00557BDD">
      <w:r>
        <w:t>The Government</w:t>
      </w:r>
      <w:r w:rsidR="00276239">
        <w:t>’</w:t>
      </w:r>
      <w:r>
        <w:t>s public sector restructure</w:t>
      </w:r>
      <w:r>
        <w:fldChar w:fldCharType="begin"/>
      </w:r>
      <w:r>
        <w:instrText xml:space="preserve"> XE "</w:instrText>
      </w:r>
      <w:r w:rsidRPr="00BF43C3">
        <w:instrText>Public sector restructure</w:instrText>
      </w:r>
      <w:r>
        <w:instrText xml:space="preserve">" </w:instrText>
      </w:r>
      <w:r>
        <w:fldChar w:fldCharType="end"/>
      </w:r>
      <w:r>
        <w:t>, announced in April 2013, is</w:t>
      </w:r>
      <w:r w:rsidRPr="00C80D13">
        <w:t xml:space="preserve"> designed to further sharpen the focus on securing investment and jobs, and providing better services to Victorians. Key changes include</w:t>
      </w:r>
      <w:r>
        <w:t>:</w:t>
      </w:r>
    </w:p>
    <w:p w:rsidR="0070375D" w:rsidRPr="00D8025E" w:rsidRDefault="0070375D" w:rsidP="00557BDD">
      <w:pPr>
        <w:pStyle w:val="BulletText"/>
      </w:pPr>
      <w:r w:rsidRPr="00D8025E">
        <w:t xml:space="preserve">integrating urban and transport planning with local infrastructure and services; </w:t>
      </w:r>
    </w:p>
    <w:p w:rsidR="0070375D" w:rsidRPr="00D8025E" w:rsidRDefault="0070375D" w:rsidP="00557BDD">
      <w:pPr>
        <w:pStyle w:val="BulletText"/>
      </w:pPr>
      <w:r w:rsidRPr="00D8025E">
        <w:t>bringing land and water management together with primary industries to help boost the productivity of Victoria</w:t>
      </w:r>
      <w:r w:rsidR="00276239">
        <w:t>’</w:t>
      </w:r>
      <w:r w:rsidRPr="00D8025E">
        <w:t xml:space="preserve">s food and fibre sector; and </w:t>
      </w:r>
    </w:p>
    <w:p w:rsidR="0070375D" w:rsidRPr="00D8025E" w:rsidRDefault="0070375D" w:rsidP="00557BDD">
      <w:pPr>
        <w:pStyle w:val="BulletText"/>
      </w:pPr>
      <w:r w:rsidRPr="00D8025E">
        <w:t>bringing the energy and resources portfolio into the new Department of State Development, Business and Innovation</w:t>
      </w:r>
      <w:r w:rsidR="0047351B">
        <w:fldChar w:fldCharType="begin"/>
      </w:r>
      <w:r w:rsidR="0047351B">
        <w:instrText xml:space="preserve"> XE "</w:instrText>
      </w:r>
      <w:r w:rsidR="0047351B" w:rsidRPr="000B604D">
        <w:instrText>Department of State Development, Business and Innovation</w:instrText>
      </w:r>
      <w:r w:rsidR="0047351B">
        <w:instrText xml:space="preserve">" </w:instrText>
      </w:r>
      <w:r w:rsidR="0047351B">
        <w:fldChar w:fldCharType="end"/>
      </w:r>
      <w:r w:rsidRPr="00D8025E">
        <w:t xml:space="preserve"> to enable a stronger focus on major </w:t>
      </w:r>
      <w:r w:rsidRPr="00251AB3">
        <w:t>development</w:t>
      </w:r>
      <w:r w:rsidRPr="00D8025E">
        <w:t xml:space="preserve"> opportunities such as Victoria</w:t>
      </w:r>
      <w:r w:rsidR="00276239">
        <w:t>’</w:t>
      </w:r>
      <w:r w:rsidRPr="00D8025E">
        <w:t xml:space="preserve">s coal resources. </w:t>
      </w:r>
    </w:p>
    <w:p w:rsidR="0070375D" w:rsidRDefault="0070375D" w:rsidP="00557BDD">
      <w:r>
        <w:t>These changes follow implementation of the Sustainable Government Initiative</w:t>
      </w:r>
      <w:r>
        <w:fldChar w:fldCharType="begin"/>
      </w:r>
      <w:r>
        <w:instrText xml:space="preserve"> XE "</w:instrText>
      </w:r>
      <w:r w:rsidRPr="00BF43C3">
        <w:instrText>Sustainable Government Initiative</w:instrText>
      </w:r>
      <w:r>
        <w:instrText xml:space="preserve">" </w:instrText>
      </w:r>
      <w:r>
        <w:fldChar w:fldCharType="end"/>
      </w:r>
      <w:r>
        <w:t>, a managed reduction in back office and administrative positions of the public service workforce</w:t>
      </w:r>
      <w:r w:rsidRPr="00F47E84">
        <w:t xml:space="preserve">. </w:t>
      </w:r>
    </w:p>
    <w:p w:rsidR="0070375D" w:rsidRDefault="0070375D">
      <w:pPr>
        <w:spacing w:after="0"/>
      </w:pPr>
      <w:r>
        <w:br w:type="page"/>
      </w:r>
    </w:p>
    <w:p w:rsidR="0070375D" w:rsidRPr="00347835" w:rsidRDefault="0070375D" w:rsidP="00557BDD">
      <w:r w:rsidRPr="00347835">
        <w:lastRenderedPageBreak/>
        <w:t xml:space="preserve">The Government is </w:t>
      </w:r>
      <w:r>
        <w:t>also</w:t>
      </w:r>
      <w:r w:rsidRPr="00347835">
        <w:t xml:space="preserve">: </w:t>
      </w:r>
    </w:p>
    <w:p w:rsidR="0070375D" w:rsidRDefault="0070375D" w:rsidP="00557BDD">
      <w:pPr>
        <w:pStyle w:val="BulletText"/>
      </w:pPr>
      <w:r w:rsidRPr="00251AB3">
        <w:t>strengthening</w:t>
      </w:r>
      <w:r w:rsidRPr="00347835">
        <w:t xml:space="preserve"> </w:t>
      </w:r>
      <w:r w:rsidR="003C7B08">
        <w:t>its</w:t>
      </w:r>
      <w:r w:rsidRPr="00347835">
        <w:t xml:space="preserve"> role as an active shareholder of pub</w:t>
      </w:r>
      <w:r>
        <w:t xml:space="preserve">lic sector commercial entities to </w:t>
      </w:r>
      <w:r w:rsidRPr="00347835">
        <w:t>ensur</w:t>
      </w:r>
      <w:r>
        <w:t xml:space="preserve">e </w:t>
      </w:r>
      <w:r w:rsidRPr="00347835">
        <w:t xml:space="preserve">they provide value for Victorian taxpayers and the community; </w:t>
      </w:r>
    </w:p>
    <w:p w:rsidR="0070375D" w:rsidRDefault="0070375D" w:rsidP="00557BDD">
      <w:pPr>
        <w:pStyle w:val="BulletText"/>
      </w:pPr>
      <w:r>
        <w:t xml:space="preserve">undertaking </w:t>
      </w:r>
      <w:r w:rsidRPr="008D645C">
        <w:t>targeted cost and efficiency reviews</w:t>
      </w:r>
      <w:r>
        <w:t xml:space="preserve"> of entities, </w:t>
      </w:r>
      <w:r w:rsidRPr="008D645C">
        <w:t>esp</w:t>
      </w:r>
      <w:r>
        <w:t xml:space="preserve">ecially where those entities impose direct </w:t>
      </w:r>
      <w:r w:rsidRPr="008D645C">
        <w:t xml:space="preserve">costs on </w:t>
      </w:r>
      <w:r>
        <w:t xml:space="preserve">the community; </w:t>
      </w:r>
    </w:p>
    <w:p w:rsidR="0070375D" w:rsidRDefault="0070375D" w:rsidP="00557BDD">
      <w:pPr>
        <w:pStyle w:val="BulletText"/>
      </w:pPr>
      <w:r w:rsidRPr="00DB46CF">
        <w:t xml:space="preserve">investigating </w:t>
      </w:r>
      <w:r>
        <w:t xml:space="preserve">using the market to provide some </w:t>
      </w:r>
      <w:r w:rsidRPr="00DB46CF">
        <w:t xml:space="preserve">services that are provided internally by government. This is being undertaken, for example, as part of the </w:t>
      </w:r>
      <w:r w:rsidRPr="00D1193F">
        <w:rPr>
          <w:i/>
        </w:rPr>
        <w:t>Victorian Government ICT Strategy</w:t>
      </w:r>
      <w:r w:rsidRPr="00D1193F">
        <w:rPr>
          <w:i/>
        </w:rPr>
        <w:fldChar w:fldCharType="begin"/>
      </w:r>
      <w:r w:rsidRPr="00D1193F">
        <w:rPr>
          <w:i/>
        </w:rPr>
        <w:instrText xml:space="preserve"> XE "Victorian Government ICT Strategy" </w:instrText>
      </w:r>
      <w:r w:rsidRPr="00D1193F">
        <w:rPr>
          <w:i/>
        </w:rPr>
        <w:fldChar w:fldCharType="end"/>
      </w:r>
      <w:r w:rsidRPr="00D1193F">
        <w:rPr>
          <w:i/>
        </w:rPr>
        <w:t xml:space="preserve"> 2013 to 2014</w:t>
      </w:r>
      <w:r w:rsidRPr="00DB46CF">
        <w:t>, released in February 2013</w:t>
      </w:r>
      <w:r>
        <w:t>; and</w:t>
      </w:r>
    </w:p>
    <w:p w:rsidR="0070375D" w:rsidRPr="00347835" w:rsidRDefault="0070375D" w:rsidP="00557BDD">
      <w:pPr>
        <w:pStyle w:val="BulletText"/>
      </w:pPr>
      <w:r w:rsidRPr="00347835">
        <w:t xml:space="preserve">delivering the </w:t>
      </w:r>
      <w:r>
        <w:t>g</w:t>
      </w:r>
      <w:r w:rsidRPr="00347835">
        <w:t>overnment</w:t>
      </w:r>
      <w:r w:rsidR="00276239">
        <w:t>’</w:t>
      </w:r>
      <w:r w:rsidRPr="00347835">
        <w:t xml:space="preserve">s data and intellectual property resources to the </w:t>
      </w:r>
      <w:r>
        <w:t>community</w:t>
      </w:r>
      <w:r w:rsidRPr="00347835">
        <w:t xml:space="preserve">. </w:t>
      </w:r>
      <w:r>
        <w:t>P</w:t>
      </w:r>
      <w:r w:rsidRPr="00347835">
        <w:t xml:space="preserve">ublic sector agencies </w:t>
      </w:r>
      <w:r>
        <w:t xml:space="preserve">are working </w:t>
      </w:r>
      <w:r w:rsidRPr="00347835">
        <w:t>to meet the target of releasing 1</w:t>
      </w:r>
      <w:r>
        <w:t> </w:t>
      </w:r>
      <w:r w:rsidRPr="00347835">
        <w:t>000 datasets for reuse by indus</w:t>
      </w:r>
      <w:r>
        <w:t>try and the public by September </w:t>
      </w:r>
      <w:r w:rsidRPr="00347835">
        <w:t xml:space="preserve">2013. </w:t>
      </w:r>
    </w:p>
    <w:p w:rsidR="0070375D" w:rsidRDefault="0070375D" w:rsidP="00557BDD">
      <w:pPr>
        <w:pStyle w:val="BulletText"/>
        <w:numPr>
          <w:ilvl w:val="0"/>
          <w:numId w:val="0"/>
        </w:numPr>
      </w:pPr>
      <w:r w:rsidRPr="00C80D13">
        <w:t xml:space="preserve">The Government is </w:t>
      </w:r>
      <w:r>
        <w:t xml:space="preserve">also </w:t>
      </w:r>
      <w:r w:rsidRPr="00C80D13">
        <w:t>exploring a commissioning approach for the procurement of services from private, public or not</w:t>
      </w:r>
      <w:r w:rsidR="00276239">
        <w:noBreakHyphen/>
      </w:r>
      <w:r w:rsidRPr="00C80D13">
        <w:t>for</w:t>
      </w:r>
      <w:r w:rsidR="00276239">
        <w:noBreakHyphen/>
      </w:r>
      <w:r w:rsidRPr="00C80D13">
        <w:t>pro</w:t>
      </w:r>
      <w:r>
        <w:t>fit organisations</w:t>
      </w:r>
      <w:r w:rsidRPr="00C80D13">
        <w:t xml:space="preserve"> to </w:t>
      </w:r>
      <w:r>
        <w:t xml:space="preserve">better </w:t>
      </w:r>
      <w:r w:rsidRPr="00C80D13">
        <w:t>harne</w:t>
      </w:r>
      <w:r>
        <w:t xml:space="preserve">ss the benefits of competition. </w:t>
      </w:r>
      <w:r w:rsidRPr="00C80D13">
        <w:t xml:space="preserve">A more competitive </w:t>
      </w:r>
      <w:r>
        <w:t xml:space="preserve">and accountable </w:t>
      </w:r>
      <w:r w:rsidRPr="00C80D13">
        <w:t xml:space="preserve">environment will drive providers to continually lower the cost and improve the quality of their services. </w:t>
      </w:r>
    </w:p>
    <w:p w:rsidR="0070375D" w:rsidRPr="008D7DC4" w:rsidRDefault="0070375D" w:rsidP="00557BDD">
      <w:pPr>
        <w:pStyle w:val="BulletText"/>
        <w:numPr>
          <w:ilvl w:val="0"/>
          <w:numId w:val="0"/>
        </w:numPr>
        <w:rPr>
          <w:rFonts w:cs="Garamond"/>
          <w:color w:val="000000"/>
          <w:szCs w:val="22"/>
          <w:lang w:eastAsia="en-AU"/>
        </w:rPr>
      </w:pPr>
      <w:r w:rsidRPr="008D7DC4">
        <w:rPr>
          <w:rFonts w:cs="Garamond"/>
          <w:color w:val="000000"/>
          <w:szCs w:val="22"/>
          <w:lang w:eastAsia="en-AU"/>
        </w:rPr>
        <w:t>In August 2012, the Victorian and Commonwealth Governments agreed to a launch site of the National Disability Insurance Scheme</w:t>
      </w:r>
      <w:r>
        <w:rPr>
          <w:rFonts w:cs="Garamond"/>
          <w:color w:val="000000"/>
          <w:szCs w:val="22"/>
          <w:lang w:eastAsia="en-AU"/>
        </w:rPr>
        <w:fldChar w:fldCharType="begin"/>
      </w:r>
      <w:r>
        <w:instrText xml:space="preserve"> XE "</w:instrText>
      </w:r>
      <w:r w:rsidRPr="00BF43C3">
        <w:rPr>
          <w:rFonts w:cs="Garamond"/>
          <w:color w:val="000000"/>
          <w:szCs w:val="22"/>
          <w:lang w:eastAsia="en-AU"/>
        </w:rPr>
        <w:instrText>National Disability Insurance Scheme</w:instrText>
      </w:r>
      <w:r>
        <w:instrText xml:space="preserve">" </w:instrText>
      </w:r>
      <w:r>
        <w:rPr>
          <w:rFonts w:cs="Garamond"/>
          <w:color w:val="000000"/>
          <w:szCs w:val="22"/>
          <w:lang w:eastAsia="en-AU"/>
        </w:rPr>
        <w:fldChar w:fldCharType="end"/>
      </w:r>
      <w:r w:rsidRPr="008D7DC4">
        <w:rPr>
          <w:rFonts w:cs="Garamond"/>
          <w:color w:val="000000"/>
          <w:szCs w:val="22"/>
          <w:lang w:eastAsia="en-AU"/>
        </w:rPr>
        <w:t xml:space="preserve"> in the Barwon area commencing on 1 July 2013. Over the course</w:t>
      </w:r>
      <w:r>
        <w:rPr>
          <w:rFonts w:cs="Garamond"/>
          <w:color w:val="000000"/>
          <w:szCs w:val="22"/>
          <w:lang w:eastAsia="en-AU"/>
        </w:rPr>
        <w:t xml:space="preserve"> of the launch, approximately 5 </w:t>
      </w:r>
      <w:r w:rsidRPr="008D7DC4">
        <w:rPr>
          <w:rFonts w:cs="Garamond"/>
          <w:color w:val="000000"/>
          <w:szCs w:val="22"/>
          <w:lang w:eastAsia="en-AU"/>
        </w:rPr>
        <w:t xml:space="preserve">000 eligible people with significant disabilities will have their needs assessed and will start to receive </w:t>
      </w:r>
      <w:r w:rsidR="00276239">
        <w:rPr>
          <w:rFonts w:cs="Garamond"/>
          <w:color w:val="000000"/>
          <w:szCs w:val="22"/>
          <w:lang w:eastAsia="en-AU"/>
        </w:rPr>
        <w:t>‘</w:t>
      </w:r>
      <w:r w:rsidRPr="008D7DC4">
        <w:rPr>
          <w:rFonts w:cs="Garamond"/>
          <w:color w:val="000000"/>
          <w:szCs w:val="22"/>
          <w:lang w:eastAsia="en-AU"/>
        </w:rPr>
        <w:t>reasonable and necessary</w:t>
      </w:r>
      <w:r w:rsidR="00276239">
        <w:rPr>
          <w:rFonts w:cs="Garamond"/>
          <w:color w:val="000000"/>
          <w:szCs w:val="22"/>
          <w:lang w:eastAsia="en-AU"/>
        </w:rPr>
        <w:t>’</w:t>
      </w:r>
      <w:r w:rsidRPr="008D7DC4">
        <w:rPr>
          <w:rFonts w:cs="Garamond"/>
          <w:color w:val="000000"/>
          <w:szCs w:val="22"/>
          <w:lang w:eastAsia="en-AU"/>
        </w:rPr>
        <w:t xml:space="preserve"> support under a National Disability Insurance Scheme</w:t>
      </w:r>
      <w:r>
        <w:rPr>
          <w:rFonts w:cs="Garamond"/>
          <w:color w:val="000000"/>
          <w:szCs w:val="22"/>
          <w:lang w:eastAsia="en-AU"/>
        </w:rPr>
        <w:fldChar w:fldCharType="begin"/>
      </w:r>
      <w:r>
        <w:instrText xml:space="preserve"> XE "</w:instrText>
      </w:r>
      <w:r w:rsidRPr="00BF43C3">
        <w:rPr>
          <w:rFonts w:cs="Garamond"/>
          <w:color w:val="000000"/>
          <w:szCs w:val="22"/>
          <w:lang w:eastAsia="en-AU"/>
        </w:rPr>
        <w:instrText>National Disability Insurance Scheme</w:instrText>
      </w:r>
      <w:r>
        <w:instrText xml:space="preserve">" </w:instrText>
      </w:r>
      <w:r>
        <w:rPr>
          <w:rFonts w:cs="Garamond"/>
          <w:color w:val="000000"/>
          <w:szCs w:val="22"/>
          <w:lang w:eastAsia="en-AU"/>
        </w:rPr>
        <w:fldChar w:fldCharType="end"/>
      </w:r>
      <w:r w:rsidRPr="008D7DC4">
        <w:rPr>
          <w:rFonts w:cs="Garamond"/>
          <w:color w:val="000000"/>
          <w:szCs w:val="22"/>
          <w:lang w:eastAsia="en-AU"/>
        </w:rPr>
        <w:t xml:space="preserve"> model. The launch will test the existing model and inform future directions for disability support.</w:t>
      </w:r>
    </w:p>
    <w:p w:rsidR="0070375D" w:rsidRPr="008B40FD" w:rsidRDefault="0070375D" w:rsidP="00557BDD">
      <w:pPr>
        <w:pStyle w:val="BulletText"/>
        <w:numPr>
          <w:ilvl w:val="0"/>
          <w:numId w:val="0"/>
        </w:numPr>
      </w:pPr>
      <w:r>
        <w:t xml:space="preserve">The </w:t>
      </w:r>
      <w:r w:rsidRPr="008B40FD">
        <w:rPr>
          <w:i/>
        </w:rPr>
        <w:t>2013</w:t>
      </w:r>
      <w:r w:rsidR="00276239">
        <w:rPr>
          <w:i/>
        </w:rPr>
        <w:noBreakHyphen/>
      </w:r>
      <w:r>
        <w:rPr>
          <w:i/>
        </w:rPr>
        <w:t>14 </w:t>
      </w:r>
      <w:r w:rsidRPr="008B40FD">
        <w:rPr>
          <w:i/>
        </w:rPr>
        <w:t>Budget</w:t>
      </w:r>
      <w:r>
        <w:t xml:space="preserve"> funds initiatives that will drive the </w:t>
      </w:r>
      <w:r w:rsidRPr="008B40FD">
        <w:t>responsiveness and productivity of government services</w:t>
      </w:r>
      <w:r>
        <w:fldChar w:fldCharType="begin"/>
      </w:r>
      <w:r>
        <w:instrText xml:space="preserve"> XE "</w:instrText>
      </w:r>
      <w:r w:rsidRPr="00517168">
        <w:instrText>Health:Services</w:instrText>
      </w:r>
      <w:r>
        <w:instrText xml:space="preserve">" </w:instrText>
      </w:r>
      <w:r>
        <w:fldChar w:fldCharType="end"/>
      </w:r>
      <w:r w:rsidRPr="008B40FD">
        <w:t xml:space="preserve">, including: </w:t>
      </w:r>
    </w:p>
    <w:p w:rsidR="0070375D" w:rsidRDefault="0070375D" w:rsidP="00557BDD">
      <w:pPr>
        <w:pStyle w:val="BulletText"/>
      </w:pPr>
      <w:r>
        <w:t>opening additional elective surgery funding pools to greater competition to provide a better, more efficient service to enable more patients to be treated</w:t>
      </w:r>
      <w:r w:rsidRPr="00F56887">
        <w:t>; and</w:t>
      </w:r>
    </w:p>
    <w:p w:rsidR="0070375D" w:rsidRDefault="0070375D" w:rsidP="00557BDD">
      <w:pPr>
        <w:pStyle w:val="BulletText"/>
      </w:pPr>
      <w:r w:rsidRPr="00347835">
        <w:t xml:space="preserve">further developing </w:t>
      </w:r>
      <w:r w:rsidRPr="00201992">
        <w:rPr>
          <w:i/>
        </w:rPr>
        <w:t>Services Connect</w:t>
      </w:r>
      <w:r w:rsidRPr="00347835">
        <w:t xml:space="preserve"> as Victoria</w:t>
      </w:r>
      <w:r w:rsidR="00276239">
        <w:t>’</w:t>
      </w:r>
      <w:r w:rsidRPr="00347835">
        <w:t xml:space="preserve">s integrated </w:t>
      </w:r>
      <w:r>
        <w:t>family and community support system, by extending</w:t>
      </w:r>
      <w:r w:rsidRPr="00347835">
        <w:t xml:space="preserve"> activity at the existing tr</w:t>
      </w:r>
      <w:r>
        <w:t>i</w:t>
      </w:r>
      <w:r w:rsidRPr="00347835">
        <w:t xml:space="preserve">al sites in Dandenong and Barwon. </w:t>
      </w:r>
      <w:r w:rsidRPr="00D87E0E">
        <w:rPr>
          <w:i/>
        </w:rPr>
        <w:t>Services Connect</w:t>
      </w:r>
      <w:r>
        <w:t xml:space="preserve"> </w:t>
      </w:r>
      <w:r>
        <w:fldChar w:fldCharType="begin"/>
      </w:r>
      <w:r>
        <w:instrText xml:space="preserve"> XE "</w:instrText>
      </w:r>
      <w:r w:rsidRPr="00517168">
        <w:instrText>Health:Services</w:instrText>
      </w:r>
      <w:r>
        <w:instrText xml:space="preserve">" </w:instrText>
      </w:r>
      <w:r>
        <w:fldChar w:fldCharType="end"/>
      </w:r>
      <w:r>
        <w:t>will improve the way g</w:t>
      </w:r>
      <w:r w:rsidRPr="00347835">
        <w:t>overnment and partner agencies deliver support to those most in need in our community, ensuring service delivery</w:t>
      </w:r>
      <w:r>
        <w:fldChar w:fldCharType="begin"/>
      </w:r>
      <w:r>
        <w:instrText xml:space="preserve"> XE "</w:instrText>
      </w:r>
      <w:r w:rsidRPr="00BF43C3">
        <w:instrText>Service delivery</w:instrText>
      </w:r>
      <w:r>
        <w:instrText xml:space="preserve">" </w:instrText>
      </w:r>
      <w:r>
        <w:fldChar w:fldCharType="end"/>
      </w:r>
      <w:r w:rsidRPr="00347835">
        <w:t xml:space="preserve"> is cli</w:t>
      </w:r>
      <w:r>
        <w:t>ent centred and more efficient.</w:t>
      </w:r>
    </w:p>
    <w:p w:rsidR="0070375D" w:rsidRPr="00C80D13" w:rsidRDefault="0070375D" w:rsidP="00557BDD">
      <w:pPr>
        <w:keepNext/>
        <w:spacing w:before="240"/>
        <w:outlineLvl w:val="1"/>
        <w:rPr>
          <w:rFonts w:ascii="Calibri" w:hAnsi="Calibri"/>
          <w:b/>
          <w:kern w:val="28"/>
          <w:sz w:val="26"/>
          <w:szCs w:val="22"/>
        </w:rPr>
      </w:pPr>
      <w:bookmarkStart w:id="32" w:name="BP3Ch3EduSchoolsnEChild"/>
      <w:bookmarkStart w:id="33" w:name="BP3Ch3HumanCapReform"/>
      <w:bookmarkStart w:id="34" w:name="BP3Ch3EduReforms"/>
      <w:r>
        <w:rPr>
          <w:rFonts w:ascii="Calibri" w:hAnsi="Calibri"/>
          <w:b/>
          <w:kern w:val="28"/>
          <w:sz w:val="26"/>
          <w:szCs w:val="22"/>
        </w:rPr>
        <w:t>Reform of education and training</w:t>
      </w:r>
    </w:p>
    <w:p w:rsidR="0070375D" w:rsidRDefault="0070375D" w:rsidP="00557BDD">
      <w:r>
        <w:t>Improving the educational outcomes of the school sector and the skills</w:t>
      </w:r>
      <w:r>
        <w:fldChar w:fldCharType="begin"/>
      </w:r>
      <w:r>
        <w:instrText xml:space="preserve"> XE "</w:instrText>
      </w:r>
      <w:r w:rsidRPr="00BF43C3">
        <w:instrText>Skills</w:instrText>
      </w:r>
      <w:r>
        <w:instrText xml:space="preserve">" </w:instrText>
      </w:r>
      <w:r>
        <w:fldChar w:fldCharType="end"/>
      </w:r>
      <w:r>
        <w:t xml:space="preserve"> and capabilities of the Victorian workforce will have a significant impact on productivity and workforce participation.</w:t>
      </w:r>
    </w:p>
    <w:p w:rsidR="0070375D" w:rsidRPr="00451AA1" w:rsidRDefault="0070375D" w:rsidP="00557BDD">
      <w:pPr>
        <w:keepNext/>
        <w:spacing w:before="240"/>
        <w:outlineLvl w:val="2"/>
        <w:rPr>
          <w:rFonts w:ascii="Calibri" w:hAnsi="Calibri"/>
          <w:b/>
          <w:i/>
          <w:kern w:val="28"/>
          <w:szCs w:val="22"/>
        </w:rPr>
      </w:pPr>
      <w:r>
        <w:rPr>
          <w:rFonts w:ascii="Calibri" w:hAnsi="Calibri"/>
          <w:b/>
          <w:i/>
          <w:kern w:val="28"/>
          <w:szCs w:val="22"/>
        </w:rPr>
        <w:br w:type="page"/>
      </w:r>
      <w:r w:rsidRPr="00451AA1">
        <w:rPr>
          <w:rFonts w:ascii="Calibri" w:hAnsi="Calibri"/>
          <w:b/>
          <w:i/>
          <w:kern w:val="28"/>
          <w:szCs w:val="22"/>
        </w:rPr>
        <w:lastRenderedPageBreak/>
        <w:t xml:space="preserve">Real reforms in the school sector </w:t>
      </w:r>
    </w:p>
    <w:p w:rsidR="0070375D" w:rsidRPr="008D7DC4" w:rsidRDefault="0070375D" w:rsidP="00557BDD">
      <w:pPr>
        <w:autoSpaceDE w:val="0"/>
        <w:autoSpaceDN w:val="0"/>
        <w:adjustRightInd w:val="0"/>
        <w:rPr>
          <w:rFonts w:cs="Garamond"/>
          <w:color w:val="000000"/>
          <w:szCs w:val="22"/>
          <w:lang w:eastAsia="en-AU"/>
        </w:rPr>
      </w:pPr>
      <w:r w:rsidRPr="008D7DC4">
        <w:rPr>
          <w:rFonts w:cs="Garamond"/>
          <w:color w:val="000000"/>
          <w:szCs w:val="22"/>
          <w:lang w:eastAsia="en-AU"/>
        </w:rPr>
        <w:t>The path to improved school</w:t>
      </w:r>
      <w:r>
        <w:rPr>
          <w:rFonts w:cs="Garamond"/>
          <w:color w:val="000000"/>
          <w:szCs w:val="22"/>
          <w:lang w:eastAsia="en-AU"/>
        </w:rPr>
        <w:fldChar w:fldCharType="begin"/>
      </w:r>
      <w:r>
        <w:instrText xml:space="preserve"> XE "</w:instrText>
      </w:r>
      <w:r w:rsidRPr="00BF43C3">
        <w:rPr>
          <w:rFonts w:cs="Garamond"/>
          <w:color w:val="000000"/>
          <w:szCs w:val="22"/>
          <w:lang w:eastAsia="en-AU"/>
        </w:rPr>
        <w:instrText>Schools</w:instrText>
      </w:r>
      <w:r>
        <w:instrText xml:space="preserve">" </w:instrText>
      </w:r>
      <w:r>
        <w:rPr>
          <w:rFonts w:cs="Garamond"/>
          <w:color w:val="000000"/>
          <w:szCs w:val="22"/>
          <w:lang w:eastAsia="en-AU"/>
        </w:rPr>
        <w:fldChar w:fldCharType="end"/>
      </w:r>
      <w:r w:rsidRPr="008D7DC4">
        <w:rPr>
          <w:rFonts w:cs="Garamond"/>
          <w:color w:val="000000"/>
          <w:szCs w:val="22"/>
          <w:lang w:eastAsia="en-AU"/>
        </w:rPr>
        <w:t xml:space="preserve"> performance lies with greater autonomy for schools, better teachers, more innovative teaching methods and targeted help for </w:t>
      </w:r>
      <w:r>
        <w:rPr>
          <w:rFonts w:cs="Garamond"/>
          <w:color w:val="000000"/>
          <w:szCs w:val="22"/>
          <w:lang w:eastAsia="en-AU"/>
        </w:rPr>
        <w:t>under</w:t>
      </w:r>
      <w:r w:rsidR="00276239">
        <w:rPr>
          <w:rFonts w:cs="Garamond"/>
          <w:color w:val="000000"/>
          <w:szCs w:val="22"/>
          <w:lang w:eastAsia="en-AU"/>
        </w:rPr>
        <w:noBreakHyphen/>
      </w:r>
      <w:r>
        <w:rPr>
          <w:rFonts w:cs="Garamond"/>
          <w:color w:val="000000"/>
          <w:szCs w:val="22"/>
          <w:lang w:eastAsia="en-AU"/>
        </w:rPr>
        <w:t xml:space="preserve">performing </w:t>
      </w:r>
      <w:r w:rsidRPr="008D7DC4">
        <w:rPr>
          <w:rFonts w:cs="Garamond"/>
          <w:color w:val="000000"/>
          <w:szCs w:val="22"/>
          <w:lang w:eastAsia="en-AU"/>
        </w:rPr>
        <w:t>schools. Both the government and non</w:t>
      </w:r>
      <w:r w:rsidR="00276239">
        <w:rPr>
          <w:rFonts w:cs="Garamond"/>
          <w:color w:val="000000"/>
          <w:szCs w:val="22"/>
          <w:lang w:eastAsia="en-AU"/>
        </w:rPr>
        <w:noBreakHyphen/>
      </w:r>
      <w:r w:rsidRPr="008D7DC4">
        <w:rPr>
          <w:rFonts w:cs="Garamond"/>
          <w:color w:val="000000"/>
          <w:szCs w:val="22"/>
          <w:lang w:eastAsia="en-AU"/>
        </w:rPr>
        <w:t xml:space="preserve">government school sectors </w:t>
      </w:r>
      <w:r>
        <w:rPr>
          <w:rFonts w:cs="Garamond"/>
          <w:color w:val="000000"/>
          <w:szCs w:val="22"/>
          <w:lang w:eastAsia="en-AU"/>
        </w:rPr>
        <w:t xml:space="preserve">have a role </w:t>
      </w:r>
      <w:r w:rsidRPr="008D7DC4">
        <w:rPr>
          <w:rFonts w:cs="Garamond"/>
          <w:color w:val="000000"/>
          <w:szCs w:val="22"/>
          <w:lang w:eastAsia="en-AU"/>
        </w:rPr>
        <w:t>in delivering these improvements. Recent publications outline the Government</w:t>
      </w:r>
      <w:r w:rsidR="00276239">
        <w:rPr>
          <w:rFonts w:cs="Garamond"/>
          <w:color w:val="000000"/>
          <w:szCs w:val="22"/>
          <w:lang w:eastAsia="en-AU"/>
        </w:rPr>
        <w:t>’</w:t>
      </w:r>
      <w:r w:rsidRPr="008D7DC4">
        <w:rPr>
          <w:rFonts w:cs="Garamond"/>
          <w:color w:val="000000"/>
          <w:szCs w:val="22"/>
          <w:lang w:eastAsia="en-AU"/>
        </w:rPr>
        <w:t>s vision for the future of school leadership, teaching and school performance</w:t>
      </w:r>
      <w:r>
        <w:rPr>
          <w:rFonts w:cs="Garamond"/>
          <w:color w:val="000000"/>
          <w:szCs w:val="22"/>
          <w:lang w:eastAsia="en-AU"/>
        </w:rPr>
        <w:t>,</w:t>
      </w:r>
      <w:r w:rsidRPr="008D7DC4">
        <w:rPr>
          <w:rFonts w:cs="Garamond"/>
          <w:color w:val="000000"/>
          <w:szCs w:val="22"/>
          <w:lang w:eastAsia="en-AU"/>
        </w:rPr>
        <w:t xml:space="preserve"> with a focus on teacher effectiveness, school autonomy and accountability for improving student outcomes. </w:t>
      </w:r>
      <w:r>
        <w:rPr>
          <w:rFonts w:cs="Garamond"/>
          <w:color w:val="000000"/>
          <w:szCs w:val="22"/>
          <w:lang w:eastAsia="en-AU"/>
        </w:rPr>
        <w:t>Key reforms include</w:t>
      </w:r>
      <w:r w:rsidRPr="008D7DC4">
        <w:rPr>
          <w:rFonts w:cs="Garamond"/>
          <w:color w:val="000000"/>
          <w:szCs w:val="22"/>
          <w:lang w:eastAsia="en-AU"/>
        </w:rPr>
        <w:t xml:space="preserve">: </w:t>
      </w:r>
    </w:p>
    <w:p w:rsidR="0070375D" w:rsidRPr="008D7DC4" w:rsidRDefault="0070375D" w:rsidP="00557BDD">
      <w:pPr>
        <w:pStyle w:val="BulletText"/>
        <w:rPr>
          <w:lang w:eastAsia="en-AU"/>
        </w:rPr>
      </w:pPr>
      <w:r w:rsidRPr="008D7DC4">
        <w:rPr>
          <w:lang w:eastAsia="en-AU"/>
        </w:rPr>
        <w:t>school</w:t>
      </w:r>
      <w:r w:rsidR="00276239">
        <w:rPr>
          <w:lang w:eastAsia="en-AU"/>
        </w:rPr>
        <w:noBreakHyphen/>
      </w:r>
      <w:r w:rsidRPr="008D7DC4">
        <w:rPr>
          <w:lang w:eastAsia="en-AU"/>
        </w:rPr>
        <w:t>based reforms to increase school autonomy, balanced with clear expectati</w:t>
      </w:r>
      <w:r>
        <w:rPr>
          <w:lang w:eastAsia="en-AU"/>
        </w:rPr>
        <w:t>ons, accountability and support,</w:t>
      </w:r>
      <w:r w:rsidRPr="008D7DC4">
        <w:rPr>
          <w:lang w:eastAsia="en-AU"/>
        </w:rPr>
        <w:t xml:space="preserve"> as set out in the </w:t>
      </w:r>
      <w:r w:rsidRPr="008D7DC4">
        <w:rPr>
          <w:i/>
          <w:iCs/>
          <w:lang w:eastAsia="en-AU"/>
        </w:rPr>
        <w:t>Towards Victoria as a Learning Community</w:t>
      </w:r>
      <w:r w:rsidRPr="008D7DC4">
        <w:rPr>
          <w:lang w:eastAsia="en-AU"/>
        </w:rPr>
        <w:t xml:space="preserve"> policy statement; and</w:t>
      </w:r>
    </w:p>
    <w:p w:rsidR="0070375D" w:rsidRPr="008D7DC4" w:rsidRDefault="0070375D" w:rsidP="00557BDD">
      <w:pPr>
        <w:pStyle w:val="BulletText"/>
        <w:rPr>
          <w:lang w:eastAsia="en-AU"/>
        </w:rPr>
      </w:pPr>
      <w:r w:rsidRPr="008D7DC4">
        <w:rPr>
          <w:lang w:eastAsia="en-AU"/>
        </w:rPr>
        <w:t>new policy and actions in the areas of teaching and school</w:t>
      </w:r>
      <w:r>
        <w:rPr>
          <w:rFonts w:cs="Garamond"/>
          <w:color w:val="000000"/>
          <w:szCs w:val="22"/>
          <w:lang w:eastAsia="en-AU"/>
        </w:rPr>
        <w:fldChar w:fldCharType="begin"/>
      </w:r>
      <w:r>
        <w:instrText xml:space="preserve"> XE "</w:instrText>
      </w:r>
      <w:r w:rsidRPr="00BF43C3">
        <w:rPr>
          <w:rFonts w:cs="Garamond"/>
          <w:color w:val="000000"/>
          <w:szCs w:val="22"/>
          <w:lang w:eastAsia="en-AU"/>
        </w:rPr>
        <w:instrText>Schools</w:instrText>
      </w:r>
      <w:r>
        <w:instrText xml:space="preserve">" </w:instrText>
      </w:r>
      <w:r>
        <w:rPr>
          <w:rFonts w:cs="Garamond"/>
          <w:color w:val="000000"/>
          <w:szCs w:val="22"/>
          <w:lang w:eastAsia="en-AU"/>
        </w:rPr>
        <w:fldChar w:fldCharType="end"/>
      </w:r>
      <w:r w:rsidRPr="008D7DC4">
        <w:rPr>
          <w:lang w:eastAsia="en-AU"/>
        </w:rPr>
        <w:t xml:space="preserve"> leadership emerging from the </w:t>
      </w:r>
      <w:r w:rsidRPr="008D7DC4">
        <w:rPr>
          <w:i/>
          <w:iCs/>
          <w:lang w:eastAsia="en-AU"/>
        </w:rPr>
        <w:t>New Directions for School Leadership and the Teaching Profession</w:t>
      </w:r>
      <w:r w:rsidRPr="008D7DC4">
        <w:rPr>
          <w:lang w:eastAsia="en-AU"/>
        </w:rPr>
        <w:t xml:space="preserve"> discussion paper, which focuses on potential strategies to attract great people into teaching, create a high performing profession and provide strong direction and support.</w:t>
      </w:r>
    </w:p>
    <w:p w:rsidR="0070375D" w:rsidRPr="008D7DC4" w:rsidRDefault="0070375D" w:rsidP="00557BDD">
      <w:pPr>
        <w:autoSpaceDE w:val="0"/>
        <w:autoSpaceDN w:val="0"/>
        <w:adjustRightInd w:val="0"/>
        <w:rPr>
          <w:rFonts w:cs="Garamond"/>
          <w:color w:val="000000"/>
          <w:szCs w:val="22"/>
          <w:lang w:eastAsia="en-AU"/>
        </w:rPr>
      </w:pPr>
      <w:r w:rsidRPr="008D7DC4">
        <w:rPr>
          <w:rFonts w:cs="Garamond"/>
          <w:color w:val="000000"/>
          <w:szCs w:val="22"/>
          <w:lang w:eastAsia="en-AU"/>
        </w:rPr>
        <w:t>The Government</w:t>
      </w:r>
      <w:r w:rsidR="00276239">
        <w:rPr>
          <w:rFonts w:cs="Garamond"/>
          <w:color w:val="000000"/>
          <w:szCs w:val="22"/>
          <w:lang w:eastAsia="en-AU"/>
        </w:rPr>
        <w:t>’</w:t>
      </w:r>
      <w:r w:rsidRPr="008D7DC4">
        <w:rPr>
          <w:rFonts w:cs="Garamond"/>
          <w:color w:val="000000"/>
          <w:szCs w:val="22"/>
          <w:lang w:eastAsia="en-AU"/>
        </w:rPr>
        <w:t xml:space="preserve">s broader schools reform agenda will also be </w:t>
      </w:r>
      <w:r>
        <w:rPr>
          <w:rFonts w:cs="Garamond"/>
          <w:color w:val="000000"/>
          <w:szCs w:val="22"/>
          <w:lang w:eastAsia="en-AU"/>
        </w:rPr>
        <w:t>supported</w:t>
      </w:r>
      <w:r w:rsidRPr="008D7DC4">
        <w:rPr>
          <w:rFonts w:cs="Garamond"/>
          <w:color w:val="000000"/>
          <w:szCs w:val="22"/>
          <w:lang w:eastAsia="en-AU"/>
        </w:rPr>
        <w:t xml:space="preserve"> through the workforce reforms delivered over the life of the Schools Enterprise Bargaining Agreement. Progression through salary levels w</w:t>
      </w:r>
      <w:r>
        <w:rPr>
          <w:rFonts w:cs="Garamond"/>
          <w:color w:val="000000"/>
          <w:szCs w:val="22"/>
          <w:lang w:eastAsia="en-AU"/>
        </w:rPr>
        <w:t xml:space="preserve">ill </w:t>
      </w:r>
      <w:r w:rsidRPr="008D7DC4">
        <w:rPr>
          <w:rFonts w:cs="Garamond"/>
          <w:color w:val="000000"/>
          <w:szCs w:val="22"/>
          <w:lang w:eastAsia="en-AU"/>
        </w:rPr>
        <w:t>no longer be automatic with a more rigorous assessment of performance to be undertaken annually</w:t>
      </w:r>
      <w:r>
        <w:rPr>
          <w:rFonts w:cs="Garamond"/>
          <w:color w:val="000000"/>
          <w:szCs w:val="22"/>
          <w:lang w:eastAsia="en-AU"/>
        </w:rPr>
        <w:t>,</w:t>
      </w:r>
      <w:r w:rsidRPr="008D7DC4">
        <w:rPr>
          <w:rFonts w:cs="Garamond"/>
          <w:color w:val="000000"/>
          <w:szCs w:val="22"/>
          <w:lang w:eastAsia="en-AU"/>
        </w:rPr>
        <w:t xml:space="preserve"> and </w:t>
      </w:r>
      <w:r>
        <w:rPr>
          <w:rFonts w:cs="Garamond"/>
          <w:color w:val="000000"/>
          <w:szCs w:val="22"/>
          <w:lang w:eastAsia="en-AU"/>
        </w:rPr>
        <w:t>p</w:t>
      </w:r>
      <w:r w:rsidRPr="008D7DC4">
        <w:rPr>
          <w:rFonts w:cs="Garamond"/>
          <w:color w:val="000000"/>
          <w:szCs w:val="22"/>
          <w:lang w:eastAsia="en-AU"/>
        </w:rPr>
        <w:t>rincipals will be able to make appointments purely on merit.</w:t>
      </w:r>
    </w:p>
    <w:p w:rsidR="0070375D" w:rsidRDefault="0070375D" w:rsidP="00557BDD">
      <w:pPr>
        <w:rPr>
          <w:lang w:eastAsia="en-AU"/>
        </w:rPr>
      </w:pPr>
      <w:r w:rsidRPr="008D7DC4">
        <w:rPr>
          <w:lang w:eastAsia="en-AU"/>
        </w:rPr>
        <w:t xml:space="preserve">The </w:t>
      </w:r>
      <w:r w:rsidRPr="008D7DC4">
        <w:rPr>
          <w:i/>
          <w:iCs/>
          <w:lang w:eastAsia="en-AU"/>
        </w:rPr>
        <w:t>2013</w:t>
      </w:r>
      <w:r w:rsidR="00276239">
        <w:rPr>
          <w:i/>
          <w:iCs/>
          <w:lang w:eastAsia="en-AU"/>
        </w:rPr>
        <w:noBreakHyphen/>
      </w:r>
      <w:r w:rsidRPr="008D7DC4">
        <w:rPr>
          <w:i/>
          <w:iCs/>
          <w:lang w:eastAsia="en-AU"/>
        </w:rPr>
        <w:t>14 Budget</w:t>
      </w:r>
      <w:r w:rsidRPr="008D7DC4">
        <w:rPr>
          <w:lang w:eastAsia="en-AU"/>
        </w:rPr>
        <w:t xml:space="preserve"> supports this agenda by investing in leadership and development programs to lift teacher and school performance. This continues the reforms implemented by the Government in previous budgets, </w:t>
      </w:r>
      <w:r>
        <w:rPr>
          <w:lang w:eastAsia="en-AU"/>
        </w:rPr>
        <w:t>focusing</w:t>
      </w:r>
      <w:r w:rsidRPr="008D7DC4">
        <w:rPr>
          <w:lang w:eastAsia="en-AU"/>
        </w:rPr>
        <w:t xml:space="preserve"> on empowering school leaders and teachers by devolving more decision</w:t>
      </w:r>
      <w:r>
        <w:rPr>
          <w:lang w:eastAsia="en-AU"/>
        </w:rPr>
        <w:t xml:space="preserve"> </w:t>
      </w:r>
      <w:r w:rsidRPr="008D7DC4">
        <w:rPr>
          <w:lang w:eastAsia="en-AU"/>
        </w:rPr>
        <w:t>making to principal</w:t>
      </w:r>
      <w:r>
        <w:rPr>
          <w:lang w:eastAsia="en-AU"/>
        </w:rPr>
        <w:t>s</w:t>
      </w:r>
      <w:r w:rsidRPr="008D7DC4">
        <w:rPr>
          <w:lang w:eastAsia="en-AU"/>
        </w:rPr>
        <w:t xml:space="preserve"> and school</w:t>
      </w:r>
      <w:r>
        <w:rPr>
          <w:rFonts w:cs="Garamond"/>
          <w:color w:val="000000"/>
          <w:szCs w:val="22"/>
          <w:lang w:eastAsia="en-AU"/>
        </w:rPr>
        <w:fldChar w:fldCharType="begin"/>
      </w:r>
      <w:r>
        <w:instrText xml:space="preserve"> XE "</w:instrText>
      </w:r>
      <w:r w:rsidRPr="00BF43C3">
        <w:rPr>
          <w:rFonts w:cs="Garamond"/>
          <w:color w:val="000000"/>
          <w:szCs w:val="22"/>
          <w:lang w:eastAsia="en-AU"/>
        </w:rPr>
        <w:instrText>Schools</w:instrText>
      </w:r>
      <w:r>
        <w:instrText xml:space="preserve">" </w:instrText>
      </w:r>
      <w:r>
        <w:rPr>
          <w:rFonts w:cs="Garamond"/>
          <w:color w:val="000000"/>
          <w:szCs w:val="22"/>
          <w:lang w:eastAsia="en-AU"/>
        </w:rPr>
        <w:fldChar w:fldCharType="end"/>
      </w:r>
      <w:r w:rsidRPr="008D7DC4">
        <w:rPr>
          <w:lang w:eastAsia="en-AU"/>
        </w:rPr>
        <w:t xml:space="preserve"> communities</w:t>
      </w:r>
      <w:r>
        <w:rPr>
          <w:lang w:eastAsia="en-AU"/>
        </w:rPr>
        <w:t>.</w:t>
      </w:r>
      <w:r>
        <w:rPr>
          <w:lang w:eastAsia="en-AU"/>
        </w:rPr>
        <w:fldChar w:fldCharType="begin"/>
      </w:r>
      <w:r>
        <w:instrText xml:space="preserve"> XE "</w:instrText>
      </w:r>
      <w:r w:rsidRPr="006A0F04">
        <w:instrText>Education:Schools and Early Childhood</w:instrText>
      </w:r>
      <w:r>
        <w:instrText xml:space="preserve">" \r "BP3Ch3EduSchoolsnEChild" </w:instrText>
      </w:r>
      <w:r>
        <w:rPr>
          <w:lang w:eastAsia="en-AU"/>
        </w:rPr>
        <w:fldChar w:fldCharType="end"/>
      </w:r>
      <w:r>
        <w:rPr>
          <w:lang w:eastAsia="en-AU"/>
        </w:rPr>
        <w:fldChar w:fldCharType="begin"/>
      </w:r>
      <w:r>
        <w:instrText xml:space="preserve"> XE "</w:instrText>
      </w:r>
      <w:r w:rsidRPr="00FC76F7">
        <w:instrText>Productivity</w:instrText>
      </w:r>
      <w:r>
        <w:instrText xml:space="preserve">" \r "BP2Ch3ImpProdu" </w:instrText>
      </w:r>
      <w:r>
        <w:rPr>
          <w:lang w:eastAsia="en-AU"/>
        </w:rPr>
        <w:fldChar w:fldCharType="end"/>
      </w:r>
      <w:r>
        <w:rPr>
          <w:lang w:eastAsia="en-AU"/>
        </w:rPr>
        <w:t xml:space="preserve"> </w:t>
      </w:r>
      <w:bookmarkEnd w:id="32"/>
    </w:p>
    <w:p w:rsidR="0070375D" w:rsidRPr="00451AA1" w:rsidRDefault="0070375D" w:rsidP="00557BDD">
      <w:pPr>
        <w:keepNext/>
        <w:spacing w:before="240"/>
        <w:outlineLvl w:val="2"/>
        <w:rPr>
          <w:rFonts w:ascii="Calibri" w:hAnsi="Calibri"/>
          <w:b/>
          <w:i/>
          <w:kern w:val="28"/>
          <w:szCs w:val="22"/>
        </w:rPr>
      </w:pPr>
      <w:bookmarkStart w:id="35" w:name="BP3Ch3VocEdunTrain"/>
      <w:bookmarkEnd w:id="28"/>
      <w:r w:rsidRPr="00451AA1">
        <w:rPr>
          <w:rFonts w:ascii="Calibri" w:hAnsi="Calibri"/>
          <w:b/>
          <w:i/>
          <w:kern w:val="28"/>
          <w:szCs w:val="22"/>
        </w:rPr>
        <w:t>The strongest adult and tertiary education sector in Australia</w:t>
      </w:r>
    </w:p>
    <w:p w:rsidR="0070375D" w:rsidRDefault="0070375D" w:rsidP="00557BDD">
      <w:pPr>
        <w:autoSpaceDE w:val="0"/>
        <w:autoSpaceDN w:val="0"/>
        <w:adjustRightInd w:val="0"/>
        <w:rPr>
          <w:rFonts w:cs="Garamond"/>
          <w:color w:val="000000"/>
          <w:szCs w:val="22"/>
          <w:lang w:eastAsia="en-AU"/>
        </w:rPr>
      </w:pPr>
      <w:r>
        <w:rPr>
          <w:rFonts w:cs="Garamond"/>
          <w:color w:val="000000"/>
          <w:szCs w:val="22"/>
          <w:lang w:eastAsia="en-AU"/>
        </w:rPr>
        <w:t>Victoria</w:t>
      </w:r>
      <w:r w:rsidR="00276239">
        <w:rPr>
          <w:rFonts w:cs="Garamond"/>
          <w:color w:val="000000"/>
          <w:szCs w:val="22"/>
          <w:lang w:eastAsia="en-AU"/>
        </w:rPr>
        <w:t>’</w:t>
      </w:r>
      <w:r>
        <w:rPr>
          <w:rFonts w:cs="Garamond"/>
          <w:color w:val="000000"/>
          <w:szCs w:val="22"/>
          <w:lang w:eastAsia="en-AU"/>
        </w:rPr>
        <w:t xml:space="preserve">s training system remains the most responsive in Australia to the changing needs of the labour market. </w:t>
      </w:r>
    </w:p>
    <w:p w:rsidR="0070375D" w:rsidRDefault="0070375D" w:rsidP="00557BDD">
      <w:pPr>
        <w:autoSpaceDE w:val="0"/>
        <w:autoSpaceDN w:val="0"/>
        <w:adjustRightInd w:val="0"/>
        <w:rPr>
          <w:rFonts w:cs="Garamond"/>
          <w:color w:val="000000"/>
          <w:szCs w:val="22"/>
          <w:lang w:eastAsia="en-AU"/>
        </w:rPr>
      </w:pPr>
      <w:r>
        <w:rPr>
          <w:rFonts w:cs="Garamond"/>
          <w:color w:val="000000"/>
          <w:szCs w:val="22"/>
          <w:lang w:eastAsia="en-AU"/>
        </w:rPr>
        <w:t xml:space="preserve">The </w:t>
      </w:r>
      <w:r>
        <w:rPr>
          <w:rFonts w:cs="Garamond"/>
          <w:i/>
          <w:iCs/>
          <w:color w:val="000000"/>
          <w:szCs w:val="22"/>
          <w:lang w:eastAsia="en-AU"/>
        </w:rPr>
        <w:t>2013</w:t>
      </w:r>
      <w:r w:rsidR="00276239">
        <w:rPr>
          <w:rFonts w:cs="Garamond"/>
          <w:i/>
          <w:iCs/>
          <w:color w:val="000000"/>
          <w:szCs w:val="22"/>
          <w:lang w:eastAsia="en-AU"/>
        </w:rPr>
        <w:noBreakHyphen/>
      </w:r>
      <w:r>
        <w:rPr>
          <w:rFonts w:cs="Garamond"/>
          <w:i/>
          <w:iCs/>
          <w:color w:val="000000"/>
          <w:szCs w:val="22"/>
          <w:lang w:eastAsia="en-AU"/>
        </w:rPr>
        <w:t>14 Budget</w:t>
      </w:r>
      <w:r>
        <w:rPr>
          <w:rFonts w:cs="Garamond"/>
          <w:color w:val="000000"/>
          <w:szCs w:val="22"/>
          <w:lang w:eastAsia="en-AU"/>
        </w:rPr>
        <w:t xml:space="preserve"> builds on the Government</w:t>
      </w:r>
      <w:r w:rsidR="00276239">
        <w:rPr>
          <w:rFonts w:cs="Garamond"/>
          <w:color w:val="000000"/>
          <w:szCs w:val="22"/>
          <w:lang w:eastAsia="en-AU"/>
        </w:rPr>
        <w:t>’</w:t>
      </w:r>
      <w:r>
        <w:rPr>
          <w:rFonts w:cs="Garamond"/>
          <w:color w:val="000000"/>
          <w:szCs w:val="22"/>
          <w:lang w:eastAsia="en-AU"/>
        </w:rPr>
        <w:t>s commitment to increase the skills</w:t>
      </w:r>
      <w:r>
        <w:rPr>
          <w:rFonts w:cs="Garamond"/>
          <w:color w:val="000000"/>
          <w:szCs w:val="22"/>
          <w:lang w:eastAsia="en-AU"/>
        </w:rPr>
        <w:fldChar w:fldCharType="begin"/>
      </w:r>
      <w:r>
        <w:instrText xml:space="preserve"> XE "</w:instrText>
      </w:r>
      <w:r w:rsidRPr="00BF43C3">
        <w:rPr>
          <w:rFonts w:cs="Garamond"/>
          <w:color w:val="000000"/>
          <w:szCs w:val="22"/>
          <w:lang w:eastAsia="en-AU"/>
        </w:rPr>
        <w:instrText>Skills</w:instrText>
      </w:r>
      <w:r>
        <w:instrText xml:space="preserve">" </w:instrText>
      </w:r>
      <w:r>
        <w:rPr>
          <w:rFonts w:cs="Garamond"/>
          <w:color w:val="000000"/>
          <w:szCs w:val="22"/>
          <w:lang w:eastAsia="en-AU"/>
        </w:rPr>
        <w:fldChar w:fldCharType="end"/>
      </w:r>
      <w:r>
        <w:rPr>
          <w:rFonts w:cs="Garamond"/>
          <w:color w:val="000000"/>
          <w:szCs w:val="22"/>
          <w:lang w:eastAsia="en-AU"/>
        </w:rPr>
        <w:t xml:space="preserve"> and capability of the Victorian workforce. </w:t>
      </w:r>
      <w:r w:rsidRPr="00DB46CF">
        <w:rPr>
          <w:rFonts w:cs="Garamond"/>
          <w:color w:val="000000"/>
          <w:szCs w:val="22"/>
          <w:lang w:eastAsia="en-AU"/>
        </w:rPr>
        <w:t xml:space="preserve">Based on the latest comprehensive data release, the Government has invested more money in training than any other Australian jurisdiction, both in total and on a per </w:t>
      </w:r>
      <w:r>
        <w:rPr>
          <w:rFonts w:cs="Garamond"/>
          <w:color w:val="000000"/>
          <w:szCs w:val="22"/>
          <w:lang w:eastAsia="en-AU"/>
        </w:rPr>
        <w:t>capita</w:t>
      </w:r>
      <w:r w:rsidRPr="00DB46CF">
        <w:rPr>
          <w:rFonts w:cs="Garamond"/>
          <w:color w:val="000000"/>
          <w:szCs w:val="22"/>
          <w:lang w:eastAsia="en-AU"/>
        </w:rPr>
        <w:t xml:space="preserve"> basis.</w:t>
      </w:r>
      <w:r>
        <w:rPr>
          <w:rFonts w:cs="Garamond"/>
          <w:color w:val="000000"/>
          <w:szCs w:val="22"/>
          <w:lang w:eastAsia="en-AU"/>
        </w:rPr>
        <w:t xml:space="preserve"> Chart 3.6 shows that Government funded Vocational Education and Training (VET) enrolments continue to exhibit strong growth, demonstrating the strength of Victoria</w:t>
      </w:r>
      <w:r w:rsidR="00276239">
        <w:rPr>
          <w:rFonts w:cs="Garamond"/>
          <w:color w:val="000000"/>
          <w:szCs w:val="22"/>
          <w:lang w:eastAsia="en-AU"/>
        </w:rPr>
        <w:t>’</w:t>
      </w:r>
      <w:r>
        <w:rPr>
          <w:rFonts w:cs="Garamond"/>
          <w:color w:val="000000"/>
          <w:szCs w:val="22"/>
          <w:lang w:eastAsia="en-AU"/>
        </w:rPr>
        <w:t>s training market.</w:t>
      </w:r>
    </w:p>
    <w:p w:rsidR="0070375D" w:rsidRDefault="0070375D" w:rsidP="0056303C">
      <w:pPr>
        <w:pStyle w:val="Chartheading"/>
        <w:rPr>
          <w:vertAlign w:val="superscript"/>
        </w:rPr>
      </w:pPr>
      <w:r w:rsidRPr="001F1C4C">
        <w:lastRenderedPageBreak/>
        <w:t>Chart 3.6:</w:t>
      </w:r>
      <w:r w:rsidRPr="001F1C4C">
        <w:tab/>
        <w:t>Victorian Government funded VET enrolments</w:t>
      </w:r>
      <w:r w:rsidRPr="001F1C4C">
        <w:rPr>
          <w:vertAlign w:val="superscript"/>
        </w:rPr>
        <w:t>(a)</w:t>
      </w:r>
    </w:p>
    <w:p w:rsidR="0070375D" w:rsidRDefault="0070375D" w:rsidP="005176B0">
      <w:pPr>
        <w:pStyle w:val="Chartpara"/>
      </w:pPr>
      <w:r>
        <w:rPr>
          <w:noProof/>
          <w:lang w:eastAsia="en-AU"/>
        </w:rPr>
        <w:drawing>
          <wp:inline distT="0" distB="0" distL="0" distR="0" wp14:anchorId="750DE4D3" wp14:editId="311058A2">
            <wp:extent cx="4866005" cy="28308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66005" cy="2830830"/>
                    </a:xfrm>
                    <a:prstGeom prst="rect">
                      <a:avLst/>
                    </a:prstGeom>
                    <a:noFill/>
                    <a:ln>
                      <a:noFill/>
                    </a:ln>
                  </pic:spPr>
                </pic:pic>
              </a:graphicData>
            </a:graphic>
          </wp:inline>
        </w:drawing>
      </w:r>
    </w:p>
    <w:p w:rsidR="0070375D" w:rsidRPr="008D7DC4" w:rsidRDefault="0070375D" w:rsidP="001F1C4C">
      <w:pPr>
        <w:pStyle w:val="Source"/>
      </w:pPr>
      <w:r w:rsidRPr="008D7DC4">
        <w:t>Source: Department of Education a</w:t>
      </w:r>
      <w:r>
        <w:t>nd Early Childhood Development</w:t>
      </w:r>
    </w:p>
    <w:p w:rsidR="0070375D" w:rsidRPr="008D7DC4" w:rsidRDefault="0070375D" w:rsidP="001F1C4C">
      <w:pPr>
        <w:pStyle w:val="Notes"/>
      </w:pPr>
      <w:r w:rsidRPr="008D7DC4">
        <w:t>Note:</w:t>
      </w:r>
    </w:p>
    <w:p w:rsidR="0070375D" w:rsidRDefault="0070375D" w:rsidP="001F1C4C">
      <w:pPr>
        <w:pStyle w:val="Notes"/>
      </w:pPr>
      <w:r w:rsidRPr="008D7DC4">
        <w:t>(a)</w:t>
      </w:r>
      <w:r w:rsidRPr="008D7DC4">
        <w:tab/>
      </w:r>
      <w:r>
        <w:t>E</w:t>
      </w:r>
      <w:r w:rsidRPr="008D7DC4">
        <w:t>xcludes pre</w:t>
      </w:r>
      <w:r w:rsidR="00276239">
        <w:noBreakHyphen/>
      </w:r>
      <w:r w:rsidRPr="008D7DC4">
        <w:t>accredited training.</w:t>
      </w:r>
    </w:p>
    <w:p w:rsidR="0070375D" w:rsidRDefault="0070375D" w:rsidP="008C7E57">
      <w:pPr>
        <w:pStyle w:val="Notes"/>
      </w:pPr>
    </w:p>
    <w:p w:rsidR="0070375D" w:rsidRDefault="0070375D" w:rsidP="0056303C">
      <w:pPr>
        <w:autoSpaceDE w:val="0"/>
        <w:autoSpaceDN w:val="0"/>
        <w:adjustRightInd w:val="0"/>
        <w:rPr>
          <w:rFonts w:cs="Garamond"/>
          <w:color w:val="000000"/>
          <w:szCs w:val="22"/>
          <w:lang w:eastAsia="en-AU"/>
        </w:rPr>
      </w:pPr>
    </w:p>
    <w:p w:rsidR="0070375D" w:rsidRDefault="0070375D" w:rsidP="00557BDD">
      <w:pPr>
        <w:autoSpaceDE w:val="0"/>
        <w:autoSpaceDN w:val="0"/>
        <w:adjustRightInd w:val="0"/>
        <w:rPr>
          <w:rFonts w:cs="Garamond"/>
          <w:color w:val="000000"/>
          <w:szCs w:val="22"/>
          <w:lang w:eastAsia="en-AU"/>
        </w:rPr>
      </w:pPr>
      <w:r>
        <w:rPr>
          <w:rFonts w:cs="Garamond"/>
          <w:color w:val="000000"/>
          <w:szCs w:val="22"/>
          <w:lang w:eastAsia="en-AU"/>
        </w:rPr>
        <w:t xml:space="preserve">Key to the reform agenda announced in </w:t>
      </w:r>
      <w:r>
        <w:rPr>
          <w:rFonts w:cs="Garamond"/>
          <w:i/>
          <w:iCs/>
          <w:color w:val="000000"/>
          <w:szCs w:val="22"/>
          <w:lang w:eastAsia="en-AU"/>
        </w:rPr>
        <w:t xml:space="preserve">Next Steps for Refocusing Vocational Training in Victoria </w:t>
      </w:r>
      <w:r>
        <w:rPr>
          <w:rFonts w:cs="Garamond"/>
          <w:color w:val="000000"/>
          <w:szCs w:val="22"/>
          <w:lang w:eastAsia="en-AU"/>
        </w:rPr>
        <w:t>is targeted funding through the rebalancing of subsidy rates to better reflect the relative public value of courses and ensuring VET providers are responsive to industry needs. In response to these changes, a larger share of commencements has been in courses of high public value. In 2013, 65 per cent of commencing enrolments were in courses for Bands A and B (courses such as apprenticeships, trades and nursing), compared with 52 per cent at the same time in 2012.</w:t>
      </w:r>
    </w:p>
    <w:p w:rsidR="0070375D" w:rsidRDefault="0070375D" w:rsidP="00557BDD">
      <w:pPr>
        <w:autoSpaceDE w:val="0"/>
        <w:autoSpaceDN w:val="0"/>
        <w:adjustRightInd w:val="0"/>
        <w:rPr>
          <w:rFonts w:cs="Garamond"/>
          <w:color w:val="000000"/>
          <w:szCs w:val="22"/>
          <w:lang w:eastAsia="en-AU"/>
        </w:rPr>
      </w:pPr>
      <w:r>
        <w:rPr>
          <w:rFonts w:cs="Garamond"/>
          <w:color w:val="000000"/>
          <w:szCs w:val="22"/>
          <w:lang w:eastAsia="en-AU"/>
        </w:rPr>
        <w:t xml:space="preserve">Recent reforms have strengthened competition between public and private providers in the VET market and improved information provided to students on the quality of providers. Ensuring TAFE institutes </w:t>
      </w:r>
      <w:r>
        <w:rPr>
          <w:rFonts w:cs="Garamond"/>
          <w:color w:val="000000"/>
          <w:szCs w:val="22"/>
          <w:lang w:eastAsia="en-AU"/>
        </w:rPr>
        <w:fldChar w:fldCharType="begin"/>
      </w:r>
      <w:r>
        <w:instrText xml:space="preserve"> XE "</w:instrText>
      </w:r>
      <w:r w:rsidRPr="00BF43C3">
        <w:rPr>
          <w:rFonts w:cs="Garamond"/>
          <w:color w:val="000000"/>
          <w:szCs w:val="22"/>
          <w:lang w:eastAsia="en-AU"/>
        </w:rPr>
        <w:instrText>T</w:instrText>
      </w:r>
      <w:r>
        <w:rPr>
          <w:rFonts w:cs="Garamond"/>
          <w:color w:val="000000"/>
          <w:szCs w:val="22"/>
          <w:lang w:eastAsia="en-AU"/>
        </w:rPr>
        <w:instrText>echnical and further education</w:instrText>
      </w:r>
      <w:r>
        <w:instrText xml:space="preserve">" </w:instrText>
      </w:r>
      <w:r>
        <w:rPr>
          <w:rFonts w:cs="Garamond"/>
          <w:color w:val="000000"/>
          <w:szCs w:val="22"/>
          <w:lang w:eastAsia="en-AU"/>
        </w:rPr>
        <w:fldChar w:fldCharType="end"/>
      </w:r>
      <w:r>
        <w:rPr>
          <w:rFonts w:cs="Garamond"/>
          <w:color w:val="000000"/>
          <w:szCs w:val="22"/>
          <w:lang w:eastAsia="en-AU"/>
        </w:rPr>
        <w:t xml:space="preserve">and privately owned training providers receive the same training subsidy rates establishes a level playing field for all VET providers. A new VET market monitoring unit advises on competition and pricing activity in the market and providers are required to publish indicative prices up front. </w:t>
      </w:r>
    </w:p>
    <w:p w:rsidR="0070375D" w:rsidRDefault="0070375D" w:rsidP="00557BDD">
      <w:pPr>
        <w:autoSpaceDE w:val="0"/>
        <w:autoSpaceDN w:val="0"/>
        <w:adjustRightInd w:val="0"/>
        <w:rPr>
          <w:rFonts w:cs="Garamond"/>
          <w:color w:val="000000"/>
          <w:szCs w:val="22"/>
          <w:lang w:eastAsia="en-AU"/>
        </w:rPr>
      </w:pPr>
      <w:r>
        <w:rPr>
          <w:rFonts w:cs="Garamond"/>
          <w:color w:val="000000"/>
          <w:szCs w:val="22"/>
          <w:lang w:eastAsia="en-AU"/>
        </w:rPr>
        <w:t>Building on these reforms, t</w:t>
      </w:r>
      <w:r w:rsidRPr="00C80D13">
        <w:rPr>
          <w:rFonts w:cs="Garamond"/>
          <w:color w:val="000000"/>
          <w:szCs w:val="22"/>
          <w:lang w:eastAsia="en-AU"/>
        </w:rPr>
        <w:t>he Government is committed to strengthening the competitive footing of the TAFE</w:t>
      </w:r>
      <w:r>
        <w:rPr>
          <w:rFonts w:cs="Garamond"/>
          <w:color w:val="000000"/>
          <w:szCs w:val="22"/>
          <w:lang w:eastAsia="en-AU"/>
        </w:rPr>
        <w:fldChar w:fldCharType="begin"/>
      </w:r>
      <w:r>
        <w:instrText xml:space="preserve"> XE "</w:instrText>
      </w:r>
      <w:r w:rsidRPr="00BF43C3">
        <w:rPr>
          <w:rFonts w:cs="Garamond"/>
          <w:color w:val="000000"/>
          <w:szCs w:val="22"/>
          <w:lang w:eastAsia="en-AU"/>
        </w:rPr>
        <w:instrText>T</w:instrText>
      </w:r>
      <w:r>
        <w:rPr>
          <w:rFonts w:cs="Garamond"/>
          <w:color w:val="000000"/>
          <w:szCs w:val="22"/>
          <w:lang w:eastAsia="en-AU"/>
        </w:rPr>
        <w:instrText>echnical and further education</w:instrText>
      </w:r>
      <w:r>
        <w:instrText xml:space="preserve">" </w:instrText>
      </w:r>
      <w:r>
        <w:rPr>
          <w:rFonts w:cs="Garamond"/>
          <w:color w:val="000000"/>
          <w:szCs w:val="22"/>
          <w:lang w:eastAsia="en-AU"/>
        </w:rPr>
        <w:fldChar w:fldCharType="end"/>
      </w:r>
      <w:r w:rsidRPr="00C80D13">
        <w:rPr>
          <w:rFonts w:cs="Garamond"/>
          <w:color w:val="000000"/>
          <w:szCs w:val="22"/>
          <w:lang w:eastAsia="en-AU"/>
        </w:rPr>
        <w:t xml:space="preserve"> sector by establishing TAFE</w:t>
      </w:r>
      <w:r>
        <w:rPr>
          <w:rFonts w:cs="Garamond"/>
          <w:color w:val="000000"/>
          <w:szCs w:val="22"/>
          <w:lang w:eastAsia="en-AU"/>
        </w:rPr>
        <w:t xml:space="preserve"> institutes</w:t>
      </w:r>
      <w:r w:rsidRPr="00C80D13">
        <w:rPr>
          <w:rFonts w:cs="Garamond"/>
          <w:color w:val="000000"/>
          <w:szCs w:val="22"/>
          <w:lang w:eastAsia="en-AU"/>
        </w:rPr>
        <w:t xml:space="preserve"> as enterprises with the requisite management and board capacities</w:t>
      </w:r>
      <w:r>
        <w:rPr>
          <w:rFonts w:cs="Garamond"/>
          <w:color w:val="000000"/>
          <w:szCs w:val="22"/>
          <w:lang w:eastAsia="en-AU"/>
        </w:rPr>
        <w:t xml:space="preserve"> by: </w:t>
      </w:r>
    </w:p>
    <w:p w:rsidR="0070375D" w:rsidRPr="001D1987" w:rsidRDefault="0070375D" w:rsidP="00557BDD">
      <w:pPr>
        <w:pStyle w:val="BulletText"/>
      </w:pPr>
      <w:r w:rsidRPr="001D1987">
        <w:t>providing TAFE</w:t>
      </w:r>
      <w:r>
        <w:t xml:space="preserve"> institutes</w:t>
      </w:r>
      <w:r w:rsidRPr="001D1987">
        <w:t xml:space="preserve"> with gre</w:t>
      </w:r>
      <w:r>
        <w:t>ater autonomy over their assets</w:t>
      </w:r>
      <w:r w:rsidRPr="001D1987">
        <w:t xml:space="preserve"> and more flexib</w:t>
      </w:r>
      <w:r>
        <w:t xml:space="preserve">ility in </w:t>
      </w:r>
      <w:r w:rsidRPr="001D1987">
        <w:t>financial arrangements;</w:t>
      </w:r>
    </w:p>
    <w:p w:rsidR="0070375D" w:rsidRPr="001D1987" w:rsidRDefault="0070375D" w:rsidP="00557BDD">
      <w:pPr>
        <w:pStyle w:val="BulletText"/>
      </w:pPr>
      <w:r w:rsidRPr="001D1987">
        <w:t>reducing the regulatory burden on TAFE</w:t>
      </w:r>
      <w:r>
        <w:t xml:space="preserve"> institutes </w:t>
      </w:r>
      <w:r w:rsidRPr="001D1987">
        <w:t>through streamlined reporting requirements and by more clearly defining roles and responsibilities of TAFE</w:t>
      </w:r>
      <w:r>
        <w:t xml:space="preserve"> institutes</w:t>
      </w:r>
      <w:r>
        <w:rPr>
          <w:rFonts w:cs="Garamond"/>
          <w:color w:val="000000"/>
          <w:szCs w:val="22"/>
          <w:lang w:eastAsia="en-AU"/>
        </w:rPr>
        <w:fldChar w:fldCharType="begin"/>
      </w:r>
      <w:r>
        <w:instrText xml:space="preserve"> XE "</w:instrText>
      </w:r>
      <w:r w:rsidRPr="00BF43C3">
        <w:rPr>
          <w:rFonts w:cs="Garamond"/>
          <w:color w:val="000000"/>
          <w:szCs w:val="22"/>
          <w:lang w:eastAsia="en-AU"/>
        </w:rPr>
        <w:instrText>T</w:instrText>
      </w:r>
      <w:r>
        <w:rPr>
          <w:rFonts w:cs="Garamond"/>
          <w:color w:val="000000"/>
          <w:szCs w:val="22"/>
          <w:lang w:eastAsia="en-AU"/>
        </w:rPr>
        <w:instrText>echnical and further education</w:instrText>
      </w:r>
      <w:r>
        <w:instrText xml:space="preserve">" </w:instrText>
      </w:r>
      <w:r>
        <w:rPr>
          <w:rFonts w:cs="Garamond"/>
          <w:color w:val="000000"/>
          <w:szCs w:val="22"/>
          <w:lang w:eastAsia="en-AU"/>
        </w:rPr>
        <w:fldChar w:fldCharType="end"/>
      </w:r>
      <w:r>
        <w:t xml:space="preserve"> </w:t>
      </w:r>
      <w:r w:rsidRPr="001D1987">
        <w:t>and the Department</w:t>
      </w:r>
      <w:r>
        <w:t xml:space="preserve"> of Education and Early Childhood Development</w:t>
      </w:r>
      <w:r w:rsidRPr="001D1987">
        <w:t>;</w:t>
      </w:r>
    </w:p>
    <w:p w:rsidR="0070375D" w:rsidRPr="001D1987" w:rsidRDefault="0070375D" w:rsidP="00557BDD">
      <w:pPr>
        <w:pStyle w:val="BulletText"/>
      </w:pPr>
      <w:r w:rsidRPr="001D1987">
        <w:lastRenderedPageBreak/>
        <w:t>allowing TAFE</w:t>
      </w:r>
      <w:r>
        <w:t xml:space="preserve"> institutes </w:t>
      </w:r>
      <w:r w:rsidRPr="001D1987">
        <w:t xml:space="preserve">to have more control over workplace relations; and </w:t>
      </w:r>
    </w:p>
    <w:p w:rsidR="0070375D" w:rsidRPr="001D1987" w:rsidRDefault="0070375D" w:rsidP="00557BDD">
      <w:pPr>
        <w:pStyle w:val="BulletText"/>
      </w:pPr>
      <w:r>
        <w:t>modernising TAFE institutes</w:t>
      </w:r>
      <w:r w:rsidR="00276239">
        <w:t>’</w:t>
      </w:r>
      <w:r>
        <w:rPr>
          <w:rFonts w:cs="Garamond"/>
          <w:color w:val="000000"/>
          <w:szCs w:val="22"/>
          <w:lang w:eastAsia="en-AU"/>
        </w:rPr>
        <w:fldChar w:fldCharType="begin"/>
      </w:r>
      <w:r>
        <w:instrText xml:space="preserve"> XE "</w:instrText>
      </w:r>
      <w:r>
        <w:rPr>
          <w:rFonts w:cs="Garamond"/>
          <w:color w:val="000000"/>
          <w:szCs w:val="22"/>
          <w:lang w:eastAsia="en-AU"/>
        </w:rPr>
        <w:instrText>Technical and further education</w:instrText>
      </w:r>
      <w:r>
        <w:instrText xml:space="preserve">" </w:instrText>
      </w:r>
      <w:r>
        <w:rPr>
          <w:rFonts w:cs="Garamond"/>
          <w:color w:val="000000"/>
          <w:szCs w:val="22"/>
          <w:lang w:eastAsia="en-AU"/>
        </w:rPr>
        <w:fldChar w:fldCharType="end"/>
      </w:r>
      <w:r>
        <w:t xml:space="preserve"> </w:t>
      </w:r>
      <w:r w:rsidRPr="001D1987">
        <w:t xml:space="preserve">constitutions </w:t>
      </w:r>
      <w:r>
        <w:t>to provide a clearer understanding of Government</w:t>
      </w:r>
      <w:r w:rsidR="00276239">
        <w:t>’</w:t>
      </w:r>
      <w:r>
        <w:t xml:space="preserve">s expectations. </w:t>
      </w:r>
    </w:p>
    <w:p w:rsidR="0070375D" w:rsidRPr="00BB3927" w:rsidRDefault="0070375D" w:rsidP="00557BDD">
      <w:r>
        <w:t xml:space="preserve">To support this, </w:t>
      </w:r>
      <w:r w:rsidRPr="00BB3927">
        <w:t>the Government is providing $200</w:t>
      </w:r>
      <w:r>
        <w:t> million</w:t>
      </w:r>
      <w:r w:rsidRPr="00BB3927">
        <w:t xml:space="preserve"> </w:t>
      </w:r>
      <w:r>
        <w:t>over</w:t>
      </w:r>
      <w:r w:rsidRPr="00BB3927">
        <w:t xml:space="preserve"> f</w:t>
      </w:r>
      <w:r>
        <w:t xml:space="preserve">our years to support innovation, collaboration </w:t>
      </w:r>
      <w:r w:rsidRPr="00BB3927">
        <w:t>and structural reform in Victorian TAFE</w:t>
      </w:r>
      <w:r>
        <w:t xml:space="preserve"> institutes to ensure their competitiveness</w:t>
      </w:r>
      <w:r w:rsidRPr="00BB3927">
        <w:t xml:space="preserve"> </w:t>
      </w:r>
      <w:r>
        <w:t>in the VET sector.</w:t>
      </w:r>
      <w:bookmarkEnd w:id="33"/>
      <w:bookmarkEnd w:id="35"/>
      <w:r>
        <w:t xml:space="preserve"> </w:t>
      </w:r>
      <w:r>
        <w:fldChar w:fldCharType="begin"/>
      </w:r>
      <w:r>
        <w:instrText xml:space="preserve"> XE "</w:instrText>
      </w:r>
      <w:r w:rsidRPr="007B64B5">
        <w:instrText>Education:Reforms</w:instrText>
      </w:r>
      <w:r>
        <w:instrText xml:space="preserve">" \r "BP3Ch3EduReforms" </w:instrText>
      </w:r>
      <w:r>
        <w:fldChar w:fldCharType="end"/>
      </w:r>
      <w:r>
        <w:fldChar w:fldCharType="begin"/>
      </w:r>
      <w:r>
        <w:instrText xml:space="preserve"> XE "</w:instrText>
      </w:r>
      <w:r w:rsidRPr="00BF43C3">
        <w:instrText xml:space="preserve">Human </w:instrText>
      </w:r>
      <w:r>
        <w:instrText>c</w:instrText>
      </w:r>
      <w:r w:rsidRPr="00BF43C3">
        <w:instrText>apital reforms</w:instrText>
      </w:r>
      <w:r>
        <w:instrText xml:space="preserve">" \r "BP3Ch3HumanCapReform" </w:instrText>
      </w:r>
      <w:r>
        <w:fldChar w:fldCharType="end"/>
      </w:r>
      <w:r>
        <w:fldChar w:fldCharType="begin"/>
      </w:r>
      <w:r>
        <w:instrText xml:space="preserve"> XE "</w:instrText>
      </w:r>
      <w:r w:rsidRPr="00BF43C3">
        <w:instrText xml:space="preserve">Vocational </w:instrText>
      </w:r>
      <w:r>
        <w:instrText>E</w:instrText>
      </w:r>
      <w:r w:rsidRPr="00BF43C3">
        <w:instrText xml:space="preserve">ducation and </w:instrText>
      </w:r>
      <w:r>
        <w:instrText>T</w:instrText>
      </w:r>
      <w:r w:rsidRPr="00BF43C3">
        <w:instrText>raining</w:instrText>
      </w:r>
      <w:r>
        <w:instrText xml:space="preserve">" \r "BP3Ch3VocEdunTrain" </w:instrText>
      </w:r>
      <w:r>
        <w:fldChar w:fldCharType="end"/>
      </w:r>
    </w:p>
    <w:bookmarkEnd w:id="34"/>
    <w:p w:rsidR="0070375D" w:rsidRDefault="0070375D" w:rsidP="00557BDD">
      <w:pPr>
        <w:keepNext/>
        <w:spacing w:before="240"/>
        <w:outlineLvl w:val="1"/>
        <w:rPr>
          <w:rFonts w:ascii="Calibri" w:hAnsi="Calibri"/>
          <w:b/>
          <w:kern w:val="28"/>
          <w:sz w:val="26"/>
          <w:szCs w:val="22"/>
        </w:rPr>
      </w:pPr>
      <w:r>
        <w:rPr>
          <w:rFonts w:ascii="Calibri" w:hAnsi="Calibri"/>
          <w:b/>
          <w:kern w:val="28"/>
          <w:sz w:val="26"/>
          <w:szCs w:val="22"/>
        </w:rPr>
        <w:t xml:space="preserve">A competitive and low cost place to do business and invest </w:t>
      </w:r>
    </w:p>
    <w:p w:rsidR="0070375D" w:rsidRDefault="0070375D" w:rsidP="00557BDD">
      <w:r>
        <w:t xml:space="preserve">The Government is focused on providing a more affordable and competitive business environment in Victoria. </w:t>
      </w:r>
    </w:p>
    <w:p w:rsidR="0070375D" w:rsidRPr="00803168" w:rsidRDefault="0070375D" w:rsidP="00557BDD">
      <w:pPr>
        <w:keepNext/>
        <w:spacing w:before="240"/>
        <w:outlineLvl w:val="2"/>
        <w:rPr>
          <w:rFonts w:ascii="Calibri" w:hAnsi="Calibri"/>
          <w:b/>
          <w:i/>
          <w:kern w:val="28"/>
          <w:szCs w:val="22"/>
        </w:rPr>
      </w:pPr>
      <w:bookmarkStart w:id="36" w:name="BP3Ch3PlanReforms"/>
      <w:r w:rsidRPr="00803168">
        <w:rPr>
          <w:rFonts w:ascii="Calibri" w:hAnsi="Calibri"/>
          <w:b/>
          <w:i/>
          <w:kern w:val="28"/>
          <w:szCs w:val="22"/>
        </w:rPr>
        <w:t>Planning and land</w:t>
      </w:r>
      <w:r>
        <w:rPr>
          <w:rFonts w:ascii="Calibri" w:hAnsi="Calibri"/>
          <w:b/>
          <w:i/>
          <w:kern w:val="28"/>
          <w:szCs w:val="22"/>
        </w:rPr>
        <w:t xml:space="preserve"> </w:t>
      </w:r>
      <w:r w:rsidRPr="00803168">
        <w:rPr>
          <w:rFonts w:ascii="Calibri" w:hAnsi="Calibri"/>
          <w:b/>
          <w:i/>
          <w:kern w:val="28"/>
          <w:szCs w:val="22"/>
        </w:rPr>
        <w:t>use</w:t>
      </w:r>
    </w:p>
    <w:p w:rsidR="0070375D" w:rsidRPr="00C80D13" w:rsidRDefault="0070375D" w:rsidP="00557BDD">
      <w:r w:rsidRPr="00C80D13">
        <w:t xml:space="preserve">For the economy to adapt </w:t>
      </w:r>
      <w:r>
        <w:t xml:space="preserve">to change and take advantage of new opportunities, </w:t>
      </w:r>
      <w:r w:rsidRPr="00C80D13">
        <w:t xml:space="preserve">it is vital that </w:t>
      </w:r>
      <w:r>
        <w:t>planning and land use policy</w:t>
      </w:r>
      <w:r w:rsidRPr="00C80D13">
        <w:t xml:space="preserve"> </w:t>
      </w:r>
      <w:r>
        <w:t>is flexible and responds to changing investment and employment</w:t>
      </w:r>
      <w:r>
        <w:fldChar w:fldCharType="begin"/>
      </w:r>
      <w:r>
        <w:instrText xml:space="preserve"> XE "</w:instrText>
      </w:r>
      <w:r w:rsidRPr="00BF43C3">
        <w:instrText>Employment</w:instrText>
      </w:r>
      <w:r>
        <w:instrText xml:space="preserve">" </w:instrText>
      </w:r>
      <w:r>
        <w:fldChar w:fldCharType="end"/>
      </w:r>
      <w:r>
        <w:t xml:space="preserve"> patterns. A </w:t>
      </w:r>
      <w:r w:rsidRPr="00C80D13">
        <w:t xml:space="preserve">flexible land use </w:t>
      </w:r>
      <w:r>
        <w:t xml:space="preserve">system unlocks and </w:t>
      </w:r>
      <w:r w:rsidRPr="00C80D13">
        <w:t>maximise</w:t>
      </w:r>
      <w:r>
        <w:t>s</w:t>
      </w:r>
      <w:r w:rsidRPr="00C80D13">
        <w:t xml:space="preserve"> the economic value inherent in Victoria</w:t>
      </w:r>
      <w:r w:rsidR="00276239">
        <w:t>’</w:t>
      </w:r>
      <w:r w:rsidRPr="00C80D13">
        <w:t>s land assets.</w:t>
      </w:r>
    </w:p>
    <w:p w:rsidR="0070375D" w:rsidRPr="00C80D13" w:rsidRDefault="0070375D" w:rsidP="00557BDD">
      <w:r>
        <w:t xml:space="preserve">The Government is developing a </w:t>
      </w:r>
      <w:r w:rsidRPr="00C80D13">
        <w:t>Metropolitan Planning Strategy</w:t>
      </w:r>
      <w:r>
        <w:fldChar w:fldCharType="begin"/>
      </w:r>
      <w:r>
        <w:instrText xml:space="preserve"> XE "</w:instrText>
      </w:r>
      <w:r w:rsidRPr="00BF43C3">
        <w:instrText>Metropolitan Planning Strategy</w:instrText>
      </w:r>
      <w:r>
        <w:instrText xml:space="preserve">" </w:instrText>
      </w:r>
      <w:r>
        <w:fldChar w:fldCharType="end"/>
      </w:r>
      <w:r w:rsidRPr="00C80D13">
        <w:t xml:space="preserve"> (MPS) </w:t>
      </w:r>
      <w:r>
        <w:t>that will</w:t>
      </w:r>
      <w:r w:rsidRPr="00C80D13">
        <w:t xml:space="preserve"> guide Melbourne</w:t>
      </w:r>
      <w:r w:rsidR="00276239">
        <w:t>’</w:t>
      </w:r>
      <w:r w:rsidRPr="00C80D13">
        <w:t>s land</w:t>
      </w:r>
      <w:r w:rsidR="00276239">
        <w:noBreakHyphen/>
      </w:r>
      <w:r w:rsidRPr="00C80D13">
        <w:t>use planning and transport n</w:t>
      </w:r>
      <w:r>
        <w:t>eeds over the next 30 to 40 years. The</w:t>
      </w:r>
      <w:r w:rsidRPr="00C80D13">
        <w:t xml:space="preserve"> MPS will help guide decisions on Melbourne</w:t>
      </w:r>
      <w:r w:rsidR="00276239">
        <w:t>’</w:t>
      </w:r>
      <w:r w:rsidRPr="00C80D13">
        <w:t>s development</w:t>
      </w:r>
      <w:r>
        <w:t xml:space="preserve"> and will support </w:t>
      </w:r>
      <w:r w:rsidRPr="00C80D13">
        <w:t>urban renewal in strategic locations across Melbourne</w:t>
      </w:r>
      <w:r>
        <w:t>, such as Fishermans Bend</w:t>
      </w:r>
      <w:r w:rsidRPr="00C80D13">
        <w:t xml:space="preserve">. </w:t>
      </w:r>
    </w:p>
    <w:p w:rsidR="0070375D" w:rsidRDefault="0070375D" w:rsidP="00557BDD">
      <w:r>
        <w:t xml:space="preserve">This is supported by: </w:t>
      </w:r>
    </w:p>
    <w:p w:rsidR="0070375D" w:rsidRDefault="0070375D" w:rsidP="00557BDD">
      <w:pPr>
        <w:pStyle w:val="BulletText"/>
      </w:pPr>
      <w:r>
        <w:rPr>
          <w:rFonts w:cs="Garamond"/>
          <w:color w:val="000000"/>
          <w:szCs w:val="22"/>
          <w:lang w:eastAsia="en-AU"/>
        </w:rPr>
        <w:t>action to streamline identification of surplus government land and bring it to market, encouraging flexible land use and stimulating economic growth</w:t>
      </w:r>
      <w:r>
        <w:rPr>
          <w:rFonts w:cs="Garamond"/>
          <w:color w:val="000000"/>
          <w:szCs w:val="22"/>
          <w:lang w:eastAsia="en-AU"/>
        </w:rPr>
        <w:fldChar w:fldCharType="begin"/>
      </w:r>
      <w:r>
        <w:instrText xml:space="preserve"> XE "</w:instrText>
      </w:r>
      <w:r w:rsidRPr="00BF43C3">
        <w:rPr>
          <w:rFonts w:cs="Garamond"/>
          <w:color w:val="000000"/>
          <w:szCs w:val="22"/>
          <w:lang w:eastAsia="en-AU"/>
        </w:rPr>
        <w:instrText>Economic growth</w:instrText>
      </w:r>
      <w:r>
        <w:instrText xml:space="preserve">" </w:instrText>
      </w:r>
      <w:r>
        <w:rPr>
          <w:rFonts w:cs="Garamond"/>
          <w:color w:val="000000"/>
          <w:szCs w:val="22"/>
          <w:lang w:eastAsia="en-AU"/>
        </w:rPr>
        <w:fldChar w:fldCharType="end"/>
      </w:r>
      <w:r>
        <w:rPr>
          <w:rFonts w:cs="Garamond"/>
          <w:color w:val="000000"/>
          <w:szCs w:val="22"/>
          <w:lang w:eastAsia="en-AU"/>
        </w:rPr>
        <w:t>. The Government has commenced a pilot for rezoning surplus sites from the Department of Education and Early Childhood Development to enable the land to be appropriately zoned more efficiently and thereby used more effectively;</w:t>
      </w:r>
    </w:p>
    <w:p w:rsidR="0070375D" w:rsidRPr="00903B5A" w:rsidRDefault="0070375D" w:rsidP="00557BDD">
      <w:pPr>
        <w:pStyle w:val="BulletText"/>
      </w:pPr>
      <w:r>
        <w:t>s</w:t>
      </w:r>
      <w:r w:rsidRPr="00903B5A">
        <w:t>eeking opportunities for urban development on the rail network located near rail stations and other transport hubs</w:t>
      </w:r>
      <w:r>
        <w:t>;</w:t>
      </w:r>
    </w:p>
    <w:p w:rsidR="0070375D" w:rsidRDefault="0070375D" w:rsidP="00557BDD">
      <w:pPr>
        <w:pStyle w:val="BulletText"/>
      </w:pPr>
      <w:r>
        <w:t>d</w:t>
      </w:r>
      <w:r w:rsidRPr="00A81F8C">
        <w:t>elivering new planning zones</w:t>
      </w:r>
      <w:r>
        <w:t xml:space="preserve"> to encourage investment, economic growth</w:t>
      </w:r>
      <w:r>
        <w:rPr>
          <w:rFonts w:cs="Garamond"/>
          <w:color w:val="000000"/>
          <w:szCs w:val="22"/>
          <w:lang w:eastAsia="en-AU"/>
        </w:rPr>
        <w:fldChar w:fldCharType="begin"/>
      </w:r>
      <w:r>
        <w:instrText xml:space="preserve"> XE "</w:instrText>
      </w:r>
      <w:r w:rsidRPr="00BF43C3">
        <w:rPr>
          <w:rFonts w:cs="Garamond"/>
          <w:color w:val="000000"/>
          <w:szCs w:val="22"/>
          <w:lang w:eastAsia="en-AU"/>
        </w:rPr>
        <w:instrText>Economic growth</w:instrText>
      </w:r>
      <w:r>
        <w:instrText xml:space="preserve">" </w:instrText>
      </w:r>
      <w:r>
        <w:rPr>
          <w:rFonts w:cs="Garamond"/>
          <w:color w:val="000000"/>
          <w:szCs w:val="22"/>
          <w:lang w:eastAsia="en-AU"/>
        </w:rPr>
        <w:fldChar w:fldCharType="end"/>
      </w:r>
      <w:r>
        <w:t xml:space="preserve"> and certainty </w:t>
      </w:r>
      <w:r w:rsidRPr="00A81F8C">
        <w:t>to residents and businesses</w:t>
      </w:r>
      <w:r>
        <w:t>; and</w:t>
      </w:r>
    </w:p>
    <w:p w:rsidR="0070375D" w:rsidRPr="008F5762" w:rsidRDefault="0070375D" w:rsidP="00557BDD">
      <w:pPr>
        <w:pStyle w:val="BulletText"/>
      </w:pPr>
      <w:r>
        <w:t>a</w:t>
      </w:r>
      <w:r w:rsidRPr="00903B5A">
        <w:t>ccelerating and streamlining planning and environmental approval processes to increase certainty for businesses seeking to invest in Victoria</w:t>
      </w:r>
      <w:r>
        <w:t xml:space="preserve">, while </w:t>
      </w:r>
      <w:r w:rsidRPr="008B0C9F">
        <w:t>appropriately balancing planning and environmental outcomes</w:t>
      </w:r>
      <w:r w:rsidRPr="00903B5A">
        <w:t>.</w:t>
      </w:r>
      <w:r w:rsidRPr="008B0C9F">
        <w:t xml:space="preserve"> </w:t>
      </w:r>
    </w:p>
    <w:p w:rsidR="0070375D" w:rsidRDefault="0070375D" w:rsidP="00557BDD">
      <w:r>
        <w:rPr>
          <w:szCs w:val="22"/>
        </w:rPr>
        <w:t>These actions will support a p</w:t>
      </w:r>
      <w:r w:rsidRPr="00347835">
        <w:rPr>
          <w:szCs w:val="22"/>
        </w:rPr>
        <w:t xml:space="preserve">lanning </w:t>
      </w:r>
      <w:r>
        <w:rPr>
          <w:szCs w:val="22"/>
        </w:rPr>
        <w:t xml:space="preserve">system </w:t>
      </w:r>
      <w:r w:rsidRPr="00347835">
        <w:rPr>
          <w:szCs w:val="22"/>
        </w:rPr>
        <w:t>that is responsive to productive investment</w:t>
      </w:r>
      <w:r>
        <w:rPr>
          <w:szCs w:val="22"/>
        </w:rPr>
        <w:t>.</w:t>
      </w:r>
      <w:bookmarkEnd w:id="36"/>
      <w:r>
        <w:rPr>
          <w:szCs w:val="22"/>
        </w:rPr>
        <w:fldChar w:fldCharType="begin"/>
      </w:r>
      <w:r>
        <w:instrText xml:space="preserve"> XE "</w:instrText>
      </w:r>
      <w:r w:rsidRPr="00BF43C3">
        <w:instrText>Planning reforms</w:instrText>
      </w:r>
      <w:r>
        <w:instrText xml:space="preserve">" \r "BP3Ch3PlanReforms" </w:instrText>
      </w:r>
      <w:r>
        <w:rPr>
          <w:szCs w:val="22"/>
        </w:rPr>
        <w:fldChar w:fldCharType="end"/>
      </w:r>
    </w:p>
    <w:p w:rsidR="0070375D" w:rsidRPr="00CE2FE0" w:rsidRDefault="0070375D" w:rsidP="00557BDD">
      <w:pPr>
        <w:keepNext/>
        <w:spacing w:before="240"/>
        <w:outlineLvl w:val="2"/>
        <w:rPr>
          <w:rFonts w:ascii="Calibri" w:hAnsi="Calibri"/>
          <w:b/>
          <w:i/>
          <w:kern w:val="28"/>
          <w:szCs w:val="22"/>
        </w:rPr>
      </w:pPr>
      <w:bookmarkStart w:id="37" w:name="BP3Ch3RegulatnBurden"/>
      <w:bookmarkStart w:id="38" w:name="BP3Ch3RedTape"/>
      <w:r>
        <w:rPr>
          <w:rFonts w:ascii="Calibri" w:hAnsi="Calibri"/>
          <w:b/>
          <w:i/>
          <w:kern w:val="28"/>
          <w:szCs w:val="22"/>
        </w:rPr>
        <w:t>Reducing regulatory costs</w:t>
      </w:r>
    </w:p>
    <w:p w:rsidR="0070375D" w:rsidRPr="00C80D13" w:rsidRDefault="0070375D" w:rsidP="00557BDD">
      <w:pPr>
        <w:rPr>
          <w:szCs w:val="22"/>
        </w:rPr>
      </w:pPr>
      <w:r>
        <w:rPr>
          <w:szCs w:val="22"/>
        </w:rPr>
        <w:t>Excessive red tape imposes unnecessary costs on business and is a barrier to productivity</w:t>
      </w:r>
      <w:r>
        <w:rPr>
          <w:szCs w:val="22"/>
        </w:rPr>
        <w:fldChar w:fldCharType="begin"/>
      </w:r>
      <w:r>
        <w:instrText xml:space="preserve"> XE "</w:instrText>
      </w:r>
      <w:r w:rsidRPr="00BF43C3">
        <w:rPr>
          <w:szCs w:val="22"/>
        </w:rPr>
        <w:instrText>Productivity</w:instrText>
      </w:r>
      <w:r>
        <w:instrText xml:space="preserve">" </w:instrText>
      </w:r>
      <w:r>
        <w:rPr>
          <w:szCs w:val="22"/>
        </w:rPr>
        <w:fldChar w:fldCharType="end"/>
      </w:r>
      <w:r>
        <w:rPr>
          <w:szCs w:val="22"/>
        </w:rPr>
        <w:t xml:space="preserve"> improvements in the Victorian economy. </w:t>
      </w:r>
      <w:r w:rsidRPr="00C80D13">
        <w:rPr>
          <w:szCs w:val="22"/>
        </w:rPr>
        <w:t>The Government has a comprehensive program to reduce red tape affec</w:t>
      </w:r>
      <w:r>
        <w:rPr>
          <w:szCs w:val="22"/>
        </w:rPr>
        <w:t>ting businesses, not</w:t>
      </w:r>
      <w:r w:rsidR="00276239">
        <w:rPr>
          <w:szCs w:val="22"/>
        </w:rPr>
        <w:noBreakHyphen/>
      </w:r>
      <w:r>
        <w:rPr>
          <w:szCs w:val="22"/>
        </w:rPr>
        <w:t>for</w:t>
      </w:r>
      <w:r w:rsidR="00276239">
        <w:rPr>
          <w:szCs w:val="22"/>
        </w:rPr>
        <w:noBreakHyphen/>
      </w:r>
      <w:r>
        <w:rPr>
          <w:szCs w:val="22"/>
        </w:rPr>
        <w:t>profit organisations</w:t>
      </w:r>
      <w:r w:rsidRPr="00C80D13">
        <w:rPr>
          <w:szCs w:val="22"/>
        </w:rPr>
        <w:t>, government service providers and households by 25</w:t>
      </w:r>
      <w:r>
        <w:rPr>
          <w:szCs w:val="22"/>
        </w:rPr>
        <w:t> per cent</w:t>
      </w:r>
      <w:r w:rsidRPr="00C80D13">
        <w:rPr>
          <w:szCs w:val="22"/>
        </w:rPr>
        <w:t xml:space="preserve"> by 1 July 2014. </w:t>
      </w:r>
      <w:r>
        <w:rPr>
          <w:szCs w:val="22"/>
        </w:rPr>
        <w:t>To date, t</w:t>
      </w:r>
      <w:r w:rsidRPr="00C80D13">
        <w:rPr>
          <w:szCs w:val="22"/>
        </w:rPr>
        <w:t xml:space="preserve">he Red Tape Reduction Program </w:t>
      </w:r>
      <w:r>
        <w:rPr>
          <w:szCs w:val="22"/>
        </w:rPr>
        <w:t xml:space="preserve">has identified </w:t>
      </w:r>
      <w:r w:rsidRPr="00C80D13">
        <w:rPr>
          <w:szCs w:val="22"/>
        </w:rPr>
        <w:t xml:space="preserve">over </w:t>
      </w:r>
      <w:r>
        <w:rPr>
          <w:szCs w:val="22"/>
        </w:rPr>
        <w:t xml:space="preserve">$500 million a year in </w:t>
      </w:r>
      <w:r w:rsidRPr="00C80D13">
        <w:rPr>
          <w:szCs w:val="22"/>
        </w:rPr>
        <w:t xml:space="preserve">red tape savings to Victorians. </w:t>
      </w:r>
    </w:p>
    <w:p w:rsidR="0070375D" w:rsidRPr="00C80D13" w:rsidRDefault="0070375D" w:rsidP="00557BDD">
      <w:pPr>
        <w:rPr>
          <w:szCs w:val="22"/>
        </w:rPr>
      </w:pPr>
      <w:r>
        <w:rPr>
          <w:szCs w:val="22"/>
        </w:rPr>
        <w:lastRenderedPageBreak/>
        <w:t>Key reforms</w:t>
      </w:r>
      <w:r w:rsidRPr="00C80D13">
        <w:rPr>
          <w:szCs w:val="22"/>
        </w:rPr>
        <w:t xml:space="preserve"> </w:t>
      </w:r>
      <w:r>
        <w:rPr>
          <w:szCs w:val="22"/>
        </w:rPr>
        <w:t xml:space="preserve">that reduce costs and improve opportunities for Victorian business to expand and innovate </w:t>
      </w:r>
      <w:r w:rsidRPr="00C80D13">
        <w:rPr>
          <w:szCs w:val="22"/>
        </w:rPr>
        <w:t>include:</w:t>
      </w:r>
    </w:p>
    <w:p w:rsidR="0070375D" w:rsidRDefault="0070375D" w:rsidP="00557BDD">
      <w:pPr>
        <w:pStyle w:val="BulletText"/>
      </w:pPr>
      <w:r>
        <w:t xml:space="preserve">reinstating the Victorian Civil and Administrative Tribunal major cases planning list; </w:t>
      </w:r>
    </w:p>
    <w:p w:rsidR="0070375D" w:rsidRDefault="0070375D" w:rsidP="00557BDD">
      <w:pPr>
        <w:pStyle w:val="BulletText"/>
      </w:pPr>
      <w:r>
        <w:t>introducing shorter approval timeframes for planning applications under VicSmart;</w:t>
      </w:r>
    </w:p>
    <w:p w:rsidR="0070375D" w:rsidRDefault="0070375D" w:rsidP="00557BDD">
      <w:pPr>
        <w:pStyle w:val="BulletText"/>
      </w:pPr>
      <w:r>
        <w:t>simplifying rules for new houses constructed on lots less than 300 square metres through the Small Lot Housing Code;</w:t>
      </w:r>
    </w:p>
    <w:p w:rsidR="0070375D" w:rsidRDefault="0070375D" w:rsidP="00557BDD">
      <w:pPr>
        <w:pStyle w:val="BulletText"/>
      </w:pPr>
      <w:r>
        <w:t>delivering significant zoning reform that will facilitate more development in commercial and industrial zones</w:t>
      </w:r>
      <w:r w:rsidRPr="00140475">
        <w:t xml:space="preserve"> </w:t>
      </w:r>
      <w:r>
        <w:t>and reduce entry barriers for smaller supermarkets;</w:t>
      </w:r>
    </w:p>
    <w:p w:rsidR="0070375D" w:rsidRDefault="0070375D" w:rsidP="00557BDD">
      <w:pPr>
        <w:pStyle w:val="BulletText"/>
      </w:pPr>
      <w:r w:rsidRPr="00806D6E">
        <w:t>opening up national parks to environmentally appropriate private sector tourism investment to ensure Victorians get maximum benefit from the State</w:t>
      </w:r>
      <w:r w:rsidR="00276239">
        <w:t>’</w:t>
      </w:r>
      <w:r w:rsidRPr="00806D6E">
        <w:t>s natural assets;</w:t>
      </w:r>
      <w:r>
        <w:t xml:space="preserve"> </w:t>
      </w:r>
    </w:p>
    <w:p w:rsidR="0070375D" w:rsidRDefault="0070375D" w:rsidP="00557BDD">
      <w:pPr>
        <w:pStyle w:val="BulletText"/>
      </w:pPr>
      <w:r>
        <w:t>relaxing floor space restrictions on bulky good retail centres, which will allow stores to open smaller, lower cost premises;</w:t>
      </w:r>
    </w:p>
    <w:p w:rsidR="0070375D" w:rsidRDefault="0070375D" w:rsidP="00557BDD">
      <w:pPr>
        <w:pStyle w:val="BulletText"/>
      </w:pPr>
      <w:r>
        <w:t>lifting the ban on Easter Sunday trading for large businesses (those with 20 or more employees);</w:t>
      </w:r>
    </w:p>
    <w:p w:rsidR="0070375D" w:rsidRDefault="0070375D" w:rsidP="00557BDD">
      <w:pPr>
        <w:pStyle w:val="BulletText"/>
      </w:pPr>
      <w:r>
        <w:t>reforming feed</w:t>
      </w:r>
      <w:r w:rsidR="00276239">
        <w:noBreakHyphen/>
      </w:r>
      <w:r>
        <w:t>in tariffs for roof</w:t>
      </w:r>
      <w:r w:rsidR="00276239">
        <w:noBreakHyphen/>
      </w:r>
      <w:r>
        <w:t>top solar electricity to minimise cross</w:t>
      </w:r>
      <w:r w:rsidR="00276239">
        <w:noBreakHyphen/>
      </w:r>
      <w:r>
        <w:t>subsidies, which increase costs for Victorian electricity consumers; and</w:t>
      </w:r>
    </w:p>
    <w:p w:rsidR="0070375D" w:rsidRDefault="0070375D" w:rsidP="00557BDD">
      <w:pPr>
        <w:pStyle w:val="BulletText"/>
      </w:pPr>
      <w:r>
        <w:t xml:space="preserve">simplifying </w:t>
      </w:r>
      <w:r w:rsidRPr="00B70DA5">
        <w:t xml:space="preserve">environmental reporting </w:t>
      </w:r>
      <w:r>
        <w:t>by</w:t>
      </w:r>
      <w:r w:rsidRPr="00B70DA5">
        <w:t xml:space="preserve"> removing the mandatory requirement for large water users to prepare, submit and report against a </w:t>
      </w:r>
      <w:r w:rsidR="003C7B08" w:rsidRPr="00B70DA5">
        <w:t>w</w:t>
      </w:r>
      <w:r w:rsidR="003C7B08">
        <w:t>ater management action plan</w:t>
      </w:r>
      <w:r>
        <w:t>.</w:t>
      </w:r>
    </w:p>
    <w:p w:rsidR="0070375D" w:rsidRPr="00C80D13" w:rsidRDefault="0070375D" w:rsidP="00557BDD">
      <w:pPr>
        <w:pStyle w:val="BulletText"/>
        <w:numPr>
          <w:ilvl w:val="0"/>
          <w:numId w:val="0"/>
        </w:numPr>
      </w:pPr>
      <w:r w:rsidRPr="00C80D13">
        <w:t>A range of further opportunities to achieve the Government</w:t>
      </w:r>
      <w:r w:rsidR="00276239">
        <w:t>’</w:t>
      </w:r>
      <w:r w:rsidRPr="00C80D13">
        <w:t xml:space="preserve">s red tape target are being identified by the </w:t>
      </w:r>
      <w:r>
        <w:t xml:space="preserve">recently </w:t>
      </w:r>
      <w:r w:rsidRPr="00C80D13">
        <w:t>appointed Red Tape Commissioner</w:t>
      </w:r>
      <w:r>
        <w:fldChar w:fldCharType="begin"/>
      </w:r>
      <w:r>
        <w:instrText xml:space="preserve"> XE "</w:instrText>
      </w:r>
      <w:r w:rsidRPr="00BF43C3">
        <w:instrText>Red Tape Commissioner</w:instrText>
      </w:r>
      <w:r>
        <w:instrText xml:space="preserve">" </w:instrText>
      </w:r>
      <w:r>
        <w:fldChar w:fldCharType="end"/>
      </w:r>
      <w:r w:rsidRPr="00C80D13">
        <w:t xml:space="preserve">, who provides an important bridge between the business community and government. </w:t>
      </w:r>
      <w:r>
        <w:t xml:space="preserve">The Commissioner will provide the Government with an initial list of reform opportunities over the next few months. </w:t>
      </w:r>
    </w:p>
    <w:p w:rsidR="0070375D" w:rsidRDefault="0070375D" w:rsidP="00557BDD">
      <w:pPr>
        <w:rPr>
          <w:szCs w:val="22"/>
        </w:rPr>
      </w:pPr>
      <w:r>
        <w:rPr>
          <w:szCs w:val="22"/>
        </w:rPr>
        <w:t>T</w:t>
      </w:r>
      <w:r w:rsidRPr="00D31AA9">
        <w:rPr>
          <w:szCs w:val="22"/>
        </w:rPr>
        <w:t>o establish clear expectations for regulators to improve their compliance and administrative practices</w:t>
      </w:r>
      <w:r>
        <w:rPr>
          <w:szCs w:val="22"/>
        </w:rPr>
        <w:t>,</w:t>
      </w:r>
      <w:r w:rsidRPr="00D31AA9">
        <w:rPr>
          <w:szCs w:val="22"/>
        </w:rPr>
        <w:t xml:space="preserve"> </w:t>
      </w:r>
      <w:r>
        <w:rPr>
          <w:szCs w:val="22"/>
        </w:rPr>
        <w:t>t</w:t>
      </w:r>
      <w:r w:rsidRPr="00D31AA9">
        <w:rPr>
          <w:szCs w:val="22"/>
        </w:rPr>
        <w:t>he Government is issuing Ministerial Statements of Expectations (SOEs) to all Victorian regulators. Stage One of the reform is underway</w:t>
      </w:r>
      <w:r>
        <w:rPr>
          <w:szCs w:val="22"/>
        </w:rPr>
        <w:t>,</w:t>
      </w:r>
      <w:r w:rsidRPr="00D31AA9">
        <w:rPr>
          <w:szCs w:val="22"/>
        </w:rPr>
        <w:t xml:space="preserve"> with five of Victoria</w:t>
      </w:r>
      <w:r w:rsidR="00276239">
        <w:rPr>
          <w:szCs w:val="22"/>
        </w:rPr>
        <w:t>’</w:t>
      </w:r>
      <w:r>
        <w:rPr>
          <w:szCs w:val="22"/>
        </w:rPr>
        <w:t>s highest</w:t>
      </w:r>
      <w:r w:rsidR="00276239">
        <w:rPr>
          <w:szCs w:val="22"/>
        </w:rPr>
        <w:noBreakHyphen/>
      </w:r>
      <w:r w:rsidRPr="00D31AA9">
        <w:rPr>
          <w:szCs w:val="22"/>
        </w:rPr>
        <w:t xml:space="preserve">impact regulators currently being issued red tape reduction </w:t>
      </w:r>
      <w:r w:rsidRPr="00F039B6">
        <w:rPr>
          <w:szCs w:val="22"/>
        </w:rPr>
        <w:t>SOEs by each regulator</w:t>
      </w:r>
      <w:r w:rsidR="00276239">
        <w:rPr>
          <w:szCs w:val="22"/>
        </w:rPr>
        <w:t>’</w:t>
      </w:r>
      <w:r w:rsidRPr="00F039B6">
        <w:rPr>
          <w:szCs w:val="22"/>
        </w:rPr>
        <w:t>s responsible Minister. These</w:t>
      </w:r>
      <w:r w:rsidRPr="00D31AA9">
        <w:rPr>
          <w:szCs w:val="22"/>
        </w:rPr>
        <w:t xml:space="preserve"> regulators must outline the </w:t>
      </w:r>
      <w:r>
        <w:rPr>
          <w:szCs w:val="22"/>
        </w:rPr>
        <w:t xml:space="preserve">changes </w:t>
      </w:r>
      <w:r w:rsidRPr="00D31AA9">
        <w:rPr>
          <w:szCs w:val="22"/>
        </w:rPr>
        <w:t xml:space="preserve">they intend to </w:t>
      </w:r>
      <w:r>
        <w:rPr>
          <w:szCs w:val="22"/>
        </w:rPr>
        <w:t xml:space="preserve">implement </w:t>
      </w:r>
      <w:r w:rsidRPr="00D31AA9">
        <w:rPr>
          <w:szCs w:val="22"/>
        </w:rPr>
        <w:t xml:space="preserve">to meet their red tape performance measures by 1 July 2013. The second stage of the reform will involve implementing SOEs </w:t>
      </w:r>
      <w:r>
        <w:rPr>
          <w:szCs w:val="22"/>
        </w:rPr>
        <w:t xml:space="preserve">covering a broad range of performance and governance objectives </w:t>
      </w:r>
      <w:r w:rsidRPr="00D31AA9">
        <w:rPr>
          <w:szCs w:val="22"/>
        </w:rPr>
        <w:t>for all regulators from late 2013.</w:t>
      </w:r>
    </w:p>
    <w:p w:rsidR="0070375D" w:rsidRDefault="0070375D" w:rsidP="00557BDD">
      <w:pPr>
        <w:rPr>
          <w:szCs w:val="22"/>
        </w:rPr>
      </w:pPr>
      <w:r>
        <w:rPr>
          <w:szCs w:val="22"/>
        </w:rPr>
        <w:t>The</w:t>
      </w:r>
      <w:r w:rsidRPr="00E301BD">
        <w:rPr>
          <w:szCs w:val="22"/>
        </w:rPr>
        <w:t xml:space="preserve"> VCEC </w:t>
      </w:r>
      <w:r>
        <w:rPr>
          <w:szCs w:val="22"/>
        </w:rPr>
        <w:t xml:space="preserve">is progressing </w:t>
      </w:r>
      <w:r w:rsidRPr="00E301BD">
        <w:rPr>
          <w:szCs w:val="22"/>
        </w:rPr>
        <w:t xml:space="preserve">regulatory improvement </w:t>
      </w:r>
      <w:r>
        <w:rPr>
          <w:szCs w:val="22"/>
        </w:rPr>
        <w:t xml:space="preserve">work with selected large regulators to help </w:t>
      </w:r>
      <w:r w:rsidRPr="00E301BD">
        <w:rPr>
          <w:szCs w:val="22"/>
        </w:rPr>
        <w:t>focus</w:t>
      </w:r>
      <w:r>
        <w:rPr>
          <w:szCs w:val="22"/>
        </w:rPr>
        <w:t xml:space="preserve"> </w:t>
      </w:r>
      <w:r w:rsidRPr="00E301BD">
        <w:rPr>
          <w:szCs w:val="22"/>
        </w:rPr>
        <w:t>how risk</w:t>
      </w:r>
      <w:r w:rsidR="00276239">
        <w:rPr>
          <w:szCs w:val="22"/>
        </w:rPr>
        <w:noBreakHyphen/>
      </w:r>
      <w:r w:rsidRPr="00E301BD">
        <w:rPr>
          <w:szCs w:val="22"/>
        </w:rPr>
        <w:t>based approaches can be applied to reduce the red tape burden for compliant businesses.</w:t>
      </w:r>
      <w:bookmarkEnd w:id="37"/>
      <w:r>
        <w:rPr>
          <w:szCs w:val="22"/>
        </w:rPr>
        <w:fldChar w:fldCharType="begin"/>
      </w:r>
      <w:r>
        <w:instrText xml:space="preserve"> XE "</w:instrText>
      </w:r>
      <w:r w:rsidRPr="00BF43C3">
        <w:instrText xml:space="preserve">Red </w:instrText>
      </w:r>
      <w:r>
        <w:instrText>T</w:instrText>
      </w:r>
      <w:r w:rsidRPr="00BF43C3">
        <w:instrText>ape reduction</w:instrText>
      </w:r>
      <w:r>
        <w:instrText xml:space="preserve">" </w:instrText>
      </w:r>
      <w:r>
        <w:rPr>
          <w:szCs w:val="22"/>
        </w:rPr>
        <w:fldChar w:fldCharType="end"/>
      </w:r>
      <w:r>
        <w:rPr>
          <w:szCs w:val="22"/>
        </w:rPr>
        <w:fldChar w:fldCharType="begin"/>
      </w:r>
      <w:r>
        <w:instrText xml:space="preserve"> XE "</w:instrText>
      </w:r>
      <w:r w:rsidRPr="00B939AB">
        <w:instrText>Regula</w:instrText>
      </w:r>
      <w:r>
        <w:instrText>t</w:instrText>
      </w:r>
      <w:r w:rsidRPr="00B939AB">
        <w:instrText>ion:Reducing the regulation burden</w:instrText>
      </w:r>
      <w:r>
        <w:instrText xml:space="preserve">" \r "BP3Ch3RegulatnBurden" </w:instrText>
      </w:r>
      <w:r>
        <w:rPr>
          <w:szCs w:val="22"/>
        </w:rPr>
        <w:fldChar w:fldCharType="end"/>
      </w:r>
      <w:r w:rsidRPr="00E301BD">
        <w:rPr>
          <w:szCs w:val="22"/>
        </w:rPr>
        <w:t xml:space="preserve"> </w:t>
      </w:r>
      <w:bookmarkEnd w:id="38"/>
    </w:p>
    <w:p w:rsidR="0070375D" w:rsidRDefault="0070375D">
      <w:pPr>
        <w:spacing w:after="0"/>
        <w:rPr>
          <w:rFonts w:ascii="Calibri" w:hAnsi="Calibri"/>
          <w:b/>
          <w:i/>
          <w:kern w:val="28"/>
          <w:szCs w:val="22"/>
        </w:rPr>
      </w:pPr>
      <w:bookmarkStart w:id="39" w:name="BP3Ch3TaxReform"/>
      <w:r>
        <w:rPr>
          <w:rFonts w:ascii="Calibri" w:hAnsi="Calibri"/>
          <w:b/>
          <w:i/>
          <w:kern w:val="28"/>
          <w:szCs w:val="22"/>
        </w:rPr>
        <w:br w:type="page"/>
      </w:r>
    </w:p>
    <w:p w:rsidR="0070375D" w:rsidRPr="00CE2FE0" w:rsidRDefault="0070375D" w:rsidP="00557BDD">
      <w:pPr>
        <w:keepNext/>
        <w:spacing w:before="240"/>
        <w:outlineLvl w:val="2"/>
        <w:rPr>
          <w:rFonts w:ascii="Calibri" w:hAnsi="Calibri"/>
          <w:b/>
          <w:i/>
          <w:kern w:val="28"/>
          <w:szCs w:val="22"/>
        </w:rPr>
      </w:pPr>
      <w:r w:rsidRPr="00CE2FE0">
        <w:rPr>
          <w:rFonts w:ascii="Calibri" w:hAnsi="Calibri"/>
          <w:b/>
          <w:i/>
          <w:kern w:val="28"/>
          <w:szCs w:val="22"/>
        </w:rPr>
        <w:lastRenderedPageBreak/>
        <w:t>Taxation reform</w:t>
      </w:r>
    </w:p>
    <w:p w:rsidR="0070375D" w:rsidRDefault="0070375D" w:rsidP="00557BDD">
      <w:pPr>
        <w:autoSpaceDE w:val="0"/>
        <w:autoSpaceDN w:val="0"/>
        <w:adjustRightInd w:val="0"/>
        <w:rPr>
          <w:rFonts w:cs="Garamond"/>
          <w:color w:val="000000"/>
          <w:szCs w:val="22"/>
          <w:lang w:eastAsia="en-AU"/>
        </w:rPr>
      </w:pPr>
      <w:r>
        <w:rPr>
          <w:rFonts w:cs="Garamond"/>
          <w:color w:val="000000"/>
          <w:szCs w:val="22"/>
          <w:lang w:eastAsia="en-AU"/>
        </w:rPr>
        <w:t xml:space="preserve">An efficient taxation system is critical to supporting a competitive business environment. </w:t>
      </w:r>
    </w:p>
    <w:p w:rsidR="0070375D" w:rsidRDefault="0070375D" w:rsidP="00557BDD">
      <w:pPr>
        <w:autoSpaceDE w:val="0"/>
        <w:autoSpaceDN w:val="0"/>
        <w:adjustRightInd w:val="0"/>
        <w:rPr>
          <w:rFonts w:cs="Garamond"/>
          <w:color w:val="000000"/>
          <w:szCs w:val="22"/>
          <w:lang w:eastAsia="en-AU"/>
        </w:rPr>
      </w:pPr>
      <w:r>
        <w:rPr>
          <w:rFonts w:cs="Garamond"/>
          <w:color w:val="000000"/>
          <w:szCs w:val="22"/>
          <w:lang w:eastAsia="en-AU"/>
        </w:rPr>
        <w:t>On</w:t>
      </w:r>
      <w:r w:rsidRPr="000756C0">
        <w:rPr>
          <w:rFonts w:cs="Garamond"/>
          <w:color w:val="000000"/>
          <w:szCs w:val="22"/>
          <w:lang w:eastAsia="en-AU"/>
        </w:rPr>
        <w:t xml:space="preserve"> 1 July 2013, the Government will replace the insurance</w:t>
      </w:r>
      <w:r>
        <w:rPr>
          <w:rFonts w:cs="Garamond"/>
          <w:color w:val="000000"/>
          <w:szCs w:val="22"/>
          <w:lang w:eastAsia="en-AU"/>
        </w:rPr>
        <w:fldChar w:fldCharType="begin"/>
      </w:r>
      <w:r>
        <w:instrText xml:space="preserve"> XE "</w:instrText>
      </w:r>
      <w:r w:rsidRPr="00BF43C3">
        <w:rPr>
          <w:rFonts w:cs="Garamond"/>
          <w:color w:val="000000"/>
          <w:szCs w:val="22"/>
          <w:lang w:eastAsia="en-AU"/>
        </w:rPr>
        <w:instrText>Insurance</w:instrText>
      </w:r>
      <w:r>
        <w:instrText xml:space="preserve">" </w:instrText>
      </w:r>
      <w:r>
        <w:rPr>
          <w:rFonts w:cs="Garamond"/>
          <w:color w:val="000000"/>
          <w:szCs w:val="22"/>
          <w:lang w:eastAsia="en-AU"/>
        </w:rPr>
        <w:fldChar w:fldCharType="end"/>
      </w:r>
      <w:r w:rsidR="00276239">
        <w:rPr>
          <w:rFonts w:cs="Garamond"/>
          <w:color w:val="000000"/>
          <w:szCs w:val="22"/>
          <w:lang w:eastAsia="en-AU"/>
        </w:rPr>
        <w:noBreakHyphen/>
      </w:r>
      <w:r w:rsidRPr="000756C0">
        <w:rPr>
          <w:rFonts w:cs="Garamond"/>
          <w:color w:val="000000"/>
          <w:szCs w:val="22"/>
          <w:lang w:eastAsia="en-AU"/>
        </w:rPr>
        <w:t>based fire services levy</w:t>
      </w:r>
      <w:r>
        <w:rPr>
          <w:rFonts w:cs="Garamond"/>
          <w:color w:val="000000"/>
          <w:szCs w:val="22"/>
          <w:lang w:eastAsia="en-AU"/>
        </w:rPr>
        <w:fldChar w:fldCharType="begin"/>
      </w:r>
      <w:r>
        <w:instrText xml:space="preserve"> XE "</w:instrText>
      </w:r>
      <w:r w:rsidRPr="00BF43C3">
        <w:rPr>
          <w:rFonts w:cs="Garamond"/>
          <w:color w:val="000000"/>
          <w:szCs w:val="22"/>
          <w:lang w:eastAsia="en-AU"/>
        </w:rPr>
        <w:instrText>Fire services levy</w:instrText>
      </w:r>
      <w:r>
        <w:instrText xml:space="preserve">" </w:instrText>
      </w:r>
      <w:r>
        <w:rPr>
          <w:rFonts w:cs="Garamond"/>
          <w:color w:val="000000"/>
          <w:szCs w:val="22"/>
          <w:lang w:eastAsia="en-AU"/>
        </w:rPr>
        <w:fldChar w:fldCharType="end"/>
      </w:r>
      <w:r w:rsidRPr="000756C0">
        <w:rPr>
          <w:rFonts w:cs="Garamond"/>
          <w:color w:val="000000"/>
          <w:szCs w:val="22"/>
          <w:lang w:eastAsia="en-AU"/>
        </w:rPr>
        <w:t xml:space="preserve"> with the Fire Services Property Levy, as recommended by the Victorian Bushfires Royal Commission. This significant tax reform will replace an inefficient and inequitable tax on insurance</w:t>
      </w:r>
      <w:r>
        <w:rPr>
          <w:rFonts w:cs="Garamond"/>
          <w:color w:val="000000"/>
          <w:szCs w:val="22"/>
          <w:lang w:eastAsia="en-AU"/>
        </w:rPr>
        <w:fldChar w:fldCharType="begin"/>
      </w:r>
      <w:r>
        <w:instrText xml:space="preserve"> XE "</w:instrText>
      </w:r>
      <w:r w:rsidRPr="00BF43C3">
        <w:rPr>
          <w:rFonts w:cs="Garamond"/>
          <w:color w:val="000000"/>
          <w:szCs w:val="22"/>
          <w:lang w:eastAsia="en-AU"/>
        </w:rPr>
        <w:instrText>Insurance</w:instrText>
      </w:r>
      <w:r>
        <w:instrText xml:space="preserve">" </w:instrText>
      </w:r>
      <w:r>
        <w:rPr>
          <w:rFonts w:cs="Garamond"/>
          <w:color w:val="000000"/>
          <w:szCs w:val="22"/>
          <w:lang w:eastAsia="en-AU"/>
        </w:rPr>
        <w:fldChar w:fldCharType="end"/>
      </w:r>
      <w:r w:rsidRPr="000756C0">
        <w:rPr>
          <w:rFonts w:cs="Garamond"/>
          <w:color w:val="000000"/>
          <w:szCs w:val="22"/>
          <w:lang w:eastAsia="en-AU"/>
        </w:rPr>
        <w:t xml:space="preserve"> with an efficient and fair property levy that ensures all property owners contribute to funding Victoria</w:t>
      </w:r>
      <w:r w:rsidR="00276239">
        <w:rPr>
          <w:rFonts w:cs="Garamond"/>
          <w:color w:val="000000"/>
          <w:szCs w:val="22"/>
          <w:lang w:eastAsia="en-AU"/>
        </w:rPr>
        <w:t>’</w:t>
      </w:r>
      <w:r w:rsidRPr="000756C0">
        <w:rPr>
          <w:rFonts w:cs="Garamond"/>
          <w:color w:val="000000"/>
          <w:szCs w:val="22"/>
          <w:lang w:eastAsia="en-AU"/>
        </w:rPr>
        <w:t>s fire services. The reduction in GST</w:t>
      </w:r>
      <w:r>
        <w:rPr>
          <w:rFonts w:cs="Garamond"/>
          <w:color w:val="000000"/>
          <w:szCs w:val="22"/>
          <w:lang w:eastAsia="en-AU"/>
        </w:rPr>
        <w:fldChar w:fldCharType="begin"/>
      </w:r>
      <w:r>
        <w:instrText xml:space="preserve"> XE "</w:instrText>
      </w:r>
      <w:r w:rsidRPr="00BF43C3">
        <w:rPr>
          <w:rFonts w:cs="Garamond"/>
          <w:color w:val="000000"/>
          <w:szCs w:val="22"/>
          <w:lang w:eastAsia="en-AU"/>
        </w:rPr>
        <w:instrText>G</w:instrText>
      </w:r>
      <w:r>
        <w:rPr>
          <w:rFonts w:cs="Garamond"/>
          <w:color w:val="000000"/>
          <w:szCs w:val="22"/>
          <w:lang w:eastAsia="en-AU"/>
        </w:rPr>
        <w:instrText>oods and services tax</w:instrText>
      </w:r>
      <w:r>
        <w:instrText xml:space="preserve">" </w:instrText>
      </w:r>
      <w:r>
        <w:rPr>
          <w:rFonts w:cs="Garamond"/>
          <w:color w:val="000000"/>
          <w:szCs w:val="22"/>
          <w:lang w:eastAsia="en-AU"/>
        </w:rPr>
        <w:fldChar w:fldCharType="end"/>
      </w:r>
      <w:r w:rsidRPr="000756C0">
        <w:rPr>
          <w:rFonts w:cs="Garamond"/>
          <w:color w:val="000000"/>
          <w:szCs w:val="22"/>
          <w:lang w:eastAsia="en-AU"/>
        </w:rPr>
        <w:t xml:space="preserve"> and stamp duty on insurance</w:t>
      </w:r>
      <w:r>
        <w:rPr>
          <w:rFonts w:cs="Garamond"/>
          <w:color w:val="000000"/>
          <w:szCs w:val="22"/>
          <w:lang w:eastAsia="en-AU"/>
        </w:rPr>
        <w:fldChar w:fldCharType="begin"/>
      </w:r>
      <w:r>
        <w:instrText xml:space="preserve"> XE "</w:instrText>
      </w:r>
      <w:r w:rsidRPr="00BF43C3">
        <w:rPr>
          <w:rFonts w:cs="Garamond"/>
          <w:color w:val="000000"/>
          <w:szCs w:val="22"/>
          <w:lang w:eastAsia="en-AU"/>
        </w:rPr>
        <w:instrText>Insurance</w:instrText>
      </w:r>
      <w:r>
        <w:instrText xml:space="preserve">" </w:instrText>
      </w:r>
      <w:r>
        <w:rPr>
          <w:rFonts w:cs="Garamond"/>
          <w:color w:val="000000"/>
          <w:szCs w:val="22"/>
          <w:lang w:eastAsia="en-AU"/>
        </w:rPr>
        <w:fldChar w:fldCharType="end"/>
      </w:r>
      <w:r w:rsidRPr="000756C0">
        <w:rPr>
          <w:rFonts w:cs="Garamond"/>
          <w:color w:val="000000"/>
          <w:szCs w:val="22"/>
          <w:lang w:eastAsia="en-AU"/>
        </w:rPr>
        <w:t xml:space="preserve"> as a result of the removal of the insurance</w:t>
      </w:r>
      <w:r w:rsidR="00276239">
        <w:rPr>
          <w:rFonts w:cs="Garamond"/>
          <w:color w:val="000000"/>
          <w:szCs w:val="22"/>
          <w:lang w:eastAsia="en-AU"/>
        </w:rPr>
        <w:noBreakHyphen/>
      </w:r>
      <w:r w:rsidRPr="000756C0">
        <w:rPr>
          <w:rFonts w:cs="Garamond"/>
          <w:color w:val="000000"/>
          <w:szCs w:val="22"/>
          <w:lang w:eastAsia="en-AU"/>
        </w:rPr>
        <w:t>based levy, combined with the introduction of a concession for pensioners and some veterans, will deliver savings of approximately $100</w:t>
      </w:r>
      <w:r>
        <w:rPr>
          <w:rFonts w:cs="Garamond"/>
          <w:color w:val="000000"/>
          <w:szCs w:val="22"/>
          <w:lang w:eastAsia="en-AU"/>
        </w:rPr>
        <w:t> million</w:t>
      </w:r>
      <w:r w:rsidRPr="000756C0">
        <w:rPr>
          <w:rFonts w:cs="Garamond"/>
          <w:color w:val="000000"/>
          <w:szCs w:val="22"/>
          <w:lang w:eastAsia="en-AU"/>
        </w:rPr>
        <w:t xml:space="preserve"> to Victorian households and businesses in the 2013</w:t>
      </w:r>
      <w:r w:rsidR="00276239">
        <w:rPr>
          <w:rFonts w:cs="Garamond"/>
          <w:color w:val="000000"/>
          <w:szCs w:val="22"/>
          <w:lang w:eastAsia="en-AU"/>
        </w:rPr>
        <w:noBreakHyphen/>
      </w:r>
      <w:r w:rsidRPr="000756C0">
        <w:rPr>
          <w:rFonts w:cs="Garamond"/>
          <w:color w:val="000000"/>
          <w:szCs w:val="22"/>
          <w:lang w:eastAsia="en-AU"/>
        </w:rPr>
        <w:t>14 financial year.</w:t>
      </w:r>
      <w:r>
        <w:rPr>
          <w:rFonts w:cs="Garamond"/>
          <w:color w:val="000000"/>
          <w:szCs w:val="22"/>
          <w:lang w:eastAsia="en-AU"/>
        </w:rPr>
        <w:t xml:space="preserve"> </w:t>
      </w:r>
    </w:p>
    <w:p w:rsidR="0070375D" w:rsidRDefault="0070375D" w:rsidP="00557BDD">
      <w:pPr>
        <w:rPr>
          <w:rFonts w:cs="Garamond"/>
          <w:color w:val="000000"/>
          <w:szCs w:val="22"/>
          <w:lang w:eastAsia="en-AU"/>
        </w:rPr>
      </w:pPr>
      <w:r>
        <w:rPr>
          <w:rFonts w:cs="Garamond"/>
          <w:color w:val="000000"/>
          <w:szCs w:val="22"/>
          <w:lang w:eastAsia="en-AU"/>
        </w:rPr>
        <w:t xml:space="preserve">To increase the </w:t>
      </w:r>
      <w:r w:rsidRPr="00C80D13">
        <w:rPr>
          <w:rFonts w:cs="Garamond"/>
          <w:color w:val="000000"/>
          <w:szCs w:val="22"/>
          <w:lang w:eastAsia="en-AU"/>
        </w:rPr>
        <w:t>pool of GST revenue available to states</w:t>
      </w:r>
      <w:r>
        <w:rPr>
          <w:rFonts w:cs="Garamond"/>
          <w:color w:val="000000"/>
          <w:szCs w:val="22"/>
          <w:lang w:eastAsia="en-AU"/>
        </w:rPr>
        <w:t>,</w:t>
      </w:r>
      <w:r w:rsidRPr="00C80D13">
        <w:rPr>
          <w:rFonts w:cs="Garamond"/>
          <w:color w:val="000000"/>
          <w:szCs w:val="22"/>
          <w:lang w:eastAsia="en-AU"/>
        </w:rPr>
        <w:t xml:space="preserve"> Victoria will work with other states and the Commonwealth to </w:t>
      </w:r>
      <w:r>
        <w:rPr>
          <w:rFonts w:cs="Garamond"/>
          <w:color w:val="000000"/>
          <w:szCs w:val="22"/>
          <w:lang w:eastAsia="en-AU"/>
        </w:rPr>
        <w:t xml:space="preserve">explore </w:t>
      </w:r>
      <w:r w:rsidRPr="00C80D13">
        <w:rPr>
          <w:rFonts w:cs="Garamond"/>
          <w:color w:val="000000"/>
          <w:szCs w:val="22"/>
          <w:lang w:eastAsia="en-AU"/>
        </w:rPr>
        <w:t xml:space="preserve">the </w:t>
      </w:r>
      <w:r>
        <w:rPr>
          <w:rFonts w:cs="Garamond"/>
          <w:color w:val="000000"/>
          <w:szCs w:val="22"/>
          <w:lang w:eastAsia="en-AU"/>
        </w:rPr>
        <w:t>feasibility of lowering the GST</w:t>
      </w:r>
      <w:r>
        <w:rPr>
          <w:rFonts w:cs="Garamond"/>
          <w:color w:val="000000"/>
          <w:szCs w:val="22"/>
          <w:lang w:eastAsia="en-AU"/>
        </w:rPr>
        <w:fldChar w:fldCharType="begin"/>
      </w:r>
      <w:r>
        <w:instrText xml:space="preserve"> XE "</w:instrText>
      </w:r>
      <w:r w:rsidRPr="00BF43C3">
        <w:rPr>
          <w:rFonts w:cs="Garamond"/>
          <w:color w:val="000000"/>
          <w:szCs w:val="22"/>
          <w:lang w:eastAsia="en-AU"/>
        </w:rPr>
        <w:instrText>G</w:instrText>
      </w:r>
      <w:r>
        <w:rPr>
          <w:rFonts w:cs="Garamond"/>
          <w:color w:val="000000"/>
          <w:szCs w:val="22"/>
          <w:lang w:eastAsia="en-AU"/>
        </w:rPr>
        <w:instrText>oods and services tax</w:instrText>
      </w:r>
      <w:r>
        <w:instrText xml:space="preserve">" </w:instrText>
      </w:r>
      <w:r>
        <w:rPr>
          <w:rFonts w:cs="Garamond"/>
          <w:color w:val="000000"/>
          <w:szCs w:val="22"/>
          <w:lang w:eastAsia="en-AU"/>
        </w:rPr>
        <w:fldChar w:fldCharType="end"/>
      </w:r>
      <w:r>
        <w:rPr>
          <w:rFonts w:cs="Garamond"/>
          <w:color w:val="000000"/>
          <w:szCs w:val="22"/>
          <w:lang w:eastAsia="en-AU"/>
        </w:rPr>
        <w:t xml:space="preserve"> low</w:t>
      </w:r>
      <w:r w:rsidR="00276239">
        <w:rPr>
          <w:rFonts w:cs="Garamond"/>
          <w:color w:val="000000"/>
          <w:szCs w:val="22"/>
          <w:lang w:eastAsia="en-AU"/>
        </w:rPr>
        <w:noBreakHyphen/>
      </w:r>
      <w:r w:rsidRPr="00C80D13">
        <w:rPr>
          <w:rFonts w:cs="Garamond"/>
          <w:color w:val="000000"/>
          <w:szCs w:val="22"/>
          <w:lang w:eastAsia="en-AU"/>
        </w:rPr>
        <w:t>value threshold.</w:t>
      </w:r>
      <w:bookmarkEnd w:id="39"/>
      <w:r>
        <w:rPr>
          <w:rFonts w:cs="Garamond"/>
          <w:color w:val="000000"/>
          <w:szCs w:val="22"/>
          <w:lang w:eastAsia="en-AU"/>
        </w:rPr>
        <w:fldChar w:fldCharType="begin"/>
      </w:r>
      <w:r>
        <w:instrText xml:space="preserve"> XE "</w:instrText>
      </w:r>
      <w:r w:rsidRPr="00A46874">
        <w:instrText>Taxation:Reform</w:instrText>
      </w:r>
      <w:r>
        <w:instrText xml:space="preserve">" \r "BP3Ch3TaxReform" </w:instrText>
      </w:r>
      <w:r>
        <w:rPr>
          <w:rFonts w:cs="Garamond"/>
          <w:color w:val="000000"/>
          <w:szCs w:val="22"/>
          <w:lang w:eastAsia="en-AU"/>
        </w:rPr>
        <w:fldChar w:fldCharType="end"/>
      </w:r>
      <w:r w:rsidRPr="00C80D13">
        <w:rPr>
          <w:rFonts w:cs="Garamond"/>
          <w:color w:val="000000"/>
          <w:szCs w:val="22"/>
          <w:lang w:eastAsia="en-AU"/>
        </w:rPr>
        <w:t xml:space="preserve"> </w:t>
      </w:r>
    </w:p>
    <w:p w:rsidR="0070375D" w:rsidRPr="00CE2FE0" w:rsidRDefault="0070375D" w:rsidP="00557BDD">
      <w:pPr>
        <w:keepNext/>
        <w:spacing w:before="240"/>
        <w:outlineLvl w:val="2"/>
        <w:rPr>
          <w:rFonts w:ascii="Calibri" w:hAnsi="Calibri"/>
          <w:b/>
          <w:i/>
          <w:kern w:val="28"/>
          <w:szCs w:val="22"/>
        </w:rPr>
      </w:pPr>
      <w:bookmarkStart w:id="40" w:name="BP3Ch3IndustRelation"/>
      <w:r w:rsidRPr="00CE2FE0">
        <w:rPr>
          <w:rFonts w:ascii="Calibri" w:hAnsi="Calibri"/>
          <w:b/>
          <w:i/>
          <w:kern w:val="28"/>
          <w:szCs w:val="22"/>
        </w:rPr>
        <w:t>Industrial relations</w:t>
      </w:r>
    </w:p>
    <w:p w:rsidR="0070375D" w:rsidRDefault="0070375D" w:rsidP="00557BDD">
      <w:r>
        <w:t>Changes to industrial relations in the public and private sectors that support flexibility and new employment</w:t>
      </w:r>
      <w:r>
        <w:fldChar w:fldCharType="begin"/>
      </w:r>
      <w:r>
        <w:instrText xml:space="preserve"> XE "</w:instrText>
      </w:r>
      <w:r w:rsidRPr="00BF43C3">
        <w:instrText>Employment</w:instrText>
      </w:r>
      <w:r>
        <w:instrText xml:space="preserve">" </w:instrText>
      </w:r>
      <w:r>
        <w:fldChar w:fldCharType="end"/>
      </w:r>
      <w:r>
        <w:t xml:space="preserve"> opportunities will drive productivity</w:t>
      </w:r>
      <w:r>
        <w:fldChar w:fldCharType="begin"/>
      </w:r>
      <w:r>
        <w:instrText xml:space="preserve"> XE "</w:instrText>
      </w:r>
      <w:r w:rsidRPr="00BF43C3">
        <w:instrText>Productivity</w:instrText>
      </w:r>
      <w:r>
        <w:instrText xml:space="preserve">" </w:instrText>
      </w:r>
      <w:r>
        <w:fldChar w:fldCharType="end"/>
      </w:r>
      <w:r>
        <w:t xml:space="preserve"> and investment in Victoria. </w:t>
      </w:r>
    </w:p>
    <w:p w:rsidR="0070375D" w:rsidRDefault="0070375D" w:rsidP="00557BDD">
      <w:pPr>
        <w:pStyle w:val="BulletText"/>
        <w:numPr>
          <w:ilvl w:val="0"/>
          <w:numId w:val="0"/>
        </w:numPr>
      </w:pPr>
      <w:r>
        <w:t xml:space="preserve">The Government is </w:t>
      </w:r>
      <w:r w:rsidRPr="003A3460">
        <w:t xml:space="preserve">continuing to advocate to the Commonwealth for sensible and </w:t>
      </w:r>
      <w:r w:rsidRPr="008D7DC4">
        <w:t>necessary industrial relations reforms, such as monitoring the Commonwealth</w:t>
      </w:r>
      <w:r w:rsidR="00276239">
        <w:t>’</w:t>
      </w:r>
      <w:r w:rsidRPr="008D7DC4">
        <w:t>s response to the recommendations made by the Fair Work Act Review</w:t>
      </w:r>
      <w:r>
        <w:fldChar w:fldCharType="begin"/>
      </w:r>
      <w:r>
        <w:instrText xml:space="preserve"> XE "</w:instrText>
      </w:r>
      <w:r w:rsidRPr="00BF43C3">
        <w:instrText>Fair Work Act Review</w:instrText>
      </w:r>
      <w:r>
        <w:instrText xml:space="preserve">" </w:instrText>
      </w:r>
      <w:r>
        <w:fldChar w:fldCharType="end"/>
      </w:r>
      <w:r w:rsidRPr="008D7DC4">
        <w:t xml:space="preserve"> Panel. </w:t>
      </w:r>
      <w:r>
        <w:rPr>
          <w:rFonts w:cs="Garamond"/>
          <w:color w:val="000000"/>
          <w:szCs w:val="22"/>
          <w:lang w:eastAsia="en-AU"/>
        </w:rPr>
        <w:t>The Government is also strengthening the capacity of the public sector in workplace relations.</w:t>
      </w:r>
    </w:p>
    <w:p w:rsidR="0070375D" w:rsidRDefault="0070375D" w:rsidP="00557BDD">
      <w:pPr>
        <w:pStyle w:val="BulletText"/>
        <w:numPr>
          <w:ilvl w:val="0"/>
          <w:numId w:val="0"/>
        </w:numPr>
      </w:pPr>
      <w:r w:rsidRPr="008D7DC4">
        <w:t xml:space="preserve">To address the industrial relations causes of high construction costs, the Government is monitoring and enforcing compliance with the </w:t>
      </w:r>
      <w:r w:rsidRPr="008D7DC4">
        <w:rPr>
          <w:i/>
        </w:rPr>
        <w:t>Implementation Guidelines to the Victorian Code of Practice for the Building and Construction Industry</w:t>
      </w:r>
      <w:r w:rsidRPr="008D7DC4">
        <w:t>. During 2012</w:t>
      </w:r>
      <w:r w:rsidR="00276239">
        <w:noBreakHyphen/>
      </w:r>
      <w:r w:rsidRPr="008D7DC4">
        <w:t xml:space="preserve">13, attention has </w:t>
      </w:r>
      <w:r>
        <w:t>focused</w:t>
      </w:r>
      <w:r w:rsidRPr="008D7DC4">
        <w:t xml:space="preserve"> on compliance during project tendering, ensuring that the Guidelines apply to the 45 newest projects over $10</w:t>
      </w:r>
      <w:r>
        <w:t> million</w:t>
      </w:r>
      <w:r w:rsidRPr="008D7DC4">
        <w:t>. In 2013</w:t>
      </w:r>
      <w:r w:rsidR="00276239">
        <w:noBreakHyphen/>
      </w:r>
      <w:r w:rsidRPr="008D7DC4">
        <w:t>14, there will be an increased focus on project compliance, to ensure that the on</w:t>
      </w:r>
      <w:r w:rsidR="00276239">
        <w:noBreakHyphen/>
      </w:r>
      <w:r w:rsidRPr="008D7DC4">
        <w:t>site conduct of contractors complies with the Guidelines.</w:t>
      </w:r>
      <w:r w:rsidRPr="00282DB3">
        <w:t xml:space="preserve"> </w:t>
      </w:r>
    </w:p>
    <w:p w:rsidR="0070375D" w:rsidRPr="009A0E4F" w:rsidRDefault="0070375D" w:rsidP="00557BDD">
      <w:pPr>
        <w:pStyle w:val="BulletText"/>
        <w:numPr>
          <w:ilvl w:val="0"/>
          <w:numId w:val="0"/>
        </w:numPr>
        <w:rPr>
          <w:lang w:eastAsia="en-AU"/>
        </w:rPr>
      </w:pPr>
      <w:r w:rsidRPr="009A0E4F">
        <w:rPr>
          <w:lang w:eastAsia="en-AU"/>
        </w:rPr>
        <w:t>Negotiations for new E</w:t>
      </w:r>
      <w:r>
        <w:rPr>
          <w:lang w:eastAsia="en-AU"/>
        </w:rPr>
        <w:t xml:space="preserve">nterprise </w:t>
      </w:r>
      <w:r w:rsidRPr="009A0E4F">
        <w:rPr>
          <w:lang w:eastAsia="en-AU"/>
        </w:rPr>
        <w:t>B</w:t>
      </w:r>
      <w:r>
        <w:rPr>
          <w:lang w:eastAsia="en-AU"/>
        </w:rPr>
        <w:t xml:space="preserve">argaining </w:t>
      </w:r>
      <w:r w:rsidRPr="009A0E4F">
        <w:rPr>
          <w:lang w:eastAsia="en-AU"/>
        </w:rPr>
        <w:t>A</w:t>
      </w:r>
      <w:r>
        <w:rPr>
          <w:lang w:eastAsia="en-AU"/>
        </w:rPr>
        <w:t>greements (EBA)</w:t>
      </w:r>
      <w:r w:rsidRPr="009A0E4F">
        <w:rPr>
          <w:lang w:eastAsia="en-AU"/>
        </w:rPr>
        <w:t xml:space="preserve"> covering the significant majority of public sector employees have been concluded. These EBAs will deliver important workforce reforms. Some examples include:</w:t>
      </w:r>
    </w:p>
    <w:p w:rsidR="0070375D" w:rsidRDefault="0070375D" w:rsidP="0003318C">
      <w:pPr>
        <w:pStyle w:val="BulletText"/>
      </w:pPr>
      <w:r w:rsidRPr="00E301BD">
        <w:t>Victoria Police EBA</w:t>
      </w:r>
      <w:r>
        <w:t xml:space="preserve"> –</w:t>
      </w:r>
      <w:r w:rsidRPr="00E301BD">
        <w:t xml:space="preserve"> restored greater managerial prerogative of Victoria Police to increase flexibility around placing and moving sworn officers to meet demand and improved operational capacity consistent with the recommendations of the Rus</w:t>
      </w:r>
      <w:r>
        <w:t>h Inquiry;</w:t>
      </w:r>
    </w:p>
    <w:p w:rsidR="0070375D" w:rsidRPr="00E301BD" w:rsidRDefault="0070375D" w:rsidP="00557BDD">
      <w:pPr>
        <w:pStyle w:val="BulletText"/>
      </w:pPr>
      <w:r w:rsidRPr="00E301BD">
        <w:t>Nurses EBA</w:t>
      </w:r>
      <w:r>
        <w:t xml:space="preserve"> –</w:t>
      </w:r>
      <w:r w:rsidRPr="00E301BD">
        <w:t xml:space="preserve"> enhanced local flexibility for a ward or unit in the application of</w:t>
      </w:r>
      <w:r>
        <w:t xml:space="preserve"> </w:t>
      </w:r>
      <w:r w:rsidRPr="00E301BD">
        <w:t>nurse</w:t>
      </w:r>
      <w:r w:rsidR="00276239">
        <w:noBreakHyphen/>
      </w:r>
      <w:r w:rsidRPr="00E301BD">
        <w:t>to</w:t>
      </w:r>
      <w:r w:rsidR="00276239">
        <w:noBreakHyphen/>
      </w:r>
      <w:r w:rsidRPr="00E301BD">
        <w:t>patient ratios across the 28</w:t>
      </w:r>
      <w:r w:rsidR="00276239">
        <w:noBreakHyphen/>
      </w:r>
      <w:r>
        <w:t>day rostering period; and</w:t>
      </w:r>
    </w:p>
    <w:p w:rsidR="0070375D" w:rsidRDefault="0070375D" w:rsidP="00557BDD">
      <w:pPr>
        <w:pStyle w:val="BulletText"/>
      </w:pPr>
      <w:r w:rsidRPr="00E301BD">
        <w:t>Schools EBA</w:t>
      </w:r>
      <w:r>
        <w:t xml:space="preserve"> – </w:t>
      </w:r>
      <w:r w:rsidRPr="00E301BD">
        <w:t>increased flexibility for principals to manage their schools and workforce, including a more rigorous performance assessment process.</w:t>
      </w:r>
      <w:bookmarkEnd w:id="40"/>
      <w:r>
        <w:fldChar w:fldCharType="begin"/>
      </w:r>
      <w:r>
        <w:instrText xml:space="preserve"> XE "</w:instrText>
      </w:r>
      <w:r w:rsidRPr="00BF43C3">
        <w:instrText>Industrial relations</w:instrText>
      </w:r>
      <w:r>
        <w:instrText xml:space="preserve">" </w:instrText>
      </w:r>
      <w:r>
        <w:fldChar w:fldCharType="end"/>
      </w:r>
    </w:p>
    <w:p w:rsidR="0070375D" w:rsidRPr="001D41F3" w:rsidRDefault="0070375D" w:rsidP="00557BDD">
      <w:pPr>
        <w:keepNext/>
        <w:spacing w:before="240"/>
        <w:outlineLvl w:val="2"/>
        <w:rPr>
          <w:rFonts w:ascii="Calibri" w:hAnsi="Calibri"/>
          <w:b/>
          <w:i/>
          <w:kern w:val="28"/>
          <w:szCs w:val="22"/>
        </w:rPr>
      </w:pPr>
      <w:r w:rsidRPr="001D41F3">
        <w:rPr>
          <w:rFonts w:ascii="Calibri" w:hAnsi="Calibri"/>
          <w:b/>
          <w:i/>
          <w:kern w:val="28"/>
          <w:szCs w:val="22"/>
        </w:rPr>
        <w:lastRenderedPageBreak/>
        <w:t>Private sector investment and employment</w:t>
      </w:r>
    </w:p>
    <w:p w:rsidR="0070375D" w:rsidRDefault="0070375D" w:rsidP="00557BDD">
      <w:pPr>
        <w:pStyle w:val="BulletText"/>
        <w:numPr>
          <w:ilvl w:val="0"/>
          <w:numId w:val="0"/>
        </w:numPr>
        <w:rPr>
          <w:lang w:eastAsia="en-AU"/>
        </w:rPr>
      </w:pPr>
      <w:r>
        <w:rPr>
          <w:lang w:eastAsia="en-AU"/>
        </w:rPr>
        <w:fldChar w:fldCharType="begin"/>
      </w:r>
      <w:r>
        <w:instrText xml:space="preserve"> XE "</w:instrText>
      </w:r>
      <w:r w:rsidRPr="00BF43C3">
        <w:instrText>Employment</w:instrText>
      </w:r>
      <w:r>
        <w:instrText xml:space="preserve">" </w:instrText>
      </w:r>
      <w:r>
        <w:rPr>
          <w:lang w:eastAsia="en-AU"/>
        </w:rPr>
        <w:fldChar w:fldCharType="end"/>
      </w:r>
      <w:r w:rsidRPr="001634E8">
        <w:rPr>
          <w:lang w:eastAsia="en-AU"/>
        </w:rPr>
        <w:t>Access to new markets, both interstate an</w:t>
      </w:r>
      <w:r>
        <w:rPr>
          <w:lang w:eastAsia="en-AU"/>
        </w:rPr>
        <w:t xml:space="preserve">d overseas, enables firms to grow. </w:t>
      </w:r>
    </w:p>
    <w:p w:rsidR="0070375D" w:rsidRPr="002050DE" w:rsidRDefault="0070375D" w:rsidP="00557BDD">
      <w:pPr>
        <w:pStyle w:val="BulletText"/>
        <w:numPr>
          <w:ilvl w:val="0"/>
          <w:numId w:val="0"/>
        </w:numPr>
      </w:pPr>
      <w:r>
        <w:rPr>
          <w:lang w:eastAsia="en-AU"/>
        </w:rPr>
        <w:t>The State</w:t>
      </w:r>
      <w:r w:rsidR="00276239">
        <w:rPr>
          <w:lang w:eastAsia="en-AU"/>
        </w:rPr>
        <w:t>’</w:t>
      </w:r>
      <w:r>
        <w:rPr>
          <w:lang w:eastAsia="en-AU"/>
        </w:rPr>
        <w:t>s i</w:t>
      </w:r>
      <w:r w:rsidRPr="001634E8">
        <w:rPr>
          <w:lang w:eastAsia="en-AU"/>
        </w:rPr>
        <w:t xml:space="preserve">nternational engagement </w:t>
      </w:r>
      <w:r>
        <w:rPr>
          <w:lang w:eastAsia="en-AU"/>
        </w:rPr>
        <w:t xml:space="preserve">strategy will enable businesses to </w:t>
      </w:r>
      <w:r w:rsidRPr="001634E8">
        <w:rPr>
          <w:lang w:eastAsia="en-AU"/>
        </w:rPr>
        <w:t>tap</w:t>
      </w:r>
      <w:r>
        <w:rPr>
          <w:lang w:eastAsia="en-AU"/>
        </w:rPr>
        <w:t xml:space="preserve"> </w:t>
      </w:r>
      <w:r w:rsidRPr="001634E8">
        <w:rPr>
          <w:lang w:eastAsia="en-AU"/>
        </w:rPr>
        <w:t xml:space="preserve">into new sources of trade and investment </w:t>
      </w:r>
      <w:r>
        <w:rPr>
          <w:lang w:eastAsia="en-AU"/>
        </w:rPr>
        <w:t>opportunities. A focus of the Government</w:t>
      </w:r>
      <w:r w:rsidR="00276239">
        <w:rPr>
          <w:lang w:eastAsia="en-AU"/>
        </w:rPr>
        <w:t>’</w:t>
      </w:r>
      <w:r>
        <w:rPr>
          <w:lang w:eastAsia="en-AU"/>
        </w:rPr>
        <w:t xml:space="preserve">s efforts is on the opportunities presented by the Asian century and the emerging new markets in the region. </w:t>
      </w:r>
      <w:r>
        <w:t xml:space="preserve">The </w:t>
      </w:r>
      <w:r w:rsidRPr="00D02D51">
        <w:rPr>
          <w:i/>
        </w:rPr>
        <w:t>2013</w:t>
      </w:r>
      <w:r w:rsidR="00276239">
        <w:rPr>
          <w:i/>
        </w:rPr>
        <w:noBreakHyphen/>
      </w:r>
      <w:r w:rsidRPr="00D02D51">
        <w:rPr>
          <w:i/>
        </w:rPr>
        <w:t>14 Budget</w:t>
      </w:r>
      <w:r>
        <w:t xml:space="preserve"> funds an i</w:t>
      </w:r>
      <w:r w:rsidRPr="001634E8">
        <w:t>nternational</w:t>
      </w:r>
      <w:r>
        <w:t xml:space="preserve"> education strategy</w:t>
      </w:r>
      <w:r>
        <w:fldChar w:fldCharType="begin"/>
      </w:r>
      <w:r>
        <w:instrText xml:space="preserve"> XE "</w:instrText>
      </w:r>
      <w:r w:rsidRPr="00BF43C3">
        <w:instrText>International education strategy</w:instrText>
      </w:r>
      <w:r>
        <w:instrText xml:space="preserve">" </w:instrText>
      </w:r>
      <w:r>
        <w:fldChar w:fldCharType="end"/>
      </w:r>
      <w:r>
        <w:t xml:space="preserve"> to help the sector take advantage of expanding opportunities in the global market and builds on Victoria</w:t>
      </w:r>
      <w:r w:rsidR="00276239">
        <w:t>’</w:t>
      </w:r>
      <w:r>
        <w:t xml:space="preserve">s global reputation as a quality provider of international education. In addition, the Government is </w:t>
      </w:r>
      <w:r w:rsidRPr="00562412">
        <w:t>establishing new Victorian Government Business Offices</w:t>
      </w:r>
      <w:r>
        <w:fldChar w:fldCharType="begin"/>
      </w:r>
      <w:r>
        <w:instrText xml:space="preserve"> XE "</w:instrText>
      </w:r>
      <w:r w:rsidRPr="00BF43C3">
        <w:instrText>Victorian Government Business Offices</w:instrText>
      </w:r>
      <w:r>
        <w:instrText xml:space="preserve">" </w:instrText>
      </w:r>
      <w:r>
        <w:fldChar w:fldCharType="end"/>
      </w:r>
      <w:r w:rsidRPr="00562412">
        <w:t xml:space="preserve"> in </w:t>
      </w:r>
      <w:r>
        <w:t xml:space="preserve">Western </w:t>
      </w:r>
      <w:r w:rsidRPr="00562412">
        <w:t xml:space="preserve">China and </w:t>
      </w:r>
      <w:r>
        <w:t>Indonesia.</w:t>
      </w:r>
    </w:p>
    <w:p w:rsidR="0070375D" w:rsidRDefault="0070375D" w:rsidP="00557BDD">
      <w:pPr>
        <w:pStyle w:val="BulletText"/>
        <w:numPr>
          <w:ilvl w:val="0"/>
          <w:numId w:val="0"/>
        </w:numPr>
      </w:pPr>
      <w:r w:rsidRPr="00C80D13">
        <w:t xml:space="preserve">To ensure Victoria remains a leading state in attracting private investment, the Government is being more proactive in </w:t>
      </w:r>
      <w:r>
        <w:t xml:space="preserve">attracting </w:t>
      </w:r>
      <w:r w:rsidRPr="00C80D13">
        <w:t xml:space="preserve">investment </w:t>
      </w:r>
      <w:r>
        <w:t>and identifying, promoting</w:t>
      </w:r>
      <w:r w:rsidRPr="00C80D13">
        <w:t xml:space="preserve"> and support</w:t>
      </w:r>
      <w:r>
        <w:t>ing</w:t>
      </w:r>
      <w:r w:rsidRPr="00C80D13">
        <w:t xml:space="preserve"> private investment into the State.</w:t>
      </w:r>
      <w:r>
        <w:t xml:space="preserve"> </w:t>
      </w:r>
      <w:r w:rsidRPr="00C80D13">
        <w:t xml:space="preserve">The </w:t>
      </w:r>
      <w:r w:rsidRPr="00C80D13">
        <w:rPr>
          <w:i/>
        </w:rPr>
        <w:t>2013</w:t>
      </w:r>
      <w:r w:rsidR="00276239">
        <w:rPr>
          <w:i/>
        </w:rPr>
        <w:noBreakHyphen/>
      </w:r>
      <w:r w:rsidRPr="00C80D13">
        <w:rPr>
          <w:i/>
        </w:rPr>
        <w:t>14 Budget</w:t>
      </w:r>
      <w:r w:rsidRPr="00C80D13">
        <w:t xml:space="preserve"> funds establishment of </w:t>
      </w:r>
      <w:r>
        <w:t>the Office of State Development</w:t>
      </w:r>
      <w:r>
        <w:fldChar w:fldCharType="begin"/>
      </w:r>
      <w:r>
        <w:instrText xml:space="preserve"> XE "</w:instrText>
      </w:r>
      <w:r w:rsidRPr="00BF43C3">
        <w:instrText>Office of State Development</w:instrText>
      </w:r>
      <w:r>
        <w:instrText xml:space="preserve">" </w:instrText>
      </w:r>
      <w:r>
        <w:fldChar w:fldCharType="end"/>
      </w:r>
      <w:r>
        <w:t xml:space="preserve"> </w:t>
      </w:r>
      <w:r w:rsidRPr="00C80D13">
        <w:t xml:space="preserve">to attract new and productive investment to Victoria. </w:t>
      </w:r>
      <w:r>
        <w:t>T</w:t>
      </w:r>
      <w:r w:rsidRPr="00C80D13">
        <w:t>he new Department of State Development, Business and Innovation</w:t>
      </w:r>
      <w:r w:rsidR="0047351B">
        <w:fldChar w:fldCharType="begin"/>
      </w:r>
      <w:r w:rsidR="0047351B">
        <w:instrText xml:space="preserve"> XE "</w:instrText>
      </w:r>
      <w:r w:rsidR="0047351B" w:rsidRPr="003C272D">
        <w:instrText>Department of State Development, Business and Innovation</w:instrText>
      </w:r>
      <w:r w:rsidR="0047351B">
        <w:instrText xml:space="preserve">" </w:instrText>
      </w:r>
      <w:r w:rsidR="0047351B">
        <w:fldChar w:fldCharType="end"/>
      </w:r>
      <w:r w:rsidRPr="00C80D13">
        <w:t xml:space="preserve"> will focus</w:t>
      </w:r>
      <w:r>
        <w:t xml:space="preserve"> </w:t>
      </w:r>
      <w:r w:rsidRPr="00C80D13">
        <w:t>on facilitating significant projects</w:t>
      </w:r>
      <w:r>
        <w:t>,</w:t>
      </w:r>
      <w:r w:rsidRPr="00C80D13">
        <w:t xml:space="preserve"> which require a whole</w:t>
      </w:r>
      <w:r w:rsidR="00276239">
        <w:noBreakHyphen/>
      </w:r>
      <w:r w:rsidRPr="00C80D13">
        <w:t>of</w:t>
      </w:r>
      <w:r w:rsidR="00276239">
        <w:noBreakHyphen/>
      </w:r>
      <w:r w:rsidRPr="00C80D13">
        <w:t>government approach. The Department will expedite project approvals across government in order to bring major projects to market.</w:t>
      </w:r>
      <w:bookmarkEnd w:id="26"/>
      <w:bookmarkEnd w:id="29"/>
      <w:r>
        <w:fldChar w:fldCharType="begin"/>
      </w:r>
      <w:r>
        <w:instrText xml:space="preserve"> XE "</w:instrText>
      </w:r>
      <w:r w:rsidRPr="00085D9D">
        <w:instrText>Reforms:Competition and market reforms</w:instrText>
      </w:r>
      <w:r>
        <w:instrText xml:space="preserve">" \r "BP3Ch3ReformsCompMkt" </w:instrText>
      </w:r>
      <w:r>
        <w:fldChar w:fldCharType="end"/>
      </w:r>
      <w:r>
        <w:t xml:space="preserve"> </w:t>
      </w:r>
      <w:r>
        <w:fldChar w:fldCharType="begin"/>
      </w:r>
      <w:r>
        <w:instrText xml:space="preserve"> XE "</w:instrText>
      </w:r>
      <w:r w:rsidRPr="00C20031">
        <w:instrText>The Government's Economic and Fiscal Strategy</w:instrText>
      </w:r>
      <w:r>
        <w:instrText xml:space="preserve">" \r "BP3Ch3GovtFiscalStrat" </w:instrText>
      </w:r>
      <w:r>
        <w:fldChar w:fldCharType="end"/>
      </w:r>
    </w:p>
    <w:p w:rsidR="0070375D" w:rsidRDefault="0070375D" w:rsidP="00557BDD">
      <w:bookmarkStart w:id="41" w:name="_Toc344106557"/>
    </w:p>
    <w:bookmarkEnd w:id="41"/>
    <w:p w:rsidR="0070375D" w:rsidRDefault="0070375D" w:rsidP="007663E4"/>
    <w:p w:rsidR="0070375D" w:rsidRDefault="0070375D" w:rsidP="00497606"/>
    <w:p w:rsidR="0070375D" w:rsidRDefault="0070375D" w:rsidP="009B7F27">
      <w:pPr>
        <w:sectPr w:rsidR="0070375D" w:rsidSect="004816CA">
          <w:footerReference w:type="even" r:id="rId35"/>
          <w:footerReference w:type="default" r:id="rId36"/>
          <w:type w:val="oddPage"/>
          <w:pgSz w:w="9979" w:h="14170" w:code="34"/>
          <w:pgMar w:top="1138" w:right="1138" w:bottom="1138" w:left="1138" w:header="720" w:footer="720" w:gutter="0"/>
          <w:cols w:space="708"/>
          <w:docGrid w:linePitch="360"/>
        </w:sectPr>
      </w:pPr>
    </w:p>
    <w:p w:rsidR="0070375D" w:rsidRDefault="0070375D" w:rsidP="00583CAC">
      <w:pPr>
        <w:pStyle w:val="ChapterHeading"/>
      </w:pPr>
      <w:bookmarkStart w:id="42" w:name="_Toc355372026"/>
      <w:r>
        <w:lastRenderedPageBreak/>
        <w:t>Chapter 4 – Budget position and outlook</w:t>
      </w:r>
      <w:bookmarkEnd w:id="42"/>
    </w:p>
    <w:p w:rsidR="0070375D" w:rsidRDefault="0070375D" w:rsidP="005546C1">
      <w:pPr>
        <w:pStyle w:val="HighlightBoxBullet"/>
      </w:pPr>
      <w:bookmarkStart w:id="43" w:name="_Toc323315243"/>
      <w:r>
        <w:t>The Government</w:t>
      </w:r>
      <w:r w:rsidR="00276239">
        <w:t>’</w:t>
      </w:r>
      <w:r>
        <w:t xml:space="preserve">s fiscal strategy uses growing operating surpluses to provide infrastructure to meet the needs of an expanding population and maintain economic growth and liveability, while stabilising and then reducing net debt after June 2015. </w:t>
      </w:r>
    </w:p>
    <w:p w:rsidR="0070375D" w:rsidRDefault="0070375D" w:rsidP="005546C1">
      <w:pPr>
        <w:pStyle w:val="HighlightBoxBullet"/>
      </w:pPr>
      <w:r>
        <w:t>The operating result is projected to be $225 million in 2013</w:t>
      </w:r>
      <w:r w:rsidR="00276239">
        <w:noBreakHyphen/>
      </w:r>
      <w:r>
        <w:t>14 and remain in surplus in every year of the forward estimates, growing to $2.5 billion by 2016</w:t>
      </w:r>
      <w:r w:rsidR="00276239">
        <w:noBreakHyphen/>
      </w:r>
      <w:r>
        <w:t>17.</w:t>
      </w:r>
    </w:p>
    <w:p w:rsidR="0070375D" w:rsidRDefault="0070375D" w:rsidP="005546C1">
      <w:pPr>
        <w:pStyle w:val="HighlightBoxBullet"/>
      </w:pPr>
      <w:r>
        <w:t>The Government has acted decisively to address revenue challenges by restraining expenditure growth and creating a stronger medium</w:t>
      </w:r>
      <w:r w:rsidR="00276239">
        <w:noBreakHyphen/>
      </w:r>
      <w:r>
        <w:t>term budget position. Forecast expenditure growth over the forward estimates will average 2.5 per cent each year compared to forecast revenue growth of, on average, 4.0 per cent each year.</w:t>
      </w:r>
    </w:p>
    <w:p w:rsidR="0070375D" w:rsidRDefault="0070375D" w:rsidP="005546C1">
      <w:pPr>
        <w:pStyle w:val="HighlightBoxBullet"/>
      </w:pPr>
      <w:r>
        <w:t>Government infrastructure investment</w:t>
      </w:r>
      <w:r>
        <w:fldChar w:fldCharType="begin"/>
      </w:r>
      <w:r>
        <w:instrText xml:space="preserve"> XE "Investment:</w:instrText>
      </w:r>
      <w:r w:rsidRPr="00542113">
        <w:instrText>Infrastructure</w:instrText>
      </w:r>
      <w:r>
        <w:instrText xml:space="preserve">" </w:instrText>
      </w:r>
      <w:r>
        <w:fldChar w:fldCharType="end"/>
      </w:r>
      <w:r>
        <w:t xml:space="preserve"> for the general government sector is projected to be $6.1 billion in 2013</w:t>
      </w:r>
      <w:r w:rsidR="00276239">
        <w:noBreakHyphen/>
      </w:r>
      <w:r>
        <w:t>14, and average $4.7 billion over the forward estimates. By 2015</w:t>
      </w:r>
      <w:r w:rsidR="00276239">
        <w:noBreakHyphen/>
      </w:r>
      <w:r>
        <w:t>16, infrastructure investment is forecast to be fully funded from operating surpluses.</w:t>
      </w:r>
    </w:p>
    <w:p w:rsidR="0070375D" w:rsidRDefault="0070375D" w:rsidP="00583CAC">
      <w:pPr>
        <w:pStyle w:val="Heading1"/>
      </w:pPr>
      <w:bookmarkStart w:id="44" w:name="_Toc355372027"/>
      <w:r w:rsidRPr="003E66F6">
        <w:t>Overview</w:t>
      </w:r>
      <w:bookmarkEnd w:id="43"/>
      <w:bookmarkEnd w:id="44"/>
    </w:p>
    <w:p w:rsidR="0070375D" w:rsidRPr="003E66F6" w:rsidRDefault="0070375D" w:rsidP="001F7132">
      <w:r w:rsidRPr="003E66F6">
        <w:t>The Government has set out a medium</w:t>
      </w:r>
      <w:r w:rsidR="00276239">
        <w:noBreakHyphen/>
      </w:r>
      <w:r w:rsidRPr="003E66F6">
        <w:t>term fiscal strategy (</w:t>
      </w:r>
      <w:r>
        <w:t>Chapter </w:t>
      </w:r>
      <w:r w:rsidRPr="003E66F6">
        <w:t xml:space="preserve">1 </w:t>
      </w:r>
      <w:r w:rsidRPr="00BE4101">
        <w:rPr>
          <w:i/>
        </w:rPr>
        <w:t>Economic and fiscal overview</w:t>
      </w:r>
      <w:r w:rsidRPr="003E66F6">
        <w:rPr>
          <w:i/>
        </w:rPr>
        <w:t xml:space="preserve">) </w:t>
      </w:r>
      <w:r w:rsidRPr="00535671">
        <w:t>that</w:t>
      </w:r>
      <w:r w:rsidRPr="003E66F6">
        <w:rPr>
          <w:i/>
        </w:rPr>
        <w:t xml:space="preserve"> </w:t>
      </w:r>
      <w:r w:rsidRPr="003E66F6">
        <w:t>builds a stronger budget position for Victoria. The focus of this strategy is to generate the financial capacity to fund infrastructure sustainably without excessive borrowing</w:t>
      </w:r>
      <w:r>
        <w:t>, and rebuild the budget capacity to deal with future fiscal shocks.</w:t>
      </w:r>
    </w:p>
    <w:p w:rsidR="0070375D" w:rsidRDefault="0070375D" w:rsidP="001F7132">
      <w:r w:rsidRPr="003E66F6">
        <w:t>This chapter deals wit</w:t>
      </w:r>
      <w:r>
        <w:t>h the general government sector. T</w:t>
      </w:r>
      <w:r w:rsidRPr="003E66F6">
        <w:t xml:space="preserve">he broader public sector </w:t>
      </w:r>
      <w:r>
        <w:t xml:space="preserve">is </w:t>
      </w:r>
      <w:r w:rsidRPr="003E66F6">
        <w:t xml:space="preserve">covered in </w:t>
      </w:r>
      <w:r>
        <w:t>Chapter </w:t>
      </w:r>
      <w:r w:rsidRPr="003E66F6">
        <w:t xml:space="preserve">5 </w:t>
      </w:r>
      <w:r w:rsidRPr="003E66F6">
        <w:rPr>
          <w:i/>
        </w:rPr>
        <w:t>Position and outlook of the broader public sector</w:t>
      </w:r>
      <w:r w:rsidRPr="003E66F6">
        <w:t xml:space="preserve">. This budget paper takes into account the financial impacts as </w:t>
      </w:r>
      <w:r w:rsidRPr="0044563E">
        <w:t>at 2</w:t>
      </w:r>
      <w:r>
        <w:t>6 </w:t>
      </w:r>
      <w:r w:rsidRPr="0044563E">
        <w:t>April 2013 of</w:t>
      </w:r>
      <w:r w:rsidRPr="003E66F6">
        <w:t xml:space="preserve"> all policy decisions taken by the Victorian Government, as well as Commonwealth Government funding revisions and other information that affects the financial statements, unless otherwise stated.</w:t>
      </w:r>
    </w:p>
    <w:p w:rsidR="0070375D" w:rsidRDefault="0070375D">
      <w:pPr>
        <w:spacing w:after="0"/>
        <w:rPr>
          <w:rFonts w:ascii="Calibri" w:hAnsi="Calibri"/>
          <w:b/>
        </w:rPr>
      </w:pPr>
      <w:r>
        <w:br w:type="page"/>
      </w:r>
    </w:p>
    <w:p w:rsidR="0070375D" w:rsidRDefault="0070375D" w:rsidP="00583CAC">
      <w:pPr>
        <w:pStyle w:val="Tableheading"/>
      </w:pPr>
      <w:r>
        <w:lastRenderedPageBreak/>
        <w:t>Table </w:t>
      </w:r>
      <w:r w:rsidRPr="003E66F6">
        <w:t>4.1:</w:t>
      </w:r>
      <w:r w:rsidRPr="003E66F6">
        <w:tab/>
        <w:t>General government fiscal aggregates and measures</w:t>
      </w:r>
    </w:p>
    <w:p w:rsidR="0070375D" w:rsidRPr="00774D76" w:rsidRDefault="0070375D" w:rsidP="00774D76">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1994"/>
        <w:gridCol w:w="810"/>
        <w:gridCol w:w="828"/>
        <w:gridCol w:w="829"/>
        <w:gridCol w:w="829"/>
        <w:gridCol w:w="828"/>
        <w:gridCol w:w="829"/>
        <w:gridCol w:w="829"/>
      </w:tblGrid>
      <w:tr w:rsidR="0070375D" w:rsidRPr="00774D76" w:rsidTr="00774D76">
        <w:tc>
          <w:tcPr>
            <w:tcW w:w="1994" w:type="dxa"/>
            <w:tcBorders>
              <w:top w:val="single" w:sz="4" w:space="0" w:color="auto"/>
              <w:left w:val="single" w:sz="4" w:space="0" w:color="auto"/>
              <w:bottom w:val="nil"/>
              <w:right w:val="nil"/>
            </w:tcBorders>
            <w:shd w:val="clear" w:color="auto" w:fill="000000"/>
          </w:tcPr>
          <w:p w:rsidR="0070375D" w:rsidRPr="00774D76" w:rsidRDefault="0070375D" w:rsidP="00774D76">
            <w:pPr>
              <w:pStyle w:val="Tabletext"/>
              <w:rPr>
                <w:sz w:val="19"/>
                <w:lang w:eastAsia="en-AU"/>
              </w:rPr>
            </w:pPr>
            <w:r w:rsidRPr="00774D76">
              <w:rPr>
                <w:sz w:val="19"/>
                <w:lang w:eastAsia="en-AU"/>
              </w:rPr>
              <w:t xml:space="preserve"> </w:t>
            </w:r>
          </w:p>
        </w:tc>
        <w:tc>
          <w:tcPr>
            <w:tcW w:w="810" w:type="dxa"/>
            <w:tcBorders>
              <w:top w:val="single" w:sz="4" w:space="0" w:color="auto"/>
              <w:left w:val="nil"/>
              <w:bottom w:val="nil"/>
              <w:right w:val="nil"/>
            </w:tcBorders>
            <w:shd w:val="clear" w:color="auto" w:fill="000000"/>
          </w:tcPr>
          <w:p w:rsidR="0070375D" w:rsidRPr="00774D76" w:rsidRDefault="0070375D" w:rsidP="00774D76">
            <w:pPr>
              <w:pStyle w:val="Tabletextheadingcentred"/>
              <w:rPr>
                <w:sz w:val="19"/>
                <w:lang w:eastAsia="en-AU"/>
              </w:rPr>
            </w:pPr>
            <w:r w:rsidRPr="00774D76">
              <w:rPr>
                <w:sz w:val="19"/>
                <w:lang w:eastAsia="en-AU"/>
              </w:rPr>
              <w:t>Unit of</w:t>
            </w:r>
          </w:p>
        </w:tc>
        <w:tc>
          <w:tcPr>
            <w:tcW w:w="828" w:type="dxa"/>
            <w:tcBorders>
              <w:top w:val="single" w:sz="4" w:space="0" w:color="auto"/>
              <w:left w:val="nil"/>
              <w:bottom w:val="nil"/>
              <w:right w:val="nil"/>
            </w:tcBorders>
            <w:shd w:val="clear" w:color="auto" w:fill="000000"/>
          </w:tcPr>
          <w:p w:rsidR="0070375D" w:rsidRPr="00774D76" w:rsidRDefault="0070375D" w:rsidP="00774D76">
            <w:pPr>
              <w:pStyle w:val="Tabletextheading"/>
              <w:rPr>
                <w:sz w:val="19"/>
              </w:rPr>
            </w:pPr>
            <w:r w:rsidRPr="00774D76">
              <w:rPr>
                <w:sz w:val="19"/>
              </w:rPr>
              <w:t>2011</w:t>
            </w:r>
            <w:r w:rsidR="00276239">
              <w:rPr>
                <w:sz w:val="19"/>
              </w:rPr>
              <w:noBreakHyphen/>
            </w:r>
            <w:r w:rsidRPr="00774D76">
              <w:rPr>
                <w:sz w:val="19"/>
              </w:rPr>
              <w:t>12</w:t>
            </w:r>
          </w:p>
        </w:tc>
        <w:tc>
          <w:tcPr>
            <w:tcW w:w="829" w:type="dxa"/>
            <w:tcBorders>
              <w:top w:val="single" w:sz="4" w:space="0" w:color="auto"/>
              <w:left w:val="nil"/>
              <w:bottom w:val="nil"/>
              <w:right w:val="nil"/>
            </w:tcBorders>
            <w:shd w:val="clear" w:color="auto" w:fill="000000"/>
          </w:tcPr>
          <w:p w:rsidR="0070375D" w:rsidRPr="00774D76" w:rsidRDefault="0070375D" w:rsidP="00774D76">
            <w:pPr>
              <w:pStyle w:val="Tabletextheading"/>
              <w:rPr>
                <w:sz w:val="19"/>
              </w:rPr>
            </w:pPr>
            <w:r w:rsidRPr="00774D76">
              <w:rPr>
                <w:sz w:val="19"/>
              </w:rPr>
              <w:t>2012</w:t>
            </w:r>
            <w:r w:rsidR="00276239">
              <w:rPr>
                <w:sz w:val="19"/>
              </w:rPr>
              <w:noBreakHyphen/>
            </w:r>
            <w:r w:rsidRPr="00774D76">
              <w:rPr>
                <w:sz w:val="19"/>
              </w:rPr>
              <w:t>13</w:t>
            </w:r>
          </w:p>
        </w:tc>
        <w:tc>
          <w:tcPr>
            <w:tcW w:w="829" w:type="dxa"/>
            <w:tcBorders>
              <w:top w:val="single" w:sz="4" w:space="0" w:color="auto"/>
              <w:left w:val="nil"/>
              <w:bottom w:val="nil"/>
              <w:right w:val="nil"/>
            </w:tcBorders>
            <w:shd w:val="clear" w:color="auto" w:fill="000000"/>
          </w:tcPr>
          <w:p w:rsidR="0070375D" w:rsidRPr="00774D76" w:rsidRDefault="0070375D" w:rsidP="00774D76">
            <w:pPr>
              <w:pStyle w:val="Tabletextheading"/>
              <w:rPr>
                <w:sz w:val="19"/>
              </w:rPr>
            </w:pPr>
            <w:r w:rsidRPr="00774D76">
              <w:rPr>
                <w:sz w:val="19"/>
              </w:rPr>
              <w:t>2013</w:t>
            </w:r>
            <w:r w:rsidR="00276239">
              <w:rPr>
                <w:sz w:val="19"/>
              </w:rPr>
              <w:noBreakHyphen/>
            </w:r>
            <w:r w:rsidRPr="00774D76">
              <w:rPr>
                <w:sz w:val="19"/>
              </w:rPr>
              <w:t>14</w:t>
            </w:r>
          </w:p>
        </w:tc>
        <w:tc>
          <w:tcPr>
            <w:tcW w:w="828" w:type="dxa"/>
            <w:tcBorders>
              <w:top w:val="single" w:sz="4" w:space="0" w:color="auto"/>
              <w:left w:val="nil"/>
              <w:bottom w:val="nil"/>
              <w:right w:val="nil"/>
            </w:tcBorders>
            <w:shd w:val="clear" w:color="auto" w:fill="000000"/>
          </w:tcPr>
          <w:p w:rsidR="0070375D" w:rsidRPr="00774D76" w:rsidRDefault="0070375D" w:rsidP="00774D76">
            <w:pPr>
              <w:pStyle w:val="Tabletextheading"/>
              <w:rPr>
                <w:sz w:val="19"/>
              </w:rPr>
            </w:pPr>
            <w:r w:rsidRPr="00774D76">
              <w:rPr>
                <w:sz w:val="19"/>
              </w:rPr>
              <w:t>2014</w:t>
            </w:r>
            <w:r w:rsidR="00276239">
              <w:rPr>
                <w:sz w:val="19"/>
              </w:rPr>
              <w:noBreakHyphen/>
            </w:r>
            <w:r w:rsidRPr="00774D76">
              <w:rPr>
                <w:sz w:val="19"/>
              </w:rPr>
              <w:t>15</w:t>
            </w:r>
          </w:p>
        </w:tc>
        <w:tc>
          <w:tcPr>
            <w:tcW w:w="829" w:type="dxa"/>
            <w:tcBorders>
              <w:top w:val="single" w:sz="4" w:space="0" w:color="auto"/>
              <w:left w:val="nil"/>
              <w:bottom w:val="nil"/>
              <w:right w:val="nil"/>
            </w:tcBorders>
            <w:shd w:val="clear" w:color="auto" w:fill="000000"/>
          </w:tcPr>
          <w:p w:rsidR="0070375D" w:rsidRPr="00774D76" w:rsidRDefault="0070375D" w:rsidP="00774D76">
            <w:pPr>
              <w:pStyle w:val="Tabletextheading"/>
              <w:rPr>
                <w:sz w:val="19"/>
              </w:rPr>
            </w:pPr>
            <w:r w:rsidRPr="00774D76">
              <w:rPr>
                <w:sz w:val="19"/>
              </w:rPr>
              <w:t>2015</w:t>
            </w:r>
            <w:r w:rsidR="00276239">
              <w:rPr>
                <w:sz w:val="19"/>
              </w:rPr>
              <w:noBreakHyphen/>
            </w:r>
            <w:r w:rsidRPr="00774D76">
              <w:rPr>
                <w:sz w:val="19"/>
              </w:rPr>
              <w:t>16</w:t>
            </w:r>
          </w:p>
        </w:tc>
        <w:tc>
          <w:tcPr>
            <w:tcW w:w="829" w:type="dxa"/>
            <w:tcBorders>
              <w:top w:val="single" w:sz="4" w:space="0" w:color="auto"/>
              <w:left w:val="nil"/>
              <w:bottom w:val="nil"/>
              <w:right w:val="single" w:sz="4" w:space="0" w:color="auto"/>
            </w:tcBorders>
            <w:shd w:val="clear" w:color="auto" w:fill="000000"/>
          </w:tcPr>
          <w:p w:rsidR="0070375D" w:rsidRPr="00774D76" w:rsidRDefault="0070375D" w:rsidP="00774D76">
            <w:pPr>
              <w:pStyle w:val="Tabletextheading"/>
              <w:rPr>
                <w:sz w:val="19"/>
              </w:rPr>
            </w:pPr>
            <w:r w:rsidRPr="00774D76">
              <w:rPr>
                <w:sz w:val="19"/>
              </w:rPr>
              <w:t>2016</w:t>
            </w:r>
            <w:r w:rsidR="00276239">
              <w:rPr>
                <w:sz w:val="19"/>
              </w:rPr>
              <w:noBreakHyphen/>
            </w:r>
            <w:r w:rsidRPr="00774D76">
              <w:rPr>
                <w:sz w:val="19"/>
              </w:rPr>
              <w:t>17</w:t>
            </w:r>
          </w:p>
        </w:tc>
      </w:tr>
      <w:tr w:rsidR="0070375D" w:rsidRPr="00774D76" w:rsidTr="00774D76">
        <w:tc>
          <w:tcPr>
            <w:tcW w:w="1994" w:type="dxa"/>
            <w:tcBorders>
              <w:top w:val="nil"/>
              <w:left w:val="single" w:sz="4" w:space="0" w:color="auto"/>
              <w:bottom w:val="single" w:sz="4" w:space="0" w:color="auto"/>
              <w:right w:val="nil"/>
            </w:tcBorders>
            <w:shd w:val="clear" w:color="auto" w:fill="000000"/>
          </w:tcPr>
          <w:p w:rsidR="0070375D" w:rsidRPr="00774D76" w:rsidRDefault="0070375D" w:rsidP="00774D76">
            <w:pPr>
              <w:pStyle w:val="Tabletext"/>
              <w:rPr>
                <w:sz w:val="19"/>
                <w:lang w:eastAsia="en-AU"/>
              </w:rPr>
            </w:pPr>
            <w:r w:rsidRPr="00774D76">
              <w:rPr>
                <w:sz w:val="19"/>
                <w:lang w:eastAsia="en-AU"/>
              </w:rPr>
              <w:t xml:space="preserve"> </w:t>
            </w:r>
          </w:p>
        </w:tc>
        <w:tc>
          <w:tcPr>
            <w:tcW w:w="810" w:type="dxa"/>
            <w:tcBorders>
              <w:top w:val="nil"/>
              <w:left w:val="nil"/>
              <w:bottom w:val="single" w:sz="4" w:space="0" w:color="auto"/>
              <w:right w:val="nil"/>
            </w:tcBorders>
            <w:shd w:val="clear" w:color="auto" w:fill="000000"/>
          </w:tcPr>
          <w:p w:rsidR="0070375D" w:rsidRPr="00774D76" w:rsidRDefault="0070375D" w:rsidP="00774D76">
            <w:pPr>
              <w:pStyle w:val="Tabletextheadingcentred"/>
              <w:rPr>
                <w:sz w:val="19"/>
                <w:lang w:eastAsia="en-AU"/>
              </w:rPr>
            </w:pPr>
            <w:r w:rsidRPr="00774D76">
              <w:rPr>
                <w:sz w:val="19"/>
                <w:lang w:eastAsia="en-AU"/>
              </w:rPr>
              <w:t>Measure</w:t>
            </w:r>
          </w:p>
        </w:tc>
        <w:tc>
          <w:tcPr>
            <w:tcW w:w="828" w:type="dxa"/>
            <w:tcBorders>
              <w:top w:val="nil"/>
              <w:left w:val="nil"/>
              <w:bottom w:val="single" w:sz="4" w:space="0" w:color="auto"/>
              <w:right w:val="nil"/>
            </w:tcBorders>
            <w:shd w:val="clear" w:color="auto" w:fill="000000"/>
          </w:tcPr>
          <w:p w:rsidR="0070375D" w:rsidRPr="00774D76" w:rsidRDefault="0070375D" w:rsidP="00774D76">
            <w:pPr>
              <w:pStyle w:val="Tabletextheading"/>
              <w:rPr>
                <w:sz w:val="19"/>
              </w:rPr>
            </w:pPr>
            <w:r w:rsidRPr="00774D76">
              <w:rPr>
                <w:sz w:val="19"/>
              </w:rPr>
              <w:t>Actual</w:t>
            </w:r>
          </w:p>
        </w:tc>
        <w:tc>
          <w:tcPr>
            <w:tcW w:w="829" w:type="dxa"/>
            <w:tcBorders>
              <w:top w:val="nil"/>
              <w:left w:val="nil"/>
              <w:bottom w:val="single" w:sz="4" w:space="0" w:color="auto"/>
              <w:right w:val="nil"/>
            </w:tcBorders>
            <w:shd w:val="clear" w:color="auto" w:fill="000000"/>
          </w:tcPr>
          <w:p w:rsidR="0070375D" w:rsidRPr="00774D76" w:rsidRDefault="0070375D" w:rsidP="00774D76">
            <w:pPr>
              <w:pStyle w:val="Tabletextheading"/>
              <w:rPr>
                <w:sz w:val="19"/>
              </w:rPr>
            </w:pPr>
            <w:r w:rsidRPr="00774D76">
              <w:rPr>
                <w:sz w:val="19"/>
              </w:rPr>
              <w:t>Revised</w:t>
            </w:r>
          </w:p>
        </w:tc>
        <w:tc>
          <w:tcPr>
            <w:tcW w:w="829" w:type="dxa"/>
            <w:tcBorders>
              <w:top w:val="nil"/>
              <w:left w:val="nil"/>
              <w:bottom w:val="single" w:sz="4" w:space="0" w:color="auto"/>
              <w:right w:val="nil"/>
            </w:tcBorders>
            <w:shd w:val="clear" w:color="auto" w:fill="000000"/>
          </w:tcPr>
          <w:p w:rsidR="0070375D" w:rsidRPr="00774D76" w:rsidRDefault="0070375D" w:rsidP="00774D76">
            <w:pPr>
              <w:pStyle w:val="Tabletextheading"/>
              <w:rPr>
                <w:sz w:val="19"/>
              </w:rPr>
            </w:pPr>
            <w:r w:rsidRPr="00774D76">
              <w:rPr>
                <w:sz w:val="19"/>
              </w:rPr>
              <w:t>Budget</w:t>
            </w:r>
          </w:p>
        </w:tc>
        <w:tc>
          <w:tcPr>
            <w:tcW w:w="828" w:type="dxa"/>
            <w:tcBorders>
              <w:top w:val="nil"/>
              <w:left w:val="nil"/>
              <w:bottom w:val="single" w:sz="4" w:space="0" w:color="auto"/>
              <w:right w:val="nil"/>
            </w:tcBorders>
            <w:shd w:val="clear" w:color="auto" w:fill="000000"/>
          </w:tcPr>
          <w:p w:rsidR="0070375D" w:rsidRPr="00774D76" w:rsidRDefault="0070375D" w:rsidP="00774D76">
            <w:pPr>
              <w:pStyle w:val="Tabletextheading"/>
              <w:rPr>
                <w:sz w:val="19"/>
              </w:rPr>
            </w:pPr>
            <w:r w:rsidRPr="00774D76">
              <w:rPr>
                <w:sz w:val="19"/>
              </w:rPr>
              <w:t>Estimate</w:t>
            </w:r>
          </w:p>
        </w:tc>
        <w:tc>
          <w:tcPr>
            <w:tcW w:w="829" w:type="dxa"/>
            <w:tcBorders>
              <w:top w:val="nil"/>
              <w:left w:val="nil"/>
              <w:bottom w:val="single" w:sz="4" w:space="0" w:color="auto"/>
              <w:right w:val="nil"/>
            </w:tcBorders>
            <w:shd w:val="clear" w:color="auto" w:fill="000000"/>
          </w:tcPr>
          <w:p w:rsidR="0070375D" w:rsidRPr="00774D76" w:rsidRDefault="0070375D" w:rsidP="00774D76">
            <w:pPr>
              <w:pStyle w:val="Tabletextheading"/>
              <w:rPr>
                <w:sz w:val="19"/>
              </w:rPr>
            </w:pPr>
            <w:r w:rsidRPr="00774D76">
              <w:rPr>
                <w:sz w:val="19"/>
              </w:rPr>
              <w:t>Estimate</w:t>
            </w:r>
          </w:p>
        </w:tc>
        <w:tc>
          <w:tcPr>
            <w:tcW w:w="829" w:type="dxa"/>
            <w:tcBorders>
              <w:top w:val="nil"/>
              <w:left w:val="nil"/>
              <w:bottom w:val="single" w:sz="4" w:space="0" w:color="auto"/>
              <w:right w:val="single" w:sz="4" w:space="0" w:color="auto"/>
            </w:tcBorders>
            <w:shd w:val="clear" w:color="auto" w:fill="000000"/>
          </w:tcPr>
          <w:p w:rsidR="0070375D" w:rsidRPr="00774D76" w:rsidRDefault="0070375D" w:rsidP="00774D76">
            <w:pPr>
              <w:pStyle w:val="Tabletextheading"/>
              <w:rPr>
                <w:sz w:val="19"/>
              </w:rPr>
            </w:pPr>
            <w:r w:rsidRPr="00774D76">
              <w:rPr>
                <w:sz w:val="19"/>
              </w:rPr>
              <w:t>Estimate</w:t>
            </w:r>
          </w:p>
        </w:tc>
      </w:tr>
      <w:tr w:rsidR="0070375D" w:rsidRPr="00774D76" w:rsidTr="00774D76">
        <w:tc>
          <w:tcPr>
            <w:tcW w:w="1994" w:type="dxa"/>
            <w:tcBorders>
              <w:top w:val="single" w:sz="4" w:space="0" w:color="auto"/>
              <w:left w:val="nil"/>
              <w:bottom w:val="nil"/>
              <w:right w:val="nil"/>
            </w:tcBorders>
          </w:tcPr>
          <w:p w:rsidR="0070375D" w:rsidRPr="00774D76" w:rsidRDefault="0070375D" w:rsidP="00774D76">
            <w:pPr>
              <w:pStyle w:val="Tabletext"/>
              <w:rPr>
                <w:color w:val="000000"/>
                <w:sz w:val="19"/>
                <w:lang w:eastAsia="en-AU"/>
              </w:rPr>
            </w:pPr>
            <w:r w:rsidRPr="00774D76">
              <w:rPr>
                <w:color w:val="000000"/>
                <w:sz w:val="19"/>
                <w:lang w:eastAsia="en-AU"/>
              </w:rPr>
              <w:t>Net result from transactions</w:t>
            </w:r>
          </w:p>
        </w:tc>
        <w:tc>
          <w:tcPr>
            <w:tcW w:w="810" w:type="dxa"/>
            <w:tcBorders>
              <w:top w:val="single" w:sz="4" w:space="0" w:color="auto"/>
              <w:left w:val="nil"/>
              <w:bottom w:val="nil"/>
              <w:right w:val="nil"/>
            </w:tcBorders>
          </w:tcPr>
          <w:p w:rsidR="0070375D" w:rsidRPr="00774D76" w:rsidRDefault="0070375D" w:rsidP="00774D76">
            <w:pPr>
              <w:pStyle w:val="Tabletextcentred"/>
              <w:rPr>
                <w:rFonts w:eastAsiaTheme="minorEastAsia" w:cs="Calibri"/>
                <w:color w:val="000000"/>
                <w:sz w:val="19"/>
                <w:lang w:eastAsia="en-AU"/>
              </w:rPr>
            </w:pPr>
            <w:r w:rsidRPr="00774D76">
              <w:rPr>
                <w:color w:val="000000"/>
                <w:sz w:val="19"/>
                <w:lang w:eastAsia="en-AU"/>
              </w:rPr>
              <w:t xml:space="preserve">$ </w:t>
            </w:r>
            <w:r w:rsidRPr="00774D76">
              <w:rPr>
                <w:rFonts w:eastAsiaTheme="minorEastAsia" w:cs="Calibri"/>
                <w:color w:val="000000"/>
                <w:sz w:val="19"/>
                <w:lang w:eastAsia="en-AU"/>
              </w:rPr>
              <w:t>million</w:t>
            </w:r>
          </w:p>
        </w:tc>
        <w:tc>
          <w:tcPr>
            <w:tcW w:w="828" w:type="dxa"/>
            <w:tcBorders>
              <w:top w:val="single" w:sz="4" w:space="0" w:color="auto"/>
              <w:left w:val="nil"/>
              <w:bottom w:val="nil"/>
              <w:right w:val="nil"/>
            </w:tcBorders>
          </w:tcPr>
          <w:p w:rsidR="0070375D" w:rsidRPr="00774D76" w:rsidRDefault="0070375D" w:rsidP="00774D76">
            <w:pPr>
              <w:pStyle w:val="TableofFigures"/>
              <w:rPr>
                <w:color w:val="000000"/>
                <w:sz w:val="19"/>
                <w:lang w:eastAsia="en-AU"/>
              </w:rPr>
            </w:pPr>
            <w:r w:rsidRPr="00774D76">
              <w:rPr>
                <w:color w:val="000000"/>
                <w:sz w:val="19"/>
                <w:lang w:eastAsia="en-AU"/>
              </w:rPr>
              <w:t xml:space="preserve"> 571.2</w:t>
            </w:r>
          </w:p>
        </w:tc>
        <w:tc>
          <w:tcPr>
            <w:tcW w:w="829" w:type="dxa"/>
            <w:tcBorders>
              <w:top w:val="single" w:sz="4" w:space="0" w:color="auto"/>
              <w:left w:val="nil"/>
              <w:bottom w:val="nil"/>
              <w:right w:val="nil"/>
            </w:tcBorders>
          </w:tcPr>
          <w:p w:rsidR="0070375D" w:rsidRPr="00774D76" w:rsidRDefault="0070375D" w:rsidP="00774D76">
            <w:pPr>
              <w:pStyle w:val="TableofFigures"/>
              <w:rPr>
                <w:color w:val="000000"/>
                <w:sz w:val="19"/>
                <w:lang w:eastAsia="en-AU"/>
              </w:rPr>
            </w:pPr>
            <w:r w:rsidRPr="00774D76">
              <w:rPr>
                <w:color w:val="000000"/>
                <w:sz w:val="19"/>
                <w:lang w:eastAsia="en-AU"/>
              </w:rPr>
              <w:t xml:space="preserve"> 177.0</w:t>
            </w:r>
          </w:p>
        </w:tc>
        <w:tc>
          <w:tcPr>
            <w:tcW w:w="829" w:type="dxa"/>
            <w:tcBorders>
              <w:top w:val="single" w:sz="4" w:space="0" w:color="auto"/>
              <w:left w:val="nil"/>
              <w:bottom w:val="nil"/>
              <w:right w:val="nil"/>
            </w:tcBorders>
          </w:tcPr>
          <w:p w:rsidR="0070375D" w:rsidRPr="00774D76" w:rsidRDefault="0070375D" w:rsidP="00774D76">
            <w:pPr>
              <w:pStyle w:val="TableofFigures"/>
              <w:rPr>
                <w:color w:val="000000"/>
                <w:sz w:val="19"/>
                <w:lang w:eastAsia="en-AU"/>
              </w:rPr>
            </w:pPr>
            <w:r w:rsidRPr="00774D76">
              <w:rPr>
                <w:color w:val="000000"/>
                <w:sz w:val="19"/>
                <w:lang w:eastAsia="en-AU"/>
              </w:rPr>
              <w:t xml:space="preserve"> 224.5</w:t>
            </w:r>
          </w:p>
        </w:tc>
        <w:tc>
          <w:tcPr>
            <w:tcW w:w="828" w:type="dxa"/>
            <w:tcBorders>
              <w:top w:val="single" w:sz="4" w:space="0" w:color="auto"/>
              <w:left w:val="nil"/>
              <w:bottom w:val="nil"/>
              <w:right w:val="nil"/>
            </w:tcBorders>
          </w:tcPr>
          <w:p w:rsidR="0070375D" w:rsidRPr="00774D76" w:rsidRDefault="0070375D" w:rsidP="00774D76">
            <w:pPr>
              <w:pStyle w:val="TableofFigures"/>
              <w:rPr>
                <w:color w:val="000000"/>
                <w:sz w:val="19"/>
                <w:lang w:eastAsia="en-AU"/>
              </w:rPr>
            </w:pPr>
            <w:r w:rsidRPr="00774D76">
              <w:rPr>
                <w:color w:val="000000"/>
                <w:sz w:val="19"/>
                <w:lang w:eastAsia="en-AU"/>
              </w:rPr>
              <w:t xml:space="preserve"> 398.7</w:t>
            </w:r>
          </w:p>
        </w:tc>
        <w:tc>
          <w:tcPr>
            <w:tcW w:w="829" w:type="dxa"/>
            <w:tcBorders>
              <w:top w:val="single" w:sz="4" w:space="0" w:color="auto"/>
              <w:left w:val="nil"/>
              <w:bottom w:val="nil"/>
              <w:right w:val="nil"/>
            </w:tcBorders>
          </w:tcPr>
          <w:p w:rsidR="0070375D" w:rsidRPr="00774D76" w:rsidRDefault="0070375D" w:rsidP="00774D76">
            <w:pPr>
              <w:pStyle w:val="TableofFigures"/>
              <w:rPr>
                <w:color w:val="000000"/>
                <w:sz w:val="19"/>
                <w:lang w:eastAsia="en-AU"/>
              </w:rPr>
            </w:pPr>
            <w:r w:rsidRPr="00774D76">
              <w:rPr>
                <w:color w:val="000000"/>
                <w:sz w:val="19"/>
                <w:lang w:eastAsia="en-AU"/>
              </w:rPr>
              <w:t>1 927.7</w:t>
            </w:r>
          </w:p>
        </w:tc>
        <w:tc>
          <w:tcPr>
            <w:tcW w:w="829" w:type="dxa"/>
            <w:tcBorders>
              <w:top w:val="single" w:sz="4" w:space="0" w:color="auto"/>
              <w:left w:val="nil"/>
              <w:bottom w:val="nil"/>
              <w:right w:val="nil"/>
            </w:tcBorders>
          </w:tcPr>
          <w:p w:rsidR="0070375D" w:rsidRPr="00774D76" w:rsidRDefault="0070375D" w:rsidP="00774D76">
            <w:pPr>
              <w:pStyle w:val="TableofFigures"/>
              <w:rPr>
                <w:color w:val="000000"/>
                <w:sz w:val="19"/>
                <w:lang w:eastAsia="en-AU"/>
              </w:rPr>
            </w:pPr>
            <w:r w:rsidRPr="00774D76">
              <w:rPr>
                <w:color w:val="000000"/>
                <w:sz w:val="19"/>
                <w:lang w:eastAsia="en-AU"/>
              </w:rPr>
              <w:t>2 547.4</w:t>
            </w:r>
          </w:p>
        </w:tc>
      </w:tr>
      <w:tr w:rsidR="0070375D" w:rsidRPr="00774D76" w:rsidTr="00774D76">
        <w:tc>
          <w:tcPr>
            <w:tcW w:w="1994" w:type="dxa"/>
            <w:tcBorders>
              <w:top w:val="nil"/>
              <w:left w:val="nil"/>
              <w:bottom w:val="nil"/>
              <w:right w:val="nil"/>
            </w:tcBorders>
          </w:tcPr>
          <w:p w:rsidR="0070375D" w:rsidRPr="00774D76" w:rsidRDefault="0070375D" w:rsidP="00774D76">
            <w:pPr>
              <w:pStyle w:val="Tabletext"/>
              <w:rPr>
                <w:color w:val="000000"/>
                <w:sz w:val="19"/>
                <w:vertAlign w:val="superscript"/>
                <w:lang w:eastAsia="en-AU"/>
              </w:rPr>
            </w:pPr>
            <w:r w:rsidRPr="00774D76">
              <w:rPr>
                <w:color w:val="000000"/>
                <w:sz w:val="19"/>
                <w:lang w:eastAsia="en-AU"/>
              </w:rPr>
              <w:t>Government fiscal result</w:t>
            </w:r>
            <w:r w:rsidRPr="00774D76">
              <w:rPr>
                <w:color w:val="000000"/>
                <w:sz w:val="19"/>
                <w:vertAlign w:val="superscript"/>
                <w:lang w:eastAsia="en-AU"/>
              </w:rPr>
              <w:t>(a)</w:t>
            </w:r>
          </w:p>
        </w:tc>
        <w:tc>
          <w:tcPr>
            <w:tcW w:w="810" w:type="dxa"/>
            <w:tcBorders>
              <w:top w:val="nil"/>
              <w:left w:val="nil"/>
              <w:bottom w:val="nil"/>
              <w:right w:val="nil"/>
            </w:tcBorders>
          </w:tcPr>
          <w:p w:rsidR="0070375D" w:rsidRPr="00774D76" w:rsidRDefault="0070375D" w:rsidP="00774D76">
            <w:pPr>
              <w:pStyle w:val="Tabletextcentred"/>
              <w:rPr>
                <w:rFonts w:eastAsiaTheme="minorEastAsia" w:cs="Calibri"/>
                <w:color w:val="000000"/>
                <w:sz w:val="19"/>
                <w:lang w:eastAsia="en-AU"/>
              </w:rPr>
            </w:pPr>
            <w:r w:rsidRPr="00774D76">
              <w:rPr>
                <w:color w:val="000000"/>
                <w:sz w:val="19"/>
                <w:lang w:eastAsia="en-AU"/>
              </w:rPr>
              <w:t xml:space="preserve">$ </w:t>
            </w:r>
            <w:r w:rsidRPr="00774D76">
              <w:rPr>
                <w:rFonts w:eastAsiaTheme="minorEastAsia" w:cs="Calibri"/>
                <w:color w:val="000000"/>
                <w:sz w:val="19"/>
                <w:lang w:eastAsia="en-AU"/>
              </w:rPr>
              <w:t>million</w:t>
            </w:r>
          </w:p>
        </w:tc>
        <w:tc>
          <w:tcPr>
            <w:tcW w:w="828" w:type="dxa"/>
            <w:tcBorders>
              <w:top w:val="nil"/>
              <w:left w:val="nil"/>
              <w:bottom w:val="nil"/>
              <w:right w:val="nil"/>
            </w:tcBorders>
          </w:tcPr>
          <w:p w:rsidR="0070375D" w:rsidRPr="00774D76" w:rsidRDefault="0070375D" w:rsidP="00774D76">
            <w:pPr>
              <w:pStyle w:val="TableofFigures"/>
              <w:rPr>
                <w:rFonts w:eastAsiaTheme="minorEastAsia" w:cs="Calibri"/>
                <w:color w:val="000000"/>
                <w:sz w:val="19"/>
                <w:lang w:eastAsia="en-AU"/>
              </w:rPr>
            </w:pPr>
            <w:r w:rsidRPr="00774D76">
              <w:rPr>
                <w:color w:val="000000"/>
                <w:sz w:val="19"/>
                <w:lang w:eastAsia="en-AU"/>
              </w:rPr>
              <w:t xml:space="preserve"> </w:t>
            </w:r>
            <w:r w:rsidRPr="00774D76">
              <w:rPr>
                <w:rFonts w:eastAsiaTheme="minorEastAsia" w:cs="Calibri"/>
                <w:color w:val="000000"/>
                <w:sz w:val="19"/>
                <w:lang w:eastAsia="en-AU"/>
              </w:rPr>
              <w:t>571.2</w:t>
            </w:r>
          </w:p>
        </w:tc>
        <w:tc>
          <w:tcPr>
            <w:tcW w:w="829" w:type="dxa"/>
            <w:tcBorders>
              <w:top w:val="nil"/>
              <w:left w:val="nil"/>
              <w:bottom w:val="nil"/>
              <w:right w:val="nil"/>
            </w:tcBorders>
          </w:tcPr>
          <w:p w:rsidR="0070375D" w:rsidRPr="00774D76" w:rsidRDefault="0070375D" w:rsidP="00774D76">
            <w:pPr>
              <w:pStyle w:val="TableofFigures"/>
              <w:rPr>
                <w:rFonts w:eastAsiaTheme="minorEastAsia" w:cs="Calibri"/>
                <w:color w:val="000000"/>
                <w:sz w:val="19"/>
                <w:lang w:eastAsia="en-AU"/>
              </w:rPr>
            </w:pPr>
            <w:r w:rsidRPr="00774D76">
              <w:rPr>
                <w:color w:val="000000"/>
                <w:sz w:val="19"/>
                <w:lang w:eastAsia="en-AU"/>
              </w:rPr>
              <w:t xml:space="preserve"> </w:t>
            </w:r>
            <w:r w:rsidRPr="00774D76">
              <w:rPr>
                <w:rFonts w:eastAsiaTheme="minorEastAsia" w:cs="Calibri"/>
                <w:color w:val="000000"/>
                <w:sz w:val="19"/>
                <w:lang w:eastAsia="en-AU"/>
              </w:rPr>
              <w:t>177.0</w:t>
            </w:r>
          </w:p>
        </w:tc>
        <w:tc>
          <w:tcPr>
            <w:tcW w:w="829" w:type="dxa"/>
            <w:tcBorders>
              <w:top w:val="nil"/>
              <w:left w:val="nil"/>
              <w:bottom w:val="nil"/>
              <w:right w:val="nil"/>
            </w:tcBorders>
          </w:tcPr>
          <w:p w:rsidR="0070375D" w:rsidRPr="00774D76" w:rsidRDefault="0070375D" w:rsidP="00774D76">
            <w:pPr>
              <w:pStyle w:val="TableofFigures"/>
              <w:rPr>
                <w:color w:val="000000"/>
                <w:sz w:val="19"/>
                <w:lang w:eastAsia="en-AU"/>
              </w:rPr>
            </w:pPr>
            <w:r w:rsidRPr="00774D76">
              <w:rPr>
                <w:color w:val="000000"/>
                <w:sz w:val="19"/>
                <w:lang w:eastAsia="en-AU"/>
              </w:rPr>
              <w:t xml:space="preserve"> 817.6</w:t>
            </w:r>
          </w:p>
        </w:tc>
        <w:tc>
          <w:tcPr>
            <w:tcW w:w="828" w:type="dxa"/>
            <w:tcBorders>
              <w:top w:val="nil"/>
              <w:left w:val="nil"/>
              <w:bottom w:val="nil"/>
              <w:right w:val="nil"/>
            </w:tcBorders>
          </w:tcPr>
          <w:p w:rsidR="0070375D" w:rsidRPr="00774D76" w:rsidRDefault="0070375D" w:rsidP="00774D76">
            <w:pPr>
              <w:pStyle w:val="TableofFigures"/>
              <w:rPr>
                <w:rFonts w:cs="Calibri"/>
                <w:color w:val="000000"/>
                <w:sz w:val="19"/>
                <w:lang w:eastAsia="en-AU"/>
              </w:rPr>
            </w:pPr>
            <w:r w:rsidRPr="00774D76">
              <w:rPr>
                <w:color w:val="000000"/>
                <w:sz w:val="19"/>
                <w:lang w:eastAsia="en-AU"/>
              </w:rPr>
              <w:t>1 005.5</w:t>
            </w:r>
          </w:p>
        </w:tc>
        <w:tc>
          <w:tcPr>
            <w:tcW w:w="829" w:type="dxa"/>
            <w:tcBorders>
              <w:top w:val="nil"/>
              <w:left w:val="nil"/>
              <w:bottom w:val="nil"/>
              <w:right w:val="nil"/>
            </w:tcBorders>
          </w:tcPr>
          <w:p w:rsidR="0070375D" w:rsidRPr="00774D76" w:rsidRDefault="0070375D" w:rsidP="00774D76">
            <w:pPr>
              <w:pStyle w:val="TableofFigures"/>
              <w:rPr>
                <w:color w:val="000000"/>
                <w:sz w:val="19"/>
                <w:lang w:eastAsia="en-AU"/>
              </w:rPr>
            </w:pPr>
            <w:r w:rsidRPr="00774D76">
              <w:rPr>
                <w:color w:val="000000"/>
                <w:sz w:val="19"/>
                <w:lang w:eastAsia="en-AU"/>
              </w:rPr>
              <w:t>2 545.0</w:t>
            </w:r>
          </w:p>
        </w:tc>
        <w:tc>
          <w:tcPr>
            <w:tcW w:w="829" w:type="dxa"/>
            <w:tcBorders>
              <w:top w:val="nil"/>
              <w:left w:val="nil"/>
              <w:bottom w:val="nil"/>
              <w:right w:val="nil"/>
            </w:tcBorders>
          </w:tcPr>
          <w:p w:rsidR="0070375D" w:rsidRPr="00774D76" w:rsidRDefault="0070375D" w:rsidP="00774D76">
            <w:pPr>
              <w:pStyle w:val="TableofFigures"/>
              <w:rPr>
                <w:color w:val="000000"/>
                <w:sz w:val="19"/>
                <w:lang w:eastAsia="en-AU"/>
              </w:rPr>
            </w:pPr>
            <w:r w:rsidRPr="00774D76">
              <w:rPr>
                <w:color w:val="000000"/>
                <w:sz w:val="19"/>
                <w:lang w:eastAsia="en-AU"/>
              </w:rPr>
              <w:t>3 173.8</w:t>
            </w:r>
          </w:p>
        </w:tc>
      </w:tr>
      <w:tr w:rsidR="0070375D" w:rsidRPr="00774D76" w:rsidTr="00774D76">
        <w:tc>
          <w:tcPr>
            <w:tcW w:w="1994" w:type="dxa"/>
            <w:tcBorders>
              <w:top w:val="nil"/>
              <w:left w:val="nil"/>
              <w:bottom w:val="nil"/>
              <w:right w:val="nil"/>
            </w:tcBorders>
          </w:tcPr>
          <w:p w:rsidR="0070375D" w:rsidRPr="00774D76" w:rsidRDefault="0070375D" w:rsidP="00774D76">
            <w:pPr>
              <w:pStyle w:val="Tabletext"/>
              <w:rPr>
                <w:color w:val="000000"/>
                <w:sz w:val="19"/>
                <w:vertAlign w:val="superscript"/>
                <w:lang w:eastAsia="en-AU"/>
              </w:rPr>
            </w:pPr>
            <w:r w:rsidRPr="00774D76">
              <w:rPr>
                <w:color w:val="000000"/>
                <w:sz w:val="19"/>
                <w:lang w:eastAsia="en-AU"/>
              </w:rPr>
              <w:t>Net debt</w:t>
            </w:r>
            <w:r w:rsidRPr="00774D76">
              <w:rPr>
                <w:color w:val="000000"/>
                <w:sz w:val="19"/>
                <w:vertAlign w:val="superscript"/>
                <w:lang w:eastAsia="en-AU"/>
              </w:rPr>
              <w:t>(b)</w:t>
            </w:r>
          </w:p>
        </w:tc>
        <w:tc>
          <w:tcPr>
            <w:tcW w:w="810" w:type="dxa"/>
            <w:tcBorders>
              <w:top w:val="nil"/>
              <w:left w:val="nil"/>
              <w:bottom w:val="nil"/>
              <w:right w:val="nil"/>
            </w:tcBorders>
          </w:tcPr>
          <w:p w:rsidR="0070375D" w:rsidRPr="00774D76" w:rsidRDefault="0070375D" w:rsidP="00774D76">
            <w:pPr>
              <w:pStyle w:val="Tabletextcentred"/>
              <w:rPr>
                <w:rFonts w:eastAsiaTheme="minorEastAsia" w:cs="Calibri"/>
                <w:color w:val="000000"/>
                <w:sz w:val="19"/>
                <w:lang w:eastAsia="en-AU"/>
              </w:rPr>
            </w:pPr>
            <w:r w:rsidRPr="00774D76">
              <w:rPr>
                <w:color w:val="000000"/>
                <w:sz w:val="19"/>
                <w:lang w:eastAsia="en-AU"/>
              </w:rPr>
              <w:t xml:space="preserve">$ </w:t>
            </w:r>
            <w:r w:rsidRPr="00774D76">
              <w:rPr>
                <w:rFonts w:eastAsiaTheme="minorEastAsia" w:cs="Calibri"/>
                <w:color w:val="000000"/>
                <w:sz w:val="19"/>
                <w:lang w:eastAsia="en-AU"/>
              </w:rPr>
              <w:t>billion</w:t>
            </w:r>
          </w:p>
        </w:tc>
        <w:tc>
          <w:tcPr>
            <w:tcW w:w="828" w:type="dxa"/>
            <w:tcBorders>
              <w:top w:val="nil"/>
              <w:left w:val="nil"/>
              <w:bottom w:val="nil"/>
              <w:right w:val="nil"/>
            </w:tcBorders>
          </w:tcPr>
          <w:p w:rsidR="0070375D" w:rsidRPr="00774D76" w:rsidRDefault="0070375D" w:rsidP="00774D76">
            <w:pPr>
              <w:pStyle w:val="TableofFigures"/>
              <w:rPr>
                <w:color w:val="000000"/>
                <w:sz w:val="19"/>
                <w:lang w:eastAsia="en-AU"/>
              </w:rPr>
            </w:pPr>
            <w:r w:rsidRPr="00774D76">
              <w:rPr>
                <w:color w:val="000000"/>
                <w:sz w:val="19"/>
                <w:lang w:eastAsia="en-AU"/>
              </w:rPr>
              <w:t>15.2</w:t>
            </w:r>
          </w:p>
        </w:tc>
        <w:tc>
          <w:tcPr>
            <w:tcW w:w="829" w:type="dxa"/>
            <w:tcBorders>
              <w:top w:val="nil"/>
              <w:left w:val="nil"/>
              <w:bottom w:val="nil"/>
              <w:right w:val="nil"/>
            </w:tcBorders>
          </w:tcPr>
          <w:p w:rsidR="0070375D" w:rsidRPr="00774D76" w:rsidRDefault="0070375D" w:rsidP="00774D76">
            <w:pPr>
              <w:pStyle w:val="TableofFigures"/>
              <w:rPr>
                <w:color w:val="000000"/>
                <w:sz w:val="19"/>
                <w:lang w:eastAsia="en-AU"/>
              </w:rPr>
            </w:pPr>
            <w:r w:rsidRPr="00774D76">
              <w:rPr>
                <w:color w:val="000000"/>
                <w:sz w:val="19"/>
                <w:lang w:eastAsia="en-AU"/>
              </w:rPr>
              <w:t>19.8</w:t>
            </w:r>
          </w:p>
        </w:tc>
        <w:tc>
          <w:tcPr>
            <w:tcW w:w="829" w:type="dxa"/>
            <w:tcBorders>
              <w:top w:val="nil"/>
              <w:left w:val="nil"/>
              <w:bottom w:val="nil"/>
              <w:right w:val="nil"/>
            </w:tcBorders>
          </w:tcPr>
          <w:p w:rsidR="0070375D" w:rsidRPr="00774D76" w:rsidRDefault="0070375D" w:rsidP="00774D76">
            <w:pPr>
              <w:pStyle w:val="TableofFigures"/>
              <w:rPr>
                <w:color w:val="000000"/>
                <w:sz w:val="19"/>
                <w:lang w:eastAsia="en-AU"/>
              </w:rPr>
            </w:pPr>
            <w:r w:rsidRPr="00774D76">
              <w:rPr>
                <w:color w:val="000000"/>
                <w:sz w:val="19"/>
                <w:lang w:eastAsia="en-AU"/>
              </w:rPr>
              <w:t>23.0</w:t>
            </w:r>
          </w:p>
        </w:tc>
        <w:tc>
          <w:tcPr>
            <w:tcW w:w="828" w:type="dxa"/>
            <w:tcBorders>
              <w:top w:val="nil"/>
              <w:left w:val="nil"/>
              <w:bottom w:val="nil"/>
              <w:right w:val="nil"/>
            </w:tcBorders>
          </w:tcPr>
          <w:p w:rsidR="0070375D" w:rsidRPr="00774D76" w:rsidRDefault="0070375D" w:rsidP="00774D76">
            <w:pPr>
              <w:pStyle w:val="TableofFigures"/>
              <w:rPr>
                <w:color w:val="000000"/>
                <w:sz w:val="19"/>
                <w:lang w:eastAsia="en-AU"/>
              </w:rPr>
            </w:pPr>
            <w:r w:rsidRPr="00774D76">
              <w:rPr>
                <w:color w:val="000000"/>
                <w:sz w:val="19"/>
                <w:lang w:eastAsia="en-AU"/>
              </w:rPr>
              <w:t>25.1</w:t>
            </w:r>
          </w:p>
        </w:tc>
        <w:tc>
          <w:tcPr>
            <w:tcW w:w="829" w:type="dxa"/>
            <w:tcBorders>
              <w:top w:val="nil"/>
              <w:left w:val="nil"/>
              <w:bottom w:val="nil"/>
              <w:right w:val="nil"/>
            </w:tcBorders>
          </w:tcPr>
          <w:p w:rsidR="0070375D" w:rsidRPr="00774D76" w:rsidRDefault="0070375D" w:rsidP="00774D76">
            <w:pPr>
              <w:pStyle w:val="TableofFigures"/>
              <w:rPr>
                <w:color w:val="000000"/>
                <w:sz w:val="19"/>
                <w:lang w:eastAsia="en-AU"/>
              </w:rPr>
            </w:pPr>
            <w:r w:rsidRPr="00774D76">
              <w:rPr>
                <w:color w:val="000000"/>
                <w:sz w:val="19"/>
                <w:lang w:eastAsia="en-AU"/>
              </w:rPr>
              <w:t>24.4</w:t>
            </w:r>
          </w:p>
        </w:tc>
        <w:tc>
          <w:tcPr>
            <w:tcW w:w="829" w:type="dxa"/>
            <w:tcBorders>
              <w:top w:val="nil"/>
              <w:left w:val="nil"/>
              <w:bottom w:val="nil"/>
              <w:right w:val="nil"/>
            </w:tcBorders>
          </w:tcPr>
          <w:p w:rsidR="0070375D" w:rsidRPr="00774D76" w:rsidRDefault="0070375D" w:rsidP="00774D76">
            <w:pPr>
              <w:pStyle w:val="TableofFigures"/>
              <w:rPr>
                <w:color w:val="000000"/>
                <w:sz w:val="19"/>
                <w:lang w:eastAsia="en-AU"/>
              </w:rPr>
            </w:pPr>
            <w:r w:rsidRPr="00774D76">
              <w:rPr>
                <w:color w:val="000000"/>
                <w:sz w:val="19"/>
                <w:lang w:eastAsia="en-AU"/>
              </w:rPr>
              <w:t>22.7</w:t>
            </w:r>
          </w:p>
        </w:tc>
      </w:tr>
      <w:tr w:rsidR="0070375D" w:rsidRPr="00774D76" w:rsidTr="00774D76">
        <w:tc>
          <w:tcPr>
            <w:tcW w:w="1994" w:type="dxa"/>
            <w:tcBorders>
              <w:top w:val="nil"/>
              <w:left w:val="nil"/>
              <w:bottom w:val="nil"/>
              <w:right w:val="nil"/>
            </w:tcBorders>
          </w:tcPr>
          <w:p w:rsidR="0070375D" w:rsidRPr="00774D76" w:rsidRDefault="0070375D" w:rsidP="00774D76">
            <w:pPr>
              <w:pStyle w:val="Tabletext"/>
              <w:rPr>
                <w:color w:val="000000"/>
                <w:sz w:val="19"/>
                <w:vertAlign w:val="superscript"/>
                <w:lang w:eastAsia="en-AU"/>
              </w:rPr>
            </w:pPr>
            <w:r w:rsidRPr="00774D76">
              <w:rPr>
                <w:color w:val="000000"/>
                <w:sz w:val="19"/>
                <w:lang w:eastAsia="en-AU"/>
              </w:rPr>
              <w:t>Net debt to GSP</w:t>
            </w:r>
            <w:r w:rsidRPr="00774D76">
              <w:rPr>
                <w:color w:val="000000"/>
                <w:sz w:val="19"/>
                <w:vertAlign w:val="superscript"/>
                <w:lang w:eastAsia="en-AU"/>
              </w:rPr>
              <w:t xml:space="preserve"> (c)</w:t>
            </w:r>
          </w:p>
        </w:tc>
        <w:tc>
          <w:tcPr>
            <w:tcW w:w="810" w:type="dxa"/>
            <w:tcBorders>
              <w:top w:val="nil"/>
              <w:left w:val="nil"/>
              <w:bottom w:val="nil"/>
              <w:right w:val="nil"/>
            </w:tcBorders>
          </w:tcPr>
          <w:p w:rsidR="0070375D" w:rsidRPr="00774D76" w:rsidRDefault="0070375D" w:rsidP="00774D76">
            <w:pPr>
              <w:pStyle w:val="Tabletextcentred"/>
              <w:rPr>
                <w:color w:val="000000"/>
                <w:sz w:val="19"/>
                <w:lang w:eastAsia="en-AU"/>
              </w:rPr>
            </w:pPr>
            <w:r w:rsidRPr="00774D76">
              <w:rPr>
                <w:color w:val="000000"/>
                <w:sz w:val="19"/>
                <w:lang w:eastAsia="en-AU"/>
              </w:rPr>
              <w:t>per cent</w:t>
            </w:r>
          </w:p>
        </w:tc>
        <w:tc>
          <w:tcPr>
            <w:tcW w:w="828" w:type="dxa"/>
            <w:tcBorders>
              <w:top w:val="nil"/>
              <w:left w:val="nil"/>
              <w:bottom w:val="nil"/>
              <w:right w:val="nil"/>
            </w:tcBorders>
          </w:tcPr>
          <w:p w:rsidR="0070375D" w:rsidRPr="00774D76" w:rsidRDefault="0070375D" w:rsidP="00774D76">
            <w:pPr>
              <w:pStyle w:val="TableofFigures"/>
              <w:rPr>
                <w:color w:val="000000"/>
                <w:sz w:val="19"/>
                <w:lang w:eastAsia="en-AU"/>
              </w:rPr>
            </w:pPr>
            <w:r w:rsidRPr="00774D76">
              <w:rPr>
                <w:color w:val="000000"/>
                <w:sz w:val="19"/>
                <w:lang w:eastAsia="en-AU"/>
              </w:rPr>
              <w:t>4.6</w:t>
            </w:r>
          </w:p>
        </w:tc>
        <w:tc>
          <w:tcPr>
            <w:tcW w:w="829" w:type="dxa"/>
            <w:tcBorders>
              <w:top w:val="nil"/>
              <w:left w:val="nil"/>
              <w:bottom w:val="nil"/>
              <w:right w:val="nil"/>
            </w:tcBorders>
          </w:tcPr>
          <w:p w:rsidR="0070375D" w:rsidRPr="00774D76" w:rsidRDefault="0070375D" w:rsidP="00774D76">
            <w:pPr>
              <w:pStyle w:val="TableofFigures"/>
              <w:rPr>
                <w:color w:val="000000"/>
                <w:sz w:val="19"/>
                <w:lang w:eastAsia="en-AU"/>
              </w:rPr>
            </w:pPr>
            <w:r w:rsidRPr="00774D76">
              <w:rPr>
                <w:color w:val="000000"/>
                <w:sz w:val="19"/>
                <w:lang w:eastAsia="en-AU"/>
              </w:rPr>
              <w:t>5.8</w:t>
            </w:r>
          </w:p>
        </w:tc>
        <w:tc>
          <w:tcPr>
            <w:tcW w:w="829" w:type="dxa"/>
            <w:tcBorders>
              <w:top w:val="nil"/>
              <w:left w:val="nil"/>
              <w:bottom w:val="nil"/>
              <w:right w:val="nil"/>
            </w:tcBorders>
          </w:tcPr>
          <w:p w:rsidR="0070375D" w:rsidRPr="00774D76" w:rsidRDefault="0070375D" w:rsidP="00774D76">
            <w:pPr>
              <w:pStyle w:val="TableofFigures"/>
              <w:rPr>
                <w:color w:val="000000"/>
                <w:sz w:val="19"/>
                <w:lang w:eastAsia="en-AU"/>
              </w:rPr>
            </w:pPr>
            <w:r w:rsidRPr="00774D76">
              <w:rPr>
                <w:color w:val="000000"/>
                <w:sz w:val="19"/>
                <w:lang w:eastAsia="en-AU"/>
              </w:rPr>
              <w:t>6.4</w:t>
            </w:r>
          </w:p>
        </w:tc>
        <w:tc>
          <w:tcPr>
            <w:tcW w:w="828" w:type="dxa"/>
            <w:tcBorders>
              <w:top w:val="nil"/>
              <w:left w:val="nil"/>
              <w:bottom w:val="nil"/>
              <w:right w:val="nil"/>
            </w:tcBorders>
          </w:tcPr>
          <w:p w:rsidR="0070375D" w:rsidRPr="00774D76" w:rsidRDefault="0070375D" w:rsidP="00774D76">
            <w:pPr>
              <w:pStyle w:val="TableofFigures"/>
              <w:rPr>
                <w:color w:val="000000"/>
                <w:sz w:val="19"/>
                <w:lang w:eastAsia="en-AU"/>
              </w:rPr>
            </w:pPr>
            <w:r w:rsidRPr="00774D76">
              <w:rPr>
                <w:color w:val="000000"/>
                <w:sz w:val="19"/>
                <w:lang w:eastAsia="en-AU"/>
              </w:rPr>
              <w:t>6.6</w:t>
            </w:r>
          </w:p>
        </w:tc>
        <w:tc>
          <w:tcPr>
            <w:tcW w:w="829" w:type="dxa"/>
            <w:tcBorders>
              <w:top w:val="nil"/>
              <w:left w:val="nil"/>
              <w:bottom w:val="nil"/>
              <w:right w:val="nil"/>
            </w:tcBorders>
          </w:tcPr>
          <w:p w:rsidR="0070375D" w:rsidRPr="00774D76" w:rsidRDefault="0070375D" w:rsidP="00774D76">
            <w:pPr>
              <w:pStyle w:val="TableofFigures"/>
              <w:rPr>
                <w:color w:val="000000"/>
                <w:sz w:val="19"/>
                <w:lang w:eastAsia="en-AU"/>
              </w:rPr>
            </w:pPr>
            <w:r w:rsidRPr="00774D76">
              <w:rPr>
                <w:color w:val="000000"/>
                <w:sz w:val="19"/>
                <w:lang w:eastAsia="en-AU"/>
              </w:rPr>
              <w:t>6.1</w:t>
            </w:r>
          </w:p>
        </w:tc>
        <w:tc>
          <w:tcPr>
            <w:tcW w:w="829" w:type="dxa"/>
            <w:tcBorders>
              <w:top w:val="nil"/>
              <w:left w:val="nil"/>
              <w:bottom w:val="nil"/>
              <w:right w:val="nil"/>
            </w:tcBorders>
          </w:tcPr>
          <w:p w:rsidR="0070375D" w:rsidRPr="00774D76" w:rsidRDefault="0070375D" w:rsidP="00774D76">
            <w:pPr>
              <w:pStyle w:val="TableofFigures"/>
              <w:rPr>
                <w:color w:val="000000"/>
                <w:sz w:val="19"/>
                <w:lang w:eastAsia="en-AU"/>
              </w:rPr>
            </w:pPr>
            <w:r w:rsidRPr="00774D76">
              <w:rPr>
                <w:color w:val="000000"/>
                <w:sz w:val="19"/>
                <w:lang w:eastAsia="en-AU"/>
              </w:rPr>
              <w:t>5.4</w:t>
            </w:r>
          </w:p>
        </w:tc>
      </w:tr>
      <w:tr w:rsidR="0070375D" w:rsidRPr="00774D76" w:rsidTr="00774D76">
        <w:tc>
          <w:tcPr>
            <w:tcW w:w="1994" w:type="dxa"/>
            <w:tcBorders>
              <w:top w:val="nil"/>
              <w:left w:val="nil"/>
              <w:bottom w:val="single" w:sz="12" w:space="0" w:color="auto"/>
              <w:right w:val="nil"/>
            </w:tcBorders>
          </w:tcPr>
          <w:p w:rsidR="0070375D" w:rsidRPr="00774D76" w:rsidRDefault="0070375D" w:rsidP="00774D76">
            <w:pPr>
              <w:pStyle w:val="Tabletext"/>
              <w:rPr>
                <w:rFonts w:eastAsiaTheme="minorEastAsia" w:cs="Calibri"/>
                <w:color w:val="000000"/>
                <w:sz w:val="19"/>
                <w:vertAlign w:val="superscript"/>
                <w:lang w:eastAsia="en-AU"/>
              </w:rPr>
            </w:pPr>
            <w:r w:rsidRPr="00774D76">
              <w:rPr>
                <w:color w:val="000000"/>
                <w:sz w:val="19"/>
                <w:lang w:eastAsia="en-AU"/>
              </w:rPr>
              <w:t xml:space="preserve">Government infrastructure investment </w:t>
            </w:r>
            <w:r w:rsidRPr="00774D76">
              <w:rPr>
                <w:rFonts w:eastAsiaTheme="minorEastAsia" w:cs="Calibri"/>
                <w:color w:val="000000"/>
                <w:sz w:val="19"/>
                <w:vertAlign w:val="superscript"/>
                <w:lang w:eastAsia="en-AU"/>
              </w:rPr>
              <w:t>(d)</w:t>
            </w:r>
          </w:p>
        </w:tc>
        <w:tc>
          <w:tcPr>
            <w:tcW w:w="810" w:type="dxa"/>
            <w:tcBorders>
              <w:top w:val="nil"/>
              <w:left w:val="nil"/>
              <w:bottom w:val="single" w:sz="12" w:space="0" w:color="auto"/>
              <w:right w:val="nil"/>
            </w:tcBorders>
          </w:tcPr>
          <w:p w:rsidR="0070375D" w:rsidRPr="00774D76" w:rsidRDefault="0070375D" w:rsidP="00774D76">
            <w:pPr>
              <w:pStyle w:val="Tabletextcentred"/>
              <w:rPr>
                <w:rFonts w:eastAsiaTheme="minorEastAsia" w:cs="Calibri"/>
                <w:color w:val="000000"/>
                <w:sz w:val="19"/>
                <w:lang w:eastAsia="en-AU"/>
              </w:rPr>
            </w:pPr>
            <w:r w:rsidRPr="00774D76">
              <w:rPr>
                <w:color w:val="000000"/>
                <w:sz w:val="19"/>
                <w:lang w:eastAsia="en-AU"/>
              </w:rPr>
              <w:t xml:space="preserve">$ </w:t>
            </w:r>
            <w:r w:rsidRPr="00774D76">
              <w:rPr>
                <w:rFonts w:eastAsiaTheme="minorEastAsia" w:cs="Calibri"/>
                <w:color w:val="000000"/>
                <w:sz w:val="19"/>
                <w:lang w:eastAsia="en-AU"/>
              </w:rPr>
              <w:t>billion</w:t>
            </w:r>
          </w:p>
        </w:tc>
        <w:tc>
          <w:tcPr>
            <w:tcW w:w="828" w:type="dxa"/>
            <w:tcBorders>
              <w:top w:val="nil"/>
              <w:left w:val="nil"/>
              <w:bottom w:val="single" w:sz="12" w:space="0" w:color="auto"/>
              <w:right w:val="nil"/>
            </w:tcBorders>
          </w:tcPr>
          <w:p w:rsidR="0070375D" w:rsidRPr="00774D76" w:rsidRDefault="0070375D" w:rsidP="00774D76">
            <w:pPr>
              <w:pStyle w:val="TableofFigures"/>
              <w:rPr>
                <w:color w:val="000000"/>
                <w:sz w:val="19"/>
                <w:lang w:eastAsia="en-AU"/>
              </w:rPr>
            </w:pPr>
            <w:r w:rsidRPr="00774D76">
              <w:rPr>
                <w:color w:val="000000"/>
                <w:sz w:val="19"/>
                <w:lang w:eastAsia="en-AU"/>
              </w:rPr>
              <w:t xml:space="preserve"> 5.4</w:t>
            </w:r>
          </w:p>
        </w:tc>
        <w:tc>
          <w:tcPr>
            <w:tcW w:w="829" w:type="dxa"/>
            <w:tcBorders>
              <w:top w:val="nil"/>
              <w:left w:val="nil"/>
              <w:bottom w:val="single" w:sz="12" w:space="0" w:color="auto"/>
              <w:right w:val="nil"/>
            </w:tcBorders>
          </w:tcPr>
          <w:p w:rsidR="0070375D" w:rsidRPr="00774D76" w:rsidRDefault="0070375D" w:rsidP="00774D76">
            <w:pPr>
              <w:pStyle w:val="TableofFigures"/>
              <w:rPr>
                <w:color w:val="000000"/>
                <w:sz w:val="19"/>
                <w:lang w:eastAsia="en-AU"/>
              </w:rPr>
            </w:pPr>
            <w:r w:rsidRPr="00774D76">
              <w:rPr>
                <w:color w:val="000000"/>
                <w:sz w:val="19"/>
                <w:lang w:eastAsia="en-AU"/>
              </w:rPr>
              <w:t xml:space="preserve"> 5.4</w:t>
            </w:r>
          </w:p>
        </w:tc>
        <w:tc>
          <w:tcPr>
            <w:tcW w:w="829" w:type="dxa"/>
            <w:tcBorders>
              <w:top w:val="nil"/>
              <w:left w:val="nil"/>
              <w:bottom w:val="single" w:sz="12" w:space="0" w:color="auto"/>
              <w:right w:val="nil"/>
            </w:tcBorders>
          </w:tcPr>
          <w:p w:rsidR="0070375D" w:rsidRPr="00774D76" w:rsidRDefault="0070375D" w:rsidP="00774D76">
            <w:pPr>
              <w:pStyle w:val="TableofFigures"/>
              <w:rPr>
                <w:color w:val="000000"/>
                <w:sz w:val="19"/>
                <w:lang w:eastAsia="en-AU"/>
              </w:rPr>
            </w:pPr>
            <w:r w:rsidRPr="00774D76">
              <w:rPr>
                <w:color w:val="000000"/>
                <w:sz w:val="19"/>
                <w:lang w:eastAsia="en-AU"/>
              </w:rPr>
              <w:t xml:space="preserve"> 6.1</w:t>
            </w:r>
          </w:p>
        </w:tc>
        <w:tc>
          <w:tcPr>
            <w:tcW w:w="828" w:type="dxa"/>
            <w:tcBorders>
              <w:top w:val="nil"/>
              <w:left w:val="nil"/>
              <w:bottom w:val="single" w:sz="12" w:space="0" w:color="auto"/>
              <w:right w:val="nil"/>
            </w:tcBorders>
          </w:tcPr>
          <w:p w:rsidR="0070375D" w:rsidRPr="00774D76" w:rsidRDefault="0070375D" w:rsidP="00774D76">
            <w:pPr>
              <w:pStyle w:val="TableofFigures"/>
              <w:rPr>
                <w:color w:val="000000"/>
                <w:sz w:val="19"/>
                <w:lang w:eastAsia="en-AU"/>
              </w:rPr>
            </w:pPr>
            <w:r w:rsidRPr="00774D76">
              <w:rPr>
                <w:color w:val="000000"/>
                <w:sz w:val="19"/>
                <w:lang w:eastAsia="en-AU"/>
              </w:rPr>
              <w:t xml:space="preserve"> 6.6</w:t>
            </w:r>
          </w:p>
        </w:tc>
        <w:tc>
          <w:tcPr>
            <w:tcW w:w="829" w:type="dxa"/>
            <w:tcBorders>
              <w:top w:val="nil"/>
              <w:left w:val="nil"/>
              <w:bottom w:val="single" w:sz="12" w:space="0" w:color="auto"/>
              <w:right w:val="nil"/>
            </w:tcBorders>
          </w:tcPr>
          <w:p w:rsidR="0070375D" w:rsidRPr="00774D76" w:rsidRDefault="0070375D" w:rsidP="00774D76">
            <w:pPr>
              <w:pStyle w:val="TableofFigures"/>
              <w:rPr>
                <w:color w:val="000000"/>
                <w:sz w:val="19"/>
                <w:lang w:eastAsia="en-AU"/>
              </w:rPr>
            </w:pPr>
            <w:r w:rsidRPr="00774D76">
              <w:rPr>
                <w:color w:val="000000"/>
                <w:sz w:val="19"/>
                <w:lang w:eastAsia="en-AU"/>
              </w:rPr>
              <w:t xml:space="preserve"> 4.0</w:t>
            </w:r>
          </w:p>
        </w:tc>
        <w:tc>
          <w:tcPr>
            <w:tcW w:w="829" w:type="dxa"/>
            <w:tcBorders>
              <w:top w:val="nil"/>
              <w:left w:val="nil"/>
              <w:bottom w:val="single" w:sz="12" w:space="0" w:color="auto"/>
              <w:right w:val="nil"/>
            </w:tcBorders>
          </w:tcPr>
          <w:p w:rsidR="0070375D" w:rsidRPr="00774D76" w:rsidRDefault="0070375D" w:rsidP="00774D76">
            <w:pPr>
              <w:pStyle w:val="TableofFigures"/>
              <w:rPr>
                <w:color w:val="000000"/>
                <w:sz w:val="19"/>
                <w:lang w:eastAsia="en-AU"/>
              </w:rPr>
            </w:pPr>
            <w:r w:rsidRPr="00774D76">
              <w:rPr>
                <w:color w:val="000000"/>
                <w:sz w:val="19"/>
                <w:lang w:eastAsia="en-AU"/>
              </w:rPr>
              <w:t xml:space="preserve"> 3.5</w:t>
            </w:r>
          </w:p>
        </w:tc>
      </w:tr>
    </w:tbl>
    <w:p w:rsidR="0070375D" w:rsidRDefault="0070375D" w:rsidP="002B6FD9">
      <w:pPr>
        <w:pStyle w:val="Source"/>
      </w:pPr>
      <w:r>
        <w:t>Source: Department of Treasury and Finance</w:t>
      </w:r>
    </w:p>
    <w:p w:rsidR="0070375D" w:rsidRDefault="0070375D" w:rsidP="00583CAC">
      <w:pPr>
        <w:pStyle w:val="Notes"/>
      </w:pPr>
      <w:r>
        <w:t>Notes:</w:t>
      </w:r>
    </w:p>
    <w:p w:rsidR="0070375D" w:rsidRDefault="0070375D" w:rsidP="00583CAC">
      <w:pPr>
        <w:pStyle w:val="Notes"/>
      </w:pPr>
      <w:r>
        <w:t>(a)</w:t>
      </w:r>
      <w:r>
        <w:tab/>
        <w:t xml:space="preserve">Equals to the net result from transactions after excluding the impact of the revised AASB 119 </w:t>
      </w:r>
      <w:r w:rsidRPr="002F421C">
        <w:rPr>
          <w:i w:val="0"/>
        </w:rPr>
        <w:t>Employee Benefits</w:t>
      </w:r>
      <w:r>
        <w:t>, which applies from 2013</w:t>
      </w:r>
      <w:r w:rsidR="00276239">
        <w:noBreakHyphen/>
      </w:r>
      <w:r>
        <w:t>14.</w:t>
      </w:r>
    </w:p>
    <w:p w:rsidR="0070375D" w:rsidRDefault="0070375D" w:rsidP="00583CAC">
      <w:pPr>
        <w:pStyle w:val="Notes"/>
      </w:pPr>
      <w:r>
        <w:t>(b)</w:t>
      </w:r>
      <w:r>
        <w:tab/>
      </w:r>
      <w:r w:rsidRPr="00F86745">
        <w:t>The sum of borrowings, deposits held and advances received less the sum of cash and deposits, advances paid, and investments, loans and placements.</w:t>
      </w:r>
    </w:p>
    <w:p w:rsidR="0070375D" w:rsidRDefault="0070375D" w:rsidP="00583CAC">
      <w:pPr>
        <w:pStyle w:val="Notes"/>
      </w:pPr>
      <w:r>
        <w:t>(c)</w:t>
      </w:r>
      <w:r>
        <w:tab/>
      </w:r>
      <w:r w:rsidRPr="00F86745">
        <w:t>Ratios to GSP may vary from publications year to year due to revisions to the ABS GSP data</w:t>
      </w:r>
      <w:r>
        <w:t>.</w:t>
      </w:r>
    </w:p>
    <w:p w:rsidR="0070375D" w:rsidRDefault="0070375D" w:rsidP="00583CAC">
      <w:pPr>
        <w:pStyle w:val="Notes"/>
      </w:pPr>
      <w:r>
        <w:t>(d)</w:t>
      </w:r>
      <w:r>
        <w:tab/>
        <w:t>Includes general government net infrastructure investment and estimated cashflows for Partnerships Victoria projects, and excludes one</w:t>
      </w:r>
      <w:r w:rsidR="00276239">
        <w:noBreakHyphen/>
      </w:r>
      <w:r>
        <w:t xml:space="preserve">off fiscal stimulus payments for </w:t>
      </w:r>
      <w:r w:rsidRPr="00A806A8">
        <w:t xml:space="preserve">Nation Building – Economic Stimulus Plan </w:t>
      </w:r>
      <w:r>
        <w:t xml:space="preserve">Social Housing component and </w:t>
      </w:r>
      <w:r w:rsidRPr="00F00A93">
        <w:rPr>
          <w:i w:val="0"/>
        </w:rPr>
        <w:t>Building the Education Revolution</w:t>
      </w:r>
      <w:r>
        <w:t>.</w:t>
      </w:r>
    </w:p>
    <w:p w:rsidR="0070375D" w:rsidRDefault="0070375D" w:rsidP="00583CAC"/>
    <w:p w:rsidR="0070375D" w:rsidRDefault="0070375D" w:rsidP="00583CAC">
      <w:r w:rsidRPr="002167D3">
        <w:t>The operating result</w:t>
      </w:r>
      <w:r>
        <w:fldChar w:fldCharType="begin"/>
      </w:r>
      <w:r>
        <w:instrText xml:space="preserve"> XE "</w:instrText>
      </w:r>
      <w:r w:rsidRPr="006178CC">
        <w:instrText>Operating result</w:instrText>
      </w:r>
      <w:r>
        <w:instrText xml:space="preserve">" </w:instrText>
      </w:r>
      <w:r>
        <w:fldChar w:fldCharType="end"/>
      </w:r>
      <w:r w:rsidRPr="002167D3">
        <w:t xml:space="preserve"> (net result from transactions) for the general governmen</w:t>
      </w:r>
      <w:r>
        <w:t>t sector is expected to be $225 million</w:t>
      </w:r>
      <w:r w:rsidRPr="002167D3">
        <w:t xml:space="preserve"> in 201</w:t>
      </w:r>
      <w:r>
        <w:t>3</w:t>
      </w:r>
      <w:r w:rsidR="00276239">
        <w:noBreakHyphen/>
      </w:r>
      <w:r>
        <w:t>14</w:t>
      </w:r>
      <w:r w:rsidRPr="002167D3">
        <w:t>, increasing to $2.5</w:t>
      </w:r>
      <w:r>
        <w:t> billion</w:t>
      </w:r>
      <w:r w:rsidRPr="002167D3">
        <w:t xml:space="preserve"> by 2016</w:t>
      </w:r>
      <w:r w:rsidR="00276239">
        <w:noBreakHyphen/>
      </w:r>
      <w:r w:rsidRPr="002167D3">
        <w:t>17. Growing operating surpluses support</w:t>
      </w:r>
      <w:r>
        <w:t>,</w:t>
      </w:r>
      <w:r w:rsidRPr="002167D3">
        <w:t xml:space="preserve"> and are consistent </w:t>
      </w:r>
      <w:r>
        <w:t>with, the Government</w:t>
      </w:r>
      <w:r w:rsidR="00276239">
        <w:t>’</w:t>
      </w:r>
      <w:r w:rsidRPr="002167D3">
        <w:t>s medium</w:t>
      </w:r>
      <w:r w:rsidR="00276239">
        <w:noBreakHyphen/>
      </w:r>
      <w:r w:rsidRPr="002167D3">
        <w:t>term fiscal strategy.</w:t>
      </w:r>
    </w:p>
    <w:p w:rsidR="0070375D" w:rsidRDefault="0070375D" w:rsidP="00583CAC">
      <w:r w:rsidRPr="00A4039C">
        <w:t xml:space="preserve">The </w:t>
      </w:r>
      <w:r>
        <w:t>government fiscal result</w:t>
      </w:r>
      <w:r>
        <w:fldChar w:fldCharType="begin"/>
      </w:r>
      <w:r>
        <w:instrText xml:space="preserve"> XE "</w:instrText>
      </w:r>
      <w:r w:rsidRPr="006178CC">
        <w:instrText>Government fiscal result</w:instrText>
      </w:r>
      <w:r>
        <w:instrText xml:space="preserve">" </w:instrText>
      </w:r>
      <w:r>
        <w:fldChar w:fldCharType="end"/>
      </w:r>
      <w:r>
        <w:t xml:space="preserve"> excludes the impact of the revised accounting standard AASB </w:t>
      </w:r>
      <w:r w:rsidRPr="004F3E36">
        <w:t>119</w:t>
      </w:r>
      <w:r>
        <w:rPr>
          <w:i/>
        </w:rPr>
        <w:t xml:space="preserve"> </w:t>
      </w:r>
      <w:r w:rsidRPr="008016F5">
        <w:rPr>
          <w:i/>
        </w:rPr>
        <w:t>Employee Benefits</w:t>
      </w:r>
      <w:r>
        <w:t>, which changes the way defined benefit superannuation costs are presented in the operating statement. This measure provides another analytical measure of Victoria</w:t>
      </w:r>
      <w:r w:rsidR="00276239">
        <w:t>’</w:t>
      </w:r>
      <w:r>
        <w:t>s fiscal outlook that is comparable with estimates of the operating result in previous publications. A detailed explanation of the revision to AASB 119</w:t>
      </w:r>
      <w:r>
        <w:fldChar w:fldCharType="begin"/>
      </w:r>
      <w:r>
        <w:instrText xml:space="preserve"> XE "</w:instrText>
      </w:r>
      <w:r w:rsidRPr="006178CC">
        <w:instrText>AASB</w:instrText>
      </w:r>
      <w:r>
        <w:instrText xml:space="preserve"> </w:instrText>
      </w:r>
      <w:r w:rsidRPr="006178CC">
        <w:instrText xml:space="preserve">119 </w:instrText>
      </w:r>
      <w:r w:rsidRPr="00C8577B">
        <w:rPr>
          <w:i/>
        </w:rPr>
        <w:instrText>Employee Benefits</w:instrText>
      </w:r>
      <w:r>
        <w:instrText xml:space="preserve">" </w:instrText>
      </w:r>
      <w:r>
        <w:fldChar w:fldCharType="end"/>
      </w:r>
      <w:r>
        <w:t xml:space="preserve"> can be found at </w:t>
      </w:r>
      <w:r w:rsidR="00F00A93" w:rsidRPr="004F3E36">
        <w:t>Note 1</w:t>
      </w:r>
      <w:r w:rsidR="00F00A93">
        <w:t xml:space="preserve"> of </w:t>
      </w:r>
      <w:r>
        <w:t xml:space="preserve">Budget Paper No. 5 </w:t>
      </w:r>
      <w:r w:rsidRPr="004F3E36">
        <w:rPr>
          <w:i/>
        </w:rPr>
        <w:t>Estimated Financial Statements</w:t>
      </w:r>
      <w:r w:rsidRPr="004F3E36">
        <w:t>.</w:t>
      </w:r>
      <w:r>
        <w:t xml:space="preserve"> The estimated government fiscal result for 2013</w:t>
      </w:r>
      <w:r w:rsidR="00276239">
        <w:noBreakHyphen/>
      </w:r>
      <w:r>
        <w:t>14 is $818 million, increasing to $3.2 billion by 2016</w:t>
      </w:r>
      <w:r w:rsidR="00276239">
        <w:noBreakHyphen/>
      </w:r>
      <w:r>
        <w:t>17.</w:t>
      </w:r>
    </w:p>
    <w:p w:rsidR="0070375D" w:rsidRDefault="0070375D" w:rsidP="00583CAC">
      <w:r>
        <w:t>These strong and growing operating surpluses will be used to invest in state</w:t>
      </w:r>
      <w:r w:rsidR="00276239">
        <w:noBreakHyphen/>
      </w:r>
      <w:r>
        <w:t>changing infrastructure, including East West Link</w:t>
      </w:r>
      <w:r>
        <w:fldChar w:fldCharType="begin"/>
      </w:r>
      <w:r>
        <w:instrText xml:space="preserve"> XE "</w:instrText>
      </w:r>
      <w:r w:rsidRPr="006178CC">
        <w:instrText>East West Link</w:instrText>
      </w:r>
      <w:r>
        <w:instrText xml:space="preserve">" </w:instrText>
      </w:r>
      <w:r>
        <w:fldChar w:fldCharType="end"/>
      </w:r>
      <w:r>
        <w:t xml:space="preserve"> – Stage 1. These forecasts have been revised down over the period 2013</w:t>
      </w:r>
      <w:r w:rsidR="00276239">
        <w:noBreakHyphen/>
      </w:r>
      <w:r>
        <w:t>14 and 2015</w:t>
      </w:r>
      <w:r w:rsidR="00276239">
        <w:noBreakHyphen/>
      </w:r>
      <w:r>
        <w:t xml:space="preserve">16 since the </w:t>
      </w:r>
      <w:r w:rsidRPr="00D11D07">
        <w:rPr>
          <w:i/>
        </w:rPr>
        <w:t>2012</w:t>
      </w:r>
      <w:r w:rsidR="00276239">
        <w:rPr>
          <w:i/>
        </w:rPr>
        <w:noBreakHyphen/>
      </w:r>
      <w:r w:rsidRPr="00D11D07">
        <w:rPr>
          <w:i/>
        </w:rPr>
        <w:t>13 Budget Update</w:t>
      </w:r>
      <w:r>
        <w:t>. These revisions largely reflect lower expected revenue from GST</w:t>
      </w:r>
      <w:r>
        <w:fldChar w:fldCharType="begin"/>
      </w:r>
      <w:r>
        <w:instrText xml:space="preserve"> XE "</w:instrText>
      </w:r>
      <w:r w:rsidRPr="006178CC">
        <w:instrText>Goods and services tax</w:instrText>
      </w:r>
      <w:r>
        <w:instrText xml:space="preserve">" </w:instrText>
      </w:r>
      <w:r>
        <w:fldChar w:fldCharType="end"/>
      </w:r>
      <w:r>
        <w:t xml:space="preserve"> and other Commonwealth grants, partially offset by the net impact of higher investment income together with new policy initiatives announced in the </w:t>
      </w:r>
      <w:r w:rsidRPr="00AF49F2">
        <w:rPr>
          <w:i/>
        </w:rPr>
        <w:t>2013</w:t>
      </w:r>
      <w:r w:rsidR="00276239">
        <w:rPr>
          <w:i/>
        </w:rPr>
        <w:noBreakHyphen/>
      </w:r>
      <w:r w:rsidRPr="00AF49F2">
        <w:rPr>
          <w:i/>
        </w:rPr>
        <w:t>14 Budget</w:t>
      </w:r>
      <w:r>
        <w:t xml:space="preserve"> funded through new savings, the release of contingencies for policy purposes and targeted revenue measures.</w:t>
      </w:r>
    </w:p>
    <w:p w:rsidR="0070375D" w:rsidRDefault="0070375D" w:rsidP="00583CAC">
      <w:r>
        <w:t>Net debt</w:t>
      </w:r>
      <w:r>
        <w:fldChar w:fldCharType="begin"/>
      </w:r>
      <w:r>
        <w:instrText xml:space="preserve"> XE "</w:instrText>
      </w:r>
      <w:r w:rsidR="00AE1BAD">
        <w:instrText>Debt:</w:instrText>
      </w:r>
      <w:r w:rsidRPr="00BA58B7">
        <w:instrText>Net debt</w:instrText>
      </w:r>
      <w:r>
        <w:instrText xml:space="preserve">" </w:instrText>
      </w:r>
      <w:r>
        <w:fldChar w:fldCharType="end"/>
      </w:r>
      <w:r>
        <w:t xml:space="preserve"> is forecast to increase in 2013</w:t>
      </w:r>
      <w:r w:rsidR="00276239">
        <w:noBreakHyphen/>
      </w:r>
      <w:r>
        <w:t>14 and 2014</w:t>
      </w:r>
      <w:r w:rsidR="00276239">
        <w:noBreakHyphen/>
      </w:r>
      <w:r>
        <w:t>15, rising to 6.6 per cent of GSP at June 2015. Once the full impact of the Government</w:t>
      </w:r>
      <w:r w:rsidR="00276239">
        <w:t>’</w:t>
      </w:r>
      <w:r>
        <w:t>s fiscal restraint is realised, the growing operating surpluses will produce sufficient cash balances to fully fund infrastructure investment and reduce net debt. By June 2017 net debt is expected to have fallen significantly in both nominal dollars and as a proportion of GSP.</w:t>
      </w:r>
    </w:p>
    <w:p w:rsidR="0070375D" w:rsidRDefault="0070375D" w:rsidP="00583CAC">
      <w:pPr>
        <w:pStyle w:val="Heading1"/>
      </w:pPr>
      <w:bookmarkStart w:id="45" w:name="_Toc355372028"/>
      <w:r>
        <w:lastRenderedPageBreak/>
        <w:t>Budget and forward estimates outlook</w:t>
      </w:r>
      <w:bookmarkEnd w:id="45"/>
    </w:p>
    <w:p w:rsidR="0070375D" w:rsidRPr="00322212" w:rsidRDefault="0070375D" w:rsidP="001F7132">
      <w:r>
        <w:t>Table 4</w:t>
      </w:r>
      <w:r w:rsidRPr="00DF427C">
        <w:t xml:space="preserve">.2 presents a summary operating </w:t>
      </w:r>
      <w:r w:rsidRPr="0044563E">
        <w:t>statement for t</w:t>
      </w:r>
      <w:r w:rsidR="00F00A93">
        <w:t>he general government sector. A </w:t>
      </w:r>
      <w:r w:rsidRPr="0044563E">
        <w:t xml:space="preserve">comprehensive operating statement is presented in </w:t>
      </w:r>
      <w:r>
        <w:t xml:space="preserve">Budget Paper No. 5, Chapter 1 </w:t>
      </w:r>
      <w:r>
        <w:rPr>
          <w:i/>
        </w:rPr>
        <w:t>Estimated Financial Statements for the general government sector.</w:t>
      </w:r>
      <w:r>
        <w:rPr>
          <w:i/>
        </w:rPr>
        <w:fldChar w:fldCharType="begin"/>
      </w:r>
      <w:r>
        <w:instrText xml:space="preserve"> XE "</w:instrText>
      </w:r>
      <w:r w:rsidRPr="006178CC">
        <w:instrText>Budget and forward estimates outlook</w:instrText>
      </w:r>
      <w:r>
        <w:instrText xml:space="preserve">" </w:instrText>
      </w:r>
      <w:r>
        <w:rPr>
          <w:i/>
        </w:rPr>
        <w:fldChar w:fldCharType="end"/>
      </w:r>
    </w:p>
    <w:p w:rsidR="0070375D" w:rsidRDefault="0070375D" w:rsidP="001F7132">
      <w:pPr>
        <w:pStyle w:val="Tableheading"/>
        <w:rPr>
          <w:vertAlign w:val="superscript"/>
        </w:rPr>
      </w:pPr>
      <w:r>
        <w:t>Table </w:t>
      </w:r>
      <w:r w:rsidRPr="003E66F6">
        <w:t xml:space="preserve">4.2: </w:t>
      </w:r>
      <w:r w:rsidRPr="003E66F6">
        <w:tab/>
      </w:r>
      <w:r w:rsidRPr="001F7132">
        <w:t>Summary</w:t>
      </w:r>
      <w:r w:rsidRPr="003E66F6">
        <w:t xml:space="preserve"> operating statement for the general government sector</w:t>
      </w:r>
      <w:r w:rsidRPr="003E66F6">
        <w:rPr>
          <w:vertAlign w:val="superscript"/>
        </w:rPr>
        <w:t>(a)</w:t>
      </w:r>
      <w:r>
        <w:rPr>
          <w:vertAlign w:val="superscript"/>
        </w:rPr>
        <w:t>(b)</w:t>
      </w:r>
    </w:p>
    <w:p w:rsidR="0070375D" w:rsidRPr="008C353A" w:rsidRDefault="0070375D" w:rsidP="008C353A">
      <w:pPr>
        <w:pStyle w:val="million"/>
        <w:rPr>
          <w:rFonts w:ascii="Times New Roman" w:hAnsi="Times New Roman"/>
          <w:sz w:val="20"/>
          <w:lang w:eastAsia="en-AU"/>
        </w:rPr>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552"/>
        <w:gridCol w:w="162"/>
        <w:gridCol w:w="360"/>
        <w:gridCol w:w="483"/>
        <w:gridCol w:w="844"/>
        <w:gridCol w:w="844"/>
        <w:gridCol w:w="843"/>
        <w:gridCol w:w="844"/>
        <w:gridCol w:w="844"/>
      </w:tblGrid>
      <w:tr w:rsidR="0070375D" w:rsidRPr="00F00A93" w:rsidTr="008C353A">
        <w:tc>
          <w:tcPr>
            <w:tcW w:w="2714" w:type="dxa"/>
            <w:gridSpan w:val="2"/>
            <w:tcBorders>
              <w:top w:val="single" w:sz="4" w:space="0" w:color="auto"/>
              <w:left w:val="single" w:sz="4" w:space="0" w:color="auto"/>
              <w:bottom w:val="nil"/>
              <w:right w:val="nil"/>
            </w:tcBorders>
            <w:shd w:val="clear" w:color="auto" w:fill="000000"/>
          </w:tcPr>
          <w:p w:rsidR="0070375D" w:rsidRPr="00F00A93" w:rsidRDefault="0070375D" w:rsidP="008C353A">
            <w:pPr>
              <w:pStyle w:val="Tabletext"/>
              <w:rPr>
                <w:rFonts w:eastAsiaTheme="minorEastAsia"/>
                <w:sz w:val="19"/>
                <w:szCs w:val="19"/>
                <w:lang w:eastAsia="en-AU"/>
              </w:rPr>
            </w:pPr>
            <w:r w:rsidRPr="00F00A93">
              <w:rPr>
                <w:rFonts w:eastAsiaTheme="minorEastAsia"/>
                <w:sz w:val="19"/>
                <w:szCs w:val="19"/>
                <w:lang w:eastAsia="en-AU"/>
              </w:rPr>
              <w:t xml:space="preserve"> </w:t>
            </w:r>
          </w:p>
        </w:tc>
        <w:tc>
          <w:tcPr>
            <w:tcW w:w="843" w:type="dxa"/>
            <w:gridSpan w:val="2"/>
            <w:tcBorders>
              <w:top w:val="single" w:sz="4" w:space="0" w:color="auto"/>
              <w:left w:val="nil"/>
              <w:bottom w:val="nil"/>
              <w:right w:val="nil"/>
            </w:tcBorders>
            <w:shd w:val="clear" w:color="auto" w:fill="000000"/>
          </w:tcPr>
          <w:p w:rsidR="0070375D" w:rsidRPr="00F00A93" w:rsidRDefault="0070375D" w:rsidP="008C353A">
            <w:pPr>
              <w:pStyle w:val="Tabletextheading"/>
              <w:rPr>
                <w:rFonts w:eastAsiaTheme="minorEastAsia"/>
                <w:sz w:val="19"/>
                <w:szCs w:val="19"/>
                <w:lang w:eastAsia="en-AU"/>
              </w:rPr>
            </w:pPr>
            <w:r w:rsidRPr="00F00A93">
              <w:rPr>
                <w:rFonts w:eastAsiaTheme="minorEastAsia"/>
                <w:sz w:val="19"/>
                <w:szCs w:val="19"/>
                <w:lang w:eastAsia="en-AU"/>
              </w:rPr>
              <w:t>2011</w:t>
            </w:r>
            <w:r w:rsidR="00276239">
              <w:rPr>
                <w:rFonts w:eastAsiaTheme="minorEastAsia"/>
                <w:sz w:val="19"/>
                <w:szCs w:val="19"/>
                <w:lang w:eastAsia="en-AU"/>
              </w:rPr>
              <w:noBreakHyphen/>
            </w:r>
            <w:r w:rsidRPr="00F00A93">
              <w:rPr>
                <w:rFonts w:eastAsiaTheme="minorEastAsia"/>
                <w:sz w:val="19"/>
                <w:szCs w:val="19"/>
                <w:lang w:eastAsia="en-AU"/>
              </w:rPr>
              <w:t>12</w:t>
            </w:r>
          </w:p>
        </w:tc>
        <w:tc>
          <w:tcPr>
            <w:tcW w:w="844" w:type="dxa"/>
            <w:tcBorders>
              <w:top w:val="single" w:sz="4" w:space="0" w:color="auto"/>
              <w:left w:val="nil"/>
              <w:bottom w:val="nil"/>
              <w:right w:val="nil"/>
            </w:tcBorders>
            <w:shd w:val="clear" w:color="auto" w:fill="000000"/>
          </w:tcPr>
          <w:p w:rsidR="0070375D" w:rsidRPr="00F00A93" w:rsidRDefault="0070375D" w:rsidP="008C353A">
            <w:pPr>
              <w:pStyle w:val="Tabletextheading"/>
              <w:rPr>
                <w:rFonts w:eastAsiaTheme="minorEastAsia"/>
                <w:sz w:val="19"/>
                <w:szCs w:val="19"/>
                <w:lang w:eastAsia="en-AU"/>
              </w:rPr>
            </w:pPr>
            <w:r w:rsidRPr="00F00A93">
              <w:rPr>
                <w:rFonts w:eastAsiaTheme="minorEastAsia"/>
                <w:sz w:val="19"/>
                <w:szCs w:val="19"/>
                <w:lang w:eastAsia="en-AU"/>
              </w:rPr>
              <w:t>2012</w:t>
            </w:r>
            <w:r w:rsidR="00276239">
              <w:rPr>
                <w:rFonts w:eastAsiaTheme="minorEastAsia"/>
                <w:sz w:val="19"/>
                <w:szCs w:val="19"/>
                <w:lang w:eastAsia="en-AU"/>
              </w:rPr>
              <w:noBreakHyphen/>
            </w:r>
            <w:r w:rsidRPr="00F00A93">
              <w:rPr>
                <w:rFonts w:eastAsiaTheme="minorEastAsia"/>
                <w:sz w:val="19"/>
                <w:szCs w:val="19"/>
                <w:lang w:eastAsia="en-AU"/>
              </w:rPr>
              <w:t>13</w:t>
            </w:r>
          </w:p>
        </w:tc>
        <w:tc>
          <w:tcPr>
            <w:tcW w:w="844" w:type="dxa"/>
            <w:tcBorders>
              <w:top w:val="single" w:sz="4" w:space="0" w:color="auto"/>
              <w:left w:val="nil"/>
              <w:bottom w:val="nil"/>
              <w:right w:val="nil"/>
            </w:tcBorders>
            <w:shd w:val="clear" w:color="auto" w:fill="000000"/>
          </w:tcPr>
          <w:p w:rsidR="0070375D" w:rsidRPr="00F00A93" w:rsidRDefault="0070375D" w:rsidP="008C353A">
            <w:pPr>
              <w:pStyle w:val="Tabletextheading"/>
              <w:rPr>
                <w:rFonts w:eastAsiaTheme="minorEastAsia"/>
                <w:sz w:val="19"/>
                <w:szCs w:val="19"/>
                <w:lang w:eastAsia="en-AU"/>
              </w:rPr>
            </w:pPr>
            <w:r w:rsidRPr="00F00A93">
              <w:rPr>
                <w:rFonts w:eastAsiaTheme="minorEastAsia"/>
                <w:sz w:val="19"/>
                <w:szCs w:val="19"/>
                <w:lang w:eastAsia="en-AU"/>
              </w:rPr>
              <w:t>2013</w:t>
            </w:r>
            <w:r w:rsidR="00276239">
              <w:rPr>
                <w:rFonts w:eastAsiaTheme="minorEastAsia"/>
                <w:sz w:val="19"/>
                <w:szCs w:val="19"/>
                <w:lang w:eastAsia="en-AU"/>
              </w:rPr>
              <w:noBreakHyphen/>
            </w:r>
            <w:r w:rsidRPr="00F00A93">
              <w:rPr>
                <w:rFonts w:eastAsiaTheme="minorEastAsia"/>
                <w:sz w:val="19"/>
                <w:szCs w:val="19"/>
                <w:lang w:eastAsia="en-AU"/>
              </w:rPr>
              <w:t>14</w:t>
            </w:r>
          </w:p>
        </w:tc>
        <w:tc>
          <w:tcPr>
            <w:tcW w:w="843" w:type="dxa"/>
            <w:tcBorders>
              <w:top w:val="single" w:sz="4" w:space="0" w:color="auto"/>
              <w:left w:val="nil"/>
              <w:bottom w:val="nil"/>
              <w:right w:val="nil"/>
            </w:tcBorders>
            <w:shd w:val="clear" w:color="auto" w:fill="000000"/>
          </w:tcPr>
          <w:p w:rsidR="0070375D" w:rsidRPr="00F00A93" w:rsidRDefault="0070375D" w:rsidP="008C353A">
            <w:pPr>
              <w:pStyle w:val="Tabletextheading"/>
              <w:rPr>
                <w:rFonts w:eastAsiaTheme="minorEastAsia"/>
                <w:sz w:val="19"/>
                <w:szCs w:val="19"/>
                <w:lang w:eastAsia="en-AU"/>
              </w:rPr>
            </w:pPr>
            <w:r w:rsidRPr="00F00A93">
              <w:rPr>
                <w:rFonts w:eastAsiaTheme="minorEastAsia"/>
                <w:sz w:val="19"/>
                <w:szCs w:val="19"/>
                <w:lang w:eastAsia="en-AU"/>
              </w:rPr>
              <w:t>2014</w:t>
            </w:r>
            <w:r w:rsidR="00276239">
              <w:rPr>
                <w:rFonts w:eastAsiaTheme="minorEastAsia"/>
                <w:sz w:val="19"/>
                <w:szCs w:val="19"/>
                <w:lang w:eastAsia="en-AU"/>
              </w:rPr>
              <w:noBreakHyphen/>
            </w:r>
            <w:r w:rsidRPr="00F00A93">
              <w:rPr>
                <w:rFonts w:eastAsiaTheme="minorEastAsia"/>
                <w:sz w:val="19"/>
                <w:szCs w:val="19"/>
                <w:lang w:eastAsia="en-AU"/>
              </w:rPr>
              <w:t>15</w:t>
            </w:r>
          </w:p>
        </w:tc>
        <w:tc>
          <w:tcPr>
            <w:tcW w:w="844" w:type="dxa"/>
            <w:tcBorders>
              <w:top w:val="single" w:sz="4" w:space="0" w:color="auto"/>
              <w:left w:val="nil"/>
              <w:bottom w:val="nil"/>
              <w:right w:val="nil"/>
            </w:tcBorders>
            <w:shd w:val="clear" w:color="auto" w:fill="000000"/>
          </w:tcPr>
          <w:p w:rsidR="0070375D" w:rsidRPr="00F00A93" w:rsidRDefault="0070375D" w:rsidP="008C353A">
            <w:pPr>
              <w:pStyle w:val="Tabletextheading"/>
              <w:rPr>
                <w:rFonts w:eastAsiaTheme="minorEastAsia"/>
                <w:sz w:val="19"/>
                <w:szCs w:val="19"/>
                <w:lang w:eastAsia="en-AU"/>
              </w:rPr>
            </w:pPr>
            <w:r w:rsidRPr="00F00A93">
              <w:rPr>
                <w:rFonts w:eastAsiaTheme="minorEastAsia"/>
                <w:sz w:val="19"/>
                <w:szCs w:val="19"/>
                <w:lang w:eastAsia="en-AU"/>
              </w:rPr>
              <w:t>2015</w:t>
            </w:r>
            <w:r w:rsidR="00276239">
              <w:rPr>
                <w:rFonts w:eastAsiaTheme="minorEastAsia"/>
                <w:sz w:val="19"/>
                <w:szCs w:val="19"/>
                <w:lang w:eastAsia="en-AU"/>
              </w:rPr>
              <w:noBreakHyphen/>
            </w:r>
            <w:r w:rsidRPr="00F00A93">
              <w:rPr>
                <w:rFonts w:eastAsiaTheme="minorEastAsia"/>
                <w:sz w:val="19"/>
                <w:szCs w:val="19"/>
                <w:lang w:eastAsia="en-AU"/>
              </w:rPr>
              <w:t>16</w:t>
            </w:r>
          </w:p>
        </w:tc>
        <w:tc>
          <w:tcPr>
            <w:tcW w:w="844" w:type="dxa"/>
            <w:tcBorders>
              <w:top w:val="single" w:sz="4" w:space="0" w:color="auto"/>
              <w:left w:val="nil"/>
              <w:bottom w:val="nil"/>
              <w:right w:val="single" w:sz="4" w:space="0" w:color="auto"/>
            </w:tcBorders>
            <w:shd w:val="clear" w:color="auto" w:fill="000000"/>
          </w:tcPr>
          <w:p w:rsidR="0070375D" w:rsidRPr="00F00A93" w:rsidRDefault="0070375D" w:rsidP="008C353A">
            <w:pPr>
              <w:pStyle w:val="Tabletextheading"/>
              <w:rPr>
                <w:rFonts w:eastAsiaTheme="minorEastAsia"/>
                <w:sz w:val="19"/>
                <w:szCs w:val="19"/>
                <w:lang w:eastAsia="en-AU"/>
              </w:rPr>
            </w:pPr>
            <w:r w:rsidRPr="00F00A93">
              <w:rPr>
                <w:rFonts w:eastAsiaTheme="minorEastAsia"/>
                <w:sz w:val="19"/>
                <w:szCs w:val="19"/>
                <w:lang w:eastAsia="en-AU"/>
              </w:rPr>
              <w:t>2016</w:t>
            </w:r>
            <w:r w:rsidR="00276239">
              <w:rPr>
                <w:rFonts w:eastAsiaTheme="minorEastAsia"/>
                <w:sz w:val="19"/>
                <w:szCs w:val="19"/>
                <w:lang w:eastAsia="en-AU"/>
              </w:rPr>
              <w:noBreakHyphen/>
            </w:r>
            <w:r w:rsidRPr="00F00A93">
              <w:rPr>
                <w:rFonts w:eastAsiaTheme="minorEastAsia"/>
                <w:sz w:val="19"/>
                <w:szCs w:val="19"/>
                <w:lang w:eastAsia="en-AU"/>
              </w:rPr>
              <w:t>17</w:t>
            </w:r>
          </w:p>
        </w:tc>
      </w:tr>
      <w:tr w:rsidR="0070375D" w:rsidRPr="00F00A93" w:rsidTr="008C353A">
        <w:tc>
          <w:tcPr>
            <w:tcW w:w="2714" w:type="dxa"/>
            <w:gridSpan w:val="2"/>
            <w:tcBorders>
              <w:top w:val="nil"/>
              <w:left w:val="single" w:sz="4" w:space="0" w:color="auto"/>
              <w:bottom w:val="single" w:sz="4" w:space="0" w:color="auto"/>
              <w:right w:val="nil"/>
            </w:tcBorders>
            <w:shd w:val="clear" w:color="auto" w:fill="000000"/>
          </w:tcPr>
          <w:p w:rsidR="0070375D" w:rsidRPr="00F00A93" w:rsidRDefault="0070375D" w:rsidP="008C353A">
            <w:pPr>
              <w:pStyle w:val="Tabletext"/>
              <w:rPr>
                <w:rFonts w:eastAsiaTheme="minorEastAsia"/>
                <w:sz w:val="19"/>
                <w:szCs w:val="19"/>
                <w:lang w:eastAsia="en-AU"/>
              </w:rPr>
            </w:pPr>
            <w:r w:rsidRPr="00F00A93">
              <w:rPr>
                <w:rFonts w:eastAsiaTheme="minorEastAsia"/>
                <w:sz w:val="19"/>
                <w:szCs w:val="19"/>
                <w:lang w:eastAsia="en-AU"/>
              </w:rPr>
              <w:t xml:space="preserve"> </w:t>
            </w:r>
          </w:p>
        </w:tc>
        <w:tc>
          <w:tcPr>
            <w:tcW w:w="843" w:type="dxa"/>
            <w:gridSpan w:val="2"/>
            <w:tcBorders>
              <w:top w:val="nil"/>
              <w:left w:val="nil"/>
              <w:bottom w:val="single" w:sz="4" w:space="0" w:color="auto"/>
              <w:right w:val="nil"/>
            </w:tcBorders>
            <w:shd w:val="clear" w:color="auto" w:fill="000000"/>
          </w:tcPr>
          <w:p w:rsidR="0070375D" w:rsidRPr="00F00A93" w:rsidRDefault="0070375D" w:rsidP="008C353A">
            <w:pPr>
              <w:pStyle w:val="Tabletextheading"/>
              <w:rPr>
                <w:rFonts w:eastAsiaTheme="minorEastAsia"/>
                <w:sz w:val="19"/>
                <w:szCs w:val="19"/>
                <w:lang w:eastAsia="en-AU"/>
              </w:rPr>
            </w:pPr>
            <w:r w:rsidRPr="00F00A93">
              <w:rPr>
                <w:rFonts w:eastAsiaTheme="minorEastAsia"/>
                <w:sz w:val="19"/>
                <w:szCs w:val="19"/>
                <w:lang w:eastAsia="en-AU"/>
              </w:rPr>
              <w:t>Actual</w:t>
            </w:r>
          </w:p>
        </w:tc>
        <w:tc>
          <w:tcPr>
            <w:tcW w:w="844" w:type="dxa"/>
            <w:tcBorders>
              <w:top w:val="nil"/>
              <w:left w:val="nil"/>
              <w:bottom w:val="single" w:sz="4" w:space="0" w:color="auto"/>
              <w:right w:val="nil"/>
            </w:tcBorders>
            <w:shd w:val="clear" w:color="auto" w:fill="000000"/>
          </w:tcPr>
          <w:p w:rsidR="0070375D" w:rsidRPr="00F00A93" w:rsidRDefault="0070375D" w:rsidP="008C353A">
            <w:pPr>
              <w:pStyle w:val="Tabletextheading"/>
              <w:rPr>
                <w:rFonts w:eastAsiaTheme="minorEastAsia"/>
                <w:sz w:val="19"/>
                <w:szCs w:val="19"/>
                <w:lang w:eastAsia="en-AU"/>
              </w:rPr>
            </w:pPr>
            <w:r w:rsidRPr="00F00A93">
              <w:rPr>
                <w:rFonts w:eastAsiaTheme="minorEastAsia"/>
                <w:sz w:val="19"/>
                <w:szCs w:val="19"/>
                <w:lang w:eastAsia="en-AU"/>
              </w:rPr>
              <w:t>Revised</w:t>
            </w:r>
          </w:p>
        </w:tc>
        <w:tc>
          <w:tcPr>
            <w:tcW w:w="844" w:type="dxa"/>
            <w:tcBorders>
              <w:top w:val="nil"/>
              <w:left w:val="nil"/>
              <w:bottom w:val="single" w:sz="4" w:space="0" w:color="auto"/>
              <w:right w:val="nil"/>
            </w:tcBorders>
            <w:shd w:val="clear" w:color="auto" w:fill="000000"/>
          </w:tcPr>
          <w:p w:rsidR="0070375D" w:rsidRPr="00F00A93" w:rsidRDefault="0070375D" w:rsidP="008C353A">
            <w:pPr>
              <w:pStyle w:val="Tabletextheading"/>
              <w:rPr>
                <w:rFonts w:eastAsiaTheme="minorEastAsia"/>
                <w:sz w:val="19"/>
                <w:szCs w:val="19"/>
                <w:lang w:eastAsia="en-AU"/>
              </w:rPr>
            </w:pPr>
            <w:r w:rsidRPr="00F00A93">
              <w:rPr>
                <w:rFonts w:eastAsiaTheme="minorEastAsia"/>
                <w:sz w:val="19"/>
                <w:szCs w:val="19"/>
                <w:lang w:eastAsia="en-AU"/>
              </w:rPr>
              <w:t>Budget</w:t>
            </w:r>
          </w:p>
        </w:tc>
        <w:tc>
          <w:tcPr>
            <w:tcW w:w="843" w:type="dxa"/>
            <w:tcBorders>
              <w:top w:val="nil"/>
              <w:left w:val="nil"/>
              <w:bottom w:val="single" w:sz="4" w:space="0" w:color="auto"/>
              <w:right w:val="nil"/>
            </w:tcBorders>
            <w:shd w:val="clear" w:color="auto" w:fill="000000"/>
          </w:tcPr>
          <w:p w:rsidR="0070375D" w:rsidRPr="00F00A93" w:rsidRDefault="0070375D" w:rsidP="008C353A">
            <w:pPr>
              <w:pStyle w:val="Tabletextheading"/>
              <w:rPr>
                <w:rFonts w:eastAsiaTheme="minorEastAsia"/>
                <w:sz w:val="19"/>
                <w:szCs w:val="19"/>
                <w:lang w:eastAsia="en-AU"/>
              </w:rPr>
            </w:pPr>
            <w:r w:rsidRPr="00F00A93">
              <w:rPr>
                <w:rFonts w:eastAsiaTheme="minorEastAsia"/>
                <w:sz w:val="19"/>
                <w:szCs w:val="19"/>
                <w:lang w:eastAsia="en-AU"/>
              </w:rPr>
              <w:t>Estimate</w:t>
            </w:r>
          </w:p>
        </w:tc>
        <w:tc>
          <w:tcPr>
            <w:tcW w:w="844" w:type="dxa"/>
            <w:tcBorders>
              <w:top w:val="nil"/>
              <w:left w:val="nil"/>
              <w:bottom w:val="single" w:sz="4" w:space="0" w:color="auto"/>
              <w:right w:val="nil"/>
            </w:tcBorders>
            <w:shd w:val="clear" w:color="auto" w:fill="000000"/>
          </w:tcPr>
          <w:p w:rsidR="0070375D" w:rsidRPr="00F00A93" w:rsidRDefault="0070375D" w:rsidP="008C353A">
            <w:pPr>
              <w:pStyle w:val="Tabletextheading"/>
              <w:rPr>
                <w:rFonts w:eastAsiaTheme="minorEastAsia"/>
                <w:sz w:val="19"/>
                <w:szCs w:val="19"/>
                <w:lang w:eastAsia="en-AU"/>
              </w:rPr>
            </w:pPr>
            <w:r w:rsidRPr="00F00A93">
              <w:rPr>
                <w:rFonts w:eastAsiaTheme="minorEastAsia"/>
                <w:sz w:val="19"/>
                <w:szCs w:val="19"/>
                <w:lang w:eastAsia="en-AU"/>
              </w:rPr>
              <w:t>Estimate</w:t>
            </w:r>
          </w:p>
        </w:tc>
        <w:tc>
          <w:tcPr>
            <w:tcW w:w="844" w:type="dxa"/>
            <w:tcBorders>
              <w:top w:val="nil"/>
              <w:left w:val="nil"/>
              <w:bottom w:val="single" w:sz="4" w:space="0" w:color="auto"/>
              <w:right w:val="single" w:sz="4" w:space="0" w:color="auto"/>
            </w:tcBorders>
            <w:shd w:val="clear" w:color="auto" w:fill="000000"/>
          </w:tcPr>
          <w:p w:rsidR="0070375D" w:rsidRPr="00F00A93" w:rsidRDefault="0070375D" w:rsidP="008C353A">
            <w:pPr>
              <w:pStyle w:val="Tabletextheading"/>
              <w:rPr>
                <w:rFonts w:eastAsiaTheme="minorEastAsia"/>
                <w:sz w:val="19"/>
                <w:szCs w:val="19"/>
                <w:lang w:eastAsia="en-AU"/>
              </w:rPr>
            </w:pPr>
            <w:r w:rsidRPr="00F00A93">
              <w:rPr>
                <w:rFonts w:eastAsiaTheme="minorEastAsia"/>
                <w:sz w:val="19"/>
                <w:szCs w:val="19"/>
                <w:lang w:eastAsia="en-AU"/>
              </w:rPr>
              <w:t>Estimate</w:t>
            </w:r>
          </w:p>
        </w:tc>
      </w:tr>
      <w:tr w:rsidR="0070375D" w:rsidRPr="00F00A93" w:rsidTr="008C353A">
        <w:tc>
          <w:tcPr>
            <w:tcW w:w="2714" w:type="dxa"/>
            <w:gridSpan w:val="2"/>
            <w:tcBorders>
              <w:top w:val="single" w:sz="4" w:space="0" w:color="auto"/>
              <w:left w:val="nil"/>
              <w:bottom w:val="nil"/>
              <w:right w:val="nil"/>
            </w:tcBorders>
          </w:tcPr>
          <w:p w:rsidR="0070375D" w:rsidRPr="00F00A93" w:rsidRDefault="0070375D" w:rsidP="008C353A">
            <w:pPr>
              <w:pStyle w:val="Tabletext"/>
              <w:rPr>
                <w:rFonts w:eastAsiaTheme="minorEastAsia"/>
                <w:b/>
                <w:bCs/>
                <w:color w:val="000000"/>
                <w:sz w:val="19"/>
                <w:szCs w:val="19"/>
                <w:lang w:eastAsia="en-AU"/>
              </w:rPr>
            </w:pPr>
            <w:r w:rsidRPr="00F00A93">
              <w:rPr>
                <w:rFonts w:eastAsiaTheme="minorEastAsia"/>
                <w:b/>
                <w:bCs/>
                <w:color w:val="000000"/>
                <w:sz w:val="19"/>
                <w:szCs w:val="19"/>
                <w:lang w:eastAsia="en-AU"/>
              </w:rPr>
              <w:t>Revenue</w:t>
            </w:r>
          </w:p>
        </w:tc>
        <w:tc>
          <w:tcPr>
            <w:tcW w:w="843" w:type="dxa"/>
            <w:gridSpan w:val="2"/>
            <w:tcBorders>
              <w:top w:val="single" w:sz="4" w:space="0" w:color="auto"/>
              <w:left w:val="nil"/>
              <w:bottom w:val="nil"/>
              <w:right w:val="nil"/>
            </w:tcBorders>
          </w:tcPr>
          <w:p w:rsidR="0070375D" w:rsidRPr="00F00A93" w:rsidRDefault="0070375D" w:rsidP="008C353A">
            <w:pPr>
              <w:pStyle w:val="TableofFigures"/>
              <w:rPr>
                <w:rFonts w:eastAsiaTheme="minorEastAsia"/>
                <w:b/>
                <w:bCs/>
                <w:color w:val="000000"/>
                <w:sz w:val="19"/>
                <w:szCs w:val="19"/>
                <w:lang w:eastAsia="en-AU"/>
              </w:rPr>
            </w:pPr>
          </w:p>
        </w:tc>
        <w:tc>
          <w:tcPr>
            <w:tcW w:w="844" w:type="dxa"/>
            <w:tcBorders>
              <w:top w:val="single" w:sz="4" w:space="0" w:color="auto"/>
              <w:left w:val="nil"/>
              <w:bottom w:val="nil"/>
              <w:right w:val="nil"/>
            </w:tcBorders>
          </w:tcPr>
          <w:p w:rsidR="0070375D" w:rsidRPr="00F00A93" w:rsidRDefault="0070375D" w:rsidP="008C353A">
            <w:pPr>
              <w:pStyle w:val="TableofFigures"/>
              <w:rPr>
                <w:rFonts w:eastAsiaTheme="minorEastAsia"/>
                <w:b/>
                <w:bCs/>
                <w:color w:val="000000"/>
                <w:sz w:val="19"/>
                <w:szCs w:val="19"/>
                <w:lang w:eastAsia="en-AU"/>
              </w:rPr>
            </w:pPr>
          </w:p>
        </w:tc>
        <w:tc>
          <w:tcPr>
            <w:tcW w:w="844" w:type="dxa"/>
            <w:tcBorders>
              <w:top w:val="single" w:sz="4" w:space="0" w:color="auto"/>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 xml:space="preserve">        </w:t>
            </w:r>
          </w:p>
        </w:tc>
        <w:tc>
          <w:tcPr>
            <w:tcW w:w="843" w:type="dxa"/>
            <w:tcBorders>
              <w:top w:val="single" w:sz="4" w:space="0" w:color="auto"/>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 xml:space="preserve">         </w:t>
            </w:r>
          </w:p>
        </w:tc>
        <w:tc>
          <w:tcPr>
            <w:tcW w:w="844" w:type="dxa"/>
            <w:tcBorders>
              <w:top w:val="single" w:sz="4" w:space="0" w:color="auto"/>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 xml:space="preserve">        </w:t>
            </w:r>
          </w:p>
        </w:tc>
        <w:tc>
          <w:tcPr>
            <w:tcW w:w="844" w:type="dxa"/>
            <w:tcBorders>
              <w:top w:val="single" w:sz="4" w:space="0" w:color="auto"/>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p>
        </w:tc>
      </w:tr>
      <w:tr w:rsidR="0070375D" w:rsidRPr="00F00A93" w:rsidTr="008C353A">
        <w:tc>
          <w:tcPr>
            <w:tcW w:w="2714" w:type="dxa"/>
            <w:gridSpan w:val="2"/>
            <w:tcBorders>
              <w:top w:val="nil"/>
              <w:left w:val="nil"/>
              <w:bottom w:val="nil"/>
              <w:right w:val="nil"/>
            </w:tcBorders>
          </w:tcPr>
          <w:p w:rsidR="0070375D" w:rsidRPr="00F00A93" w:rsidRDefault="0070375D" w:rsidP="008C353A">
            <w:pPr>
              <w:pStyle w:val="Tabletext"/>
              <w:rPr>
                <w:rFonts w:eastAsiaTheme="minorEastAsia"/>
                <w:color w:val="000000"/>
                <w:sz w:val="19"/>
                <w:szCs w:val="19"/>
                <w:lang w:eastAsia="en-AU"/>
              </w:rPr>
            </w:pPr>
            <w:r w:rsidRPr="00F00A93">
              <w:rPr>
                <w:rFonts w:eastAsiaTheme="minorEastAsia"/>
                <w:color w:val="000000"/>
                <w:sz w:val="19"/>
                <w:szCs w:val="19"/>
                <w:lang w:eastAsia="en-AU"/>
              </w:rPr>
              <w:t>Taxation</w:t>
            </w:r>
          </w:p>
        </w:tc>
        <w:tc>
          <w:tcPr>
            <w:tcW w:w="843" w:type="dxa"/>
            <w:gridSpan w:val="2"/>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15 026.9</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15 621.4</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16 454.4</w:t>
            </w:r>
          </w:p>
        </w:tc>
        <w:tc>
          <w:tcPr>
            <w:tcW w:w="843"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17 514.5</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18 299.4</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19 262.0</w:t>
            </w:r>
          </w:p>
        </w:tc>
      </w:tr>
      <w:tr w:rsidR="0070375D" w:rsidRPr="00F00A93" w:rsidTr="008C353A">
        <w:tc>
          <w:tcPr>
            <w:tcW w:w="2714" w:type="dxa"/>
            <w:gridSpan w:val="2"/>
            <w:tcBorders>
              <w:top w:val="nil"/>
              <w:left w:val="nil"/>
              <w:bottom w:val="nil"/>
              <w:right w:val="nil"/>
            </w:tcBorders>
          </w:tcPr>
          <w:p w:rsidR="0070375D" w:rsidRPr="00F00A93" w:rsidRDefault="0070375D" w:rsidP="008C353A">
            <w:pPr>
              <w:pStyle w:val="Tabletext"/>
              <w:rPr>
                <w:rFonts w:eastAsiaTheme="minorEastAsia"/>
                <w:color w:val="000000"/>
                <w:sz w:val="19"/>
                <w:szCs w:val="19"/>
                <w:vertAlign w:val="superscript"/>
                <w:lang w:eastAsia="en-AU"/>
              </w:rPr>
            </w:pPr>
            <w:r w:rsidRPr="00F00A93">
              <w:rPr>
                <w:rFonts w:eastAsiaTheme="minorEastAsia"/>
                <w:color w:val="000000"/>
                <w:sz w:val="19"/>
                <w:szCs w:val="19"/>
                <w:lang w:eastAsia="en-AU"/>
              </w:rPr>
              <w:t xml:space="preserve">Dividends, TER and interest </w:t>
            </w:r>
            <w:r w:rsidRPr="00F00A93">
              <w:rPr>
                <w:rFonts w:eastAsiaTheme="minorEastAsia"/>
                <w:color w:val="000000"/>
                <w:sz w:val="19"/>
                <w:szCs w:val="19"/>
                <w:vertAlign w:val="superscript"/>
                <w:lang w:eastAsia="en-AU"/>
              </w:rPr>
              <w:t>(c)</w:t>
            </w:r>
          </w:p>
        </w:tc>
        <w:tc>
          <w:tcPr>
            <w:tcW w:w="843" w:type="dxa"/>
            <w:gridSpan w:val="2"/>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1 351.7</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1 905.3</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1 538.5</w:t>
            </w:r>
          </w:p>
        </w:tc>
        <w:tc>
          <w:tcPr>
            <w:tcW w:w="843"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1 502.1</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1 641.3</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1 598.2</w:t>
            </w:r>
          </w:p>
        </w:tc>
      </w:tr>
      <w:tr w:rsidR="0070375D" w:rsidRPr="00F00A93" w:rsidTr="008C353A">
        <w:tc>
          <w:tcPr>
            <w:tcW w:w="2714" w:type="dxa"/>
            <w:gridSpan w:val="2"/>
            <w:tcBorders>
              <w:top w:val="nil"/>
              <w:left w:val="nil"/>
              <w:bottom w:val="nil"/>
              <w:right w:val="nil"/>
            </w:tcBorders>
          </w:tcPr>
          <w:p w:rsidR="0070375D" w:rsidRPr="00F00A93" w:rsidRDefault="0070375D" w:rsidP="008C353A">
            <w:pPr>
              <w:pStyle w:val="Tabletext"/>
              <w:rPr>
                <w:rFonts w:eastAsiaTheme="minorEastAsia"/>
                <w:color w:val="000000"/>
                <w:sz w:val="19"/>
                <w:szCs w:val="19"/>
                <w:lang w:eastAsia="en-AU"/>
              </w:rPr>
            </w:pPr>
            <w:r w:rsidRPr="00F00A93">
              <w:rPr>
                <w:rFonts w:eastAsiaTheme="minorEastAsia"/>
                <w:color w:val="000000"/>
                <w:sz w:val="19"/>
                <w:szCs w:val="19"/>
                <w:lang w:eastAsia="en-AU"/>
              </w:rPr>
              <w:t>Sales of goods and services</w:t>
            </w:r>
          </w:p>
        </w:tc>
        <w:tc>
          <w:tcPr>
            <w:tcW w:w="843" w:type="dxa"/>
            <w:gridSpan w:val="2"/>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6 267.2</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6 916.7</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6 949.5</w:t>
            </w:r>
          </w:p>
        </w:tc>
        <w:tc>
          <w:tcPr>
            <w:tcW w:w="843"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7 085.2</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7 336.7</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7 422.1</w:t>
            </w:r>
          </w:p>
        </w:tc>
      </w:tr>
      <w:tr w:rsidR="0070375D" w:rsidRPr="00F00A93" w:rsidTr="008C353A">
        <w:tc>
          <w:tcPr>
            <w:tcW w:w="2714" w:type="dxa"/>
            <w:gridSpan w:val="2"/>
            <w:tcBorders>
              <w:top w:val="nil"/>
              <w:left w:val="nil"/>
              <w:bottom w:val="nil"/>
              <w:right w:val="nil"/>
            </w:tcBorders>
          </w:tcPr>
          <w:p w:rsidR="0070375D" w:rsidRPr="00F00A93" w:rsidRDefault="0070375D" w:rsidP="008C353A">
            <w:pPr>
              <w:pStyle w:val="Tabletext"/>
              <w:rPr>
                <w:rFonts w:eastAsiaTheme="minorEastAsia"/>
                <w:color w:val="000000"/>
                <w:sz w:val="19"/>
                <w:szCs w:val="19"/>
                <w:lang w:eastAsia="en-AU"/>
              </w:rPr>
            </w:pPr>
            <w:r w:rsidRPr="00F00A93">
              <w:rPr>
                <w:rFonts w:eastAsiaTheme="minorEastAsia"/>
                <w:color w:val="000000"/>
                <w:sz w:val="19"/>
                <w:szCs w:val="19"/>
                <w:lang w:eastAsia="en-AU"/>
              </w:rPr>
              <w:t>Grants</w:t>
            </w:r>
          </w:p>
        </w:tc>
        <w:tc>
          <w:tcPr>
            <w:tcW w:w="843" w:type="dxa"/>
            <w:gridSpan w:val="2"/>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22 599.8</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21 693.0</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23 310.5</w:t>
            </w:r>
          </w:p>
        </w:tc>
        <w:tc>
          <w:tcPr>
            <w:tcW w:w="843"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23 937.0</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25 199.6</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26 230.4</w:t>
            </w:r>
          </w:p>
        </w:tc>
      </w:tr>
      <w:tr w:rsidR="0070375D" w:rsidRPr="00F00A93" w:rsidTr="008C353A">
        <w:tc>
          <w:tcPr>
            <w:tcW w:w="2714" w:type="dxa"/>
            <w:gridSpan w:val="2"/>
            <w:tcBorders>
              <w:top w:val="nil"/>
              <w:left w:val="nil"/>
              <w:bottom w:val="nil"/>
              <w:right w:val="nil"/>
            </w:tcBorders>
          </w:tcPr>
          <w:p w:rsidR="0070375D" w:rsidRPr="00F00A93" w:rsidRDefault="0070375D" w:rsidP="008C353A">
            <w:pPr>
              <w:pStyle w:val="Tabletext"/>
              <w:rPr>
                <w:rFonts w:eastAsiaTheme="minorEastAsia" w:cs="Calibri"/>
                <w:color w:val="000000"/>
                <w:sz w:val="19"/>
                <w:szCs w:val="19"/>
                <w:lang w:eastAsia="en-AU"/>
              </w:rPr>
            </w:pPr>
            <w:r w:rsidRPr="00F00A93">
              <w:rPr>
                <w:rFonts w:eastAsiaTheme="minorEastAsia"/>
                <w:color w:val="000000"/>
                <w:sz w:val="19"/>
                <w:szCs w:val="19"/>
                <w:lang w:eastAsia="en-AU"/>
              </w:rPr>
              <w:t xml:space="preserve">Other current </w:t>
            </w:r>
            <w:r w:rsidRPr="00F00A93">
              <w:rPr>
                <w:rFonts w:eastAsiaTheme="minorEastAsia" w:cs="Calibri"/>
                <w:color w:val="000000"/>
                <w:sz w:val="19"/>
                <w:szCs w:val="19"/>
                <w:lang w:eastAsia="en-AU"/>
              </w:rPr>
              <w:t>revenue</w:t>
            </w:r>
          </w:p>
        </w:tc>
        <w:tc>
          <w:tcPr>
            <w:tcW w:w="843" w:type="dxa"/>
            <w:gridSpan w:val="2"/>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2 636.7</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1 969.2</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2 074.5</w:t>
            </w:r>
          </w:p>
        </w:tc>
        <w:tc>
          <w:tcPr>
            <w:tcW w:w="843"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1 935.9</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1 997.3</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2 030.7</w:t>
            </w:r>
          </w:p>
        </w:tc>
      </w:tr>
      <w:tr w:rsidR="0070375D" w:rsidRPr="00F00A93" w:rsidTr="008C353A">
        <w:tc>
          <w:tcPr>
            <w:tcW w:w="2714" w:type="dxa"/>
            <w:gridSpan w:val="2"/>
            <w:tcBorders>
              <w:top w:val="single" w:sz="6" w:space="0" w:color="auto"/>
              <w:left w:val="nil"/>
              <w:bottom w:val="nil"/>
              <w:right w:val="nil"/>
            </w:tcBorders>
          </w:tcPr>
          <w:p w:rsidR="0070375D" w:rsidRPr="00F00A93" w:rsidRDefault="0070375D" w:rsidP="008C353A">
            <w:pPr>
              <w:pStyle w:val="Tabletext"/>
              <w:rPr>
                <w:rFonts w:eastAsiaTheme="minorEastAsia"/>
                <w:b/>
                <w:bCs/>
                <w:color w:val="000000"/>
                <w:sz w:val="19"/>
                <w:szCs w:val="19"/>
                <w:lang w:eastAsia="en-AU"/>
              </w:rPr>
            </w:pPr>
            <w:r w:rsidRPr="00F00A93">
              <w:rPr>
                <w:rFonts w:eastAsiaTheme="minorEastAsia"/>
                <w:b/>
                <w:bCs/>
                <w:color w:val="000000"/>
                <w:sz w:val="19"/>
                <w:szCs w:val="19"/>
                <w:lang w:eastAsia="en-AU"/>
              </w:rPr>
              <w:t>Total revenue</w:t>
            </w:r>
          </w:p>
        </w:tc>
        <w:tc>
          <w:tcPr>
            <w:tcW w:w="843" w:type="dxa"/>
            <w:gridSpan w:val="2"/>
            <w:tcBorders>
              <w:top w:val="single" w:sz="6" w:space="0" w:color="auto"/>
              <w:left w:val="nil"/>
              <w:bottom w:val="nil"/>
              <w:right w:val="nil"/>
            </w:tcBorders>
          </w:tcPr>
          <w:p w:rsidR="0070375D" w:rsidRPr="00F00A93" w:rsidRDefault="0070375D" w:rsidP="008C353A">
            <w:pPr>
              <w:pStyle w:val="TableofFigures"/>
              <w:rPr>
                <w:rFonts w:eastAsiaTheme="minorEastAsia"/>
                <w:b/>
                <w:bCs/>
                <w:color w:val="000000"/>
                <w:sz w:val="19"/>
                <w:szCs w:val="19"/>
                <w:lang w:eastAsia="en-AU"/>
              </w:rPr>
            </w:pPr>
            <w:r w:rsidRPr="00F00A93">
              <w:rPr>
                <w:rFonts w:eastAsiaTheme="minorEastAsia"/>
                <w:b/>
                <w:bCs/>
                <w:color w:val="000000"/>
                <w:sz w:val="19"/>
                <w:szCs w:val="19"/>
                <w:lang w:eastAsia="en-AU"/>
              </w:rPr>
              <w:t>47 882.3</w:t>
            </w:r>
          </w:p>
        </w:tc>
        <w:tc>
          <w:tcPr>
            <w:tcW w:w="844" w:type="dxa"/>
            <w:tcBorders>
              <w:top w:val="single" w:sz="6" w:space="0" w:color="auto"/>
              <w:left w:val="nil"/>
              <w:bottom w:val="nil"/>
              <w:right w:val="nil"/>
            </w:tcBorders>
          </w:tcPr>
          <w:p w:rsidR="0070375D" w:rsidRPr="00F00A93" w:rsidRDefault="0070375D" w:rsidP="008C353A">
            <w:pPr>
              <w:pStyle w:val="TableofFigures"/>
              <w:rPr>
                <w:rFonts w:eastAsiaTheme="minorEastAsia"/>
                <w:b/>
                <w:bCs/>
                <w:color w:val="000000"/>
                <w:sz w:val="19"/>
                <w:szCs w:val="19"/>
                <w:lang w:eastAsia="en-AU"/>
              </w:rPr>
            </w:pPr>
            <w:r w:rsidRPr="00F00A93">
              <w:rPr>
                <w:rFonts w:eastAsiaTheme="minorEastAsia"/>
                <w:b/>
                <w:bCs/>
                <w:color w:val="000000"/>
                <w:sz w:val="19"/>
                <w:szCs w:val="19"/>
                <w:lang w:eastAsia="en-AU"/>
              </w:rPr>
              <w:t>48 105.6</w:t>
            </w:r>
          </w:p>
        </w:tc>
        <w:tc>
          <w:tcPr>
            <w:tcW w:w="844" w:type="dxa"/>
            <w:tcBorders>
              <w:top w:val="single" w:sz="6" w:space="0" w:color="auto"/>
              <w:left w:val="nil"/>
              <w:bottom w:val="nil"/>
              <w:right w:val="nil"/>
            </w:tcBorders>
          </w:tcPr>
          <w:p w:rsidR="0070375D" w:rsidRPr="00F00A93" w:rsidRDefault="0070375D" w:rsidP="008C353A">
            <w:pPr>
              <w:pStyle w:val="TableofFigures"/>
              <w:rPr>
                <w:rFonts w:eastAsiaTheme="minorEastAsia"/>
                <w:b/>
                <w:bCs/>
                <w:color w:val="000000"/>
                <w:sz w:val="19"/>
                <w:szCs w:val="19"/>
                <w:lang w:eastAsia="en-AU"/>
              </w:rPr>
            </w:pPr>
            <w:r w:rsidRPr="00F00A93">
              <w:rPr>
                <w:rFonts w:eastAsiaTheme="minorEastAsia"/>
                <w:b/>
                <w:bCs/>
                <w:color w:val="000000"/>
                <w:sz w:val="19"/>
                <w:szCs w:val="19"/>
                <w:lang w:eastAsia="en-AU"/>
              </w:rPr>
              <w:t>50 327.5</w:t>
            </w:r>
          </w:p>
        </w:tc>
        <w:tc>
          <w:tcPr>
            <w:tcW w:w="843" w:type="dxa"/>
            <w:tcBorders>
              <w:top w:val="single" w:sz="6" w:space="0" w:color="auto"/>
              <w:left w:val="nil"/>
              <w:bottom w:val="nil"/>
              <w:right w:val="nil"/>
            </w:tcBorders>
          </w:tcPr>
          <w:p w:rsidR="0070375D" w:rsidRPr="00F00A93" w:rsidRDefault="0070375D" w:rsidP="008C353A">
            <w:pPr>
              <w:pStyle w:val="TableofFigures"/>
              <w:rPr>
                <w:rFonts w:eastAsiaTheme="minorEastAsia"/>
                <w:b/>
                <w:bCs/>
                <w:color w:val="000000"/>
                <w:sz w:val="19"/>
                <w:szCs w:val="19"/>
                <w:lang w:eastAsia="en-AU"/>
              </w:rPr>
            </w:pPr>
            <w:r w:rsidRPr="00F00A93">
              <w:rPr>
                <w:rFonts w:eastAsiaTheme="minorEastAsia"/>
                <w:b/>
                <w:bCs/>
                <w:color w:val="000000"/>
                <w:sz w:val="19"/>
                <w:szCs w:val="19"/>
                <w:lang w:eastAsia="en-AU"/>
              </w:rPr>
              <w:t>51 974.7</w:t>
            </w:r>
          </w:p>
        </w:tc>
        <w:tc>
          <w:tcPr>
            <w:tcW w:w="844" w:type="dxa"/>
            <w:tcBorders>
              <w:top w:val="single" w:sz="6" w:space="0" w:color="auto"/>
              <w:left w:val="nil"/>
              <w:bottom w:val="nil"/>
              <w:right w:val="nil"/>
            </w:tcBorders>
          </w:tcPr>
          <w:p w:rsidR="0070375D" w:rsidRPr="00F00A93" w:rsidRDefault="0070375D" w:rsidP="008C353A">
            <w:pPr>
              <w:pStyle w:val="TableofFigures"/>
              <w:rPr>
                <w:rFonts w:eastAsiaTheme="minorEastAsia"/>
                <w:b/>
                <w:bCs/>
                <w:color w:val="000000"/>
                <w:sz w:val="19"/>
                <w:szCs w:val="19"/>
                <w:lang w:eastAsia="en-AU"/>
              </w:rPr>
            </w:pPr>
            <w:r w:rsidRPr="00F00A93">
              <w:rPr>
                <w:rFonts w:eastAsiaTheme="minorEastAsia"/>
                <w:b/>
                <w:bCs/>
                <w:color w:val="000000"/>
                <w:sz w:val="19"/>
                <w:szCs w:val="19"/>
                <w:lang w:eastAsia="en-AU"/>
              </w:rPr>
              <w:t>54 474.3</w:t>
            </w:r>
          </w:p>
        </w:tc>
        <w:tc>
          <w:tcPr>
            <w:tcW w:w="844" w:type="dxa"/>
            <w:tcBorders>
              <w:top w:val="single" w:sz="6" w:space="0" w:color="auto"/>
              <w:left w:val="nil"/>
              <w:bottom w:val="nil"/>
              <w:right w:val="nil"/>
            </w:tcBorders>
          </w:tcPr>
          <w:p w:rsidR="0070375D" w:rsidRPr="00F00A93" w:rsidRDefault="0070375D" w:rsidP="008C353A">
            <w:pPr>
              <w:pStyle w:val="TableofFigures"/>
              <w:rPr>
                <w:rFonts w:eastAsiaTheme="minorEastAsia"/>
                <w:b/>
                <w:bCs/>
                <w:color w:val="000000"/>
                <w:sz w:val="19"/>
                <w:szCs w:val="19"/>
                <w:lang w:eastAsia="en-AU"/>
              </w:rPr>
            </w:pPr>
            <w:r w:rsidRPr="00F00A93">
              <w:rPr>
                <w:rFonts w:eastAsiaTheme="minorEastAsia"/>
                <w:b/>
                <w:bCs/>
                <w:color w:val="000000"/>
                <w:sz w:val="19"/>
                <w:szCs w:val="19"/>
                <w:lang w:eastAsia="en-AU"/>
              </w:rPr>
              <w:t>56 543.4</w:t>
            </w:r>
          </w:p>
        </w:tc>
      </w:tr>
      <w:tr w:rsidR="0070375D" w:rsidRPr="00F00A93" w:rsidTr="008C353A">
        <w:tc>
          <w:tcPr>
            <w:tcW w:w="2714" w:type="dxa"/>
            <w:gridSpan w:val="2"/>
            <w:tcBorders>
              <w:top w:val="nil"/>
              <w:left w:val="nil"/>
              <w:bottom w:val="nil"/>
              <w:right w:val="nil"/>
            </w:tcBorders>
          </w:tcPr>
          <w:p w:rsidR="0070375D" w:rsidRPr="00F00A93" w:rsidRDefault="0070375D" w:rsidP="008C353A">
            <w:pPr>
              <w:pStyle w:val="Tabletext"/>
              <w:rPr>
                <w:rFonts w:eastAsiaTheme="minorEastAsia"/>
                <w:i/>
                <w:iCs/>
                <w:color w:val="000000"/>
                <w:sz w:val="19"/>
                <w:szCs w:val="19"/>
                <w:lang w:eastAsia="en-AU"/>
              </w:rPr>
            </w:pPr>
            <w:r w:rsidRPr="00F00A93">
              <w:rPr>
                <w:rFonts w:eastAsiaTheme="minorEastAsia"/>
                <w:i/>
                <w:iCs/>
                <w:color w:val="000000"/>
                <w:sz w:val="19"/>
                <w:szCs w:val="19"/>
                <w:lang w:eastAsia="en-AU"/>
              </w:rPr>
              <w:t>% change</w:t>
            </w:r>
          </w:p>
        </w:tc>
        <w:tc>
          <w:tcPr>
            <w:tcW w:w="843" w:type="dxa"/>
            <w:gridSpan w:val="2"/>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4.0%</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0.5%</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4.6%</w:t>
            </w:r>
          </w:p>
        </w:tc>
        <w:tc>
          <w:tcPr>
            <w:tcW w:w="843"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3.3%</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4.8%</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3.8%</w:t>
            </w:r>
          </w:p>
        </w:tc>
      </w:tr>
      <w:tr w:rsidR="0070375D" w:rsidRPr="00F00A93" w:rsidTr="008C353A">
        <w:trPr>
          <w:trHeight w:hRule="exact" w:val="80"/>
        </w:trPr>
        <w:tc>
          <w:tcPr>
            <w:tcW w:w="2714" w:type="dxa"/>
            <w:gridSpan w:val="2"/>
            <w:tcBorders>
              <w:top w:val="nil"/>
              <w:left w:val="nil"/>
              <w:bottom w:val="nil"/>
              <w:right w:val="nil"/>
            </w:tcBorders>
          </w:tcPr>
          <w:p w:rsidR="0070375D" w:rsidRPr="00F00A93" w:rsidRDefault="0070375D" w:rsidP="008C353A">
            <w:pPr>
              <w:pStyle w:val="Tabletext"/>
              <w:rPr>
                <w:rFonts w:eastAsiaTheme="minorEastAsia"/>
                <w:color w:val="000000"/>
                <w:sz w:val="19"/>
                <w:szCs w:val="19"/>
                <w:lang w:eastAsia="en-AU"/>
              </w:rPr>
            </w:pPr>
            <w:r w:rsidRPr="00F00A93">
              <w:rPr>
                <w:rFonts w:eastAsiaTheme="minorEastAsia"/>
                <w:color w:val="000000"/>
                <w:sz w:val="19"/>
                <w:szCs w:val="19"/>
                <w:lang w:eastAsia="en-AU"/>
              </w:rPr>
              <w:t xml:space="preserve"> </w:t>
            </w:r>
          </w:p>
        </w:tc>
        <w:tc>
          <w:tcPr>
            <w:tcW w:w="843" w:type="dxa"/>
            <w:gridSpan w:val="2"/>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 xml:space="preserve">             </w:t>
            </w:r>
          </w:p>
        </w:tc>
        <w:tc>
          <w:tcPr>
            <w:tcW w:w="843"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 xml:space="preserve">           </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 xml:space="preserve">        </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 xml:space="preserve">        </w:t>
            </w:r>
          </w:p>
        </w:tc>
      </w:tr>
      <w:tr w:rsidR="0070375D" w:rsidRPr="00F00A93" w:rsidTr="008C353A">
        <w:tc>
          <w:tcPr>
            <w:tcW w:w="2714" w:type="dxa"/>
            <w:gridSpan w:val="2"/>
            <w:tcBorders>
              <w:top w:val="nil"/>
              <w:left w:val="nil"/>
              <w:bottom w:val="nil"/>
              <w:right w:val="nil"/>
            </w:tcBorders>
          </w:tcPr>
          <w:p w:rsidR="0070375D" w:rsidRPr="00F00A93" w:rsidRDefault="0070375D" w:rsidP="008C353A">
            <w:pPr>
              <w:pStyle w:val="Tabletext"/>
              <w:rPr>
                <w:rFonts w:eastAsiaTheme="minorEastAsia"/>
                <w:b/>
                <w:bCs/>
                <w:color w:val="000000"/>
                <w:sz w:val="19"/>
                <w:szCs w:val="19"/>
                <w:lang w:eastAsia="en-AU"/>
              </w:rPr>
            </w:pPr>
            <w:r w:rsidRPr="00F00A93">
              <w:rPr>
                <w:rFonts w:eastAsiaTheme="minorEastAsia"/>
                <w:b/>
                <w:bCs/>
                <w:color w:val="000000"/>
                <w:sz w:val="19"/>
                <w:szCs w:val="19"/>
                <w:lang w:eastAsia="en-AU"/>
              </w:rPr>
              <w:t>Expenses</w:t>
            </w:r>
          </w:p>
        </w:tc>
        <w:tc>
          <w:tcPr>
            <w:tcW w:w="843" w:type="dxa"/>
            <w:gridSpan w:val="2"/>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 xml:space="preserve">        </w:t>
            </w:r>
          </w:p>
        </w:tc>
        <w:tc>
          <w:tcPr>
            <w:tcW w:w="843"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 xml:space="preserve">         </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 xml:space="preserve">        </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 xml:space="preserve">        </w:t>
            </w:r>
          </w:p>
        </w:tc>
      </w:tr>
      <w:tr w:rsidR="0070375D" w:rsidRPr="00F00A93" w:rsidTr="008C353A">
        <w:tc>
          <w:tcPr>
            <w:tcW w:w="2714" w:type="dxa"/>
            <w:gridSpan w:val="2"/>
            <w:tcBorders>
              <w:top w:val="nil"/>
              <w:left w:val="nil"/>
              <w:bottom w:val="nil"/>
              <w:right w:val="nil"/>
            </w:tcBorders>
          </w:tcPr>
          <w:p w:rsidR="0070375D" w:rsidRPr="00F00A93" w:rsidRDefault="0070375D" w:rsidP="008C353A">
            <w:pPr>
              <w:pStyle w:val="Tabletext"/>
              <w:rPr>
                <w:rFonts w:eastAsiaTheme="minorEastAsia"/>
                <w:color w:val="000000"/>
                <w:sz w:val="19"/>
                <w:szCs w:val="19"/>
                <w:lang w:eastAsia="en-AU"/>
              </w:rPr>
            </w:pPr>
            <w:r w:rsidRPr="00F00A93">
              <w:rPr>
                <w:rFonts w:eastAsiaTheme="minorEastAsia"/>
                <w:color w:val="000000"/>
                <w:sz w:val="19"/>
                <w:szCs w:val="19"/>
                <w:lang w:eastAsia="en-AU"/>
              </w:rPr>
              <w:t>Employee expenses</w:t>
            </w:r>
          </w:p>
        </w:tc>
        <w:tc>
          <w:tcPr>
            <w:tcW w:w="843" w:type="dxa"/>
            <w:gridSpan w:val="2"/>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17 120.1</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17 546.3</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17 947.1</w:t>
            </w:r>
          </w:p>
        </w:tc>
        <w:tc>
          <w:tcPr>
            <w:tcW w:w="843"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18 667.7</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19 292.7</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19 860.4</w:t>
            </w:r>
          </w:p>
        </w:tc>
      </w:tr>
      <w:tr w:rsidR="0070375D" w:rsidRPr="00F00A93" w:rsidTr="008C353A">
        <w:tc>
          <w:tcPr>
            <w:tcW w:w="2714" w:type="dxa"/>
            <w:gridSpan w:val="2"/>
            <w:tcBorders>
              <w:top w:val="nil"/>
              <w:left w:val="nil"/>
              <w:bottom w:val="nil"/>
              <w:right w:val="nil"/>
            </w:tcBorders>
          </w:tcPr>
          <w:p w:rsidR="0070375D" w:rsidRPr="00F00A93" w:rsidRDefault="0070375D" w:rsidP="008C353A">
            <w:pPr>
              <w:pStyle w:val="Tabletext"/>
              <w:rPr>
                <w:rFonts w:eastAsiaTheme="minorEastAsia"/>
                <w:color w:val="000000"/>
                <w:sz w:val="19"/>
                <w:szCs w:val="19"/>
                <w:vertAlign w:val="superscript"/>
                <w:lang w:eastAsia="en-AU"/>
              </w:rPr>
            </w:pPr>
            <w:r w:rsidRPr="00F00A93">
              <w:rPr>
                <w:rFonts w:eastAsiaTheme="minorEastAsia"/>
                <w:color w:val="000000"/>
                <w:sz w:val="19"/>
                <w:szCs w:val="19"/>
                <w:lang w:eastAsia="en-AU"/>
              </w:rPr>
              <w:t xml:space="preserve">Superannuation </w:t>
            </w:r>
            <w:r w:rsidRPr="00F00A93">
              <w:rPr>
                <w:rFonts w:eastAsiaTheme="minorEastAsia"/>
                <w:color w:val="000000"/>
                <w:sz w:val="19"/>
                <w:szCs w:val="19"/>
                <w:vertAlign w:val="superscript"/>
                <w:lang w:eastAsia="en-AU"/>
              </w:rPr>
              <w:t>(d)</w:t>
            </w:r>
          </w:p>
        </w:tc>
        <w:tc>
          <w:tcPr>
            <w:tcW w:w="843" w:type="dxa"/>
            <w:gridSpan w:val="2"/>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2 632.5</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2 369.4</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3 031.0</w:t>
            </w:r>
          </w:p>
        </w:tc>
        <w:tc>
          <w:tcPr>
            <w:tcW w:w="843"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3 034.4</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3 047.3</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3 048.4</w:t>
            </w:r>
          </w:p>
        </w:tc>
      </w:tr>
      <w:tr w:rsidR="0070375D" w:rsidRPr="00F00A93" w:rsidTr="008C353A">
        <w:tc>
          <w:tcPr>
            <w:tcW w:w="2714" w:type="dxa"/>
            <w:gridSpan w:val="2"/>
            <w:tcBorders>
              <w:top w:val="nil"/>
              <w:left w:val="nil"/>
              <w:bottom w:val="nil"/>
              <w:right w:val="nil"/>
            </w:tcBorders>
          </w:tcPr>
          <w:p w:rsidR="0070375D" w:rsidRPr="00F00A93" w:rsidRDefault="0070375D" w:rsidP="008C353A">
            <w:pPr>
              <w:pStyle w:val="Tabletext"/>
              <w:rPr>
                <w:rFonts w:eastAsiaTheme="minorEastAsia"/>
                <w:color w:val="000000"/>
                <w:sz w:val="19"/>
                <w:szCs w:val="19"/>
                <w:lang w:eastAsia="en-AU"/>
              </w:rPr>
            </w:pPr>
            <w:r w:rsidRPr="00F00A93">
              <w:rPr>
                <w:rFonts w:eastAsiaTheme="minorEastAsia"/>
                <w:color w:val="000000"/>
                <w:sz w:val="19"/>
                <w:szCs w:val="19"/>
                <w:lang w:eastAsia="en-AU"/>
              </w:rPr>
              <w:t>Depreciation</w:t>
            </w:r>
          </w:p>
        </w:tc>
        <w:tc>
          <w:tcPr>
            <w:tcW w:w="843" w:type="dxa"/>
            <w:gridSpan w:val="2"/>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2 126.5</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2 264.9</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2 377.7</w:t>
            </w:r>
          </w:p>
        </w:tc>
        <w:tc>
          <w:tcPr>
            <w:tcW w:w="843"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2 541.2</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2 620.7</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2 750.1</w:t>
            </w:r>
          </w:p>
        </w:tc>
      </w:tr>
      <w:tr w:rsidR="0070375D" w:rsidRPr="00F00A93" w:rsidTr="008C353A">
        <w:tc>
          <w:tcPr>
            <w:tcW w:w="2714" w:type="dxa"/>
            <w:gridSpan w:val="2"/>
            <w:tcBorders>
              <w:top w:val="nil"/>
              <w:left w:val="nil"/>
              <w:bottom w:val="nil"/>
              <w:right w:val="nil"/>
            </w:tcBorders>
          </w:tcPr>
          <w:p w:rsidR="0070375D" w:rsidRPr="00F00A93" w:rsidRDefault="0070375D" w:rsidP="008C353A">
            <w:pPr>
              <w:pStyle w:val="Tabletext"/>
              <w:rPr>
                <w:rFonts w:eastAsiaTheme="minorEastAsia"/>
                <w:color w:val="000000"/>
                <w:sz w:val="19"/>
                <w:szCs w:val="19"/>
                <w:lang w:eastAsia="en-AU"/>
              </w:rPr>
            </w:pPr>
            <w:r w:rsidRPr="00F00A93">
              <w:rPr>
                <w:rFonts w:eastAsiaTheme="minorEastAsia"/>
                <w:color w:val="000000"/>
                <w:sz w:val="19"/>
                <w:szCs w:val="19"/>
                <w:lang w:eastAsia="en-AU"/>
              </w:rPr>
              <w:t>Interest expense</w:t>
            </w:r>
          </w:p>
        </w:tc>
        <w:tc>
          <w:tcPr>
            <w:tcW w:w="843" w:type="dxa"/>
            <w:gridSpan w:val="2"/>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1 242.6</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1 750.6</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2 176.9</w:t>
            </w:r>
          </w:p>
        </w:tc>
        <w:tc>
          <w:tcPr>
            <w:tcW w:w="843"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2 309.8</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2 299.0</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2 291.8</w:t>
            </w:r>
          </w:p>
        </w:tc>
      </w:tr>
      <w:tr w:rsidR="0070375D" w:rsidRPr="00F00A93" w:rsidTr="008C353A">
        <w:tc>
          <w:tcPr>
            <w:tcW w:w="2714" w:type="dxa"/>
            <w:gridSpan w:val="2"/>
            <w:tcBorders>
              <w:top w:val="nil"/>
              <w:left w:val="nil"/>
              <w:bottom w:val="nil"/>
              <w:right w:val="nil"/>
            </w:tcBorders>
          </w:tcPr>
          <w:p w:rsidR="0070375D" w:rsidRPr="00F00A93" w:rsidRDefault="0070375D" w:rsidP="008C353A">
            <w:pPr>
              <w:pStyle w:val="Tabletext"/>
              <w:rPr>
                <w:rFonts w:eastAsiaTheme="minorEastAsia"/>
                <w:color w:val="000000"/>
                <w:sz w:val="19"/>
                <w:szCs w:val="19"/>
                <w:lang w:eastAsia="en-AU"/>
              </w:rPr>
            </w:pPr>
            <w:r w:rsidRPr="00F00A93">
              <w:rPr>
                <w:rFonts w:eastAsiaTheme="minorEastAsia"/>
                <w:color w:val="000000"/>
                <w:sz w:val="19"/>
                <w:szCs w:val="19"/>
                <w:lang w:eastAsia="en-AU"/>
              </w:rPr>
              <w:t>Other operating expenses</w:t>
            </w:r>
          </w:p>
        </w:tc>
        <w:tc>
          <w:tcPr>
            <w:tcW w:w="843" w:type="dxa"/>
            <w:gridSpan w:val="2"/>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15 955.6</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16 293.7</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16 573.0</w:t>
            </w:r>
          </w:p>
        </w:tc>
        <w:tc>
          <w:tcPr>
            <w:tcW w:w="843"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16 678.2</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16 764.6</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17 271.4</w:t>
            </w:r>
          </w:p>
        </w:tc>
      </w:tr>
      <w:tr w:rsidR="0070375D" w:rsidRPr="00F00A93" w:rsidTr="008C353A">
        <w:tc>
          <w:tcPr>
            <w:tcW w:w="2714" w:type="dxa"/>
            <w:gridSpan w:val="2"/>
            <w:tcBorders>
              <w:top w:val="nil"/>
              <w:left w:val="nil"/>
              <w:bottom w:val="single" w:sz="6" w:space="0" w:color="auto"/>
              <w:right w:val="nil"/>
            </w:tcBorders>
          </w:tcPr>
          <w:p w:rsidR="0070375D" w:rsidRPr="00F00A93" w:rsidRDefault="0070375D" w:rsidP="008C353A">
            <w:pPr>
              <w:pStyle w:val="Tabletext"/>
              <w:rPr>
                <w:rFonts w:eastAsiaTheme="minorEastAsia"/>
                <w:color w:val="000000"/>
                <w:sz w:val="19"/>
                <w:szCs w:val="19"/>
                <w:lang w:eastAsia="en-AU"/>
              </w:rPr>
            </w:pPr>
            <w:r w:rsidRPr="00F00A93">
              <w:rPr>
                <w:rFonts w:eastAsiaTheme="minorEastAsia"/>
                <w:color w:val="000000"/>
                <w:sz w:val="19"/>
                <w:szCs w:val="19"/>
                <w:lang w:eastAsia="en-AU"/>
              </w:rPr>
              <w:t>Grants and other transfers</w:t>
            </w:r>
          </w:p>
        </w:tc>
        <w:tc>
          <w:tcPr>
            <w:tcW w:w="843" w:type="dxa"/>
            <w:gridSpan w:val="2"/>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8 233.8</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7 703.7</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7 997.4</w:t>
            </w:r>
          </w:p>
        </w:tc>
        <w:tc>
          <w:tcPr>
            <w:tcW w:w="843"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8 344.8</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8 522.4</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8 773.8</w:t>
            </w:r>
          </w:p>
        </w:tc>
      </w:tr>
      <w:tr w:rsidR="0070375D" w:rsidRPr="00F00A93" w:rsidTr="008C353A">
        <w:tc>
          <w:tcPr>
            <w:tcW w:w="2714" w:type="dxa"/>
            <w:gridSpan w:val="2"/>
            <w:tcBorders>
              <w:top w:val="nil"/>
              <w:left w:val="nil"/>
              <w:bottom w:val="nil"/>
              <w:right w:val="nil"/>
            </w:tcBorders>
          </w:tcPr>
          <w:p w:rsidR="0070375D" w:rsidRPr="00F00A93" w:rsidRDefault="0070375D" w:rsidP="008C353A">
            <w:pPr>
              <w:pStyle w:val="Tabletext"/>
              <w:rPr>
                <w:rFonts w:eastAsiaTheme="minorEastAsia"/>
                <w:b/>
                <w:bCs/>
                <w:color w:val="000000"/>
                <w:sz w:val="19"/>
                <w:szCs w:val="19"/>
                <w:lang w:eastAsia="en-AU"/>
              </w:rPr>
            </w:pPr>
            <w:r w:rsidRPr="00F00A93">
              <w:rPr>
                <w:rFonts w:eastAsiaTheme="minorEastAsia"/>
                <w:b/>
                <w:bCs/>
                <w:color w:val="000000"/>
                <w:sz w:val="19"/>
                <w:szCs w:val="19"/>
                <w:lang w:eastAsia="en-AU"/>
              </w:rPr>
              <w:t>Total expenses</w:t>
            </w:r>
          </w:p>
        </w:tc>
        <w:tc>
          <w:tcPr>
            <w:tcW w:w="843" w:type="dxa"/>
            <w:gridSpan w:val="2"/>
            <w:tcBorders>
              <w:top w:val="single" w:sz="6" w:space="0" w:color="auto"/>
              <w:left w:val="nil"/>
              <w:bottom w:val="nil"/>
              <w:right w:val="nil"/>
            </w:tcBorders>
          </w:tcPr>
          <w:p w:rsidR="0070375D" w:rsidRPr="00F00A93" w:rsidRDefault="0070375D" w:rsidP="008C353A">
            <w:pPr>
              <w:pStyle w:val="TableofFigures"/>
              <w:rPr>
                <w:rFonts w:eastAsiaTheme="minorEastAsia"/>
                <w:b/>
                <w:bCs/>
                <w:color w:val="000000"/>
                <w:sz w:val="19"/>
                <w:szCs w:val="19"/>
                <w:lang w:eastAsia="en-AU"/>
              </w:rPr>
            </w:pPr>
            <w:r w:rsidRPr="00F00A93">
              <w:rPr>
                <w:rFonts w:eastAsiaTheme="minorEastAsia"/>
                <w:b/>
                <w:bCs/>
                <w:color w:val="000000"/>
                <w:sz w:val="19"/>
                <w:szCs w:val="19"/>
                <w:lang w:eastAsia="en-AU"/>
              </w:rPr>
              <w:t>47 311.0</w:t>
            </w:r>
          </w:p>
        </w:tc>
        <w:tc>
          <w:tcPr>
            <w:tcW w:w="844" w:type="dxa"/>
            <w:tcBorders>
              <w:top w:val="single" w:sz="6" w:space="0" w:color="auto"/>
              <w:left w:val="nil"/>
              <w:bottom w:val="nil"/>
              <w:right w:val="nil"/>
            </w:tcBorders>
          </w:tcPr>
          <w:p w:rsidR="0070375D" w:rsidRPr="00F00A93" w:rsidRDefault="0070375D" w:rsidP="008C353A">
            <w:pPr>
              <w:pStyle w:val="TableofFigures"/>
              <w:rPr>
                <w:rFonts w:eastAsiaTheme="minorEastAsia"/>
                <w:b/>
                <w:bCs/>
                <w:color w:val="000000"/>
                <w:sz w:val="19"/>
                <w:szCs w:val="19"/>
                <w:lang w:eastAsia="en-AU"/>
              </w:rPr>
            </w:pPr>
            <w:r w:rsidRPr="00F00A93">
              <w:rPr>
                <w:rFonts w:eastAsiaTheme="minorEastAsia"/>
                <w:b/>
                <w:bCs/>
                <w:color w:val="000000"/>
                <w:sz w:val="19"/>
                <w:szCs w:val="19"/>
                <w:lang w:eastAsia="en-AU"/>
              </w:rPr>
              <w:t>47 928.6</w:t>
            </w:r>
          </w:p>
        </w:tc>
        <w:tc>
          <w:tcPr>
            <w:tcW w:w="844" w:type="dxa"/>
            <w:tcBorders>
              <w:top w:val="single" w:sz="6" w:space="0" w:color="auto"/>
              <w:left w:val="nil"/>
              <w:bottom w:val="nil"/>
              <w:right w:val="nil"/>
            </w:tcBorders>
          </w:tcPr>
          <w:p w:rsidR="0070375D" w:rsidRPr="00F00A93" w:rsidRDefault="0070375D" w:rsidP="008C353A">
            <w:pPr>
              <w:pStyle w:val="TableofFigures"/>
              <w:rPr>
                <w:rFonts w:eastAsiaTheme="minorEastAsia"/>
                <w:b/>
                <w:bCs/>
                <w:color w:val="000000"/>
                <w:sz w:val="19"/>
                <w:szCs w:val="19"/>
                <w:lang w:eastAsia="en-AU"/>
              </w:rPr>
            </w:pPr>
            <w:r w:rsidRPr="00F00A93">
              <w:rPr>
                <w:rFonts w:eastAsiaTheme="minorEastAsia"/>
                <w:b/>
                <w:bCs/>
                <w:color w:val="000000"/>
                <w:sz w:val="19"/>
                <w:szCs w:val="19"/>
                <w:lang w:eastAsia="en-AU"/>
              </w:rPr>
              <w:t>50 103.0</w:t>
            </w:r>
          </w:p>
        </w:tc>
        <w:tc>
          <w:tcPr>
            <w:tcW w:w="843" w:type="dxa"/>
            <w:tcBorders>
              <w:top w:val="single" w:sz="6" w:space="0" w:color="auto"/>
              <w:left w:val="nil"/>
              <w:bottom w:val="nil"/>
              <w:right w:val="nil"/>
            </w:tcBorders>
          </w:tcPr>
          <w:p w:rsidR="0070375D" w:rsidRPr="00F00A93" w:rsidRDefault="0070375D" w:rsidP="008C353A">
            <w:pPr>
              <w:pStyle w:val="TableofFigures"/>
              <w:rPr>
                <w:rFonts w:eastAsiaTheme="minorEastAsia"/>
                <w:b/>
                <w:bCs/>
                <w:color w:val="000000"/>
                <w:sz w:val="19"/>
                <w:szCs w:val="19"/>
                <w:lang w:eastAsia="en-AU"/>
              </w:rPr>
            </w:pPr>
            <w:r w:rsidRPr="00F00A93">
              <w:rPr>
                <w:rFonts w:eastAsiaTheme="minorEastAsia"/>
                <w:b/>
                <w:bCs/>
                <w:color w:val="000000"/>
                <w:sz w:val="19"/>
                <w:szCs w:val="19"/>
                <w:lang w:eastAsia="en-AU"/>
              </w:rPr>
              <w:t>51 576.0</w:t>
            </w:r>
          </w:p>
        </w:tc>
        <w:tc>
          <w:tcPr>
            <w:tcW w:w="844" w:type="dxa"/>
            <w:tcBorders>
              <w:top w:val="single" w:sz="6" w:space="0" w:color="auto"/>
              <w:left w:val="nil"/>
              <w:bottom w:val="nil"/>
              <w:right w:val="nil"/>
            </w:tcBorders>
          </w:tcPr>
          <w:p w:rsidR="0070375D" w:rsidRPr="00F00A93" w:rsidRDefault="0070375D" w:rsidP="008C353A">
            <w:pPr>
              <w:pStyle w:val="TableofFigures"/>
              <w:rPr>
                <w:rFonts w:eastAsiaTheme="minorEastAsia"/>
                <w:b/>
                <w:bCs/>
                <w:color w:val="000000"/>
                <w:sz w:val="19"/>
                <w:szCs w:val="19"/>
                <w:lang w:eastAsia="en-AU"/>
              </w:rPr>
            </w:pPr>
            <w:r w:rsidRPr="00F00A93">
              <w:rPr>
                <w:rFonts w:eastAsiaTheme="minorEastAsia"/>
                <w:b/>
                <w:bCs/>
                <w:color w:val="000000"/>
                <w:sz w:val="19"/>
                <w:szCs w:val="19"/>
                <w:lang w:eastAsia="en-AU"/>
              </w:rPr>
              <w:t>52 546.6</w:t>
            </w:r>
          </w:p>
        </w:tc>
        <w:tc>
          <w:tcPr>
            <w:tcW w:w="844" w:type="dxa"/>
            <w:tcBorders>
              <w:top w:val="single" w:sz="6" w:space="0" w:color="auto"/>
              <w:left w:val="nil"/>
              <w:bottom w:val="nil"/>
              <w:right w:val="nil"/>
            </w:tcBorders>
          </w:tcPr>
          <w:p w:rsidR="0070375D" w:rsidRPr="00F00A93" w:rsidRDefault="0070375D" w:rsidP="008C353A">
            <w:pPr>
              <w:pStyle w:val="TableofFigures"/>
              <w:rPr>
                <w:rFonts w:eastAsiaTheme="minorEastAsia"/>
                <w:b/>
                <w:bCs/>
                <w:color w:val="000000"/>
                <w:sz w:val="19"/>
                <w:szCs w:val="19"/>
                <w:lang w:eastAsia="en-AU"/>
              </w:rPr>
            </w:pPr>
            <w:r w:rsidRPr="00F00A93">
              <w:rPr>
                <w:rFonts w:eastAsiaTheme="minorEastAsia"/>
                <w:b/>
                <w:bCs/>
                <w:color w:val="000000"/>
                <w:sz w:val="19"/>
                <w:szCs w:val="19"/>
                <w:lang w:eastAsia="en-AU"/>
              </w:rPr>
              <w:t>53 996.0</w:t>
            </w:r>
          </w:p>
        </w:tc>
      </w:tr>
      <w:tr w:rsidR="0070375D" w:rsidRPr="00F00A93" w:rsidTr="008C353A">
        <w:tc>
          <w:tcPr>
            <w:tcW w:w="2714" w:type="dxa"/>
            <w:gridSpan w:val="2"/>
            <w:tcBorders>
              <w:top w:val="nil"/>
              <w:left w:val="nil"/>
              <w:bottom w:val="nil"/>
              <w:right w:val="nil"/>
            </w:tcBorders>
          </w:tcPr>
          <w:p w:rsidR="0070375D" w:rsidRPr="00F00A93" w:rsidRDefault="0070375D" w:rsidP="008C353A">
            <w:pPr>
              <w:pStyle w:val="Tabletext"/>
              <w:rPr>
                <w:rFonts w:eastAsiaTheme="minorEastAsia"/>
                <w:i/>
                <w:iCs/>
                <w:color w:val="000000"/>
                <w:sz w:val="19"/>
                <w:szCs w:val="19"/>
                <w:vertAlign w:val="superscript"/>
                <w:lang w:eastAsia="en-AU"/>
              </w:rPr>
            </w:pPr>
            <w:r w:rsidRPr="00F00A93">
              <w:rPr>
                <w:rFonts w:eastAsiaTheme="minorEastAsia"/>
                <w:i/>
                <w:iCs/>
                <w:color w:val="000000"/>
                <w:sz w:val="19"/>
                <w:szCs w:val="19"/>
                <w:lang w:eastAsia="en-AU"/>
              </w:rPr>
              <w:t xml:space="preserve">% change </w:t>
            </w:r>
            <w:r w:rsidRPr="00F00A93">
              <w:rPr>
                <w:rFonts w:eastAsiaTheme="minorEastAsia"/>
                <w:iCs/>
                <w:color w:val="000000"/>
                <w:sz w:val="19"/>
                <w:szCs w:val="19"/>
                <w:vertAlign w:val="superscript"/>
                <w:lang w:eastAsia="en-AU"/>
              </w:rPr>
              <w:t>(e)</w:t>
            </w:r>
          </w:p>
        </w:tc>
        <w:tc>
          <w:tcPr>
            <w:tcW w:w="843" w:type="dxa"/>
            <w:gridSpan w:val="2"/>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4.0%</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1.3%</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3.3%</w:t>
            </w:r>
          </w:p>
        </w:tc>
        <w:tc>
          <w:tcPr>
            <w:tcW w:w="843"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2.9%</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1.9%</w:t>
            </w:r>
          </w:p>
        </w:tc>
        <w:tc>
          <w:tcPr>
            <w:tcW w:w="844" w:type="dxa"/>
            <w:tcBorders>
              <w:top w:val="nil"/>
              <w:left w:val="nil"/>
              <w:bottom w:val="nil"/>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2.8%</w:t>
            </w:r>
          </w:p>
        </w:tc>
      </w:tr>
      <w:tr w:rsidR="0070375D" w:rsidRPr="00F00A93" w:rsidTr="008C353A">
        <w:tc>
          <w:tcPr>
            <w:tcW w:w="2714" w:type="dxa"/>
            <w:gridSpan w:val="2"/>
            <w:tcBorders>
              <w:top w:val="single" w:sz="6" w:space="0" w:color="auto"/>
              <w:left w:val="nil"/>
              <w:bottom w:val="single" w:sz="6" w:space="0" w:color="auto"/>
              <w:right w:val="nil"/>
            </w:tcBorders>
          </w:tcPr>
          <w:p w:rsidR="0070375D" w:rsidRPr="00F00A93" w:rsidRDefault="0070375D" w:rsidP="008C353A">
            <w:pPr>
              <w:pStyle w:val="Tabletext"/>
              <w:rPr>
                <w:rFonts w:eastAsiaTheme="minorEastAsia"/>
                <w:b/>
                <w:bCs/>
                <w:color w:val="000000"/>
                <w:sz w:val="19"/>
                <w:szCs w:val="19"/>
                <w:lang w:eastAsia="en-AU"/>
              </w:rPr>
            </w:pPr>
            <w:r w:rsidRPr="00F00A93">
              <w:rPr>
                <w:rFonts w:eastAsiaTheme="minorEastAsia"/>
                <w:b/>
                <w:bCs/>
                <w:color w:val="000000"/>
                <w:sz w:val="19"/>
                <w:szCs w:val="19"/>
                <w:lang w:eastAsia="en-AU"/>
              </w:rPr>
              <w:t>Net result from transactions</w:t>
            </w:r>
          </w:p>
        </w:tc>
        <w:tc>
          <w:tcPr>
            <w:tcW w:w="843" w:type="dxa"/>
            <w:gridSpan w:val="2"/>
            <w:tcBorders>
              <w:top w:val="single" w:sz="6" w:space="0" w:color="auto"/>
              <w:left w:val="nil"/>
              <w:bottom w:val="single" w:sz="6" w:space="0" w:color="auto"/>
              <w:right w:val="nil"/>
            </w:tcBorders>
          </w:tcPr>
          <w:p w:rsidR="0070375D" w:rsidRPr="00F00A93" w:rsidRDefault="0070375D" w:rsidP="008C353A">
            <w:pPr>
              <w:pStyle w:val="TableofFigures"/>
              <w:rPr>
                <w:rFonts w:eastAsiaTheme="minorEastAsia"/>
                <w:b/>
                <w:bCs/>
                <w:color w:val="000000"/>
                <w:sz w:val="19"/>
                <w:szCs w:val="19"/>
                <w:lang w:eastAsia="en-AU"/>
              </w:rPr>
            </w:pPr>
            <w:r w:rsidRPr="00F00A93">
              <w:rPr>
                <w:rFonts w:eastAsiaTheme="minorEastAsia"/>
                <w:b/>
                <w:bCs/>
                <w:color w:val="000000"/>
                <w:sz w:val="19"/>
                <w:szCs w:val="19"/>
                <w:lang w:eastAsia="en-AU"/>
              </w:rPr>
              <w:t xml:space="preserve"> 571.2</w:t>
            </w:r>
          </w:p>
        </w:tc>
        <w:tc>
          <w:tcPr>
            <w:tcW w:w="844" w:type="dxa"/>
            <w:tcBorders>
              <w:top w:val="single" w:sz="6" w:space="0" w:color="auto"/>
              <w:left w:val="nil"/>
              <w:bottom w:val="single" w:sz="6" w:space="0" w:color="auto"/>
              <w:right w:val="nil"/>
            </w:tcBorders>
          </w:tcPr>
          <w:p w:rsidR="0070375D" w:rsidRPr="00F00A93" w:rsidRDefault="0070375D" w:rsidP="008C353A">
            <w:pPr>
              <w:pStyle w:val="TableofFigures"/>
              <w:rPr>
                <w:rFonts w:eastAsiaTheme="minorEastAsia"/>
                <w:b/>
                <w:bCs/>
                <w:color w:val="000000"/>
                <w:sz w:val="19"/>
                <w:szCs w:val="19"/>
                <w:lang w:eastAsia="en-AU"/>
              </w:rPr>
            </w:pPr>
            <w:r w:rsidRPr="00F00A93">
              <w:rPr>
                <w:rFonts w:eastAsiaTheme="minorEastAsia"/>
                <w:b/>
                <w:bCs/>
                <w:color w:val="000000"/>
                <w:sz w:val="19"/>
                <w:szCs w:val="19"/>
                <w:lang w:eastAsia="en-AU"/>
              </w:rPr>
              <w:t xml:space="preserve"> 177.0</w:t>
            </w:r>
          </w:p>
        </w:tc>
        <w:tc>
          <w:tcPr>
            <w:tcW w:w="844" w:type="dxa"/>
            <w:tcBorders>
              <w:top w:val="single" w:sz="6" w:space="0" w:color="auto"/>
              <w:left w:val="nil"/>
              <w:bottom w:val="single" w:sz="6" w:space="0" w:color="auto"/>
              <w:right w:val="nil"/>
            </w:tcBorders>
          </w:tcPr>
          <w:p w:rsidR="0070375D" w:rsidRPr="00F00A93" w:rsidRDefault="0070375D" w:rsidP="008C353A">
            <w:pPr>
              <w:pStyle w:val="TableofFigures"/>
              <w:rPr>
                <w:rFonts w:eastAsiaTheme="minorEastAsia"/>
                <w:b/>
                <w:bCs/>
                <w:color w:val="000000"/>
                <w:sz w:val="19"/>
                <w:szCs w:val="19"/>
                <w:lang w:eastAsia="en-AU"/>
              </w:rPr>
            </w:pPr>
            <w:r w:rsidRPr="00F00A93">
              <w:rPr>
                <w:rFonts w:eastAsiaTheme="minorEastAsia"/>
                <w:b/>
                <w:bCs/>
                <w:color w:val="000000"/>
                <w:sz w:val="19"/>
                <w:szCs w:val="19"/>
                <w:lang w:eastAsia="en-AU"/>
              </w:rPr>
              <w:t xml:space="preserve"> 224.5</w:t>
            </w:r>
          </w:p>
        </w:tc>
        <w:tc>
          <w:tcPr>
            <w:tcW w:w="843" w:type="dxa"/>
            <w:tcBorders>
              <w:top w:val="single" w:sz="6" w:space="0" w:color="auto"/>
              <w:left w:val="nil"/>
              <w:bottom w:val="single" w:sz="6" w:space="0" w:color="auto"/>
              <w:right w:val="nil"/>
            </w:tcBorders>
          </w:tcPr>
          <w:p w:rsidR="0070375D" w:rsidRPr="00F00A93" w:rsidRDefault="0070375D" w:rsidP="008C353A">
            <w:pPr>
              <w:pStyle w:val="TableofFigures"/>
              <w:rPr>
                <w:rFonts w:eastAsiaTheme="minorEastAsia"/>
                <w:b/>
                <w:bCs/>
                <w:color w:val="000000"/>
                <w:sz w:val="19"/>
                <w:szCs w:val="19"/>
                <w:lang w:eastAsia="en-AU"/>
              </w:rPr>
            </w:pPr>
            <w:r w:rsidRPr="00F00A93">
              <w:rPr>
                <w:rFonts w:eastAsiaTheme="minorEastAsia"/>
                <w:b/>
                <w:bCs/>
                <w:color w:val="000000"/>
                <w:sz w:val="19"/>
                <w:szCs w:val="19"/>
                <w:lang w:eastAsia="en-AU"/>
              </w:rPr>
              <w:t xml:space="preserve"> 398.7</w:t>
            </w:r>
          </w:p>
        </w:tc>
        <w:tc>
          <w:tcPr>
            <w:tcW w:w="844" w:type="dxa"/>
            <w:tcBorders>
              <w:top w:val="single" w:sz="6" w:space="0" w:color="auto"/>
              <w:left w:val="nil"/>
              <w:bottom w:val="single" w:sz="6" w:space="0" w:color="auto"/>
              <w:right w:val="nil"/>
            </w:tcBorders>
          </w:tcPr>
          <w:p w:rsidR="0070375D" w:rsidRPr="00F00A93" w:rsidRDefault="0070375D" w:rsidP="008C353A">
            <w:pPr>
              <w:pStyle w:val="TableofFigures"/>
              <w:rPr>
                <w:rFonts w:eastAsiaTheme="minorEastAsia"/>
                <w:b/>
                <w:bCs/>
                <w:color w:val="000000"/>
                <w:sz w:val="19"/>
                <w:szCs w:val="19"/>
                <w:lang w:eastAsia="en-AU"/>
              </w:rPr>
            </w:pPr>
            <w:r w:rsidRPr="00F00A93">
              <w:rPr>
                <w:rFonts w:eastAsiaTheme="minorEastAsia"/>
                <w:b/>
                <w:bCs/>
                <w:color w:val="000000"/>
                <w:sz w:val="19"/>
                <w:szCs w:val="19"/>
                <w:lang w:eastAsia="en-AU"/>
              </w:rPr>
              <w:t>1 927.7</w:t>
            </w:r>
          </w:p>
        </w:tc>
        <w:tc>
          <w:tcPr>
            <w:tcW w:w="844" w:type="dxa"/>
            <w:tcBorders>
              <w:top w:val="single" w:sz="6" w:space="0" w:color="auto"/>
              <w:left w:val="nil"/>
              <w:bottom w:val="single" w:sz="6" w:space="0" w:color="auto"/>
              <w:right w:val="nil"/>
            </w:tcBorders>
          </w:tcPr>
          <w:p w:rsidR="0070375D" w:rsidRPr="00F00A93" w:rsidRDefault="0070375D" w:rsidP="008C353A">
            <w:pPr>
              <w:pStyle w:val="TableofFigures"/>
              <w:rPr>
                <w:rFonts w:eastAsiaTheme="minorEastAsia"/>
                <w:b/>
                <w:bCs/>
                <w:color w:val="000000"/>
                <w:sz w:val="19"/>
                <w:szCs w:val="19"/>
                <w:lang w:eastAsia="en-AU"/>
              </w:rPr>
            </w:pPr>
            <w:r w:rsidRPr="00F00A93">
              <w:rPr>
                <w:rFonts w:eastAsiaTheme="minorEastAsia"/>
                <w:b/>
                <w:bCs/>
                <w:color w:val="000000"/>
                <w:sz w:val="19"/>
                <w:szCs w:val="19"/>
                <w:lang w:eastAsia="en-AU"/>
              </w:rPr>
              <w:t>2 547.4</w:t>
            </w:r>
          </w:p>
        </w:tc>
      </w:tr>
      <w:tr w:rsidR="0070375D" w:rsidRPr="00F00A93" w:rsidTr="008C353A">
        <w:tc>
          <w:tcPr>
            <w:tcW w:w="2552" w:type="dxa"/>
            <w:tcBorders>
              <w:top w:val="single" w:sz="6" w:space="0" w:color="auto"/>
              <w:left w:val="nil"/>
              <w:bottom w:val="single" w:sz="6" w:space="0" w:color="auto"/>
              <w:right w:val="nil"/>
            </w:tcBorders>
          </w:tcPr>
          <w:p w:rsidR="0070375D" w:rsidRPr="00F00A93" w:rsidRDefault="0070375D" w:rsidP="008C353A">
            <w:pPr>
              <w:pStyle w:val="Tabletext"/>
              <w:rPr>
                <w:rFonts w:eastAsiaTheme="minorEastAsia"/>
                <w:b/>
                <w:bCs/>
                <w:color w:val="000000"/>
                <w:sz w:val="19"/>
                <w:szCs w:val="19"/>
                <w:lang w:eastAsia="en-AU"/>
              </w:rPr>
            </w:pPr>
            <w:r w:rsidRPr="00F00A93">
              <w:rPr>
                <w:rFonts w:eastAsiaTheme="minorEastAsia"/>
                <w:b/>
                <w:bCs/>
                <w:color w:val="000000"/>
                <w:sz w:val="19"/>
                <w:szCs w:val="19"/>
                <w:lang w:eastAsia="en-AU"/>
              </w:rPr>
              <w:t>Total other economic flows included in net result</w:t>
            </w:r>
          </w:p>
        </w:tc>
        <w:tc>
          <w:tcPr>
            <w:tcW w:w="1005" w:type="dxa"/>
            <w:gridSpan w:val="3"/>
            <w:tcBorders>
              <w:top w:val="nil"/>
              <w:left w:val="nil"/>
              <w:bottom w:val="single" w:sz="6" w:space="0" w:color="auto"/>
              <w:right w:val="nil"/>
            </w:tcBorders>
          </w:tcPr>
          <w:p w:rsidR="0070375D" w:rsidRPr="00F00A93" w:rsidRDefault="0070375D" w:rsidP="008C353A">
            <w:pPr>
              <w:pStyle w:val="TableofFigures"/>
              <w:rPr>
                <w:rFonts w:eastAsiaTheme="minorEastAsia"/>
                <w:b/>
                <w:bCs/>
                <w:color w:val="000000"/>
                <w:sz w:val="19"/>
                <w:szCs w:val="19"/>
                <w:lang w:eastAsia="en-AU"/>
              </w:rPr>
            </w:pPr>
            <w:r w:rsidRPr="00F00A93">
              <w:rPr>
                <w:rFonts w:eastAsiaTheme="minorEastAsia"/>
                <w:b/>
                <w:bCs/>
                <w:color w:val="000000"/>
                <w:sz w:val="19"/>
                <w:szCs w:val="19"/>
                <w:lang w:eastAsia="en-AU"/>
              </w:rPr>
              <w:t>(10 298.6)</w:t>
            </w:r>
          </w:p>
        </w:tc>
        <w:tc>
          <w:tcPr>
            <w:tcW w:w="844" w:type="dxa"/>
            <w:tcBorders>
              <w:top w:val="nil"/>
              <w:left w:val="nil"/>
              <w:bottom w:val="single" w:sz="6" w:space="0" w:color="auto"/>
              <w:right w:val="nil"/>
            </w:tcBorders>
          </w:tcPr>
          <w:p w:rsidR="0070375D" w:rsidRPr="00F00A93" w:rsidRDefault="0070375D" w:rsidP="008C353A">
            <w:pPr>
              <w:pStyle w:val="TableofFigures"/>
              <w:rPr>
                <w:rFonts w:eastAsiaTheme="minorEastAsia"/>
                <w:b/>
                <w:bCs/>
                <w:color w:val="000000"/>
                <w:sz w:val="19"/>
                <w:szCs w:val="19"/>
                <w:lang w:eastAsia="en-AU"/>
              </w:rPr>
            </w:pPr>
            <w:r w:rsidRPr="00F00A93">
              <w:rPr>
                <w:rFonts w:eastAsiaTheme="minorEastAsia"/>
                <w:b/>
                <w:bCs/>
                <w:color w:val="000000"/>
                <w:sz w:val="19"/>
                <w:szCs w:val="19"/>
                <w:lang w:eastAsia="en-AU"/>
              </w:rPr>
              <w:t>3 207.6</w:t>
            </w:r>
          </w:p>
        </w:tc>
        <w:tc>
          <w:tcPr>
            <w:tcW w:w="844" w:type="dxa"/>
            <w:tcBorders>
              <w:top w:val="nil"/>
              <w:left w:val="nil"/>
              <w:bottom w:val="single" w:sz="6" w:space="0" w:color="auto"/>
              <w:right w:val="nil"/>
            </w:tcBorders>
          </w:tcPr>
          <w:p w:rsidR="0070375D" w:rsidRPr="00F00A93" w:rsidRDefault="002714D4" w:rsidP="008C353A">
            <w:pPr>
              <w:pStyle w:val="TableofFigures"/>
              <w:rPr>
                <w:rFonts w:eastAsiaTheme="minorEastAsia" w:cs="Calibri"/>
                <w:b/>
                <w:bCs/>
                <w:color w:val="000000"/>
                <w:sz w:val="19"/>
                <w:szCs w:val="19"/>
                <w:lang w:eastAsia="en-AU"/>
              </w:rPr>
            </w:pPr>
            <w:r w:rsidRPr="00F00A93">
              <w:rPr>
                <w:rFonts w:eastAsiaTheme="minorEastAsia"/>
                <w:b/>
                <w:bCs/>
                <w:color w:val="000000"/>
                <w:sz w:val="19"/>
                <w:szCs w:val="19"/>
                <w:lang w:eastAsia="en-AU"/>
              </w:rPr>
              <w:t>(</w:t>
            </w:r>
            <w:r w:rsidR="0070375D" w:rsidRPr="00F00A93">
              <w:rPr>
                <w:rFonts w:eastAsiaTheme="minorEastAsia"/>
                <w:b/>
                <w:bCs/>
                <w:color w:val="000000"/>
                <w:sz w:val="19"/>
                <w:szCs w:val="19"/>
                <w:lang w:eastAsia="en-AU"/>
              </w:rPr>
              <w:t>264.0</w:t>
            </w:r>
            <w:r w:rsidR="0070375D" w:rsidRPr="00F00A93">
              <w:rPr>
                <w:rFonts w:eastAsiaTheme="minorEastAsia" w:cs="Calibri"/>
                <w:b/>
                <w:bCs/>
                <w:color w:val="000000"/>
                <w:sz w:val="19"/>
                <w:szCs w:val="19"/>
                <w:lang w:eastAsia="en-AU"/>
              </w:rPr>
              <w:t>)</w:t>
            </w:r>
          </w:p>
        </w:tc>
        <w:tc>
          <w:tcPr>
            <w:tcW w:w="843" w:type="dxa"/>
            <w:tcBorders>
              <w:top w:val="nil"/>
              <w:left w:val="nil"/>
              <w:bottom w:val="single" w:sz="6" w:space="0" w:color="auto"/>
              <w:right w:val="nil"/>
            </w:tcBorders>
          </w:tcPr>
          <w:p w:rsidR="0070375D" w:rsidRPr="00F00A93" w:rsidRDefault="002714D4" w:rsidP="008C353A">
            <w:pPr>
              <w:pStyle w:val="TableofFigures"/>
              <w:rPr>
                <w:rFonts w:eastAsiaTheme="minorEastAsia" w:cs="Calibri"/>
                <w:b/>
                <w:bCs/>
                <w:color w:val="000000"/>
                <w:sz w:val="19"/>
                <w:szCs w:val="19"/>
                <w:lang w:eastAsia="en-AU"/>
              </w:rPr>
            </w:pPr>
            <w:r w:rsidRPr="00F00A93">
              <w:rPr>
                <w:rFonts w:eastAsiaTheme="minorEastAsia"/>
                <w:b/>
                <w:bCs/>
                <w:color w:val="000000"/>
                <w:sz w:val="19"/>
                <w:szCs w:val="19"/>
                <w:lang w:eastAsia="en-AU"/>
              </w:rPr>
              <w:t>(</w:t>
            </w:r>
            <w:r w:rsidR="0070375D" w:rsidRPr="00F00A93">
              <w:rPr>
                <w:rFonts w:eastAsiaTheme="minorEastAsia"/>
                <w:b/>
                <w:bCs/>
                <w:color w:val="000000"/>
                <w:sz w:val="19"/>
                <w:szCs w:val="19"/>
                <w:lang w:eastAsia="en-AU"/>
              </w:rPr>
              <w:t>293.0</w:t>
            </w:r>
            <w:r w:rsidR="0070375D" w:rsidRPr="00F00A93">
              <w:rPr>
                <w:rFonts w:eastAsiaTheme="minorEastAsia" w:cs="Calibri"/>
                <w:b/>
                <w:bCs/>
                <w:color w:val="000000"/>
                <w:sz w:val="19"/>
                <w:szCs w:val="19"/>
                <w:lang w:eastAsia="en-AU"/>
              </w:rPr>
              <w:t>)</w:t>
            </w:r>
          </w:p>
        </w:tc>
        <w:tc>
          <w:tcPr>
            <w:tcW w:w="844" w:type="dxa"/>
            <w:tcBorders>
              <w:top w:val="nil"/>
              <w:left w:val="nil"/>
              <w:bottom w:val="single" w:sz="6" w:space="0" w:color="auto"/>
              <w:right w:val="nil"/>
            </w:tcBorders>
          </w:tcPr>
          <w:p w:rsidR="0070375D" w:rsidRPr="00F00A93" w:rsidRDefault="002714D4" w:rsidP="008C353A">
            <w:pPr>
              <w:pStyle w:val="TableofFigures"/>
              <w:rPr>
                <w:rFonts w:eastAsiaTheme="minorEastAsia" w:cs="Calibri"/>
                <w:b/>
                <w:bCs/>
                <w:color w:val="000000"/>
                <w:sz w:val="19"/>
                <w:szCs w:val="19"/>
                <w:lang w:eastAsia="en-AU"/>
              </w:rPr>
            </w:pPr>
            <w:r w:rsidRPr="00F00A93">
              <w:rPr>
                <w:rFonts w:eastAsiaTheme="minorEastAsia"/>
                <w:b/>
                <w:bCs/>
                <w:color w:val="000000"/>
                <w:sz w:val="19"/>
                <w:szCs w:val="19"/>
                <w:lang w:eastAsia="en-AU"/>
              </w:rPr>
              <w:t>(</w:t>
            </w:r>
            <w:r w:rsidR="0070375D" w:rsidRPr="00F00A93">
              <w:rPr>
                <w:rFonts w:eastAsiaTheme="minorEastAsia"/>
                <w:b/>
                <w:bCs/>
                <w:color w:val="000000"/>
                <w:sz w:val="19"/>
                <w:szCs w:val="19"/>
                <w:lang w:eastAsia="en-AU"/>
              </w:rPr>
              <w:t>335.1</w:t>
            </w:r>
            <w:r w:rsidR="0070375D" w:rsidRPr="00F00A93">
              <w:rPr>
                <w:rFonts w:eastAsiaTheme="minorEastAsia" w:cs="Calibri"/>
                <w:b/>
                <w:bCs/>
                <w:color w:val="000000"/>
                <w:sz w:val="19"/>
                <w:szCs w:val="19"/>
                <w:lang w:eastAsia="en-AU"/>
              </w:rPr>
              <w:t>)</w:t>
            </w:r>
          </w:p>
        </w:tc>
        <w:tc>
          <w:tcPr>
            <w:tcW w:w="844" w:type="dxa"/>
            <w:tcBorders>
              <w:top w:val="nil"/>
              <w:left w:val="nil"/>
              <w:bottom w:val="single" w:sz="6" w:space="0" w:color="auto"/>
              <w:right w:val="nil"/>
            </w:tcBorders>
          </w:tcPr>
          <w:p w:rsidR="0070375D" w:rsidRPr="00F00A93" w:rsidRDefault="002714D4" w:rsidP="008C353A">
            <w:pPr>
              <w:pStyle w:val="TableofFigures"/>
              <w:rPr>
                <w:rFonts w:eastAsiaTheme="minorEastAsia" w:cs="Calibri"/>
                <w:b/>
                <w:bCs/>
                <w:color w:val="000000"/>
                <w:sz w:val="19"/>
                <w:szCs w:val="19"/>
                <w:lang w:eastAsia="en-AU"/>
              </w:rPr>
            </w:pPr>
            <w:r w:rsidRPr="00F00A93">
              <w:rPr>
                <w:rFonts w:eastAsiaTheme="minorEastAsia"/>
                <w:b/>
                <w:bCs/>
                <w:color w:val="000000"/>
                <w:sz w:val="19"/>
                <w:szCs w:val="19"/>
                <w:lang w:eastAsia="en-AU"/>
              </w:rPr>
              <w:t>(</w:t>
            </w:r>
            <w:r w:rsidR="0070375D" w:rsidRPr="00F00A93">
              <w:rPr>
                <w:rFonts w:eastAsiaTheme="minorEastAsia"/>
                <w:b/>
                <w:bCs/>
                <w:color w:val="000000"/>
                <w:sz w:val="19"/>
                <w:szCs w:val="19"/>
                <w:lang w:eastAsia="en-AU"/>
              </w:rPr>
              <w:t>352.0</w:t>
            </w:r>
            <w:r w:rsidR="0070375D" w:rsidRPr="00F00A93">
              <w:rPr>
                <w:rFonts w:eastAsiaTheme="minorEastAsia" w:cs="Calibri"/>
                <w:b/>
                <w:bCs/>
                <w:color w:val="000000"/>
                <w:sz w:val="19"/>
                <w:szCs w:val="19"/>
                <w:lang w:eastAsia="en-AU"/>
              </w:rPr>
              <w:t>)</w:t>
            </w:r>
          </w:p>
        </w:tc>
      </w:tr>
      <w:tr w:rsidR="0070375D" w:rsidRPr="00F00A93" w:rsidTr="008C353A">
        <w:tc>
          <w:tcPr>
            <w:tcW w:w="2714" w:type="dxa"/>
            <w:gridSpan w:val="2"/>
            <w:tcBorders>
              <w:top w:val="single" w:sz="6" w:space="0" w:color="auto"/>
              <w:left w:val="nil"/>
              <w:bottom w:val="single" w:sz="12" w:space="0" w:color="auto"/>
              <w:right w:val="nil"/>
            </w:tcBorders>
          </w:tcPr>
          <w:p w:rsidR="0070375D" w:rsidRPr="00F00A93" w:rsidRDefault="0070375D" w:rsidP="008C353A">
            <w:pPr>
              <w:pStyle w:val="Tabletext"/>
              <w:rPr>
                <w:rFonts w:eastAsiaTheme="minorEastAsia"/>
                <w:b/>
                <w:bCs/>
                <w:color w:val="000000"/>
                <w:sz w:val="19"/>
                <w:szCs w:val="19"/>
                <w:lang w:eastAsia="en-AU"/>
              </w:rPr>
            </w:pPr>
            <w:r w:rsidRPr="00F00A93">
              <w:rPr>
                <w:rFonts w:eastAsiaTheme="minorEastAsia"/>
                <w:b/>
                <w:bCs/>
                <w:color w:val="000000"/>
                <w:sz w:val="19"/>
                <w:szCs w:val="19"/>
                <w:lang w:eastAsia="en-AU"/>
              </w:rPr>
              <w:t>Net result</w:t>
            </w:r>
          </w:p>
        </w:tc>
        <w:tc>
          <w:tcPr>
            <w:tcW w:w="843" w:type="dxa"/>
            <w:gridSpan w:val="2"/>
            <w:tcBorders>
              <w:top w:val="single" w:sz="6" w:space="0" w:color="auto"/>
              <w:left w:val="nil"/>
              <w:bottom w:val="single" w:sz="12" w:space="0" w:color="auto"/>
              <w:right w:val="nil"/>
            </w:tcBorders>
          </w:tcPr>
          <w:p w:rsidR="0070375D" w:rsidRPr="00F00A93" w:rsidRDefault="0070375D" w:rsidP="008C353A">
            <w:pPr>
              <w:pStyle w:val="TableofFigures"/>
              <w:rPr>
                <w:rFonts w:eastAsiaTheme="minorEastAsia"/>
                <w:b/>
                <w:bCs/>
                <w:color w:val="000000"/>
                <w:sz w:val="19"/>
                <w:szCs w:val="19"/>
                <w:lang w:eastAsia="en-AU"/>
              </w:rPr>
            </w:pPr>
            <w:r w:rsidRPr="00F00A93">
              <w:rPr>
                <w:rFonts w:eastAsiaTheme="minorEastAsia"/>
                <w:b/>
                <w:bCs/>
                <w:color w:val="000000"/>
                <w:sz w:val="19"/>
                <w:szCs w:val="19"/>
                <w:lang w:eastAsia="en-AU"/>
              </w:rPr>
              <w:t>(9 727.3)</w:t>
            </w:r>
          </w:p>
        </w:tc>
        <w:tc>
          <w:tcPr>
            <w:tcW w:w="844" w:type="dxa"/>
            <w:tcBorders>
              <w:top w:val="single" w:sz="6" w:space="0" w:color="auto"/>
              <w:left w:val="nil"/>
              <w:bottom w:val="single" w:sz="12" w:space="0" w:color="auto"/>
              <w:right w:val="nil"/>
            </w:tcBorders>
          </w:tcPr>
          <w:p w:rsidR="0070375D" w:rsidRPr="00F00A93" w:rsidRDefault="0070375D" w:rsidP="008C353A">
            <w:pPr>
              <w:pStyle w:val="TableofFigures"/>
              <w:rPr>
                <w:rFonts w:eastAsiaTheme="minorEastAsia"/>
                <w:b/>
                <w:bCs/>
                <w:color w:val="000000"/>
                <w:sz w:val="19"/>
                <w:szCs w:val="19"/>
                <w:lang w:eastAsia="en-AU"/>
              </w:rPr>
            </w:pPr>
            <w:r w:rsidRPr="00F00A93">
              <w:rPr>
                <w:rFonts w:eastAsiaTheme="minorEastAsia"/>
                <w:b/>
                <w:bCs/>
                <w:color w:val="000000"/>
                <w:sz w:val="19"/>
                <w:szCs w:val="19"/>
                <w:lang w:eastAsia="en-AU"/>
              </w:rPr>
              <w:t>3 384.7</w:t>
            </w:r>
          </w:p>
        </w:tc>
        <w:tc>
          <w:tcPr>
            <w:tcW w:w="844" w:type="dxa"/>
            <w:tcBorders>
              <w:top w:val="single" w:sz="6" w:space="0" w:color="auto"/>
              <w:left w:val="nil"/>
              <w:bottom w:val="single" w:sz="12" w:space="0" w:color="auto"/>
              <w:right w:val="nil"/>
            </w:tcBorders>
          </w:tcPr>
          <w:p w:rsidR="0070375D" w:rsidRPr="00F00A93" w:rsidRDefault="002714D4" w:rsidP="008C353A">
            <w:pPr>
              <w:pStyle w:val="TableofFigures"/>
              <w:rPr>
                <w:rFonts w:eastAsiaTheme="minorEastAsia" w:cs="Calibri"/>
                <w:b/>
                <w:bCs/>
                <w:color w:val="000000"/>
                <w:sz w:val="19"/>
                <w:szCs w:val="19"/>
                <w:lang w:eastAsia="en-AU"/>
              </w:rPr>
            </w:pPr>
            <w:r w:rsidRPr="00F00A93">
              <w:rPr>
                <w:rFonts w:eastAsiaTheme="minorEastAsia"/>
                <w:b/>
                <w:bCs/>
                <w:color w:val="000000"/>
                <w:sz w:val="19"/>
                <w:szCs w:val="19"/>
                <w:lang w:eastAsia="en-AU"/>
              </w:rPr>
              <w:t>(</w:t>
            </w:r>
            <w:r w:rsidR="0070375D" w:rsidRPr="00F00A93">
              <w:rPr>
                <w:rFonts w:eastAsiaTheme="minorEastAsia"/>
                <w:b/>
                <w:bCs/>
                <w:color w:val="000000"/>
                <w:sz w:val="19"/>
                <w:szCs w:val="19"/>
                <w:lang w:eastAsia="en-AU"/>
              </w:rPr>
              <w:t>39.6</w:t>
            </w:r>
            <w:r w:rsidR="0070375D" w:rsidRPr="00F00A93">
              <w:rPr>
                <w:rFonts w:eastAsiaTheme="minorEastAsia" w:cs="Calibri"/>
                <w:b/>
                <w:bCs/>
                <w:color w:val="000000"/>
                <w:sz w:val="19"/>
                <w:szCs w:val="19"/>
                <w:lang w:eastAsia="en-AU"/>
              </w:rPr>
              <w:t>)</w:t>
            </w:r>
          </w:p>
        </w:tc>
        <w:tc>
          <w:tcPr>
            <w:tcW w:w="843" w:type="dxa"/>
            <w:tcBorders>
              <w:top w:val="single" w:sz="6" w:space="0" w:color="auto"/>
              <w:left w:val="nil"/>
              <w:bottom w:val="single" w:sz="12" w:space="0" w:color="auto"/>
              <w:right w:val="nil"/>
            </w:tcBorders>
          </w:tcPr>
          <w:p w:rsidR="0070375D" w:rsidRPr="00F00A93" w:rsidRDefault="0070375D" w:rsidP="008C353A">
            <w:pPr>
              <w:pStyle w:val="TableofFigures"/>
              <w:rPr>
                <w:rFonts w:eastAsiaTheme="minorEastAsia"/>
                <w:b/>
                <w:bCs/>
                <w:color w:val="000000"/>
                <w:sz w:val="19"/>
                <w:szCs w:val="19"/>
                <w:lang w:eastAsia="en-AU"/>
              </w:rPr>
            </w:pPr>
            <w:r w:rsidRPr="00F00A93">
              <w:rPr>
                <w:rFonts w:eastAsiaTheme="minorEastAsia"/>
                <w:b/>
                <w:bCs/>
                <w:color w:val="000000"/>
                <w:sz w:val="19"/>
                <w:szCs w:val="19"/>
                <w:lang w:eastAsia="en-AU"/>
              </w:rPr>
              <w:t xml:space="preserve"> 105.8</w:t>
            </w:r>
          </w:p>
        </w:tc>
        <w:tc>
          <w:tcPr>
            <w:tcW w:w="844" w:type="dxa"/>
            <w:tcBorders>
              <w:top w:val="single" w:sz="6" w:space="0" w:color="auto"/>
              <w:left w:val="nil"/>
              <w:bottom w:val="single" w:sz="12" w:space="0" w:color="auto"/>
              <w:right w:val="nil"/>
            </w:tcBorders>
          </w:tcPr>
          <w:p w:rsidR="0070375D" w:rsidRPr="00F00A93" w:rsidRDefault="0070375D" w:rsidP="008C353A">
            <w:pPr>
              <w:pStyle w:val="TableofFigures"/>
              <w:rPr>
                <w:rFonts w:eastAsiaTheme="minorEastAsia"/>
                <w:b/>
                <w:bCs/>
                <w:color w:val="000000"/>
                <w:sz w:val="19"/>
                <w:szCs w:val="19"/>
                <w:lang w:eastAsia="en-AU"/>
              </w:rPr>
            </w:pPr>
            <w:r w:rsidRPr="00F00A93">
              <w:rPr>
                <w:rFonts w:eastAsiaTheme="minorEastAsia"/>
                <w:b/>
                <w:bCs/>
                <w:color w:val="000000"/>
                <w:sz w:val="19"/>
                <w:szCs w:val="19"/>
                <w:lang w:eastAsia="en-AU"/>
              </w:rPr>
              <w:t>1 592.6</w:t>
            </w:r>
          </w:p>
        </w:tc>
        <w:tc>
          <w:tcPr>
            <w:tcW w:w="844" w:type="dxa"/>
            <w:tcBorders>
              <w:top w:val="single" w:sz="6" w:space="0" w:color="auto"/>
              <w:left w:val="nil"/>
              <w:bottom w:val="single" w:sz="12" w:space="0" w:color="auto"/>
              <w:right w:val="nil"/>
            </w:tcBorders>
          </w:tcPr>
          <w:p w:rsidR="0070375D" w:rsidRPr="00F00A93" w:rsidRDefault="0070375D" w:rsidP="008C353A">
            <w:pPr>
              <w:pStyle w:val="TableofFigures"/>
              <w:rPr>
                <w:rFonts w:eastAsiaTheme="minorEastAsia"/>
                <w:b/>
                <w:bCs/>
                <w:color w:val="000000"/>
                <w:sz w:val="19"/>
                <w:szCs w:val="19"/>
                <w:lang w:eastAsia="en-AU"/>
              </w:rPr>
            </w:pPr>
            <w:r w:rsidRPr="00F00A93">
              <w:rPr>
                <w:rFonts w:eastAsiaTheme="minorEastAsia"/>
                <w:b/>
                <w:bCs/>
                <w:color w:val="000000"/>
                <w:sz w:val="19"/>
                <w:szCs w:val="19"/>
                <w:lang w:eastAsia="en-AU"/>
              </w:rPr>
              <w:t>2 195.4</w:t>
            </w:r>
          </w:p>
        </w:tc>
      </w:tr>
      <w:tr w:rsidR="0070375D" w:rsidRPr="00F00A93" w:rsidTr="008C353A">
        <w:tc>
          <w:tcPr>
            <w:tcW w:w="3074" w:type="dxa"/>
            <w:gridSpan w:val="3"/>
            <w:tcBorders>
              <w:top w:val="nil"/>
              <w:left w:val="nil"/>
              <w:bottom w:val="single" w:sz="12" w:space="0" w:color="auto"/>
              <w:right w:val="nil"/>
            </w:tcBorders>
          </w:tcPr>
          <w:p w:rsidR="0070375D" w:rsidRPr="00F00A93" w:rsidRDefault="0070375D" w:rsidP="008C353A">
            <w:pPr>
              <w:pStyle w:val="Tabletext"/>
              <w:rPr>
                <w:rFonts w:eastAsiaTheme="minorEastAsia" w:cs="Calibri"/>
                <w:color w:val="000000"/>
                <w:sz w:val="19"/>
                <w:szCs w:val="19"/>
                <w:lang w:eastAsia="en-AU"/>
              </w:rPr>
            </w:pPr>
            <w:r w:rsidRPr="00F00A93">
              <w:rPr>
                <w:rFonts w:eastAsiaTheme="minorEastAsia"/>
                <w:color w:val="000000"/>
                <w:sz w:val="19"/>
                <w:szCs w:val="19"/>
                <w:lang w:eastAsia="en-AU"/>
              </w:rPr>
              <w:t xml:space="preserve">Expected return on superannuation assets taken to other comprehensive income and not included in net </w:t>
            </w:r>
            <w:r w:rsidRPr="00F00A93">
              <w:rPr>
                <w:rFonts w:eastAsiaTheme="minorEastAsia" w:cs="Calibri"/>
                <w:color w:val="000000"/>
                <w:sz w:val="19"/>
                <w:szCs w:val="19"/>
                <w:lang w:eastAsia="en-AU"/>
              </w:rPr>
              <w:t>result from transactions</w:t>
            </w:r>
          </w:p>
        </w:tc>
        <w:tc>
          <w:tcPr>
            <w:tcW w:w="483" w:type="dxa"/>
            <w:tcBorders>
              <w:top w:val="nil"/>
              <w:left w:val="nil"/>
              <w:bottom w:val="single" w:sz="12" w:space="0" w:color="auto"/>
              <w:right w:val="nil"/>
            </w:tcBorders>
          </w:tcPr>
          <w:p w:rsidR="0070375D" w:rsidRPr="00F00A93" w:rsidRDefault="0070375D" w:rsidP="008C353A">
            <w:pPr>
              <w:pStyle w:val="TableofFigures"/>
              <w:rPr>
                <w:rFonts w:eastAsiaTheme="minorEastAsia" w:cs="Calibri"/>
                <w:color w:val="000000"/>
                <w:sz w:val="19"/>
                <w:szCs w:val="19"/>
                <w:lang w:eastAsia="en-AU"/>
              </w:rPr>
            </w:pPr>
            <w:r w:rsidRPr="00F00A93">
              <w:rPr>
                <w:rFonts w:eastAsiaTheme="minorEastAsia"/>
                <w:color w:val="000000"/>
                <w:sz w:val="19"/>
                <w:szCs w:val="19"/>
                <w:lang w:eastAsia="en-AU"/>
              </w:rPr>
              <w:t>..</w:t>
            </w:r>
          </w:p>
        </w:tc>
        <w:tc>
          <w:tcPr>
            <w:tcW w:w="844" w:type="dxa"/>
            <w:tcBorders>
              <w:top w:val="nil"/>
              <w:left w:val="nil"/>
              <w:bottom w:val="single" w:sz="12" w:space="0" w:color="auto"/>
              <w:right w:val="nil"/>
            </w:tcBorders>
          </w:tcPr>
          <w:p w:rsidR="0070375D" w:rsidRPr="00F00A93" w:rsidRDefault="0070375D" w:rsidP="008C353A">
            <w:pPr>
              <w:pStyle w:val="TableofFigures"/>
              <w:rPr>
                <w:rFonts w:eastAsiaTheme="minorEastAsia" w:cs="Calibri"/>
                <w:color w:val="000000"/>
                <w:sz w:val="19"/>
                <w:szCs w:val="19"/>
                <w:lang w:eastAsia="en-AU"/>
              </w:rPr>
            </w:pPr>
            <w:r w:rsidRPr="00F00A93">
              <w:rPr>
                <w:rFonts w:eastAsiaTheme="minorEastAsia"/>
                <w:color w:val="000000"/>
                <w:sz w:val="19"/>
                <w:szCs w:val="19"/>
                <w:lang w:eastAsia="en-AU"/>
              </w:rPr>
              <w:t>..</w:t>
            </w:r>
          </w:p>
        </w:tc>
        <w:tc>
          <w:tcPr>
            <w:tcW w:w="844" w:type="dxa"/>
            <w:tcBorders>
              <w:top w:val="nil"/>
              <w:left w:val="nil"/>
              <w:bottom w:val="single" w:sz="12" w:space="0" w:color="auto"/>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 xml:space="preserve"> 593.2</w:t>
            </w:r>
          </w:p>
        </w:tc>
        <w:tc>
          <w:tcPr>
            <w:tcW w:w="843" w:type="dxa"/>
            <w:tcBorders>
              <w:top w:val="nil"/>
              <w:left w:val="nil"/>
              <w:bottom w:val="single" w:sz="12" w:space="0" w:color="auto"/>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 xml:space="preserve"> 606.8</w:t>
            </w:r>
          </w:p>
        </w:tc>
        <w:tc>
          <w:tcPr>
            <w:tcW w:w="844" w:type="dxa"/>
            <w:tcBorders>
              <w:top w:val="nil"/>
              <w:left w:val="nil"/>
              <w:bottom w:val="single" w:sz="12" w:space="0" w:color="auto"/>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 xml:space="preserve"> 617.3</w:t>
            </w:r>
          </w:p>
        </w:tc>
        <w:tc>
          <w:tcPr>
            <w:tcW w:w="844" w:type="dxa"/>
            <w:tcBorders>
              <w:top w:val="nil"/>
              <w:left w:val="nil"/>
              <w:bottom w:val="single" w:sz="12" w:space="0" w:color="auto"/>
              <w:right w:val="nil"/>
            </w:tcBorders>
          </w:tcPr>
          <w:p w:rsidR="0070375D" w:rsidRPr="00F00A93" w:rsidRDefault="0070375D" w:rsidP="008C353A">
            <w:pPr>
              <w:pStyle w:val="TableofFigures"/>
              <w:rPr>
                <w:rFonts w:eastAsiaTheme="minorEastAsia"/>
                <w:color w:val="000000"/>
                <w:sz w:val="19"/>
                <w:szCs w:val="19"/>
                <w:lang w:eastAsia="en-AU"/>
              </w:rPr>
            </w:pPr>
            <w:r w:rsidRPr="00F00A93">
              <w:rPr>
                <w:rFonts w:eastAsiaTheme="minorEastAsia"/>
                <w:color w:val="000000"/>
                <w:sz w:val="19"/>
                <w:szCs w:val="19"/>
                <w:lang w:eastAsia="en-AU"/>
              </w:rPr>
              <w:t xml:space="preserve"> 626.4</w:t>
            </w:r>
          </w:p>
        </w:tc>
      </w:tr>
      <w:tr w:rsidR="0070375D" w:rsidRPr="00F00A93" w:rsidTr="008C353A">
        <w:tc>
          <w:tcPr>
            <w:tcW w:w="2714" w:type="dxa"/>
            <w:gridSpan w:val="2"/>
            <w:tcBorders>
              <w:top w:val="nil"/>
              <w:left w:val="nil"/>
              <w:bottom w:val="single" w:sz="12" w:space="0" w:color="auto"/>
              <w:right w:val="nil"/>
            </w:tcBorders>
          </w:tcPr>
          <w:p w:rsidR="0070375D" w:rsidRPr="00F00A93" w:rsidRDefault="0070375D" w:rsidP="008C353A">
            <w:pPr>
              <w:pStyle w:val="Tabletext"/>
              <w:rPr>
                <w:rFonts w:eastAsiaTheme="minorEastAsia"/>
                <w:b/>
                <w:bCs/>
                <w:color w:val="000000"/>
                <w:sz w:val="19"/>
                <w:szCs w:val="19"/>
                <w:vertAlign w:val="superscript"/>
                <w:lang w:eastAsia="en-AU"/>
              </w:rPr>
            </w:pPr>
            <w:r w:rsidRPr="00F00A93">
              <w:rPr>
                <w:rFonts w:eastAsiaTheme="minorEastAsia"/>
                <w:b/>
                <w:bCs/>
                <w:color w:val="000000"/>
                <w:sz w:val="19"/>
                <w:szCs w:val="19"/>
                <w:lang w:eastAsia="en-AU"/>
              </w:rPr>
              <w:t xml:space="preserve">Government fiscal result </w:t>
            </w:r>
            <w:r w:rsidRPr="00F00A93">
              <w:rPr>
                <w:rFonts w:eastAsiaTheme="minorEastAsia"/>
                <w:b/>
                <w:bCs/>
                <w:color w:val="000000"/>
                <w:sz w:val="19"/>
                <w:szCs w:val="19"/>
                <w:vertAlign w:val="superscript"/>
                <w:lang w:eastAsia="en-AU"/>
              </w:rPr>
              <w:t>(f)</w:t>
            </w:r>
          </w:p>
        </w:tc>
        <w:tc>
          <w:tcPr>
            <w:tcW w:w="843" w:type="dxa"/>
            <w:gridSpan w:val="2"/>
            <w:tcBorders>
              <w:top w:val="nil"/>
              <w:left w:val="nil"/>
              <w:bottom w:val="single" w:sz="12" w:space="0" w:color="auto"/>
              <w:right w:val="nil"/>
            </w:tcBorders>
          </w:tcPr>
          <w:p w:rsidR="0070375D" w:rsidRPr="00F00A93" w:rsidRDefault="0070375D" w:rsidP="008C353A">
            <w:pPr>
              <w:pStyle w:val="TableofFigures"/>
              <w:rPr>
                <w:rFonts w:eastAsiaTheme="minorEastAsia" w:cs="Calibri"/>
                <w:b/>
                <w:bCs/>
                <w:color w:val="000000"/>
                <w:sz w:val="19"/>
                <w:szCs w:val="19"/>
                <w:lang w:eastAsia="en-AU"/>
              </w:rPr>
            </w:pPr>
            <w:r w:rsidRPr="00F00A93">
              <w:rPr>
                <w:rFonts w:eastAsiaTheme="minorEastAsia"/>
                <w:b/>
                <w:bCs/>
                <w:color w:val="000000"/>
                <w:sz w:val="19"/>
                <w:szCs w:val="19"/>
                <w:lang w:eastAsia="en-AU"/>
              </w:rPr>
              <w:t xml:space="preserve"> 571.2</w:t>
            </w:r>
          </w:p>
        </w:tc>
        <w:tc>
          <w:tcPr>
            <w:tcW w:w="844" w:type="dxa"/>
            <w:tcBorders>
              <w:top w:val="nil"/>
              <w:left w:val="nil"/>
              <w:bottom w:val="single" w:sz="12" w:space="0" w:color="auto"/>
              <w:right w:val="nil"/>
            </w:tcBorders>
          </w:tcPr>
          <w:p w:rsidR="0070375D" w:rsidRPr="00F00A93" w:rsidRDefault="0070375D" w:rsidP="008C353A">
            <w:pPr>
              <w:pStyle w:val="TableofFigures"/>
              <w:rPr>
                <w:rFonts w:eastAsiaTheme="minorEastAsia" w:cs="Calibri"/>
                <w:b/>
                <w:bCs/>
                <w:color w:val="000000"/>
                <w:sz w:val="19"/>
                <w:szCs w:val="19"/>
                <w:lang w:eastAsia="en-AU"/>
              </w:rPr>
            </w:pPr>
            <w:r w:rsidRPr="00F00A93">
              <w:rPr>
                <w:rFonts w:eastAsiaTheme="minorEastAsia"/>
                <w:b/>
                <w:bCs/>
                <w:color w:val="000000"/>
                <w:sz w:val="19"/>
                <w:szCs w:val="19"/>
                <w:lang w:eastAsia="en-AU"/>
              </w:rPr>
              <w:t xml:space="preserve"> 177.0</w:t>
            </w:r>
          </w:p>
        </w:tc>
        <w:tc>
          <w:tcPr>
            <w:tcW w:w="844" w:type="dxa"/>
            <w:tcBorders>
              <w:top w:val="nil"/>
              <w:left w:val="nil"/>
              <w:bottom w:val="single" w:sz="12" w:space="0" w:color="auto"/>
              <w:right w:val="nil"/>
            </w:tcBorders>
          </w:tcPr>
          <w:p w:rsidR="0070375D" w:rsidRPr="00F00A93" w:rsidRDefault="0070375D" w:rsidP="008C353A">
            <w:pPr>
              <w:pStyle w:val="TableofFigures"/>
              <w:rPr>
                <w:rFonts w:eastAsiaTheme="minorEastAsia"/>
                <w:b/>
                <w:bCs/>
                <w:color w:val="000000"/>
                <w:sz w:val="19"/>
                <w:szCs w:val="19"/>
                <w:lang w:eastAsia="en-AU"/>
              </w:rPr>
            </w:pPr>
            <w:r w:rsidRPr="00F00A93">
              <w:rPr>
                <w:rFonts w:eastAsiaTheme="minorEastAsia"/>
                <w:b/>
                <w:bCs/>
                <w:color w:val="000000"/>
                <w:sz w:val="19"/>
                <w:szCs w:val="19"/>
                <w:lang w:eastAsia="en-AU"/>
              </w:rPr>
              <w:t xml:space="preserve"> 817.6</w:t>
            </w:r>
          </w:p>
        </w:tc>
        <w:tc>
          <w:tcPr>
            <w:tcW w:w="843" w:type="dxa"/>
            <w:tcBorders>
              <w:top w:val="nil"/>
              <w:left w:val="nil"/>
              <w:bottom w:val="single" w:sz="12" w:space="0" w:color="auto"/>
              <w:right w:val="nil"/>
            </w:tcBorders>
          </w:tcPr>
          <w:p w:rsidR="0070375D" w:rsidRPr="00F00A93" w:rsidRDefault="0070375D" w:rsidP="008C353A">
            <w:pPr>
              <w:pStyle w:val="TableofFigures"/>
              <w:rPr>
                <w:rFonts w:eastAsiaTheme="minorEastAsia"/>
                <w:b/>
                <w:bCs/>
                <w:color w:val="000000"/>
                <w:sz w:val="19"/>
                <w:szCs w:val="19"/>
                <w:lang w:eastAsia="en-AU"/>
              </w:rPr>
            </w:pPr>
            <w:r w:rsidRPr="00F00A93">
              <w:rPr>
                <w:rFonts w:eastAsiaTheme="minorEastAsia"/>
                <w:b/>
                <w:bCs/>
                <w:color w:val="000000"/>
                <w:sz w:val="19"/>
                <w:szCs w:val="19"/>
                <w:lang w:eastAsia="en-AU"/>
              </w:rPr>
              <w:t>1 005.5</w:t>
            </w:r>
          </w:p>
        </w:tc>
        <w:tc>
          <w:tcPr>
            <w:tcW w:w="844" w:type="dxa"/>
            <w:tcBorders>
              <w:top w:val="nil"/>
              <w:left w:val="nil"/>
              <w:bottom w:val="single" w:sz="12" w:space="0" w:color="auto"/>
              <w:right w:val="nil"/>
            </w:tcBorders>
          </w:tcPr>
          <w:p w:rsidR="0070375D" w:rsidRPr="00F00A93" w:rsidRDefault="0070375D" w:rsidP="008C353A">
            <w:pPr>
              <w:pStyle w:val="TableofFigures"/>
              <w:rPr>
                <w:rFonts w:eastAsiaTheme="minorEastAsia"/>
                <w:b/>
                <w:bCs/>
                <w:color w:val="000000"/>
                <w:sz w:val="19"/>
                <w:szCs w:val="19"/>
                <w:lang w:eastAsia="en-AU"/>
              </w:rPr>
            </w:pPr>
            <w:r w:rsidRPr="00F00A93">
              <w:rPr>
                <w:rFonts w:eastAsiaTheme="minorEastAsia"/>
                <w:b/>
                <w:bCs/>
                <w:color w:val="000000"/>
                <w:sz w:val="19"/>
                <w:szCs w:val="19"/>
                <w:lang w:eastAsia="en-AU"/>
              </w:rPr>
              <w:t>2 545.0</w:t>
            </w:r>
          </w:p>
        </w:tc>
        <w:tc>
          <w:tcPr>
            <w:tcW w:w="844" w:type="dxa"/>
            <w:tcBorders>
              <w:top w:val="nil"/>
              <w:left w:val="nil"/>
              <w:bottom w:val="single" w:sz="12" w:space="0" w:color="auto"/>
              <w:right w:val="nil"/>
            </w:tcBorders>
          </w:tcPr>
          <w:p w:rsidR="0070375D" w:rsidRPr="00F00A93" w:rsidRDefault="0070375D" w:rsidP="008C353A">
            <w:pPr>
              <w:pStyle w:val="TableofFigures"/>
              <w:rPr>
                <w:rFonts w:eastAsiaTheme="minorEastAsia"/>
                <w:b/>
                <w:bCs/>
                <w:color w:val="000000"/>
                <w:sz w:val="19"/>
                <w:szCs w:val="19"/>
                <w:lang w:eastAsia="en-AU"/>
              </w:rPr>
            </w:pPr>
            <w:r w:rsidRPr="00F00A93">
              <w:rPr>
                <w:rFonts w:eastAsiaTheme="minorEastAsia"/>
                <w:b/>
                <w:bCs/>
                <w:color w:val="000000"/>
                <w:sz w:val="19"/>
                <w:szCs w:val="19"/>
                <w:lang w:eastAsia="en-AU"/>
              </w:rPr>
              <w:t>3 173.8</w:t>
            </w:r>
          </w:p>
        </w:tc>
      </w:tr>
    </w:tbl>
    <w:p w:rsidR="0070375D" w:rsidRDefault="0070375D" w:rsidP="002B6FD9">
      <w:pPr>
        <w:pStyle w:val="Source"/>
      </w:pPr>
      <w:r>
        <w:t>Source: Department of Treasury and Finance</w:t>
      </w:r>
    </w:p>
    <w:p w:rsidR="0070375D" w:rsidRDefault="0070375D" w:rsidP="006B5D98">
      <w:pPr>
        <w:pStyle w:val="Notes"/>
      </w:pPr>
      <w:r>
        <w:t>Notes:</w:t>
      </w:r>
    </w:p>
    <w:p w:rsidR="0070375D" w:rsidRDefault="0070375D" w:rsidP="00096A4C">
      <w:pPr>
        <w:pStyle w:val="Notes"/>
      </w:pPr>
      <w:r w:rsidRPr="005D2331">
        <w:t>(a)</w:t>
      </w:r>
      <w:r w:rsidRPr="005D2331">
        <w:tab/>
        <w:t xml:space="preserve">This is an abbreviated operating statement. The comprehensive operating statement is presented in Budget Paper No. 5, </w:t>
      </w:r>
      <w:r>
        <w:t>Chapter </w:t>
      </w:r>
      <w:r w:rsidRPr="005D2331">
        <w:t xml:space="preserve">1 </w:t>
      </w:r>
      <w:r w:rsidRPr="00434BF3">
        <w:rPr>
          <w:i w:val="0"/>
        </w:rPr>
        <w:t xml:space="preserve">Estimated Financial Statements </w:t>
      </w:r>
      <w:r>
        <w:rPr>
          <w:i w:val="0"/>
        </w:rPr>
        <w:t>for the general government sector</w:t>
      </w:r>
      <w:r w:rsidRPr="005D2331">
        <w:t>, and provides additional information on economic flow measurements which, when added to the net result from transactions, yields the net result.</w:t>
      </w:r>
    </w:p>
    <w:p w:rsidR="0070375D" w:rsidRPr="00434BF3" w:rsidRDefault="0070375D" w:rsidP="00096A4C">
      <w:pPr>
        <w:pStyle w:val="Notes"/>
      </w:pPr>
      <w:r>
        <w:t>(b)</w:t>
      </w:r>
      <w:r>
        <w:tab/>
        <w:t>Figures for 2011</w:t>
      </w:r>
      <w:r w:rsidR="00276239">
        <w:noBreakHyphen/>
      </w:r>
      <w:r>
        <w:t>12 and 2012</w:t>
      </w:r>
      <w:r w:rsidR="00276239">
        <w:noBreakHyphen/>
      </w:r>
      <w:r>
        <w:t xml:space="preserve">13 are prepared under accounting standards relevant at the time, which do not take into account the changes to the revised AASB 119 </w:t>
      </w:r>
      <w:r w:rsidRPr="001F7132">
        <w:rPr>
          <w:i w:val="0"/>
        </w:rPr>
        <w:t>Employee Benefits</w:t>
      </w:r>
      <w:r>
        <w:t>.</w:t>
      </w:r>
    </w:p>
    <w:p w:rsidR="0070375D" w:rsidRPr="005D2331" w:rsidRDefault="0070375D" w:rsidP="006B5D98">
      <w:pPr>
        <w:pStyle w:val="Notes"/>
      </w:pPr>
      <w:r w:rsidRPr="005D2331">
        <w:t>(</w:t>
      </w:r>
      <w:r>
        <w:t>c</w:t>
      </w:r>
      <w:r w:rsidRPr="005D2331">
        <w:t>)</w:t>
      </w:r>
      <w:r w:rsidRPr="005D2331">
        <w:tab/>
        <w:t>Comprises dividends, income tax and rate equivalent revenue and interest.</w:t>
      </w:r>
    </w:p>
    <w:p w:rsidR="0070375D" w:rsidRPr="005D2331" w:rsidRDefault="0070375D" w:rsidP="006B5D98">
      <w:pPr>
        <w:pStyle w:val="Notes"/>
      </w:pPr>
      <w:r w:rsidRPr="005D2331">
        <w:t>(</w:t>
      </w:r>
      <w:r>
        <w:t>d</w:t>
      </w:r>
      <w:r w:rsidRPr="005D2331">
        <w:t>)</w:t>
      </w:r>
      <w:r w:rsidRPr="005D2331">
        <w:tab/>
        <w:t>Comprises superannuation interest expense and other superannuation expenses.</w:t>
      </w:r>
    </w:p>
    <w:p w:rsidR="0070375D" w:rsidRPr="00C1722C" w:rsidRDefault="0070375D" w:rsidP="005338CB">
      <w:pPr>
        <w:pStyle w:val="Notes"/>
      </w:pPr>
      <w:r w:rsidRPr="00C1722C">
        <w:t>(</w:t>
      </w:r>
      <w:r>
        <w:t>e</w:t>
      </w:r>
      <w:r w:rsidRPr="00C1722C">
        <w:t>)</w:t>
      </w:r>
      <w:r w:rsidRPr="00C1722C">
        <w:tab/>
      </w:r>
      <w:r>
        <w:t>The estimated expense growth from 2013</w:t>
      </w:r>
      <w:r w:rsidR="00276239">
        <w:noBreakHyphen/>
      </w:r>
      <w:r>
        <w:t>14 is derived by excluding the impact of the revised AASB</w:t>
      </w:r>
      <w:r w:rsidR="00F615EA">
        <w:t> </w:t>
      </w:r>
      <w:r>
        <w:t xml:space="preserve">119 </w:t>
      </w:r>
      <w:r w:rsidRPr="00F615EA">
        <w:rPr>
          <w:i w:val="0"/>
        </w:rPr>
        <w:t>Employee Benefits</w:t>
      </w:r>
      <w:r w:rsidRPr="00C1722C">
        <w:t>.</w:t>
      </w:r>
    </w:p>
    <w:p w:rsidR="0070375D" w:rsidRDefault="0070375D" w:rsidP="006B5D98">
      <w:pPr>
        <w:pStyle w:val="Notes"/>
      </w:pPr>
      <w:r>
        <w:t>(f)</w:t>
      </w:r>
      <w:r>
        <w:tab/>
        <w:t>E</w:t>
      </w:r>
      <w:r w:rsidRPr="00817FFE">
        <w:t xml:space="preserve">quals </w:t>
      </w:r>
      <w:r>
        <w:t xml:space="preserve">to </w:t>
      </w:r>
      <w:r w:rsidRPr="00817FFE">
        <w:t xml:space="preserve">the net result from transactions after excluding the impact of </w:t>
      </w:r>
      <w:r>
        <w:t xml:space="preserve">the </w:t>
      </w:r>
      <w:r w:rsidRPr="00817FFE">
        <w:t xml:space="preserve">revised AASB 119 </w:t>
      </w:r>
      <w:r w:rsidRPr="00C8577B">
        <w:rPr>
          <w:i w:val="0"/>
        </w:rPr>
        <w:t>Employee Benefits</w:t>
      </w:r>
      <w:r>
        <w:t>, which applies from 2013</w:t>
      </w:r>
      <w:r w:rsidR="00276239">
        <w:noBreakHyphen/>
      </w:r>
      <w:r>
        <w:t>14</w:t>
      </w:r>
      <w:r w:rsidRPr="00C1722C">
        <w:t>.</w:t>
      </w:r>
      <w:r>
        <w:t xml:space="preserve"> </w:t>
      </w:r>
    </w:p>
    <w:p w:rsidR="003F6289" w:rsidRPr="005D2331" w:rsidRDefault="003F6289" w:rsidP="003F6289">
      <w:pPr>
        <w:pStyle w:val="Source"/>
      </w:pPr>
    </w:p>
    <w:p w:rsidR="0070375D" w:rsidRPr="00096A4C" w:rsidRDefault="0070375D" w:rsidP="00A67A2C">
      <w:r>
        <w:lastRenderedPageBreak/>
        <w:t>Analysis of the revised 2012</w:t>
      </w:r>
      <w:r w:rsidR="00276239">
        <w:noBreakHyphen/>
      </w:r>
      <w:r>
        <w:t>13</w:t>
      </w:r>
      <w:r w:rsidRPr="003E66F6">
        <w:t xml:space="preserve"> operating result can be found </w:t>
      </w:r>
      <w:r>
        <w:t>in Budget Paper No. 5, Appendix </w:t>
      </w:r>
      <w:r w:rsidRPr="003E66F6">
        <w:t xml:space="preserve">B </w:t>
      </w:r>
      <w:r>
        <w:rPr>
          <w:i/>
        </w:rPr>
        <w:t>2012</w:t>
      </w:r>
      <w:r w:rsidR="00276239">
        <w:rPr>
          <w:i/>
        </w:rPr>
        <w:noBreakHyphen/>
      </w:r>
      <w:r>
        <w:rPr>
          <w:i/>
        </w:rPr>
        <w:t>13</w:t>
      </w:r>
      <w:r w:rsidRPr="003E66F6">
        <w:rPr>
          <w:i/>
        </w:rPr>
        <w:t xml:space="preserve"> Budget outcome incorporating the financial report for the March quarter</w:t>
      </w:r>
      <w:r>
        <w:rPr>
          <w:i/>
        </w:rPr>
        <w:t> 2013</w:t>
      </w:r>
      <w:r>
        <w:t>.</w:t>
      </w:r>
      <w:bookmarkStart w:id="46" w:name="BP2CH4TaxationRevenue"/>
    </w:p>
    <w:p w:rsidR="0070375D" w:rsidRPr="00067349" w:rsidRDefault="0070375D" w:rsidP="001F7132">
      <w:pPr>
        <w:pStyle w:val="Heading3"/>
      </w:pPr>
      <w:bookmarkStart w:id="47" w:name="BP2CH4Revenue"/>
      <w:r w:rsidRPr="00067349">
        <w:t>Revenue outlook</w:t>
      </w:r>
    </w:p>
    <w:bookmarkEnd w:id="46"/>
    <w:p w:rsidR="0070375D" w:rsidRPr="00243BD5" w:rsidRDefault="0070375D" w:rsidP="00990DBE">
      <w:r w:rsidRPr="00243BD5">
        <w:t xml:space="preserve">Revenue is </w:t>
      </w:r>
      <w:r>
        <w:t>expected to grow by 4.6 per cent</w:t>
      </w:r>
      <w:r w:rsidRPr="00243BD5">
        <w:t xml:space="preserve"> in 2013</w:t>
      </w:r>
      <w:r w:rsidR="00276239">
        <w:noBreakHyphen/>
      </w:r>
      <w:r w:rsidRPr="00243BD5">
        <w:t>14. Over the forward estimates, revenue is expected to in</w:t>
      </w:r>
      <w:r>
        <w:t xml:space="preserve">crease at an average rate of 4.0 per cent a year. While revenue growth is expected to recover from several years of slower growth and maintain a steady trend over the forward estimates, it is unlikely to return to rates of around 6.9 per cent experienced over the decade to June 2011. </w:t>
      </w:r>
    </w:p>
    <w:p w:rsidR="0070375D" w:rsidRPr="007510C2" w:rsidRDefault="0070375D" w:rsidP="00406242">
      <w:r w:rsidRPr="007510C2">
        <w:t>State taxation revenue is expected to grow by 5.</w:t>
      </w:r>
      <w:r>
        <w:t>3 per cent</w:t>
      </w:r>
      <w:r w:rsidRPr="007510C2">
        <w:t xml:space="preserve"> in 2013</w:t>
      </w:r>
      <w:r w:rsidR="00276239">
        <w:noBreakHyphen/>
      </w:r>
      <w:r w:rsidRPr="007510C2">
        <w:t xml:space="preserve">14, driven by the expected recovery in payroll tax and land transfer duty. </w:t>
      </w:r>
      <w:r>
        <w:t>O</w:t>
      </w:r>
      <w:r w:rsidRPr="007510C2">
        <w:t>ver the forward estimates</w:t>
      </w:r>
      <w:r>
        <w:t>, g</w:t>
      </w:r>
      <w:r w:rsidRPr="007510C2">
        <w:t xml:space="preserve">rowth is forecast to </w:t>
      </w:r>
      <w:r>
        <w:t>average</w:t>
      </w:r>
      <w:r w:rsidRPr="007510C2">
        <w:t xml:space="preserve"> 5.4</w:t>
      </w:r>
      <w:r>
        <w:t> per cent</w:t>
      </w:r>
      <w:r w:rsidRPr="007510C2">
        <w:t xml:space="preserve"> a year</w:t>
      </w:r>
      <w:r>
        <w:t xml:space="preserve"> as the economy returns to trend growth. Sp</w:t>
      </w:r>
      <w:r w:rsidRPr="007510C2">
        <w:t>ecifically:</w:t>
      </w:r>
    </w:p>
    <w:p w:rsidR="0070375D" w:rsidRPr="005B7978" w:rsidRDefault="0070375D" w:rsidP="00747C4F">
      <w:pPr>
        <w:pStyle w:val="BulletText"/>
      </w:pPr>
      <w:r w:rsidRPr="005B7978">
        <w:t>payroll tax</w:t>
      </w:r>
      <w:r>
        <w:fldChar w:fldCharType="begin"/>
      </w:r>
      <w:r>
        <w:instrText xml:space="preserve"> XE "</w:instrText>
      </w:r>
      <w:r w:rsidRPr="003E36BE">
        <w:instrText>Taxation:Payroll</w:instrText>
      </w:r>
      <w:r>
        <w:instrText xml:space="preserve">" </w:instrText>
      </w:r>
      <w:r>
        <w:fldChar w:fldCharType="end"/>
      </w:r>
      <w:r w:rsidRPr="005B7978">
        <w:t xml:space="preserve"> is expected to grow by 6.1</w:t>
      </w:r>
      <w:r>
        <w:t> per cent</w:t>
      </w:r>
      <w:r w:rsidRPr="003E4528">
        <w:t xml:space="preserve"> in 2013</w:t>
      </w:r>
      <w:r w:rsidR="00276239">
        <w:noBreakHyphen/>
      </w:r>
      <w:r w:rsidRPr="003E4528">
        <w:t>14 and by an average of 5.7</w:t>
      </w:r>
      <w:r>
        <w:t> per cent</w:t>
      </w:r>
      <w:r w:rsidRPr="002A2827">
        <w:t xml:space="preserve"> a </w:t>
      </w:r>
      <w:r w:rsidRPr="00747C4F">
        <w:t>year</w:t>
      </w:r>
      <w:r w:rsidRPr="002A2827">
        <w:t xml:space="preserve"> over the for</w:t>
      </w:r>
      <w:r w:rsidRPr="005B7978">
        <w:t>ward estimates, consistent with trend growth in the labour market;</w:t>
      </w:r>
    </w:p>
    <w:p w:rsidR="0070375D" w:rsidRPr="008630B8" w:rsidRDefault="0070375D" w:rsidP="00406242">
      <w:pPr>
        <w:pStyle w:val="BulletText"/>
        <w:autoSpaceDE w:val="0"/>
        <w:autoSpaceDN w:val="0"/>
        <w:adjustRightInd w:val="0"/>
        <w:ind w:left="357" w:hanging="357"/>
        <w:rPr>
          <w:rFonts w:eastAsiaTheme="minorHAnsi" w:cs="Garamond"/>
          <w:szCs w:val="22"/>
        </w:rPr>
      </w:pPr>
      <w:r w:rsidRPr="002A2827">
        <w:rPr>
          <w:rFonts w:cs="Calibri"/>
        </w:rPr>
        <w:t>land tax</w:t>
      </w:r>
      <w:r>
        <w:fldChar w:fldCharType="begin"/>
      </w:r>
      <w:r>
        <w:instrText xml:space="preserve"> XE "</w:instrText>
      </w:r>
      <w:r w:rsidRPr="003E36BE">
        <w:instrText>Taxation:</w:instrText>
      </w:r>
      <w:r>
        <w:instrText>Land</w:instrText>
      </w:r>
      <w:r w:rsidRPr="003E36BE">
        <w:instrText xml:space="preserve"> tax</w:instrText>
      </w:r>
      <w:r>
        <w:instrText xml:space="preserve">" </w:instrText>
      </w:r>
      <w:r>
        <w:fldChar w:fldCharType="end"/>
      </w:r>
      <w:r w:rsidRPr="002A2827">
        <w:rPr>
          <w:rFonts w:cs="Calibri"/>
        </w:rPr>
        <w:t xml:space="preserve"> revenue is expected to fall by 1.4</w:t>
      </w:r>
      <w:r>
        <w:rPr>
          <w:rFonts w:cs="Calibri"/>
        </w:rPr>
        <w:t> per cent</w:t>
      </w:r>
      <w:r w:rsidRPr="002A2827">
        <w:rPr>
          <w:rFonts w:cs="Calibri"/>
        </w:rPr>
        <w:t xml:space="preserve"> in 2013</w:t>
      </w:r>
      <w:r w:rsidR="00276239">
        <w:rPr>
          <w:rFonts w:cs="Calibri"/>
        </w:rPr>
        <w:noBreakHyphen/>
      </w:r>
      <w:r w:rsidRPr="002A2827">
        <w:rPr>
          <w:rFonts w:cs="Calibri"/>
        </w:rPr>
        <w:t>14 following growth of 13.3</w:t>
      </w:r>
      <w:r>
        <w:rPr>
          <w:rFonts w:cs="Calibri"/>
        </w:rPr>
        <w:t> per cent</w:t>
      </w:r>
      <w:r w:rsidRPr="002A2827">
        <w:rPr>
          <w:rFonts w:cs="Calibri"/>
        </w:rPr>
        <w:t xml:space="preserve"> in 2012</w:t>
      </w:r>
      <w:r w:rsidR="00276239">
        <w:rPr>
          <w:rFonts w:cs="Calibri"/>
        </w:rPr>
        <w:noBreakHyphen/>
      </w:r>
      <w:r w:rsidRPr="002A2827">
        <w:rPr>
          <w:rFonts w:cs="Calibri"/>
        </w:rPr>
        <w:t xml:space="preserve">13. This </w:t>
      </w:r>
      <w:r w:rsidRPr="00A420C2">
        <w:rPr>
          <w:rFonts w:cs="Calibri"/>
        </w:rPr>
        <w:t>uneven patte</w:t>
      </w:r>
      <w:r w:rsidRPr="00652B69">
        <w:rPr>
          <w:rFonts w:cs="Calibri"/>
        </w:rPr>
        <w:t xml:space="preserve">rn reflects </w:t>
      </w:r>
      <w:r w:rsidRPr="00652B69">
        <w:rPr>
          <w:rFonts w:eastAsiaTheme="minorHAnsi" w:cs="Calibri"/>
          <w:szCs w:val="22"/>
        </w:rPr>
        <w:t xml:space="preserve">the biennial land tax revaluation cycle and </w:t>
      </w:r>
      <w:r>
        <w:rPr>
          <w:rFonts w:eastAsiaTheme="minorHAnsi" w:cs="Calibri"/>
          <w:szCs w:val="22"/>
        </w:rPr>
        <w:t xml:space="preserve">the disaggregation of </w:t>
      </w:r>
      <w:r w:rsidRPr="002A2827">
        <w:rPr>
          <w:rFonts w:cs="Calibri"/>
          <w:color w:val="000000"/>
          <w:shd w:val="clear" w:color="auto" w:fill="FFFFFF"/>
        </w:rPr>
        <w:t xml:space="preserve">land </w:t>
      </w:r>
      <w:r>
        <w:rPr>
          <w:rFonts w:cs="Calibri"/>
          <w:color w:val="000000"/>
          <w:shd w:val="clear" w:color="auto" w:fill="FFFFFF"/>
        </w:rPr>
        <w:t>holdings</w:t>
      </w:r>
      <w:r w:rsidRPr="002A2827">
        <w:rPr>
          <w:rFonts w:cs="Calibri"/>
          <w:color w:val="000000"/>
          <w:shd w:val="clear" w:color="auto" w:fill="FFFFFF"/>
        </w:rPr>
        <w:t>.</w:t>
      </w:r>
      <w:r>
        <w:rPr>
          <w:rFonts w:cs="Calibri"/>
          <w:color w:val="000000"/>
          <w:shd w:val="clear" w:color="auto" w:fill="FFFFFF"/>
        </w:rPr>
        <w:t xml:space="preserve"> </w:t>
      </w:r>
      <w:r>
        <w:rPr>
          <w:rFonts w:eastAsiaTheme="minorHAnsi" w:cs="Calibri"/>
          <w:szCs w:val="22"/>
        </w:rPr>
        <w:t xml:space="preserve">Growth is expected to average </w:t>
      </w:r>
      <w:r w:rsidRPr="00652B69">
        <w:rPr>
          <w:rFonts w:cs="Calibri"/>
        </w:rPr>
        <w:t>8.2</w:t>
      </w:r>
      <w:r>
        <w:rPr>
          <w:rFonts w:cs="Calibri"/>
        </w:rPr>
        <w:t> per cent</w:t>
      </w:r>
      <w:r w:rsidRPr="00652B69">
        <w:rPr>
          <w:rFonts w:cs="Calibri"/>
        </w:rPr>
        <w:t xml:space="preserve"> a year over the forward estimates;</w:t>
      </w:r>
    </w:p>
    <w:p w:rsidR="0070375D" w:rsidRPr="003E4528" w:rsidRDefault="0070375D" w:rsidP="00406242">
      <w:pPr>
        <w:pStyle w:val="BulletText"/>
        <w:autoSpaceDE w:val="0"/>
        <w:autoSpaceDN w:val="0"/>
        <w:adjustRightInd w:val="0"/>
        <w:ind w:left="357" w:hanging="357"/>
        <w:rPr>
          <w:rFonts w:eastAsiaTheme="minorHAnsi" w:cs="Garamond"/>
          <w:szCs w:val="22"/>
        </w:rPr>
      </w:pPr>
      <w:r w:rsidRPr="005B7978">
        <w:t>land transfer</w:t>
      </w:r>
      <w:r>
        <w:fldChar w:fldCharType="begin"/>
      </w:r>
      <w:r>
        <w:instrText xml:space="preserve"> XE "</w:instrText>
      </w:r>
      <w:r w:rsidRPr="003E36BE">
        <w:instrText>Taxation:</w:instrText>
      </w:r>
      <w:r>
        <w:instrText xml:space="preserve">Land transfer" </w:instrText>
      </w:r>
      <w:r>
        <w:fldChar w:fldCharType="end"/>
      </w:r>
      <w:r w:rsidRPr="005B7978">
        <w:t xml:space="preserve"> duty is expected to grow by 9.1</w:t>
      </w:r>
      <w:r>
        <w:t> per cent</w:t>
      </w:r>
      <w:r w:rsidRPr="005B7978">
        <w:t xml:space="preserve"> in 2013</w:t>
      </w:r>
      <w:r w:rsidR="00276239">
        <w:noBreakHyphen/>
      </w:r>
      <w:r w:rsidRPr="005B7978">
        <w:t xml:space="preserve">14. This follows two successive years of </w:t>
      </w:r>
      <w:r>
        <w:t>decline</w:t>
      </w:r>
      <w:r w:rsidRPr="005B7978">
        <w:t xml:space="preserve"> and captures improvements seen in Victoria</w:t>
      </w:r>
      <w:r w:rsidR="00276239">
        <w:t>’</w:t>
      </w:r>
      <w:r w:rsidRPr="005B7978">
        <w:t>s</w:t>
      </w:r>
      <w:r>
        <w:t xml:space="preserve"> property market </w:t>
      </w:r>
      <w:r w:rsidRPr="007510C2">
        <w:t>since the end of 2012. Growth is expected to average 6.4</w:t>
      </w:r>
      <w:r>
        <w:t> per cent</w:t>
      </w:r>
      <w:r w:rsidRPr="007510C2">
        <w:t xml:space="preserve"> a year over the forward estimates, in line with </w:t>
      </w:r>
      <w:r>
        <w:t>a return to trend economic</w:t>
      </w:r>
      <w:r w:rsidRPr="007510C2">
        <w:t xml:space="preserve"> growth; </w:t>
      </w:r>
    </w:p>
    <w:p w:rsidR="0070375D" w:rsidRPr="007510C2" w:rsidRDefault="0070375D" w:rsidP="00406242">
      <w:pPr>
        <w:pStyle w:val="BulletText"/>
        <w:autoSpaceDE w:val="0"/>
        <w:autoSpaceDN w:val="0"/>
        <w:adjustRightInd w:val="0"/>
        <w:ind w:left="357" w:hanging="357"/>
      </w:pPr>
      <w:r w:rsidRPr="007510C2">
        <w:t>gambling taxes</w:t>
      </w:r>
      <w:r>
        <w:fldChar w:fldCharType="begin"/>
      </w:r>
      <w:r>
        <w:instrText xml:space="preserve"> XE "</w:instrText>
      </w:r>
      <w:r w:rsidRPr="003E36BE">
        <w:instrText>Taxation:</w:instrText>
      </w:r>
      <w:r>
        <w:instrText xml:space="preserve">Gambling" </w:instrText>
      </w:r>
      <w:r>
        <w:fldChar w:fldCharType="end"/>
      </w:r>
      <w:r w:rsidRPr="007510C2">
        <w:t xml:space="preserve"> are expected to grow by 4.1</w:t>
      </w:r>
      <w:r>
        <w:t> per cent</w:t>
      </w:r>
      <w:r w:rsidRPr="007510C2">
        <w:t xml:space="preserve"> in 2013</w:t>
      </w:r>
      <w:r w:rsidR="00276239">
        <w:noBreakHyphen/>
      </w:r>
      <w:r w:rsidRPr="007510C2">
        <w:t>14 and by an average of 3.7</w:t>
      </w:r>
      <w:r>
        <w:t> per cent</w:t>
      </w:r>
      <w:r w:rsidRPr="007510C2">
        <w:t xml:space="preserve"> a year over the forward estimates, </w:t>
      </w:r>
      <w:r w:rsidRPr="007510C2">
        <w:rPr>
          <w:rFonts w:eastAsiaTheme="minorHAnsi" w:cs="Garamond"/>
          <w:szCs w:val="22"/>
        </w:rPr>
        <w:t xml:space="preserve">reflecting moderate growth in player losses and household consumption as well </w:t>
      </w:r>
      <w:r>
        <w:rPr>
          <w:rFonts w:eastAsiaTheme="minorHAnsi" w:cs="Garamond"/>
          <w:szCs w:val="22"/>
        </w:rPr>
        <w:t xml:space="preserve">as a continuation of the </w:t>
      </w:r>
      <w:r w:rsidRPr="007510C2">
        <w:rPr>
          <w:rFonts w:eastAsiaTheme="minorHAnsi" w:cs="Garamond"/>
          <w:szCs w:val="22"/>
        </w:rPr>
        <w:t>declin</w:t>
      </w:r>
      <w:r>
        <w:rPr>
          <w:rFonts w:eastAsiaTheme="minorHAnsi" w:cs="Garamond"/>
          <w:szCs w:val="22"/>
        </w:rPr>
        <w:t>e</w:t>
      </w:r>
      <w:r w:rsidRPr="007510C2">
        <w:rPr>
          <w:rFonts w:eastAsiaTheme="minorHAnsi" w:cs="Garamond"/>
          <w:szCs w:val="22"/>
        </w:rPr>
        <w:t xml:space="preserve"> </w:t>
      </w:r>
      <w:r w:rsidRPr="007510C2">
        <w:t>in gambling expenditure as a share of consumption</w:t>
      </w:r>
      <w:r>
        <w:rPr>
          <w:rFonts w:eastAsiaTheme="minorHAnsi" w:cs="Garamond"/>
          <w:szCs w:val="22"/>
        </w:rPr>
        <w:t>;</w:t>
      </w:r>
    </w:p>
    <w:p w:rsidR="0070375D" w:rsidRPr="007510C2" w:rsidRDefault="0070375D" w:rsidP="00406242">
      <w:pPr>
        <w:pStyle w:val="BulletText"/>
        <w:ind w:left="357" w:hanging="357"/>
      </w:pPr>
      <w:r w:rsidRPr="007510C2">
        <w:t>taxes on insurance</w:t>
      </w:r>
      <w:r>
        <w:fldChar w:fldCharType="begin"/>
      </w:r>
      <w:r>
        <w:instrText xml:space="preserve"> XE "</w:instrText>
      </w:r>
      <w:r w:rsidRPr="003E36BE">
        <w:instrText>Taxation:</w:instrText>
      </w:r>
      <w:r>
        <w:instrText xml:space="preserve">Insurance" </w:instrText>
      </w:r>
      <w:r>
        <w:fldChar w:fldCharType="end"/>
      </w:r>
      <w:r w:rsidRPr="007510C2">
        <w:t xml:space="preserve"> (excluding insurance contributions to fire </w:t>
      </w:r>
      <w:r>
        <w:t>services</w:t>
      </w:r>
      <w:r w:rsidRPr="007510C2">
        <w:t>) are expected to fall by 0.</w:t>
      </w:r>
      <w:r>
        <w:t>9 per cent</w:t>
      </w:r>
      <w:r w:rsidRPr="007510C2">
        <w:t xml:space="preserve"> in 2013</w:t>
      </w:r>
      <w:r w:rsidR="00276239">
        <w:noBreakHyphen/>
      </w:r>
      <w:r w:rsidRPr="007510C2">
        <w:t xml:space="preserve">14 as the transition </w:t>
      </w:r>
      <w:r>
        <w:t>t</w:t>
      </w:r>
      <w:r w:rsidRPr="007510C2">
        <w:t>o a new funding regime results in a lower insurance premium base on which to levy insurance stamp duties. Growth is expected to recover to an average of 6.5</w:t>
      </w:r>
      <w:r>
        <w:t> per cent</w:t>
      </w:r>
      <w:r w:rsidRPr="007510C2">
        <w:t xml:space="preserve"> a year over the forward estimates; and</w:t>
      </w:r>
    </w:p>
    <w:p w:rsidR="0070375D" w:rsidRPr="007510C2" w:rsidRDefault="0070375D" w:rsidP="00406242">
      <w:pPr>
        <w:pStyle w:val="BulletText"/>
        <w:ind w:left="357" w:hanging="357"/>
      </w:pPr>
      <w:r w:rsidRPr="007510C2">
        <w:t>motor vehicle taxes</w:t>
      </w:r>
      <w:r>
        <w:fldChar w:fldCharType="begin"/>
      </w:r>
      <w:r>
        <w:instrText xml:space="preserve"> XE "</w:instrText>
      </w:r>
      <w:r w:rsidRPr="003E36BE">
        <w:instrText>Taxation:</w:instrText>
      </w:r>
      <w:r>
        <w:instrText xml:space="preserve">Motor vehicle" </w:instrText>
      </w:r>
      <w:r>
        <w:fldChar w:fldCharType="end"/>
      </w:r>
      <w:r w:rsidRPr="007510C2">
        <w:t xml:space="preserve"> are expected to grow by 4.0</w:t>
      </w:r>
      <w:r>
        <w:t> per cent</w:t>
      </w:r>
      <w:r w:rsidRPr="007510C2">
        <w:t xml:space="preserve"> in 2013</w:t>
      </w:r>
      <w:r w:rsidR="00276239">
        <w:noBreakHyphen/>
      </w:r>
      <w:r w:rsidRPr="007510C2">
        <w:t>14 and by an average of 4.3</w:t>
      </w:r>
      <w:r>
        <w:t> per cent</w:t>
      </w:r>
      <w:r w:rsidRPr="007510C2">
        <w:t xml:space="preserve"> a year over the forward estimates, underpinned by ongoing solid economic and population growth.</w:t>
      </w:r>
    </w:p>
    <w:p w:rsidR="0070375D" w:rsidRDefault="0070375D" w:rsidP="00406242">
      <w:pPr>
        <w:rPr>
          <w:lang w:eastAsia="en-AU"/>
        </w:rPr>
      </w:pPr>
      <w:r w:rsidRPr="007510C2">
        <w:rPr>
          <w:lang w:eastAsia="en-AU"/>
        </w:rPr>
        <w:t xml:space="preserve">GST </w:t>
      </w:r>
      <w:r>
        <w:rPr>
          <w:lang w:eastAsia="en-AU"/>
        </w:rPr>
        <w:fldChar w:fldCharType="begin"/>
      </w:r>
      <w:r>
        <w:instrText xml:space="preserve"> XE "</w:instrText>
      </w:r>
      <w:r w:rsidRPr="00BA58B7">
        <w:instrText>Goods and service</w:instrText>
      </w:r>
      <w:r>
        <w:instrText>s</w:instrText>
      </w:r>
      <w:r w:rsidRPr="00BA58B7">
        <w:instrText xml:space="preserve"> tax</w:instrText>
      </w:r>
      <w:r>
        <w:instrText xml:space="preserve">" </w:instrText>
      </w:r>
      <w:r>
        <w:rPr>
          <w:lang w:eastAsia="en-AU"/>
        </w:rPr>
        <w:fldChar w:fldCharType="end"/>
      </w:r>
      <w:r w:rsidRPr="007510C2">
        <w:rPr>
          <w:lang w:eastAsia="en-AU"/>
        </w:rPr>
        <w:t>revenue is projected to grow by 2.5</w:t>
      </w:r>
      <w:r>
        <w:rPr>
          <w:lang w:eastAsia="en-AU"/>
        </w:rPr>
        <w:t> per cent</w:t>
      </w:r>
      <w:r w:rsidRPr="007510C2">
        <w:rPr>
          <w:lang w:eastAsia="en-AU"/>
        </w:rPr>
        <w:t xml:space="preserve"> in 2013</w:t>
      </w:r>
      <w:r w:rsidR="00276239">
        <w:rPr>
          <w:lang w:eastAsia="en-AU"/>
        </w:rPr>
        <w:noBreakHyphen/>
      </w:r>
      <w:r w:rsidRPr="007510C2">
        <w:rPr>
          <w:lang w:eastAsia="en-AU"/>
        </w:rPr>
        <w:t>14</w:t>
      </w:r>
      <w:r>
        <w:rPr>
          <w:lang w:eastAsia="en-AU"/>
        </w:rPr>
        <w:t>, reflecting Victoria</w:t>
      </w:r>
      <w:r w:rsidR="00276239">
        <w:rPr>
          <w:lang w:eastAsia="en-AU"/>
        </w:rPr>
        <w:t>’</w:t>
      </w:r>
      <w:r>
        <w:rPr>
          <w:lang w:eastAsia="en-AU"/>
        </w:rPr>
        <w:t>s lower share and subdued growth in the GST national pool. However, it is</w:t>
      </w:r>
      <w:r w:rsidRPr="007510C2">
        <w:rPr>
          <w:lang w:eastAsia="en-AU"/>
        </w:rPr>
        <w:t xml:space="preserve"> </w:t>
      </w:r>
      <w:r>
        <w:rPr>
          <w:lang w:eastAsia="en-AU"/>
        </w:rPr>
        <w:t xml:space="preserve">projected </w:t>
      </w:r>
      <w:r w:rsidRPr="007510C2">
        <w:rPr>
          <w:lang w:eastAsia="en-AU"/>
        </w:rPr>
        <w:t>to</w:t>
      </w:r>
      <w:r>
        <w:rPr>
          <w:lang w:eastAsia="en-AU"/>
        </w:rPr>
        <w:t xml:space="preserve"> increase to </w:t>
      </w:r>
      <w:r w:rsidRPr="007510C2">
        <w:rPr>
          <w:lang w:eastAsia="en-AU"/>
        </w:rPr>
        <w:t>an average of 6.5</w:t>
      </w:r>
      <w:r>
        <w:rPr>
          <w:lang w:eastAsia="en-AU"/>
        </w:rPr>
        <w:t> per cent per</w:t>
      </w:r>
      <w:r w:rsidRPr="007510C2">
        <w:rPr>
          <w:lang w:eastAsia="en-AU"/>
        </w:rPr>
        <w:t xml:space="preserve"> </w:t>
      </w:r>
      <w:r w:rsidRPr="007510C2">
        <w:t>year ove</w:t>
      </w:r>
      <w:r>
        <w:t>r the forward estimates.</w:t>
      </w:r>
    </w:p>
    <w:p w:rsidR="00F00A93" w:rsidRDefault="00F00A93">
      <w:pPr>
        <w:spacing w:after="0"/>
        <w:rPr>
          <w:lang w:eastAsia="en-AU"/>
        </w:rPr>
      </w:pPr>
      <w:r>
        <w:rPr>
          <w:lang w:eastAsia="en-AU"/>
        </w:rPr>
        <w:br w:type="page"/>
      </w:r>
    </w:p>
    <w:p w:rsidR="0070375D" w:rsidRPr="00243BD5" w:rsidRDefault="0070375D" w:rsidP="00BA77DA">
      <w:pPr>
        <w:rPr>
          <w:lang w:eastAsia="en-AU"/>
        </w:rPr>
      </w:pPr>
      <w:r>
        <w:rPr>
          <w:lang w:eastAsia="en-AU"/>
        </w:rPr>
        <w:lastRenderedPageBreak/>
        <w:t xml:space="preserve">Other </w:t>
      </w:r>
      <w:r w:rsidRPr="00243BD5">
        <w:rPr>
          <w:lang w:eastAsia="en-AU"/>
        </w:rPr>
        <w:t xml:space="preserve">grants </w:t>
      </w:r>
      <w:r>
        <w:rPr>
          <w:lang w:eastAsia="en-AU"/>
        </w:rPr>
        <w:t>are expected to increase by 12.6 per cent</w:t>
      </w:r>
      <w:r w:rsidRPr="00243BD5">
        <w:rPr>
          <w:lang w:eastAsia="en-AU"/>
        </w:rPr>
        <w:t xml:space="preserve"> in 2013</w:t>
      </w:r>
      <w:r w:rsidR="00276239">
        <w:rPr>
          <w:lang w:eastAsia="en-AU"/>
        </w:rPr>
        <w:noBreakHyphen/>
      </w:r>
      <w:r w:rsidRPr="00243BD5">
        <w:rPr>
          <w:lang w:eastAsia="en-AU"/>
        </w:rPr>
        <w:t>14</w:t>
      </w:r>
      <w:r>
        <w:rPr>
          <w:lang w:eastAsia="en-AU"/>
        </w:rPr>
        <w:t xml:space="preserve">, following a fall of </w:t>
      </w:r>
      <w:r w:rsidRPr="00534281">
        <w:rPr>
          <w:lang w:eastAsia="en-AU"/>
        </w:rPr>
        <w:t>12.7</w:t>
      </w:r>
      <w:r>
        <w:rPr>
          <w:lang w:eastAsia="en-AU"/>
        </w:rPr>
        <w:t> per cent</w:t>
      </w:r>
      <w:r w:rsidRPr="00534281">
        <w:rPr>
          <w:lang w:eastAsia="en-AU"/>
        </w:rPr>
        <w:t xml:space="preserve"> in 2012</w:t>
      </w:r>
      <w:r w:rsidR="00276239">
        <w:rPr>
          <w:lang w:eastAsia="en-AU"/>
        </w:rPr>
        <w:noBreakHyphen/>
      </w:r>
      <w:r>
        <w:rPr>
          <w:lang w:eastAsia="en-AU"/>
        </w:rPr>
        <w:t>13</w:t>
      </w:r>
      <w:r w:rsidRPr="00243BD5">
        <w:rPr>
          <w:lang w:eastAsia="en-AU"/>
        </w:rPr>
        <w:t>. Th</w:t>
      </w:r>
      <w:r>
        <w:rPr>
          <w:lang w:eastAsia="en-AU"/>
        </w:rPr>
        <w:t>e fall in 2012</w:t>
      </w:r>
      <w:r w:rsidR="00276239">
        <w:rPr>
          <w:lang w:eastAsia="en-AU"/>
        </w:rPr>
        <w:noBreakHyphen/>
      </w:r>
      <w:r>
        <w:rPr>
          <w:lang w:eastAsia="en-AU"/>
        </w:rPr>
        <w:t>13</w:t>
      </w:r>
      <w:r w:rsidRPr="00243BD5">
        <w:rPr>
          <w:lang w:eastAsia="en-AU"/>
        </w:rPr>
        <w:t xml:space="preserve"> reflects a series of decisions by the Commonwealth Government since 2011 to rephase </w:t>
      </w:r>
      <w:r>
        <w:rPr>
          <w:lang w:eastAsia="en-AU"/>
        </w:rPr>
        <w:t>around $500 million of grants from 2012</w:t>
      </w:r>
      <w:r w:rsidR="00276239">
        <w:rPr>
          <w:lang w:eastAsia="en-AU"/>
        </w:rPr>
        <w:noBreakHyphen/>
      </w:r>
      <w:r>
        <w:rPr>
          <w:lang w:eastAsia="en-AU"/>
        </w:rPr>
        <w:t>13 to other years. Growth is expected to average</w:t>
      </w:r>
      <w:r>
        <w:t xml:space="preserve"> 1.5 per cent</w:t>
      </w:r>
      <w:r w:rsidRPr="00243BD5">
        <w:t xml:space="preserve"> a year over the forward estimates</w:t>
      </w:r>
      <w:r>
        <w:t>. This growth</w:t>
      </w:r>
      <w:r>
        <w:rPr>
          <w:lang w:eastAsia="en-AU"/>
        </w:rPr>
        <w:t xml:space="preserve"> l</w:t>
      </w:r>
      <w:r w:rsidRPr="00243BD5">
        <w:rPr>
          <w:lang w:eastAsia="en-AU"/>
        </w:rPr>
        <w:t>argel</w:t>
      </w:r>
      <w:r>
        <w:rPr>
          <w:lang w:eastAsia="en-AU"/>
        </w:rPr>
        <w:t>y reflects</w:t>
      </w:r>
      <w:r w:rsidRPr="00243BD5">
        <w:rPr>
          <w:lang w:eastAsia="en-AU"/>
        </w:rPr>
        <w:t xml:space="preserve"> indexation arrangements for the major Commonwealth grants</w:t>
      </w:r>
      <w:r>
        <w:rPr>
          <w:lang w:eastAsia="en-AU"/>
        </w:rPr>
        <w:fldChar w:fldCharType="begin"/>
      </w:r>
      <w:r>
        <w:instrText xml:space="preserve"> XE "</w:instrText>
      </w:r>
      <w:r w:rsidRPr="00FB5350">
        <w:instrText>Grants:Commonwealth</w:instrText>
      </w:r>
      <w:r>
        <w:instrText xml:space="preserve">" </w:instrText>
      </w:r>
      <w:r>
        <w:rPr>
          <w:lang w:eastAsia="en-AU"/>
        </w:rPr>
        <w:fldChar w:fldCharType="end"/>
      </w:r>
      <w:r>
        <w:rPr>
          <w:lang w:eastAsia="en-AU"/>
        </w:rPr>
        <w:t>, and the cessation of funding for the Regional Rail Link project after 2015</w:t>
      </w:r>
      <w:r w:rsidR="00276239">
        <w:rPr>
          <w:lang w:eastAsia="en-AU"/>
        </w:rPr>
        <w:noBreakHyphen/>
      </w:r>
      <w:r>
        <w:rPr>
          <w:lang w:eastAsia="en-AU"/>
        </w:rPr>
        <w:t xml:space="preserve">16. </w:t>
      </w:r>
    </w:p>
    <w:p w:rsidR="0070375D" w:rsidRPr="00243BD5" w:rsidRDefault="0070375D" w:rsidP="00FA25A3">
      <w:pPr>
        <w:rPr>
          <w:lang w:eastAsia="en-AU"/>
        </w:rPr>
      </w:pPr>
      <w:r>
        <w:rPr>
          <w:lang w:eastAsia="en-AU"/>
        </w:rPr>
        <w:t>Total d</w:t>
      </w:r>
      <w:r w:rsidRPr="00243BD5">
        <w:rPr>
          <w:lang w:eastAsia="en-AU"/>
        </w:rPr>
        <w:t>ividend</w:t>
      </w:r>
      <w:r>
        <w:rPr>
          <w:lang w:eastAsia="en-AU"/>
        </w:rPr>
        <w:t>s</w:t>
      </w:r>
      <w:r>
        <w:rPr>
          <w:lang w:eastAsia="en-AU"/>
        </w:rPr>
        <w:fldChar w:fldCharType="begin"/>
      </w:r>
      <w:r>
        <w:instrText xml:space="preserve"> XE "</w:instrText>
      </w:r>
      <w:r w:rsidRPr="00D3448B">
        <w:rPr>
          <w:lang w:eastAsia="en-AU"/>
        </w:rPr>
        <w:instrText>Dividends</w:instrText>
      </w:r>
      <w:r>
        <w:instrText xml:space="preserve">" </w:instrText>
      </w:r>
      <w:r>
        <w:rPr>
          <w:lang w:eastAsia="en-AU"/>
        </w:rPr>
        <w:fldChar w:fldCharType="end"/>
      </w:r>
      <w:r w:rsidRPr="00243BD5">
        <w:rPr>
          <w:lang w:eastAsia="en-AU"/>
        </w:rPr>
        <w:t xml:space="preserve">, income tax equivalents and interest revenue </w:t>
      </w:r>
      <w:r>
        <w:rPr>
          <w:lang w:eastAsia="en-AU"/>
        </w:rPr>
        <w:t>is</w:t>
      </w:r>
      <w:r w:rsidRPr="00243BD5">
        <w:rPr>
          <w:lang w:eastAsia="en-AU"/>
        </w:rPr>
        <w:t xml:space="preserve"> expected to fall by 19.3</w:t>
      </w:r>
      <w:r>
        <w:rPr>
          <w:lang w:eastAsia="en-AU"/>
        </w:rPr>
        <w:t> per cent</w:t>
      </w:r>
      <w:r w:rsidRPr="00243BD5">
        <w:rPr>
          <w:lang w:eastAsia="en-AU"/>
        </w:rPr>
        <w:t xml:space="preserve"> in 2013</w:t>
      </w:r>
      <w:r w:rsidR="00276239">
        <w:rPr>
          <w:lang w:eastAsia="en-AU"/>
        </w:rPr>
        <w:noBreakHyphen/>
      </w:r>
      <w:r w:rsidRPr="00243BD5">
        <w:rPr>
          <w:lang w:eastAsia="en-AU"/>
        </w:rPr>
        <w:t>14</w:t>
      </w:r>
      <w:r>
        <w:rPr>
          <w:lang w:eastAsia="en-AU"/>
        </w:rPr>
        <w:t>, largely due to the one</w:t>
      </w:r>
      <w:r w:rsidR="00276239">
        <w:rPr>
          <w:lang w:eastAsia="en-AU"/>
        </w:rPr>
        <w:noBreakHyphen/>
      </w:r>
      <w:r>
        <w:rPr>
          <w:lang w:eastAsia="en-AU"/>
        </w:rPr>
        <w:t>off increase in 2012</w:t>
      </w:r>
      <w:r w:rsidR="00276239">
        <w:rPr>
          <w:lang w:eastAsia="en-AU"/>
        </w:rPr>
        <w:noBreakHyphen/>
      </w:r>
      <w:r>
        <w:rPr>
          <w:lang w:eastAsia="en-AU"/>
        </w:rPr>
        <w:t xml:space="preserve">13 associated with dividends from the State Electricity Commission of Victoria (reflecting projected cash flow that is surplus to its operational requirements), and lower dividends from Melbourne Water due to the impact of the </w:t>
      </w:r>
      <w:r w:rsidRPr="00B93DAB">
        <w:rPr>
          <w:lang w:eastAsia="en-AU"/>
        </w:rPr>
        <w:t>price freeze and refund</w:t>
      </w:r>
      <w:r>
        <w:rPr>
          <w:lang w:eastAsia="en-AU"/>
        </w:rPr>
        <w:t xml:space="preserve"> of charges</w:t>
      </w:r>
      <w:r w:rsidRPr="00B93DAB">
        <w:rPr>
          <w:lang w:eastAsia="en-AU"/>
        </w:rPr>
        <w:t xml:space="preserve"> to customers</w:t>
      </w:r>
      <w:r>
        <w:rPr>
          <w:lang w:eastAsia="en-AU"/>
        </w:rPr>
        <w:t xml:space="preserve"> in 2012</w:t>
      </w:r>
      <w:r w:rsidR="00276239">
        <w:rPr>
          <w:lang w:eastAsia="en-AU"/>
        </w:rPr>
        <w:noBreakHyphen/>
      </w:r>
      <w:r>
        <w:rPr>
          <w:lang w:eastAsia="en-AU"/>
        </w:rPr>
        <w:t>13. This overall reduction in 2013</w:t>
      </w:r>
      <w:r w:rsidR="00276239">
        <w:rPr>
          <w:lang w:eastAsia="en-AU"/>
        </w:rPr>
        <w:noBreakHyphen/>
      </w:r>
      <w:r>
        <w:rPr>
          <w:lang w:eastAsia="en-AU"/>
        </w:rPr>
        <w:t>14 also incorporates higher interest revenue associated with the first full year interest revenue for the desalination plant</w:t>
      </w:r>
      <w:r>
        <w:rPr>
          <w:lang w:eastAsia="en-AU"/>
        </w:rPr>
        <w:fldChar w:fldCharType="begin"/>
      </w:r>
      <w:r>
        <w:instrText xml:space="preserve"> XE "Victorian </w:instrText>
      </w:r>
      <w:r w:rsidRPr="00D3448B">
        <w:rPr>
          <w:lang w:eastAsia="en-AU"/>
        </w:rPr>
        <w:instrText>Desalination Plant</w:instrText>
      </w:r>
      <w:r>
        <w:instrText xml:space="preserve">" </w:instrText>
      </w:r>
      <w:r>
        <w:rPr>
          <w:lang w:eastAsia="en-AU"/>
        </w:rPr>
        <w:fldChar w:fldCharType="end"/>
      </w:r>
      <w:r>
        <w:rPr>
          <w:lang w:eastAsia="en-AU"/>
        </w:rPr>
        <w:t>. Across the forward estimates, these revenues grow by an average of 1.3 per cent,</w:t>
      </w:r>
      <w:r w:rsidRPr="00243BD5">
        <w:rPr>
          <w:lang w:eastAsia="en-AU"/>
        </w:rPr>
        <w:t xml:space="preserve"> </w:t>
      </w:r>
      <w:r>
        <w:rPr>
          <w:lang w:eastAsia="en-AU"/>
        </w:rPr>
        <w:t>in line with expected investment returns in the water sector and</w:t>
      </w:r>
      <w:r w:rsidRPr="00243BD5">
        <w:rPr>
          <w:lang w:eastAsia="en-AU"/>
        </w:rPr>
        <w:t xml:space="preserve"> the State</w:t>
      </w:r>
      <w:r w:rsidR="00276239">
        <w:rPr>
          <w:lang w:eastAsia="en-AU"/>
        </w:rPr>
        <w:noBreakHyphen/>
      </w:r>
      <w:r w:rsidRPr="00243BD5">
        <w:rPr>
          <w:lang w:eastAsia="en-AU"/>
        </w:rPr>
        <w:t>owned insurers</w:t>
      </w:r>
      <w:r>
        <w:rPr>
          <w:lang w:eastAsia="en-AU"/>
        </w:rPr>
        <w:t>.</w:t>
      </w:r>
    </w:p>
    <w:p w:rsidR="0070375D" w:rsidRDefault="0070375D" w:rsidP="00747C4F">
      <w:r w:rsidRPr="00671405">
        <w:t>Revenue from sales of goods and services is expected</w:t>
      </w:r>
      <w:r w:rsidRPr="00243BD5">
        <w:t xml:space="preserve"> to increase by 0.5</w:t>
      </w:r>
      <w:r>
        <w:t> per cent</w:t>
      </w:r>
      <w:r w:rsidRPr="00243BD5">
        <w:t xml:space="preserve"> i</w:t>
      </w:r>
      <w:r>
        <w:t>n 2013</w:t>
      </w:r>
      <w:r w:rsidR="00276239">
        <w:noBreakHyphen/>
      </w:r>
      <w:r>
        <w:t xml:space="preserve">14 following the </w:t>
      </w:r>
      <w:r w:rsidRPr="00243BD5">
        <w:t>large increase in 2012</w:t>
      </w:r>
      <w:r w:rsidR="00276239">
        <w:noBreakHyphen/>
      </w:r>
      <w:r w:rsidRPr="00243BD5">
        <w:t>13 associated with the one</w:t>
      </w:r>
      <w:r w:rsidR="00276239">
        <w:noBreakHyphen/>
      </w:r>
      <w:r w:rsidRPr="00243BD5">
        <w:t>off recognition of revenue</w:t>
      </w:r>
      <w:r>
        <w:t>s</w:t>
      </w:r>
      <w:r w:rsidRPr="00243BD5">
        <w:t xml:space="preserve"> from the Melbourne Water Corporation</w:t>
      </w:r>
      <w:r>
        <w:t xml:space="preserve"> upon commissioning of the desalination plant</w:t>
      </w:r>
      <w:r w:rsidRPr="00243BD5">
        <w:t xml:space="preserve">. </w:t>
      </w:r>
      <w:r>
        <w:t>Over the forward estimates growth is expected to average 2.2 per cent a year.</w:t>
      </w:r>
    </w:p>
    <w:p w:rsidR="0070375D" w:rsidRDefault="0070375D" w:rsidP="004D2E1D">
      <w:r w:rsidRPr="004D2E1D">
        <w:t>Other operating revenue includes fines, royalties, donations and gifts, assets received free of charge and other miscellaneous income. These revenues are projected to increase by 5.3</w:t>
      </w:r>
      <w:r>
        <w:t> per cent</w:t>
      </w:r>
      <w:r w:rsidRPr="004D2E1D">
        <w:t xml:space="preserve"> in 2013</w:t>
      </w:r>
      <w:r w:rsidR="00276239">
        <w:noBreakHyphen/>
      </w:r>
      <w:r w:rsidRPr="004D2E1D">
        <w:t>14,</w:t>
      </w:r>
      <w:r>
        <w:t xml:space="preserve"> </w:t>
      </w:r>
      <w:r w:rsidRPr="004D2E1D">
        <w:t>primarily reflecting revenue from the sale of land in Kew which is now anti</w:t>
      </w:r>
      <w:r>
        <w:t>cipated to be completed in 2013</w:t>
      </w:r>
      <w:r w:rsidR="00276239">
        <w:noBreakHyphen/>
      </w:r>
      <w:r w:rsidRPr="004D2E1D">
        <w:t xml:space="preserve">14, then </w:t>
      </w:r>
      <w:r>
        <w:t>remain relatively stable</w:t>
      </w:r>
      <w:r w:rsidRPr="004D2E1D">
        <w:t xml:space="preserve"> ov</w:t>
      </w:r>
      <w:r>
        <w:t>er the forward estimates period</w:t>
      </w:r>
      <w:r w:rsidRPr="00243BD5">
        <w:t>.</w:t>
      </w:r>
      <w:bookmarkEnd w:id="47"/>
      <w:r>
        <w:fldChar w:fldCharType="begin"/>
      </w:r>
      <w:r>
        <w:instrText xml:space="preserve"> XE "</w:instrText>
      </w:r>
      <w:r w:rsidRPr="00BA58B7">
        <w:instrText>Revenue</w:instrText>
      </w:r>
      <w:r>
        <w:instrText xml:space="preserve">" \r "BP2CH4Revenue" </w:instrText>
      </w:r>
      <w:r>
        <w:fldChar w:fldCharType="end"/>
      </w:r>
    </w:p>
    <w:p w:rsidR="0070375D" w:rsidRDefault="0070375D" w:rsidP="004B53CA">
      <w:pPr>
        <w:keepNext/>
        <w:spacing w:before="240"/>
        <w:outlineLvl w:val="1"/>
        <w:rPr>
          <w:rFonts w:ascii="Calibri" w:hAnsi="Calibri"/>
          <w:b/>
          <w:kern w:val="28"/>
          <w:sz w:val="26"/>
          <w:szCs w:val="22"/>
        </w:rPr>
      </w:pPr>
      <w:bookmarkStart w:id="48" w:name="BP2CH4Expenses"/>
      <w:r w:rsidRPr="003E66F6">
        <w:rPr>
          <w:rFonts w:ascii="Calibri" w:hAnsi="Calibri"/>
          <w:b/>
          <w:kern w:val="28"/>
          <w:sz w:val="26"/>
          <w:szCs w:val="22"/>
        </w:rPr>
        <w:t>Expenses outlook</w:t>
      </w:r>
    </w:p>
    <w:p w:rsidR="0070375D" w:rsidRPr="00243BD5" w:rsidRDefault="0070375D" w:rsidP="00583CAC">
      <w:r>
        <w:t>The Government will spend $50 billion delivering services in 2013</w:t>
      </w:r>
      <w:r w:rsidR="00276239">
        <w:noBreakHyphen/>
      </w:r>
      <w:r>
        <w:t>14. T</w:t>
      </w:r>
      <w:r w:rsidRPr="00243BD5">
        <w:t>otal expen</w:t>
      </w:r>
      <w:r>
        <w:t>ses are projected to grow by 3.3 per cent in 2013</w:t>
      </w:r>
      <w:r w:rsidR="00276239">
        <w:noBreakHyphen/>
      </w:r>
      <w:r>
        <w:t>14 and by 2.5 per cent</w:t>
      </w:r>
      <w:r w:rsidRPr="00243BD5">
        <w:t xml:space="preserve"> a year on average over the forward estimates period</w:t>
      </w:r>
      <w:r>
        <w:t xml:space="preserve"> (excluding the impact of revisions to AASB 119)</w:t>
      </w:r>
      <w:r w:rsidRPr="00243BD5">
        <w:t xml:space="preserve">. </w:t>
      </w:r>
      <w:r>
        <w:t>Total growth in expenses over the budget and forward estimates is largely due to:</w:t>
      </w:r>
    </w:p>
    <w:p w:rsidR="0070375D" w:rsidRPr="00243BD5" w:rsidRDefault="0070375D" w:rsidP="00F50A11">
      <w:pPr>
        <w:numPr>
          <w:ilvl w:val="0"/>
          <w:numId w:val="4"/>
        </w:numPr>
      </w:pPr>
      <w:r>
        <w:t xml:space="preserve">total </w:t>
      </w:r>
      <w:r w:rsidRPr="00243BD5">
        <w:t xml:space="preserve">employee expenses </w:t>
      </w:r>
      <w:r>
        <w:t>(including</w:t>
      </w:r>
      <w:r w:rsidRPr="00243BD5">
        <w:t xml:space="preserve"> superannuation</w:t>
      </w:r>
      <w:r>
        <w:t>), which constitute 41 per cent of annual government expense in 2013</w:t>
      </w:r>
      <w:r w:rsidR="00276239">
        <w:noBreakHyphen/>
      </w:r>
      <w:r>
        <w:t>14 and are expected to grow by 2.4 per cent</w:t>
      </w:r>
      <w:r w:rsidRPr="00243BD5">
        <w:t xml:space="preserve"> in 2013</w:t>
      </w:r>
      <w:r w:rsidR="00276239">
        <w:noBreakHyphen/>
      </w:r>
      <w:r>
        <w:t>14 and by an average of 3.0 per cent</w:t>
      </w:r>
      <w:r w:rsidRPr="00243BD5">
        <w:t xml:space="preserve"> across</w:t>
      </w:r>
      <w:r>
        <w:t xml:space="preserve"> the</w:t>
      </w:r>
      <w:r w:rsidRPr="00243BD5">
        <w:t xml:space="preserve"> forward estimates</w:t>
      </w:r>
      <w:r>
        <w:t xml:space="preserve"> (excluding the impact of revisions to AASB 119)</w:t>
      </w:r>
      <w:r w:rsidRPr="00243BD5">
        <w:t>.</w:t>
      </w:r>
      <w:r>
        <w:t xml:space="preserve"> This growth reflects the counter</w:t>
      </w:r>
      <w:r w:rsidR="00276239">
        <w:noBreakHyphen/>
      </w:r>
      <w:r>
        <w:t>veiling impacts of increased staffing for ongoing service delivery, moderated wage increases due to the Government</w:t>
      </w:r>
      <w:r w:rsidR="00276239">
        <w:t>’</w:t>
      </w:r>
      <w:r>
        <w:t>s wages policy and savings measures aimed at improving the efficiency of back</w:t>
      </w:r>
      <w:r w:rsidR="00276239">
        <w:noBreakHyphen/>
      </w:r>
      <w:r>
        <w:t xml:space="preserve">office functions; </w:t>
      </w:r>
    </w:p>
    <w:p w:rsidR="0070375D" w:rsidRPr="00243BD5" w:rsidRDefault="0070375D" w:rsidP="00F50A11">
      <w:pPr>
        <w:numPr>
          <w:ilvl w:val="0"/>
          <w:numId w:val="4"/>
        </w:numPr>
      </w:pPr>
      <w:r w:rsidRPr="00243BD5">
        <w:t>other operating expe</w:t>
      </w:r>
      <w:r>
        <w:t>nses, which are expected to grow by 1.7 per cent</w:t>
      </w:r>
      <w:r w:rsidRPr="00243BD5">
        <w:t xml:space="preserve"> </w:t>
      </w:r>
      <w:r>
        <w:t>in 2013</w:t>
      </w:r>
      <w:r w:rsidR="00276239">
        <w:noBreakHyphen/>
      </w:r>
      <w:r>
        <w:t>14 and by an average of 1.4 per cent</w:t>
      </w:r>
      <w:r w:rsidRPr="00243BD5">
        <w:t xml:space="preserve"> a year over the forward estimates</w:t>
      </w:r>
      <w:r>
        <w:t xml:space="preserve">. These growth rates </w:t>
      </w:r>
      <w:r w:rsidRPr="00243BD5">
        <w:t>reflect</w:t>
      </w:r>
      <w:r>
        <w:t xml:space="preserve"> indexation less savings and efficiencies applied to back</w:t>
      </w:r>
      <w:r w:rsidR="00276239">
        <w:noBreakHyphen/>
      </w:r>
      <w:r>
        <w:t>office functions</w:t>
      </w:r>
      <w:r w:rsidRPr="00243BD5">
        <w:t>;</w:t>
      </w:r>
    </w:p>
    <w:p w:rsidR="00F00A93" w:rsidRDefault="00F00A93">
      <w:pPr>
        <w:spacing w:after="0"/>
      </w:pPr>
      <w:r>
        <w:br w:type="page"/>
      </w:r>
    </w:p>
    <w:p w:rsidR="0070375D" w:rsidRPr="00243BD5" w:rsidRDefault="0070375D" w:rsidP="009F27AE">
      <w:pPr>
        <w:pStyle w:val="BulletText"/>
      </w:pPr>
      <w:r>
        <w:lastRenderedPageBreak/>
        <w:t>g</w:t>
      </w:r>
      <w:r w:rsidRPr="00243BD5">
        <w:t>rants and transfer paym</w:t>
      </w:r>
      <w:r>
        <w:t>ents, which are expected to grow by 3.8 per cent</w:t>
      </w:r>
      <w:r w:rsidRPr="00243BD5">
        <w:t xml:space="preserve"> in </w:t>
      </w:r>
      <w:r>
        <w:t>2013</w:t>
      </w:r>
      <w:r w:rsidR="00276239">
        <w:noBreakHyphen/>
      </w:r>
      <w:r>
        <w:t>14 and by an average of 3.1 per cent</w:t>
      </w:r>
      <w:r w:rsidRPr="00243BD5">
        <w:t xml:space="preserve"> a year over the forwa</w:t>
      </w:r>
      <w:r>
        <w:t>rd estimates largely reflecting funding for non</w:t>
      </w:r>
      <w:r w:rsidR="00276239">
        <w:noBreakHyphen/>
      </w:r>
      <w:r>
        <w:t>government schools and grants on</w:t>
      </w:r>
      <w:r w:rsidR="00276239">
        <w:noBreakHyphen/>
      </w:r>
      <w:r>
        <w:t>passed to local government;</w:t>
      </w:r>
    </w:p>
    <w:p w:rsidR="0070375D" w:rsidRPr="00243BD5" w:rsidRDefault="0070375D" w:rsidP="00F50A11">
      <w:pPr>
        <w:numPr>
          <w:ilvl w:val="0"/>
          <w:numId w:val="4"/>
        </w:numPr>
      </w:pPr>
      <w:r>
        <w:t>d</w:t>
      </w:r>
      <w:r w:rsidRPr="00243BD5">
        <w:t>epreciation expenses</w:t>
      </w:r>
      <w:r>
        <w:t xml:space="preserve">, which </w:t>
      </w:r>
      <w:r w:rsidRPr="00243BD5">
        <w:t xml:space="preserve">are projected to grow by </w:t>
      </w:r>
      <w:r>
        <w:t>5.0 per cent in 2013</w:t>
      </w:r>
      <w:r w:rsidR="00276239">
        <w:noBreakHyphen/>
      </w:r>
      <w:r>
        <w:t>14 and by an average 5.0 per cent</w:t>
      </w:r>
      <w:r w:rsidRPr="00243BD5">
        <w:t xml:space="preserve"> </w:t>
      </w:r>
      <w:r>
        <w:t xml:space="preserve">a year </w:t>
      </w:r>
      <w:r w:rsidRPr="00243BD5">
        <w:t>over the forward estimates. This</w:t>
      </w:r>
      <w:r>
        <w:t xml:space="preserve"> growth</w:t>
      </w:r>
      <w:r w:rsidRPr="00243BD5">
        <w:t xml:space="preserve"> is</w:t>
      </w:r>
      <w:r>
        <w:t xml:space="preserve"> broadly</w:t>
      </w:r>
      <w:r w:rsidRPr="00243BD5">
        <w:t xml:space="preserve"> consistent with the</w:t>
      </w:r>
      <w:r>
        <w:t xml:space="preserve"> net</w:t>
      </w:r>
      <w:r w:rsidRPr="00243BD5">
        <w:t xml:space="preserve"> increase in </w:t>
      </w:r>
      <w:r>
        <w:t>the depreciable non</w:t>
      </w:r>
      <w:r w:rsidR="00276239">
        <w:noBreakHyphen/>
      </w:r>
      <w:r>
        <w:t>financial</w:t>
      </w:r>
      <w:r w:rsidRPr="00243BD5">
        <w:t xml:space="preserve"> asset base </w:t>
      </w:r>
      <w:r>
        <w:t>due to</w:t>
      </w:r>
      <w:r w:rsidRPr="00243BD5">
        <w:t xml:space="preserve"> Government</w:t>
      </w:r>
      <w:r w:rsidR="00276239">
        <w:t>’</w:t>
      </w:r>
      <w:r w:rsidRPr="00243BD5">
        <w:t>s continued investment in infrastructure; and</w:t>
      </w:r>
    </w:p>
    <w:p w:rsidR="0070375D" w:rsidRPr="00243BD5" w:rsidRDefault="0070375D" w:rsidP="00F50A11">
      <w:pPr>
        <w:numPr>
          <w:ilvl w:val="0"/>
          <w:numId w:val="4"/>
        </w:numPr>
      </w:pPr>
      <w:r w:rsidRPr="00243BD5">
        <w:t>interest payments</w:t>
      </w:r>
      <w:r>
        <w:t xml:space="preserve">, which </w:t>
      </w:r>
      <w:r w:rsidRPr="00243BD5">
        <w:t>are</w:t>
      </w:r>
      <w:r>
        <w:t xml:space="preserve"> expected to increase in 2013</w:t>
      </w:r>
      <w:r w:rsidR="00276239">
        <w:noBreakHyphen/>
      </w:r>
      <w:r>
        <w:t>14 by 24.3 per cent primarily due to the first full year of payments associated with the commissioning of the Desalination Plant</w:t>
      </w:r>
      <w:r>
        <w:rPr>
          <w:lang w:eastAsia="en-AU"/>
        </w:rPr>
        <w:fldChar w:fldCharType="begin"/>
      </w:r>
      <w:r>
        <w:instrText xml:space="preserve"> XE "Victorian </w:instrText>
      </w:r>
      <w:r w:rsidRPr="00D3448B">
        <w:rPr>
          <w:lang w:eastAsia="en-AU"/>
        </w:rPr>
        <w:instrText>Desalination Plant</w:instrText>
      </w:r>
      <w:r>
        <w:instrText xml:space="preserve">" </w:instrText>
      </w:r>
      <w:r>
        <w:rPr>
          <w:lang w:eastAsia="en-AU"/>
        </w:rPr>
        <w:fldChar w:fldCharType="end"/>
      </w:r>
      <w:r>
        <w:t>. These interest payments are offset by matching interest revenue. Across the forward estimates, growth in interest payments averages 1.7 per cent, in line with the profile of net debt which stabilises before decreasing after June 2015.</w:t>
      </w:r>
      <w:bookmarkEnd w:id="48"/>
      <w:r>
        <w:fldChar w:fldCharType="begin"/>
      </w:r>
      <w:r>
        <w:instrText xml:space="preserve"> XE "</w:instrText>
      </w:r>
      <w:r w:rsidRPr="00D3448B">
        <w:instrText>Expenses</w:instrText>
      </w:r>
      <w:r>
        <w:instrText xml:space="preserve">" \r "BP2CH4Expenses" </w:instrText>
      </w:r>
      <w:r>
        <w:fldChar w:fldCharType="end"/>
      </w:r>
    </w:p>
    <w:p w:rsidR="0070375D" w:rsidRDefault="0070375D" w:rsidP="00583CAC">
      <w:pPr>
        <w:pStyle w:val="Heading2"/>
      </w:pPr>
      <w:r w:rsidRPr="003E66F6">
        <w:t>Other econom</w:t>
      </w:r>
      <w:r>
        <w:t>ic flows</w:t>
      </w:r>
    </w:p>
    <w:p w:rsidR="0070375D" w:rsidRDefault="0070375D" w:rsidP="00583CAC">
      <w:r w:rsidRPr="00FD20BC">
        <w:t>Differences between the net result from transactions and the net result overall are due to other economic flows. Other economic flows include</w:t>
      </w:r>
      <w:r>
        <w:t xml:space="preserve"> items such as</w:t>
      </w:r>
      <w:r w:rsidRPr="00FD20BC">
        <w:t xml:space="preserve"> actuarial adjustments,</w:t>
      </w:r>
      <w:r>
        <w:t xml:space="preserve"> and bad and doubtful debts.</w:t>
      </w:r>
    </w:p>
    <w:p w:rsidR="0070375D" w:rsidRDefault="0070375D" w:rsidP="00583CAC">
      <w:r>
        <w:t>The revised forecast for o</w:t>
      </w:r>
      <w:r w:rsidRPr="009A7C11">
        <w:t>ther economic flows in 2012</w:t>
      </w:r>
      <w:r w:rsidR="00276239">
        <w:noBreakHyphen/>
      </w:r>
      <w:r w:rsidRPr="009A7C11">
        <w:t>13 primarily reflect</w:t>
      </w:r>
      <w:r>
        <w:t>s</w:t>
      </w:r>
      <w:r w:rsidRPr="009A7C11">
        <w:t xml:space="preserve"> a</w:t>
      </w:r>
      <w:r>
        <w:t>n</w:t>
      </w:r>
      <w:r w:rsidRPr="009A7C11">
        <w:t xml:space="preserve"> actuarial </w:t>
      </w:r>
      <w:r>
        <w:t>gain</w:t>
      </w:r>
      <w:r w:rsidRPr="009A7C11">
        <w:t xml:space="preserve"> on superannuation of around $</w:t>
      </w:r>
      <w:r>
        <w:t>3.6 billion</w:t>
      </w:r>
      <w:r w:rsidRPr="009A7C11">
        <w:t>. This is made up of a $</w:t>
      </w:r>
      <w:r>
        <w:t>2</w:t>
      </w:r>
      <w:r w:rsidRPr="009A7C11">
        <w:t>.5</w:t>
      </w:r>
      <w:r>
        <w:t> billion</w:t>
      </w:r>
      <w:r w:rsidRPr="009A7C11">
        <w:t xml:space="preserve"> </w:t>
      </w:r>
      <w:r>
        <w:t>gain</w:t>
      </w:r>
      <w:r w:rsidRPr="009A7C11">
        <w:t xml:space="preserve"> that arose from </w:t>
      </w:r>
      <w:r w:rsidRPr="00107E34">
        <w:t>favourable movements in the bond rate</w:t>
      </w:r>
      <w:r w:rsidRPr="009A7C11">
        <w:t xml:space="preserve"> used to value the State</w:t>
      </w:r>
      <w:r w:rsidR="00276239">
        <w:t>’</w:t>
      </w:r>
      <w:r w:rsidRPr="009A7C11">
        <w:t xml:space="preserve">s superannuation liability, </w:t>
      </w:r>
      <w:r>
        <w:t>and a further</w:t>
      </w:r>
      <w:r w:rsidRPr="009A7C11">
        <w:t xml:space="preserve"> $</w:t>
      </w:r>
      <w:r>
        <w:t>1.1 billion</w:t>
      </w:r>
      <w:r w:rsidRPr="009A7C11">
        <w:t xml:space="preserve"> actuarial gain due to higher than expected returns on superannuation assets for the year to date. It is important to note that changes in the superannuation liability that are attributable to bond rate movements do not impact the amount of cash required to fund the liability over time.</w:t>
      </w:r>
    </w:p>
    <w:p w:rsidR="0070375D" w:rsidRDefault="0070375D" w:rsidP="00583CAC">
      <w:r>
        <w:t>The estimate for other economic flows over the budget and forward estimate years primarily reflects provisions for bad and doubtful debts.</w:t>
      </w:r>
    </w:p>
    <w:p w:rsidR="0070375D" w:rsidRPr="001104A3" w:rsidRDefault="0070375D" w:rsidP="005725D3">
      <w:pPr>
        <w:pStyle w:val="Heading2"/>
      </w:pPr>
      <w:r w:rsidRPr="008E433F">
        <w:t>Reconciliation of forward estimates to previously published estimates</w:t>
      </w:r>
    </w:p>
    <w:p w:rsidR="0070375D" w:rsidRDefault="0070375D" w:rsidP="00DA0303">
      <w:r>
        <w:t>Excluding the impact of the revision to AASB 119</w:t>
      </w:r>
      <w:r>
        <w:fldChar w:fldCharType="begin"/>
      </w:r>
      <w:r>
        <w:instrText xml:space="preserve"> XE "</w:instrText>
      </w:r>
      <w:r w:rsidRPr="00D3448B">
        <w:instrText>AASB 119</w:instrText>
      </w:r>
      <w:r>
        <w:instrText xml:space="preserve"> </w:instrText>
      </w:r>
      <w:r w:rsidRPr="004A448A">
        <w:rPr>
          <w:i/>
        </w:rPr>
        <w:instrText>Employee Benefits</w:instrText>
      </w:r>
      <w:r>
        <w:instrText xml:space="preserve">" </w:instrText>
      </w:r>
      <w:r>
        <w:fldChar w:fldCharType="end"/>
      </w:r>
      <w:r>
        <w:t xml:space="preserve"> </w:t>
      </w:r>
      <w:r w:rsidRPr="004A448A">
        <w:rPr>
          <w:i/>
        </w:rPr>
        <w:t>Employee Benefits</w:t>
      </w:r>
      <w:r>
        <w:t xml:space="preserve">, the </w:t>
      </w:r>
      <w:r w:rsidRPr="00DF427C">
        <w:t xml:space="preserve">net result from transactions has </w:t>
      </w:r>
      <w:r>
        <w:t>been revised down over the period 2013</w:t>
      </w:r>
      <w:r w:rsidR="00276239">
        <w:noBreakHyphen/>
      </w:r>
      <w:r>
        <w:t>14 to 2015</w:t>
      </w:r>
      <w:r w:rsidR="00276239">
        <w:noBreakHyphen/>
      </w:r>
      <w:r>
        <w:t xml:space="preserve">16 since </w:t>
      </w:r>
      <w:r w:rsidRPr="00DF427C">
        <w:t xml:space="preserve">the </w:t>
      </w:r>
      <w:r w:rsidRPr="00824FCA">
        <w:rPr>
          <w:i/>
          <w:iCs/>
        </w:rPr>
        <w:t>2012</w:t>
      </w:r>
      <w:r w:rsidR="00276239">
        <w:rPr>
          <w:i/>
          <w:iCs/>
        </w:rPr>
        <w:noBreakHyphen/>
      </w:r>
      <w:r w:rsidRPr="00824FCA">
        <w:rPr>
          <w:i/>
          <w:iCs/>
        </w:rPr>
        <w:t>13 Budget Update</w:t>
      </w:r>
      <w:r>
        <w:t xml:space="preserve"> was released in December 2012. The major driver of the lower operating surpluses</w:t>
      </w:r>
      <w:r>
        <w:fldChar w:fldCharType="begin"/>
      </w:r>
      <w:r>
        <w:instrText xml:space="preserve"> XE "</w:instrText>
      </w:r>
      <w:r w:rsidRPr="00D3448B">
        <w:instrText>Operating surplus</w:instrText>
      </w:r>
      <w:r>
        <w:instrText xml:space="preserve">" </w:instrText>
      </w:r>
      <w:r>
        <w:fldChar w:fldCharType="end"/>
      </w:r>
      <w:r>
        <w:t xml:space="preserve"> is lower expected revenue from GST and other Commonwealth grants, partially offset by the net impact of higher investment income together with new policy initiatives announced in the </w:t>
      </w:r>
      <w:r w:rsidRPr="00AF49F2">
        <w:rPr>
          <w:i/>
        </w:rPr>
        <w:t>2013</w:t>
      </w:r>
      <w:r w:rsidR="00276239">
        <w:rPr>
          <w:i/>
        </w:rPr>
        <w:noBreakHyphen/>
      </w:r>
      <w:r w:rsidRPr="00AF49F2">
        <w:rPr>
          <w:i/>
        </w:rPr>
        <w:t>14 Budget</w:t>
      </w:r>
      <w:r>
        <w:t xml:space="preserve"> funded through new savings, the release of contingencies for policy purposes and targeted revenue measures.</w:t>
      </w:r>
    </w:p>
    <w:p w:rsidR="0070375D" w:rsidRDefault="0070375D" w:rsidP="00DA0303"/>
    <w:p w:rsidR="0070375D" w:rsidRDefault="0070375D">
      <w:pPr>
        <w:spacing w:after="0"/>
        <w:rPr>
          <w:rStyle w:val="TableheadingChar"/>
        </w:rPr>
      </w:pPr>
      <w:r>
        <w:rPr>
          <w:rStyle w:val="TableheadingChar"/>
        </w:rPr>
        <w:br w:type="page"/>
      </w:r>
    </w:p>
    <w:p w:rsidR="0070375D" w:rsidRPr="00632846" w:rsidRDefault="0070375D" w:rsidP="00747C4F">
      <w:pPr>
        <w:pStyle w:val="Tableheading"/>
      </w:pPr>
      <w:r w:rsidRPr="00632846">
        <w:lastRenderedPageBreak/>
        <w:t>Table 4.3:</w:t>
      </w:r>
      <w:r w:rsidRPr="00632846">
        <w:tab/>
        <w:t>Reconciliation of estimates to the 2012</w:t>
      </w:r>
      <w:r w:rsidR="00276239">
        <w:rPr>
          <w:b w:val="0"/>
        </w:rPr>
        <w:noBreakHyphen/>
      </w:r>
      <w:r w:rsidRPr="00632846">
        <w:t>13 Budget Update</w:t>
      </w:r>
    </w:p>
    <w:p w:rsidR="0070375D" w:rsidRPr="00774D76" w:rsidRDefault="0070375D" w:rsidP="00774D76">
      <w:pPr>
        <w:pStyle w:val="million"/>
        <w:rPr>
          <w:rFonts w:ascii="Times New Roman" w:hAnsi="Times New Roman"/>
          <w:sz w:val="20"/>
          <w:lang w:eastAsia="en-AU"/>
        </w:rPr>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4964"/>
        <w:gridCol w:w="937"/>
        <w:gridCol w:w="725"/>
        <w:gridCol w:w="106"/>
        <w:gridCol w:w="106"/>
        <w:gridCol w:w="938"/>
      </w:tblGrid>
      <w:tr w:rsidR="0070375D" w:rsidRPr="00774D76" w:rsidTr="00774D76">
        <w:tc>
          <w:tcPr>
            <w:tcW w:w="4964" w:type="dxa"/>
            <w:tcBorders>
              <w:top w:val="single" w:sz="4" w:space="0" w:color="auto"/>
              <w:left w:val="single" w:sz="4" w:space="0" w:color="auto"/>
              <w:bottom w:val="nil"/>
              <w:right w:val="nil"/>
            </w:tcBorders>
            <w:shd w:val="clear" w:color="auto" w:fill="000000"/>
          </w:tcPr>
          <w:p w:rsidR="0070375D" w:rsidRPr="00774D76" w:rsidRDefault="0070375D" w:rsidP="00774D76">
            <w:pPr>
              <w:pStyle w:val="Tabletext"/>
              <w:rPr>
                <w:rFonts w:eastAsiaTheme="minorEastAsia"/>
                <w:lang w:eastAsia="en-AU"/>
              </w:rPr>
            </w:pPr>
            <w:r w:rsidRPr="00774D76">
              <w:rPr>
                <w:rFonts w:eastAsiaTheme="minorEastAsia"/>
                <w:lang w:eastAsia="en-AU"/>
              </w:rPr>
              <w:t xml:space="preserve"> </w:t>
            </w:r>
          </w:p>
        </w:tc>
        <w:tc>
          <w:tcPr>
            <w:tcW w:w="937" w:type="dxa"/>
            <w:tcBorders>
              <w:top w:val="single" w:sz="4" w:space="0" w:color="auto"/>
              <w:left w:val="nil"/>
              <w:bottom w:val="nil"/>
              <w:right w:val="nil"/>
            </w:tcBorders>
            <w:shd w:val="clear" w:color="auto" w:fill="000000"/>
          </w:tcPr>
          <w:p w:rsidR="0070375D" w:rsidRPr="00774D76" w:rsidRDefault="0070375D" w:rsidP="00774D76">
            <w:pPr>
              <w:pStyle w:val="Tabletextheading"/>
              <w:rPr>
                <w:rFonts w:eastAsiaTheme="minorEastAsia"/>
                <w:lang w:eastAsia="en-AU"/>
              </w:rPr>
            </w:pPr>
            <w:r w:rsidRPr="00774D76">
              <w:rPr>
                <w:rFonts w:eastAsiaTheme="minorEastAsia"/>
                <w:lang w:eastAsia="en-AU"/>
              </w:rPr>
              <w:t>2013</w:t>
            </w:r>
            <w:r w:rsidR="00276239">
              <w:rPr>
                <w:rFonts w:eastAsiaTheme="minorEastAsia"/>
                <w:lang w:eastAsia="en-AU"/>
              </w:rPr>
              <w:noBreakHyphen/>
            </w:r>
            <w:r w:rsidRPr="00774D76">
              <w:rPr>
                <w:rFonts w:eastAsiaTheme="minorEastAsia"/>
                <w:lang w:eastAsia="en-AU"/>
              </w:rPr>
              <w:t>14</w:t>
            </w:r>
          </w:p>
        </w:tc>
        <w:tc>
          <w:tcPr>
            <w:tcW w:w="937" w:type="dxa"/>
            <w:gridSpan w:val="3"/>
            <w:tcBorders>
              <w:top w:val="single" w:sz="4" w:space="0" w:color="auto"/>
              <w:left w:val="nil"/>
              <w:bottom w:val="nil"/>
              <w:right w:val="nil"/>
            </w:tcBorders>
            <w:shd w:val="clear" w:color="auto" w:fill="000000"/>
          </w:tcPr>
          <w:p w:rsidR="0070375D" w:rsidRPr="00774D76" w:rsidRDefault="0070375D" w:rsidP="00774D76">
            <w:pPr>
              <w:pStyle w:val="Tabletextheading"/>
              <w:rPr>
                <w:rFonts w:eastAsiaTheme="minorEastAsia"/>
                <w:lang w:eastAsia="en-AU"/>
              </w:rPr>
            </w:pPr>
            <w:r w:rsidRPr="00774D76">
              <w:rPr>
                <w:rFonts w:eastAsiaTheme="minorEastAsia"/>
                <w:lang w:eastAsia="en-AU"/>
              </w:rPr>
              <w:t>2014</w:t>
            </w:r>
            <w:r w:rsidR="00276239">
              <w:rPr>
                <w:rFonts w:eastAsiaTheme="minorEastAsia"/>
                <w:lang w:eastAsia="en-AU"/>
              </w:rPr>
              <w:noBreakHyphen/>
            </w:r>
            <w:r w:rsidRPr="00774D76">
              <w:rPr>
                <w:rFonts w:eastAsiaTheme="minorEastAsia"/>
                <w:lang w:eastAsia="en-AU"/>
              </w:rPr>
              <w:t>15</w:t>
            </w:r>
          </w:p>
        </w:tc>
        <w:tc>
          <w:tcPr>
            <w:tcW w:w="938" w:type="dxa"/>
            <w:tcBorders>
              <w:top w:val="single" w:sz="4" w:space="0" w:color="auto"/>
              <w:left w:val="nil"/>
              <w:bottom w:val="nil"/>
              <w:right w:val="single" w:sz="4" w:space="0" w:color="auto"/>
            </w:tcBorders>
            <w:shd w:val="clear" w:color="auto" w:fill="000000"/>
          </w:tcPr>
          <w:p w:rsidR="0070375D" w:rsidRPr="00774D76" w:rsidRDefault="0070375D" w:rsidP="00774D76">
            <w:pPr>
              <w:pStyle w:val="Tabletextheading"/>
              <w:rPr>
                <w:rFonts w:eastAsiaTheme="minorEastAsia"/>
                <w:lang w:eastAsia="en-AU"/>
              </w:rPr>
            </w:pPr>
            <w:r w:rsidRPr="00774D76">
              <w:rPr>
                <w:rFonts w:eastAsiaTheme="minorEastAsia"/>
                <w:lang w:eastAsia="en-AU"/>
              </w:rPr>
              <w:t>2015</w:t>
            </w:r>
            <w:r w:rsidR="00276239">
              <w:rPr>
                <w:rFonts w:eastAsiaTheme="minorEastAsia"/>
                <w:lang w:eastAsia="en-AU"/>
              </w:rPr>
              <w:noBreakHyphen/>
            </w:r>
            <w:r w:rsidRPr="00774D76">
              <w:rPr>
                <w:rFonts w:eastAsiaTheme="minorEastAsia"/>
                <w:lang w:eastAsia="en-AU"/>
              </w:rPr>
              <w:t>16</w:t>
            </w:r>
          </w:p>
        </w:tc>
      </w:tr>
      <w:tr w:rsidR="0070375D" w:rsidRPr="00774D76" w:rsidTr="00774D76">
        <w:tc>
          <w:tcPr>
            <w:tcW w:w="4964" w:type="dxa"/>
            <w:tcBorders>
              <w:top w:val="nil"/>
              <w:left w:val="single" w:sz="4" w:space="0" w:color="auto"/>
              <w:bottom w:val="single" w:sz="4" w:space="0" w:color="auto"/>
              <w:right w:val="nil"/>
            </w:tcBorders>
            <w:shd w:val="clear" w:color="auto" w:fill="000000"/>
          </w:tcPr>
          <w:p w:rsidR="0070375D" w:rsidRPr="00774D76" w:rsidRDefault="0070375D" w:rsidP="00774D76">
            <w:pPr>
              <w:pStyle w:val="Tabletext"/>
              <w:rPr>
                <w:rFonts w:eastAsiaTheme="minorEastAsia"/>
                <w:lang w:eastAsia="en-AU"/>
              </w:rPr>
            </w:pPr>
          </w:p>
        </w:tc>
        <w:tc>
          <w:tcPr>
            <w:tcW w:w="937" w:type="dxa"/>
            <w:tcBorders>
              <w:top w:val="nil"/>
              <w:left w:val="nil"/>
              <w:bottom w:val="single" w:sz="4" w:space="0" w:color="auto"/>
              <w:right w:val="nil"/>
            </w:tcBorders>
            <w:shd w:val="clear" w:color="auto" w:fill="000000"/>
          </w:tcPr>
          <w:p w:rsidR="0070375D" w:rsidRPr="00774D76" w:rsidRDefault="0070375D" w:rsidP="00774D76">
            <w:pPr>
              <w:pStyle w:val="Tabletextheading"/>
              <w:rPr>
                <w:rFonts w:eastAsiaTheme="minorEastAsia"/>
                <w:lang w:eastAsia="en-AU"/>
              </w:rPr>
            </w:pPr>
            <w:r w:rsidRPr="00774D76">
              <w:rPr>
                <w:rFonts w:eastAsiaTheme="minorEastAsia"/>
                <w:lang w:eastAsia="en-AU"/>
              </w:rPr>
              <w:t>Budget</w:t>
            </w:r>
          </w:p>
        </w:tc>
        <w:tc>
          <w:tcPr>
            <w:tcW w:w="937" w:type="dxa"/>
            <w:gridSpan w:val="3"/>
            <w:tcBorders>
              <w:top w:val="nil"/>
              <w:left w:val="nil"/>
              <w:bottom w:val="single" w:sz="4" w:space="0" w:color="auto"/>
              <w:right w:val="nil"/>
            </w:tcBorders>
            <w:shd w:val="clear" w:color="auto" w:fill="000000"/>
          </w:tcPr>
          <w:p w:rsidR="0070375D" w:rsidRPr="00774D76" w:rsidRDefault="0070375D" w:rsidP="00774D76">
            <w:pPr>
              <w:pStyle w:val="Tabletextheading"/>
              <w:rPr>
                <w:rFonts w:eastAsiaTheme="minorEastAsia"/>
                <w:lang w:eastAsia="en-AU"/>
              </w:rPr>
            </w:pPr>
            <w:r w:rsidRPr="00774D76">
              <w:rPr>
                <w:rFonts w:eastAsiaTheme="minorEastAsia"/>
                <w:lang w:eastAsia="en-AU"/>
              </w:rPr>
              <w:t>Estimate</w:t>
            </w:r>
          </w:p>
        </w:tc>
        <w:tc>
          <w:tcPr>
            <w:tcW w:w="938" w:type="dxa"/>
            <w:tcBorders>
              <w:top w:val="nil"/>
              <w:left w:val="nil"/>
              <w:bottom w:val="single" w:sz="4" w:space="0" w:color="auto"/>
              <w:right w:val="single" w:sz="4" w:space="0" w:color="auto"/>
            </w:tcBorders>
            <w:shd w:val="clear" w:color="auto" w:fill="000000"/>
          </w:tcPr>
          <w:p w:rsidR="0070375D" w:rsidRPr="00774D76" w:rsidRDefault="0070375D" w:rsidP="00774D76">
            <w:pPr>
              <w:pStyle w:val="Tabletextheading"/>
              <w:rPr>
                <w:rFonts w:eastAsiaTheme="minorEastAsia"/>
                <w:lang w:eastAsia="en-AU"/>
              </w:rPr>
            </w:pPr>
            <w:r w:rsidRPr="00774D76">
              <w:rPr>
                <w:rFonts w:eastAsiaTheme="minorEastAsia"/>
                <w:lang w:eastAsia="en-AU"/>
              </w:rPr>
              <w:t>Estimate</w:t>
            </w:r>
          </w:p>
        </w:tc>
      </w:tr>
      <w:tr w:rsidR="0070375D" w:rsidRPr="00F00A93" w:rsidTr="00774D76">
        <w:tc>
          <w:tcPr>
            <w:tcW w:w="4964" w:type="dxa"/>
            <w:tcBorders>
              <w:top w:val="single" w:sz="4" w:space="0" w:color="auto"/>
              <w:left w:val="nil"/>
              <w:bottom w:val="nil"/>
              <w:right w:val="nil"/>
            </w:tcBorders>
            <w:shd w:val="solid" w:color="FFFFFF" w:fill="auto"/>
          </w:tcPr>
          <w:p w:rsidR="0070375D" w:rsidRPr="00F00A93" w:rsidRDefault="0070375D" w:rsidP="00774D76">
            <w:pPr>
              <w:pStyle w:val="Tabletext"/>
              <w:rPr>
                <w:rFonts w:eastAsiaTheme="minorEastAsia"/>
                <w:b/>
                <w:bCs/>
                <w:i/>
                <w:iCs/>
                <w:color w:val="000000"/>
                <w:lang w:eastAsia="en-AU"/>
              </w:rPr>
            </w:pPr>
            <w:r w:rsidRPr="00F00A93">
              <w:rPr>
                <w:rFonts w:eastAsiaTheme="minorEastAsia"/>
                <w:b/>
                <w:color w:val="000000"/>
                <w:lang w:eastAsia="en-AU"/>
              </w:rPr>
              <w:t xml:space="preserve">Net result from transactions: </w:t>
            </w:r>
            <w:r w:rsidRPr="00F00A93">
              <w:rPr>
                <w:rFonts w:eastAsiaTheme="minorEastAsia"/>
                <w:b/>
                <w:bCs/>
                <w:i/>
                <w:iCs/>
                <w:color w:val="000000"/>
                <w:lang w:eastAsia="en-AU"/>
              </w:rPr>
              <w:t>2012</w:t>
            </w:r>
            <w:r w:rsidR="00276239">
              <w:rPr>
                <w:rFonts w:eastAsiaTheme="minorEastAsia"/>
                <w:b/>
                <w:bCs/>
                <w:i/>
                <w:iCs/>
                <w:color w:val="000000"/>
                <w:lang w:eastAsia="en-AU"/>
              </w:rPr>
              <w:noBreakHyphen/>
            </w:r>
            <w:r w:rsidRPr="00F00A93">
              <w:rPr>
                <w:rFonts w:eastAsiaTheme="minorEastAsia"/>
                <w:b/>
                <w:bCs/>
                <w:i/>
                <w:iCs/>
                <w:color w:val="000000"/>
                <w:lang w:eastAsia="en-AU"/>
              </w:rPr>
              <w:t>13 Budget Update</w:t>
            </w:r>
          </w:p>
        </w:tc>
        <w:tc>
          <w:tcPr>
            <w:tcW w:w="937" w:type="dxa"/>
            <w:tcBorders>
              <w:top w:val="single" w:sz="4" w:space="0" w:color="auto"/>
              <w:left w:val="nil"/>
              <w:bottom w:val="nil"/>
              <w:right w:val="nil"/>
            </w:tcBorders>
            <w:shd w:val="solid" w:color="FFFFFF" w:fill="auto"/>
          </w:tcPr>
          <w:p w:rsidR="0070375D" w:rsidRPr="00F00A93" w:rsidRDefault="0070375D" w:rsidP="00774D76">
            <w:pPr>
              <w:pStyle w:val="TableofFigures"/>
              <w:rPr>
                <w:rFonts w:eastAsiaTheme="minorEastAsia"/>
                <w:b/>
                <w:color w:val="000000"/>
                <w:lang w:eastAsia="en-AU"/>
              </w:rPr>
            </w:pPr>
            <w:r w:rsidRPr="00F00A93">
              <w:rPr>
                <w:rFonts w:eastAsiaTheme="minorEastAsia"/>
                <w:b/>
                <w:color w:val="000000"/>
                <w:lang w:eastAsia="en-AU"/>
              </w:rPr>
              <w:t xml:space="preserve"> 834.7</w:t>
            </w:r>
          </w:p>
        </w:tc>
        <w:tc>
          <w:tcPr>
            <w:tcW w:w="937" w:type="dxa"/>
            <w:gridSpan w:val="3"/>
            <w:tcBorders>
              <w:top w:val="single" w:sz="4" w:space="0" w:color="auto"/>
              <w:left w:val="nil"/>
              <w:bottom w:val="nil"/>
              <w:right w:val="nil"/>
            </w:tcBorders>
            <w:shd w:val="solid" w:color="FFFFFF" w:fill="auto"/>
          </w:tcPr>
          <w:p w:rsidR="0070375D" w:rsidRPr="00F00A93" w:rsidRDefault="0070375D" w:rsidP="00774D76">
            <w:pPr>
              <w:pStyle w:val="TableofFigures"/>
              <w:rPr>
                <w:rFonts w:eastAsiaTheme="minorEastAsia"/>
                <w:b/>
                <w:color w:val="000000"/>
                <w:lang w:eastAsia="en-AU"/>
              </w:rPr>
            </w:pPr>
            <w:r w:rsidRPr="00F00A93">
              <w:rPr>
                <w:rFonts w:eastAsiaTheme="minorEastAsia"/>
                <w:b/>
                <w:color w:val="000000"/>
                <w:lang w:eastAsia="en-AU"/>
              </w:rPr>
              <w:t>1 260.0</w:t>
            </w:r>
          </w:p>
        </w:tc>
        <w:tc>
          <w:tcPr>
            <w:tcW w:w="938" w:type="dxa"/>
            <w:tcBorders>
              <w:top w:val="single" w:sz="4" w:space="0" w:color="auto"/>
              <w:left w:val="nil"/>
              <w:bottom w:val="nil"/>
              <w:right w:val="nil"/>
            </w:tcBorders>
            <w:shd w:val="solid" w:color="FFFFFF" w:fill="auto"/>
          </w:tcPr>
          <w:p w:rsidR="0070375D" w:rsidRPr="00F00A93" w:rsidRDefault="0070375D" w:rsidP="00774D76">
            <w:pPr>
              <w:pStyle w:val="TableofFigures"/>
              <w:rPr>
                <w:rFonts w:eastAsiaTheme="minorEastAsia"/>
                <w:b/>
                <w:color w:val="000000"/>
                <w:lang w:eastAsia="en-AU"/>
              </w:rPr>
            </w:pPr>
            <w:r w:rsidRPr="00F00A93">
              <w:rPr>
                <w:rFonts w:eastAsiaTheme="minorEastAsia"/>
                <w:b/>
                <w:color w:val="000000"/>
                <w:lang w:eastAsia="en-AU"/>
              </w:rPr>
              <w:t>2 636.8</w:t>
            </w:r>
          </w:p>
        </w:tc>
      </w:tr>
      <w:tr w:rsidR="0070375D" w:rsidRPr="00774D76" w:rsidTr="00774D76">
        <w:tc>
          <w:tcPr>
            <w:tcW w:w="4964" w:type="dxa"/>
            <w:tcBorders>
              <w:top w:val="nil"/>
              <w:left w:val="nil"/>
              <w:bottom w:val="nil"/>
              <w:right w:val="nil"/>
            </w:tcBorders>
            <w:shd w:val="solid" w:color="FFFFFF" w:fill="auto"/>
          </w:tcPr>
          <w:p w:rsidR="0070375D" w:rsidRPr="00774D76" w:rsidRDefault="0070375D" w:rsidP="00774D76">
            <w:pPr>
              <w:pStyle w:val="Tabletext"/>
              <w:rPr>
                <w:rFonts w:eastAsiaTheme="minorEastAsia"/>
                <w:color w:val="000000"/>
                <w:lang w:eastAsia="en-AU"/>
              </w:rPr>
            </w:pPr>
            <w:r w:rsidRPr="00774D76">
              <w:rPr>
                <w:rFonts w:eastAsiaTheme="minorEastAsia"/>
                <w:color w:val="000000"/>
                <w:lang w:eastAsia="en-AU"/>
              </w:rPr>
              <w:t>Less: Impact of AASB 119</w:t>
            </w:r>
          </w:p>
        </w:tc>
        <w:tc>
          <w:tcPr>
            <w:tcW w:w="937" w:type="dxa"/>
            <w:tcBorders>
              <w:top w:val="nil"/>
              <w:left w:val="nil"/>
              <w:bottom w:val="nil"/>
              <w:right w:val="nil"/>
            </w:tcBorders>
            <w:shd w:val="solid" w:color="FFFFFF" w:fill="auto"/>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593.2</w:t>
            </w:r>
          </w:p>
        </w:tc>
        <w:tc>
          <w:tcPr>
            <w:tcW w:w="937" w:type="dxa"/>
            <w:gridSpan w:val="3"/>
            <w:tcBorders>
              <w:top w:val="nil"/>
              <w:left w:val="nil"/>
              <w:bottom w:val="nil"/>
              <w:right w:val="nil"/>
            </w:tcBorders>
            <w:shd w:val="solid" w:color="FFFFFF" w:fill="auto"/>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606.8</w:t>
            </w:r>
          </w:p>
        </w:tc>
        <w:tc>
          <w:tcPr>
            <w:tcW w:w="938" w:type="dxa"/>
            <w:tcBorders>
              <w:top w:val="nil"/>
              <w:left w:val="nil"/>
              <w:bottom w:val="nil"/>
              <w:right w:val="nil"/>
            </w:tcBorders>
            <w:shd w:val="solid" w:color="FFFFFF" w:fill="auto"/>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617.3</w:t>
            </w:r>
          </w:p>
        </w:tc>
      </w:tr>
      <w:tr w:rsidR="0070375D" w:rsidRPr="00774D76" w:rsidTr="00774D76">
        <w:tc>
          <w:tcPr>
            <w:tcW w:w="6626" w:type="dxa"/>
            <w:gridSpan w:val="3"/>
            <w:tcBorders>
              <w:top w:val="nil"/>
              <w:left w:val="nil"/>
              <w:bottom w:val="nil"/>
              <w:right w:val="nil"/>
            </w:tcBorders>
            <w:shd w:val="solid" w:color="FFFFFF" w:fill="auto"/>
          </w:tcPr>
          <w:p w:rsidR="0070375D" w:rsidRPr="00774D76" w:rsidRDefault="0070375D" w:rsidP="00774D76">
            <w:pPr>
              <w:pStyle w:val="Tabletext"/>
              <w:rPr>
                <w:rFonts w:eastAsiaTheme="minorEastAsia"/>
                <w:i/>
                <w:iCs/>
                <w:color w:val="000000"/>
                <w:lang w:eastAsia="en-AU"/>
              </w:rPr>
            </w:pPr>
            <w:r w:rsidRPr="00774D76">
              <w:rPr>
                <w:rFonts w:eastAsiaTheme="minorEastAsia"/>
                <w:b/>
                <w:bCs/>
                <w:color w:val="000000"/>
                <w:lang w:eastAsia="en-AU"/>
              </w:rPr>
              <w:t>Plus:</w:t>
            </w:r>
            <w:r w:rsidRPr="00774D76">
              <w:rPr>
                <w:rFonts w:eastAsiaTheme="minorEastAsia"/>
                <w:color w:val="000000"/>
                <w:lang w:eastAsia="en-AU"/>
              </w:rPr>
              <w:t xml:space="preserve"> Variations in income from transactions since </w:t>
            </w:r>
            <w:r w:rsidRPr="00774D76">
              <w:rPr>
                <w:rFonts w:eastAsiaTheme="minorEastAsia"/>
                <w:i/>
                <w:iCs/>
                <w:color w:val="000000"/>
                <w:lang w:eastAsia="en-AU"/>
              </w:rPr>
              <w:t>2012</w:t>
            </w:r>
            <w:r w:rsidR="00276239">
              <w:rPr>
                <w:rFonts w:eastAsiaTheme="minorEastAsia"/>
                <w:i/>
                <w:iCs/>
                <w:color w:val="000000"/>
                <w:lang w:eastAsia="en-AU"/>
              </w:rPr>
              <w:noBreakHyphen/>
            </w:r>
            <w:r w:rsidRPr="00774D76">
              <w:rPr>
                <w:rFonts w:eastAsiaTheme="minorEastAsia"/>
                <w:i/>
                <w:iCs/>
                <w:color w:val="000000"/>
                <w:lang w:eastAsia="en-AU"/>
              </w:rPr>
              <w:t>13 Budget Update</w:t>
            </w:r>
          </w:p>
        </w:tc>
        <w:tc>
          <w:tcPr>
            <w:tcW w:w="106" w:type="dxa"/>
            <w:tcBorders>
              <w:top w:val="nil"/>
              <w:left w:val="nil"/>
              <w:bottom w:val="nil"/>
              <w:right w:val="nil"/>
            </w:tcBorders>
            <w:shd w:val="solid" w:color="FFFFFF" w:fill="auto"/>
          </w:tcPr>
          <w:p w:rsidR="0070375D" w:rsidRPr="00774D76" w:rsidRDefault="0070375D" w:rsidP="00774D76">
            <w:pPr>
              <w:pStyle w:val="TableofFigures"/>
              <w:rPr>
                <w:rFonts w:eastAsiaTheme="minorEastAsia"/>
                <w:color w:val="000000"/>
                <w:lang w:eastAsia="en-AU"/>
              </w:rPr>
            </w:pPr>
          </w:p>
        </w:tc>
        <w:tc>
          <w:tcPr>
            <w:tcW w:w="106" w:type="dxa"/>
            <w:tcBorders>
              <w:top w:val="nil"/>
              <w:left w:val="nil"/>
              <w:bottom w:val="nil"/>
              <w:right w:val="nil"/>
            </w:tcBorders>
            <w:shd w:val="solid" w:color="FFFFFF" w:fill="auto"/>
          </w:tcPr>
          <w:p w:rsidR="0070375D" w:rsidRPr="00774D76" w:rsidRDefault="0070375D" w:rsidP="00774D76">
            <w:pPr>
              <w:pStyle w:val="TableofFigures"/>
              <w:rPr>
                <w:rFonts w:eastAsiaTheme="minorEastAsia"/>
                <w:color w:val="000000"/>
                <w:lang w:eastAsia="en-AU"/>
              </w:rPr>
            </w:pPr>
          </w:p>
        </w:tc>
        <w:tc>
          <w:tcPr>
            <w:tcW w:w="938" w:type="dxa"/>
            <w:tcBorders>
              <w:top w:val="nil"/>
              <w:left w:val="nil"/>
              <w:bottom w:val="nil"/>
              <w:right w:val="nil"/>
            </w:tcBorders>
            <w:shd w:val="solid" w:color="FFFFFF" w:fill="auto"/>
          </w:tcPr>
          <w:p w:rsidR="0070375D" w:rsidRPr="00774D76" w:rsidRDefault="0070375D" w:rsidP="00774D76">
            <w:pPr>
              <w:pStyle w:val="TableofFigures"/>
              <w:rPr>
                <w:rFonts w:eastAsiaTheme="minorEastAsia"/>
                <w:color w:val="000000"/>
                <w:lang w:eastAsia="en-AU"/>
              </w:rPr>
            </w:pPr>
          </w:p>
        </w:tc>
      </w:tr>
      <w:tr w:rsidR="0070375D" w:rsidRPr="00774D76" w:rsidTr="00774D76">
        <w:tc>
          <w:tcPr>
            <w:tcW w:w="4964" w:type="dxa"/>
            <w:tcBorders>
              <w:top w:val="nil"/>
              <w:left w:val="nil"/>
              <w:bottom w:val="nil"/>
              <w:right w:val="nil"/>
            </w:tcBorders>
            <w:shd w:val="solid" w:color="FFFFFF" w:fill="auto"/>
          </w:tcPr>
          <w:p w:rsidR="0070375D" w:rsidRPr="00774D76" w:rsidRDefault="0070375D" w:rsidP="00774D76">
            <w:pPr>
              <w:pStyle w:val="Tabletext"/>
              <w:rPr>
                <w:rFonts w:eastAsiaTheme="minorEastAsia"/>
                <w:color w:val="000000"/>
                <w:lang w:eastAsia="en-AU"/>
              </w:rPr>
            </w:pPr>
            <w:r w:rsidRPr="00774D76">
              <w:rPr>
                <w:rFonts w:eastAsiaTheme="minorEastAsia"/>
                <w:color w:val="000000"/>
                <w:lang w:eastAsia="en-AU"/>
              </w:rPr>
              <w:t>Policy decision variations</w:t>
            </w:r>
          </w:p>
        </w:tc>
        <w:tc>
          <w:tcPr>
            <w:tcW w:w="937" w:type="dxa"/>
            <w:tcBorders>
              <w:top w:val="nil"/>
              <w:left w:val="nil"/>
              <w:bottom w:val="nil"/>
              <w:right w:val="nil"/>
            </w:tcBorders>
            <w:shd w:val="solid" w:color="FFFFFF" w:fill="auto"/>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119.9</w:t>
            </w:r>
          </w:p>
        </w:tc>
        <w:tc>
          <w:tcPr>
            <w:tcW w:w="937" w:type="dxa"/>
            <w:gridSpan w:val="3"/>
            <w:tcBorders>
              <w:top w:val="nil"/>
              <w:left w:val="nil"/>
              <w:bottom w:val="nil"/>
              <w:right w:val="nil"/>
            </w:tcBorders>
            <w:shd w:val="solid" w:color="FFFFFF" w:fill="auto"/>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137.8</w:t>
            </w:r>
          </w:p>
        </w:tc>
        <w:tc>
          <w:tcPr>
            <w:tcW w:w="938" w:type="dxa"/>
            <w:tcBorders>
              <w:top w:val="nil"/>
              <w:left w:val="nil"/>
              <w:bottom w:val="nil"/>
              <w:right w:val="nil"/>
            </w:tcBorders>
            <w:shd w:val="solid" w:color="FFFFFF" w:fill="auto"/>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157.7</w:t>
            </w:r>
          </w:p>
        </w:tc>
      </w:tr>
      <w:tr w:rsidR="0070375D" w:rsidRPr="00774D76" w:rsidTr="00774D76">
        <w:tc>
          <w:tcPr>
            <w:tcW w:w="4964" w:type="dxa"/>
            <w:tcBorders>
              <w:top w:val="nil"/>
              <w:left w:val="nil"/>
              <w:bottom w:val="nil"/>
              <w:right w:val="nil"/>
            </w:tcBorders>
            <w:shd w:val="solid" w:color="FFFFFF" w:fill="auto"/>
          </w:tcPr>
          <w:p w:rsidR="0070375D" w:rsidRPr="00774D76" w:rsidRDefault="0070375D" w:rsidP="00774D76">
            <w:pPr>
              <w:pStyle w:val="Tabletext"/>
              <w:rPr>
                <w:rFonts w:eastAsiaTheme="minorEastAsia"/>
                <w:b/>
                <w:bCs/>
                <w:color w:val="000000"/>
                <w:lang w:eastAsia="en-AU"/>
              </w:rPr>
            </w:pPr>
            <w:r w:rsidRPr="00774D76">
              <w:rPr>
                <w:rFonts w:eastAsiaTheme="minorEastAsia"/>
                <w:b/>
                <w:bCs/>
                <w:color w:val="000000"/>
                <w:lang w:eastAsia="en-AU"/>
              </w:rPr>
              <w:t>Economic/demographic variations</w:t>
            </w:r>
          </w:p>
        </w:tc>
        <w:tc>
          <w:tcPr>
            <w:tcW w:w="937" w:type="dxa"/>
            <w:tcBorders>
              <w:top w:val="nil"/>
              <w:left w:val="nil"/>
              <w:bottom w:val="nil"/>
              <w:right w:val="nil"/>
            </w:tcBorders>
            <w:shd w:val="solid" w:color="FFFFFF" w:fill="auto"/>
          </w:tcPr>
          <w:p w:rsidR="0070375D" w:rsidRPr="00774D76" w:rsidRDefault="0070375D" w:rsidP="00774D76">
            <w:pPr>
              <w:pStyle w:val="TableofFigures"/>
              <w:rPr>
                <w:rFonts w:eastAsiaTheme="minorEastAsia"/>
                <w:color w:val="000000"/>
                <w:lang w:eastAsia="en-AU"/>
              </w:rPr>
            </w:pPr>
          </w:p>
        </w:tc>
        <w:tc>
          <w:tcPr>
            <w:tcW w:w="937" w:type="dxa"/>
            <w:gridSpan w:val="3"/>
            <w:tcBorders>
              <w:top w:val="nil"/>
              <w:left w:val="nil"/>
              <w:bottom w:val="nil"/>
              <w:right w:val="nil"/>
            </w:tcBorders>
            <w:shd w:val="solid" w:color="FFFFFF" w:fill="auto"/>
          </w:tcPr>
          <w:p w:rsidR="0070375D" w:rsidRPr="00774D76" w:rsidRDefault="0070375D" w:rsidP="00774D76">
            <w:pPr>
              <w:pStyle w:val="TableofFigures"/>
              <w:rPr>
                <w:rFonts w:eastAsiaTheme="minorEastAsia"/>
                <w:color w:val="000000"/>
                <w:lang w:eastAsia="en-AU"/>
              </w:rPr>
            </w:pPr>
          </w:p>
        </w:tc>
        <w:tc>
          <w:tcPr>
            <w:tcW w:w="938" w:type="dxa"/>
            <w:tcBorders>
              <w:top w:val="nil"/>
              <w:left w:val="nil"/>
              <w:bottom w:val="nil"/>
              <w:right w:val="nil"/>
            </w:tcBorders>
            <w:shd w:val="solid" w:color="FFFFFF" w:fill="auto"/>
          </w:tcPr>
          <w:p w:rsidR="0070375D" w:rsidRPr="00774D76" w:rsidRDefault="0070375D" w:rsidP="00774D76">
            <w:pPr>
              <w:pStyle w:val="TableofFigures"/>
              <w:rPr>
                <w:rFonts w:eastAsiaTheme="minorEastAsia"/>
                <w:color w:val="000000"/>
                <w:lang w:eastAsia="en-AU"/>
              </w:rPr>
            </w:pPr>
          </w:p>
        </w:tc>
      </w:tr>
      <w:tr w:rsidR="0070375D" w:rsidRPr="00774D76" w:rsidTr="00774D76">
        <w:tc>
          <w:tcPr>
            <w:tcW w:w="4964" w:type="dxa"/>
            <w:tcBorders>
              <w:top w:val="nil"/>
              <w:left w:val="nil"/>
              <w:bottom w:val="nil"/>
              <w:right w:val="nil"/>
            </w:tcBorders>
            <w:shd w:val="solid" w:color="FFFFFF" w:fill="auto"/>
          </w:tcPr>
          <w:p w:rsidR="0070375D" w:rsidRPr="00774D76" w:rsidRDefault="0070375D" w:rsidP="00774D76">
            <w:pPr>
              <w:pStyle w:val="Tabletext"/>
              <w:rPr>
                <w:rFonts w:eastAsiaTheme="minorEastAsia"/>
                <w:color w:val="000000"/>
                <w:lang w:eastAsia="en-AU"/>
              </w:rPr>
            </w:pPr>
            <w:r w:rsidRPr="00774D76">
              <w:rPr>
                <w:rFonts w:eastAsiaTheme="minorEastAsia"/>
                <w:color w:val="000000"/>
                <w:lang w:eastAsia="en-AU"/>
              </w:rPr>
              <w:t xml:space="preserve">   Taxation</w:t>
            </w:r>
          </w:p>
        </w:tc>
        <w:tc>
          <w:tcPr>
            <w:tcW w:w="937" w:type="dxa"/>
            <w:tcBorders>
              <w:top w:val="nil"/>
              <w:left w:val="nil"/>
              <w:bottom w:val="nil"/>
              <w:right w:val="nil"/>
            </w:tcBorders>
            <w:shd w:val="solid" w:color="FFFFFF" w:fill="auto"/>
          </w:tcPr>
          <w:p w:rsidR="0070375D" w:rsidRPr="00774D76" w:rsidRDefault="002714D4" w:rsidP="00774D76">
            <w:pPr>
              <w:pStyle w:val="TableofFigures"/>
              <w:rPr>
                <w:rFonts w:eastAsiaTheme="minorEastAsia" w:cs="Calibri"/>
                <w:color w:val="000000"/>
                <w:lang w:eastAsia="en-AU"/>
              </w:rPr>
            </w:pPr>
            <w:r>
              <w:rPr>
                <w:rFonts w:eastAsiaTheme="minorEastAsia"/>
                <w:color w:val="000000"/>
                <w:lang w:eastAsia="en-AU"/>
              </w:rPr>
              <w:t>(</w:t>
            </w:r>
            <w:r w:rsidR="0070375D" w:rsidRPr="00774D76">
              <w:rPr>
                <w:rFonts w:eastAsiaTheme="minorEastAsia"/>
                <w:color w:val="000000"/>
                <w:lang w:eastAsia="en-AU"/>
              </w:rPr>
              <w:t>11.5)</w:t>
            </w:r>
          </w:p>
        </w:tc>
        <w:tc>
          <w:tcPr>
            <w:tcW w:w="937" w:type="dxa"/>
            <w:gridSpan w:val="3"/>
            <w:tcBorders>
              <w:top w:val="nil"/>
              <w:left w:val="nil"/>
              <w:bottom w:val="nil"/>
              <w:right w:val="nil"/>
            </w:tcBorders>
            <w:shd w:val="solid" w:color="FFFFFF" w:fill="auto"/>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34.1</w:t>
            </w:r>
          </w:p>
        </w:tc>
        <w:tc>
          <w:tcPr>
            <w:tcW w:w="938" w:type="dxa"/>
            <w:tcBorders>
              <w:top w:val="nil"/>
              <w:left w:val="nil"/>
              <w:bottom w:val="nil"/>
              <w:right w:val="nil"/>
            </w:tcBorders>
            <w:shd w:val="solid" w:color="FFFFFF" w:fill="auto"/>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47.8</w:t>
            </w:r>
          </w:p>
        </w:tc>
      </w:tr>
      <w:tr w:rsidR="0070375D" w:rsidRPr="00774D76" w:rsidTr="00774D76">
        <w:tc>
          <w:tcPr>
            <w:tcW w:w="4964" w:type="dxa"/>
            <w:tcBorders>
              <w:top w:val="nil"/>
              <w:left w:val="nil"/>
              <w:bottom w:val="single" w:sz="6" w:space="0" w:color="auto"/>
              <w:right w:val="nil"/>
            </w:tcBorders>
            <w:shd w:val="solid" w:color="FFFFFF" w:fill="auto"/>
          </w:tcPr>
          <w:p w:rsidR="0070375D" w:rsidRPr="00774D76" w:rsidRDefault="0070375D" w:rsidP="00774D76">
            <w:pPr>
              <w:pStyle w:val="Tabletext"/>
              <w:rPr>
                <w:rFonts w:eastAsiaTheme="minorEastAsia"/>
                <w:color w:val="000000"/>
                <w:vertAlign w:val="superscript"/>
                <w:lang w:eastAsia="en-AU"/>
              </w:rPr>
            </w:pPr>
            <w:r w:rsidRPr="00774D76">
              <w:rPr>
                <w:rFonts w:eastAsiaTheme="minorEastAsia"/>
                <w:color w:val="000000"/>
                <w:lang w:eastAsia="en-AU"/>
              </w:rPr>
              <w:t xml:space="preserve">   Investment income</w:t>
            </w:r>
            <w:r w:rsidRPr="00774D76">
              <w:rPr>
                <w:rFonts w:eastAsiaTheme="minorEastAsia"/>
                <w:color w:val="000000"/>
                <w:vertAlign w:val="superscript"/>
                <w:lang w:eastAsia="en-AU"/>
              </w:rPr>
              <w:t xml:space="preserve"> (a)</w:t>
            </w:r>
          </w:p>
        </w:tc>
        <w:tc>
          <w:tcPr>
            <w:tcW w:w="937"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200.8</w:t>
            </w:r>
          </w:p>
        </w:tc>
        <w:tc>
          <w:tcPr>
            <w:tcW w:w="937" w:type="dxa"/>
            <w:gridSpan w:val="3"/>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87.0</w:t>
            </w:r>
          </w:p>
        </w:tc>
        <w:tc>
          <w:tcPr>
            <w:tcW w:w="938"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138.1</w:t>
            </w:r>
          </w:p>
        </w:tc>
      </w:tr>
      <w:tr w:rsidR="0070375D" w:rsidRPr="00774D76" w:rsidTr="00774D76">
        <w:tc>
          <w:tcPr>
            <w:tcW w:w="4964" w:type="dxa"/>
            <w:tcBorders>
              <w:top w:val="nil"/>
              <w:left w:val="nil"/>
              <w:bottom w:val="nil"/>
              <w:right w:val="nil"/>
            </w:tcBorders>
            <w:shd w:val="solid" w:color="FFFFFF" w:fill="auto"/>
          </w:tcPr>
          <w:p w:rsidR="0070375D" w:rsidRPr="00774D76" w:rsidRDefault="0070375D" w:rsidP="00774D76">
            <w:pPr>
              <w:pStyle w:val="Tabletext"/>
              <w:rPr>
                <w:rFonts w:eastAsiaTheme="minorEastAsia"/>
                <w:color w:val="000000"/>
                <w:lang w:eastAsia="en-AU"/>
              </w:rPr>
            </w:pPr>
          </w:p>
        </w:tc>
        <w:tc>
          <w:tcPr>
            <w:tcW w:w="937" w:type="dxa"/>
            <w:tcBorders>
              <w:top w:val="single" w:sz="6" w:space="0" w:color="auto"/>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 xml:space="preserve"> 189.2</w:t>
            </w:r>
          </w:p>
        </w:tc>
        <w:tc>
          <w:tcPr>
            <w:tcW w:w="937" w:type="dxa"/>
            <w:gridSpan w:val="3"/>
            <w:tcBorders>
              <w:top w:val="single" w:sz="6" w:space="0" w:color="auto"/>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 xml:space="preserve"> 121.1</w:t>
            </w:r>
          </w:p>
        </w:tc>
        <w:tc>
          <w:tcPr>
            <w:tcW w:w="938" w:type="dxa"/>
            <w:tcBorders>
              <w:top w:val="single" w:sz="6" w:space="0" w:color="auto"/>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 xml:space="preserve"> 185.9</w:t>
            </w:r>
          </w:p>
        </w:tc>
      </w:tr>
      <w:tr w:rsidR="0070375D" w:rsidRPr="00774D76" w:rsidTr="00774D76">
        <w:tc>
          <w:tcPr>
            <w:tcW w:w="4964" w:type="dxa"/>
            <w:tcBorders>
              <w:top w:val="nil"/>
              <w:left w:val="nil"/>
              <w:bottom w:val="nil"/>
              <w:right w:val="nil"/>
            </w:tcBorders>
            <w:shd w:val="solid" w:color="FFFFFF" w:fill="auto"/>
          </w:tcPr>
          <w:p w:rsidR="0070375D" w:rsidRPr="00774D76" w:rsidRDefault="0070375D" w:rsidP="00774D76">
            <w:pPr>
              <w:pStyle w:val="Tabletext"/>
              <w:rPr>
                <w:rFonts w:eastAsiaTheme="minorEastAsia"/>
                <w:b/>
                <w:bCs/>
                <w:color w:val="000000"/>
                <w:lang w:eastAsia="en-AU"/>
              </w:rPr>
            </w:pPr>
            <w:r w:rsidRPr="00774D76">
              <w:rPr>
                <w:rFonts w:eastAsiaTheme="minorEastAsia"/>
                <w:b/>
                <w:bCs/>
                <w:color w:val="000000"/>
                <w:lang w:eastAsia="en-AU"/>
              </w:rPr>
              <w:t>Commonwealth grant variations</w:t>
            </w:r>
          </w:p>
        </w:tc>
        <w:tc>
          <w:tcPr>
            <w:tcW w:w="937" w:type="dxa"/>
            <w:tcBorders>
              <w:top w:val="nil"/>
              <w:left w:val="nil"/>
              <w:bottom w:val="nil"/>
              <w:right w:val="nil"/>
            </w:tcBorders>
          </w:tcPr>
          <w:p w:rsidR="0070375D" w:rsidRPr="00774D76" w:rsidRDefault="0070375D" w:rsidP="00774D76">
            <w:pPr>
              <w:pStyle w:val="TableofFigures"/>
              <w:rPr>
                <w:rFonts w:eastAsiaTheme="minorEastAsia"/>
                <w:color w:val="000000"/>
                <w:u w:val="single"/>
                <w:lang w:eastAsia="en-AU"/>
              </w:rPr>
            </w:pPr>
          </w:p>
        </w:tc>
        <w:tc>
          <w:tcPr>
            <w:tcW w:w="937" w:type="dxa"/>
            <w:gridSpan w:val="3"/>
            <w:tcBorders>
              <w:top w:val="nil"/>
              <w:left w:val="nil"/>
              <w:bottom w:val="nil"/>
              <w:right w:val="nil"/>
            </w:tcBorders>
          </w:tcPr>
          <w:p w:rsidR="0070375D" w:rsidRPr="00774D76" w:rsidRDefault="0070375D" w:rsidP="00774D76">
            <w:pPr>
              <w:pStyle w:val="TableofFigures"/>
              <w:rPr>
                <w:rFonts w:eastAsiaTheme="minorEastAsia"/>
                <w:color w:val="000000"/>
                <w:u w:val="single"/>
                <w:lang w:eastAsia="en-AU"/>
              </w:rPr>
            </w:pPr>
          </w:p>
        </w:tc>
        <w:tc>
          <w:tcPr>
            <w:tcW w:w="938" w:type="dxa"/>
            <w:tcBorders>
              <w:top w:val="nil"/>
              <w:left w:val="nil"/>
              <w:bottom w:val="nil"/>
              <w:right w:val="nil"/>
            </w:tcBorders>
          </w:tcPr>
          <w:p w:rsidR="0070375D" w:rsidRPr="00774D76" w:rsidRDefault="0070375D" w:rsidP="00774D76">
            <w:pPr>
              <w:pStyle w:val="TableofFigures"/>
              <w:rPr>
                <w:rFonts w:eastAsiaTheme="minorEastAsia"/>
                <w:color w:val="000000"/>
                <w:u w:val="single"/>
                <w:lang w:eastAsia="en-AU"/>
              </w:rPr>
            </w:pPr>
          </w:p>
        </w:tc>
      </w:tr>
      <w:tr w:rsidR="0070375D" w:rsidRPr="00774D76" w:rsidTr="00774D76">
        <w:tc>
          <w:tcPr>
            <w:tcW w:w="4964" w:type="dxa"/>
            <w:tcBorders>
              <w:top w:val="nil"/>
              <w:left w:val="nil"/>
              <w:bottom w:val="nil"/>
              <w:right w:val="nil"/>
            </w:tcBorders>
            <w:shd w:val="solid" w:color="FFFFFF" w:fill="auto"/>
          </w:tcPr>
          <w:p w:rsidR="0070375D" w:rsidRPr="00774D76" w:rsidRDefault="0070375D" w:rsidP="00774D76">
            <w:pPr>
              <w:pStyle w:val="Tabletext"/>
              <w:rPr>
                <w:rFonts w:eastAsiaTheme="minorEastAsia"/>
                <w:color w:val="000000"/>
                <w:lang w:eastAsia="en-AU"/>
              </w:rPr>
            </w:pPr>
            <w:r w:rsidRPr="00774D76">
              <w:rPr>
                <w:rFonts w:eastAsiaTheme="minorEastAsia"/>
                <w:color w:val="000000"/>
                <w:lang w:eastAsia="en-AU"/>
              </w:rPr>
              <w:t xml:space="preserve">   General purpose grants</w:t>
            </w:r>
          </w:p>
        </w:tc>
        <w:tc>
          <w:tcPr>
            <w:tcW w:w="937" w:type="dxa"/>
            <w:tcBorders>
              <w:top w:val="nil"/>
              <w:left w:val="nil"/>
              <w:bottom w:val="nil"/>
              <w:right w:val="nil"/>
            </w:tcBorders>
            <w:shd w:val="solid" w:color="FFFFFF" w:fill="auto"/>
          </w:tcPr>
          <w:p w:rsidR="0070375D" w:rsidRPr="00774D76" w:rsidRDefault="002714D4" w:rsidP="00774D76">
            <w:pPr>
              <w:pStyle w:val="TableofFigures"/>
              <w:rPr>
                <w:rFonts w:eastAsiaTheme="minorEastAsia" w:cs="Calibri"/>
                <w:color w:val="000000"/>
                <w:lang w:eastAsia="en-AU"/>
              </w:rPr>
            </w:pPr>
            <w:r>
              <w:rPr>
                <w:rFonts w:eastAsiaTheme="minorEastAsia"/>
                <w:color w:val="000000"/>
                <w:lang w:eastAsia="en-AU"/>
              </w:rPr>
              <w:t>(</w:t>
            </w:r>
            <w:r w:rsidR="0070375D" w:rsidRPr="00774D76">
              <w:rPr>
                <w:rFonts w:eastAsiaTheme="minorEastAsia"/>
                <w:color w:val="000000"/>
                <w:lang w:eastAsia="en-AU"/>
              </w:rPr>
              <w:t>202.1)</w:t>
            </w:r>
          </w:p>
        </w:tc>
        <w:tc>
          <w:tcPr>
            <w:tcW w:w="937" w:type="dxa"/>
            <w:gridSpan w:val="3"/>
            <w:tcBorders>
              <w:top w:val="nil"/>
              <w:left w:val="nil"/>
              <w:bottom w:val="nil"/>
              <w:right w:val="nil"/>
            </w:tcBorders>
            <w:shd w:val="solid" w:color="FFFFFF" w:fill="auto"/>
          </w:tcPr>
          <w:p w:rsidR="0070375D" w:rsidRPr="00774D76" w:rsidRDefault="002714D4" w:rsidP="00774D76">
            <w:pPr>
              <w:pStyle w:val="TableofFigures"/>
              <w:rPr>
                <w:rFonts w:eastAsiaTheme="minorEastAsia" w:cs="Calibri"/>
                <w:color w:val="000000"/>
                <w:lang w:eastAsia="en-AU"/>
              </w:rPr>
            </w:pPr>
            <w:r>
              <w:rPr>
                <w:rFonts w:eastAsiaTheme="minorEastAsia"/>
                <w:color w:val="000000"/>
                <w:lang w:eastAsia="en-AU"/>
              </w:rPr>
              <w:t>(</w:t>
            </w:r>
            <w:r w:rsidR="0070375D" w:rsidRPr="00774D76">
              <w:rPr>
                <w:rFonts w:eastAsiaTheme="minorEastAsia"/>
                <w:color w:val="000000"/>
                <w:lang w:eastAsia="en-AU"/>
              </w:rPr>
              <w:t>307.6)</w:t>
            </w:r>
          </w:p>
        </w:tc>
        <w:tc>
          <w:tcPr>
            <w:tcW w:w="938" w:type="dxa"/>
            <w:tcBorders>
              <w:top w:val="nil"/>
              <w:left w:val="nil"/>
              <w:bottom w:val="nil"/>
              <w:right w:val="nil"/>
            </w:tcBorders>
            <w:shd w:val="solid" w:color="FFFFFF" w:fill="auto"/>
          </w:tcPr>
          <w:p w:rsidR="0070375D" w:rsidRPr="00774D76" w:rsidRDefault="002714D4" w:rsidP="00774D76">
            <w:pPr>
              <w:pStyle w:val="TableofFigures"/>
              <w:rPr>
                <w:rFonts w:eastAsiaTheme="minorEastAsia" w:cs="Calibri"/>
                <w:color w:val="000000"/>
                <w:lang w:eastAsia="en-AU"/>
              </w:rPr>
            </w:pPr>
            <w:r>
              <w:rPr>
                <w:rFonts w:eastAsiaTheme="minorEastAsia"/>
                <w:color w:val="000000"/>
                <w:lang w:eastAsia="en-AU"/>
              </w:rPr>
              <w:t>(</w:t>
            </w:r>
            <w:r w:rsidR="0070375D" w:rsidRPr="00774D76">
              <w:rPr>
                <w:rFonts w:eastAsiaTheme="minorEastAsia"/>
                <w:color w:val="000000"/>
                <w:lang w:eastAsia="en-AU"/>
              </w:rPr>
              <w:t>391.9)</w:t>
            </w:r>
          </w:p>
        </w:tc>
      </w:tr>
      <w:tr w:rsidR="0070375D" w:rsidRPr="00774D76" w:rsidTr="00774D76">
        <w:tc>
          <w:tcPr>
            <w:tcW w:w="4964" w:type="dxa"/>
            <w:tcBorders>
              <w:top w:val="nil"/>
              <w:left w:val="nil"/>
              <w:bottom w:val="single" w:sz="6" w:space="0" w:color="auto"/>
              <w:right w:val="nil"/>
            </w:tcBorders>
            <w:shd w:val="solid" w:color="FFFFFF" w:fill="auto"/>
          </w:tcPr>
          <w:p w:rsidR="0070375D" w:rsidRPr="00774D76" w:rsidRDefault="0070375D" w:rsidP="00774D76">
            <w:pPr>
              <w:pStyle w:val="Tabletext"/>
              <w:rPr>
                <w:rFonts w:eastAsiaTheme="minorEastAsia"/>
                <w:color w:val="000000"/>
                <w:lang w:eastAsia="en-AU"/>
              </w:rPr>
            </w:pPr>
            <w:r w:rsidRPr="00774D76">
              <w:rPr>
                <w:rFonts w:eastAsiaTheme="minorEastAsia"/>
                <w:color w:val="000000"/>
                <w:lang w:eastAsia="en-AU"/>
              </w:rPr>
              <w:t xml:space="preserve">   Specific purpose grants</w:t>
            </w:r>
          </w:p>
        </w:tc>
        <w:tc>
          <w:tcPr>
            <w:tcW w:w="937"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19.6</w:t>
            </w:r>
          </w:p>
        </w:tc>
        <w:tc>
          <w:tcPr>
            <w:tcW w:w="937" w:type="dxa"/>
            <w:gridSpan w:val="3"/>
            <w:tcBorders>
              <w:top w:val="nil"/>
              <w:left w:val="nil"/>
              <w:bottom w:val="nil"/>
              <w:right w:val="nil"/>
            </w:tcBorders>
          </w:tcPr>
          <w:p w:rsidR="0070375D" w:rsidRPr="00774D76" w:rsidRDefault="002714D4" w:rsidP="00774D76">
            <w:pPr>
              <w:pStyle w:val="TableofFigures"/>
              <w:rPr>
                <w:rFonts w:eastAsiaTheme="minorEastAsia" w:cs="Calibri"/>
                <w:color w:val="000000"/>
                <w:lang w:eastAsia="en-AU"/>
              </w:rPr>
            </w:pPr>
            <w:r>
              <w:rPr>
                <w:rFonts w:eastAsiaTheme="minorEastAsia"/>
                <w:color w:val="000000"/>
                <w:lang w:eastAsia="en-AU"/>
              </w:rPr>
              <w:t>(</w:t>
            </w:r>
            <w:r w:rsidR="0070375D" w:rsidRPr="00774D76">
              <w:rPr>
                <w:rFonts w:eastAsiaTheme="minorEastAsia"/>
                <w:color w:val="000000"/>
                <w:lang w:eastAsia="en-AU"/>
              </w:rPr>
              <w:t>143.3)</w:t>
            </w:r>
          </w:p>
        </w:tc>
        <w:tc>
          <w:tcPr>
            <w:tcW w:w="938" w:type="dxa"/>
            <w:tcBorders>
              <w:top w:val="nil"/>
              <w:left w:val="nil"/>
              <w:bottom w:val="nil"/>
              <w:right w:val="nil"/>
            </w:tcBorders>
          </w:tcPr>
          <w:p w:rsidR="0070375D" w:rsidRPr="00774D76" w:rsidRDefault="002714D4" w:rsidP="00774D76">
            <w:pPr>
              <w:pStyle w:val="TableofFigures"/>
              <w:rPr>
                <w:rFonts w:eastAsiaTheme="minorEastAsia" w:cs="Calibri"/>
                <w:color w:val="000000"/>
                <w:lang w:eastAsia="en-AU"/>
              </w:rPr>
            </w:pPr>
            <w:r>
              <w:rPr>
                <w:rFonts w:eastAsiaTheme="minorEastAsia"/>
                <w:color w:val="000000"/>
                <w:lang w:eastAsia="en-AU"/>
              </w:rPr>
              <w:t>(</w:t>
            </w:r>
            <w:r w:rsidR="0070375D" w:rsidRPr="00774D76">
              <w:rPr>
                <w:rFonts w:eastAsiaTheme="minorEastAsia"/>
                <w:color w:val="000000"/>
                <w:lang w:eastAsia="en-AU"/>
              </w:rPr>
              <w:t>314.5)</w:t>
            </w:r>
          </w:p>
        </w:tc>
      </w:tr>
      <w:tr w:rsidR="0070375D" w:rsidRPr="00774D76" w:rsidTr="00774D76">
        <w:tc>
          <w:tcPr>
            <w:tcW w:w="4964" w:type="dxa"/>
            <w:tcBorders>
              <w:top w:val="nil"/>
              <w:left w:val="nil"/>
              <w:bottom w:val="nil"/>
              <w:right w:val="nil"/>
            </w:tcBorders>
            <w:shd w:val="solid" w:color="FFFFFF" w:fill="auto"/>
          </w:tcPr>
          <w:p w:rsidR="0070375D" w:rsidRPr="00774D76" w:rsidRDefault="0070375D" w:rsidP="00774D76">
            <w:pPr>
              <w:pStyle w:val="Tabletext"/>
              <w:rPr>
                <w:rFonts w:eastAsiaTheme="minorEastAsia"/>
                <w:color w:val="000000"/>
                <w:lang w:eastAsia="en-AU"/>
              </w:rPr>
            </w:pPr>
          </w:p>
        </w:tc>
        <w:tc>
          <w:tcPr>
            <w:tcW w:w="937" w:type="dxa"/>
            <w:tcBorders>
              <w:top w:val="single" w:sz="6" w:space="0" w:color="auto"/>
              <w:left w:val="nil"/>
              <w:bottom w:val="nil"/>
              <w:right w:val="nil"/>
            </w:tcBorders>
          </w:tcPr>
          <w:p w:rsidR="0070375D" w:rsidRPr="00774D76" w:rsidRDefault="002714D4" w:rsidP="00774D76">
            <w:pPr>
              <w:pStyle w:val="TableofFigures"/>
              <w:rPr>
                <w:rFonts w:eastAsiaTheme="minorEastAsia" w:cs="Calibri"/>
                <w:b/>
                <w:bCs/>
                <w:color w:val="000000"/>
                <w:lang w:eastAsia="en-AU"/>
              </w:rPr>
            </w:pPr>
            <w:r>
              <w:rPr>
                <w:rFonts w:eastAsiaTheme="minorEastAsia"/>
                <w:b/>
                <w:bCs/>
                <w:color w:val="000000"/>
                <w:lang w:eastAsia="en-AU"/>
              </w:rPr>
              <w:t>(</w:t>
            </w:r>
            <w:r w:rsidR="0070375D" w:rsidRPr="00774D76">
              <w:rPr>
                <w:rFonts w:eastAsiaTheme="minorEastAsia"/>
                <w:b/>
                <w:bCs/>
                <w:color w:val="000000"/>
                <w:lang w:eastAsia="en-AU"/>
              </w:rPr>
              <w:t>182.5)</w:t>
            </w:r>
          </w:p>
        </w:tc>
        <w:tc>
          <w:tcPr>
            <w:tcW w:w="937" w:type="dxa"/>
            <w:gridSpan w:val="3"/>
            <w:tcBorders>
              <w:top w:val="single" w:sz="6" w:space="0" w:color="auto"/>
              <w:left w:val="nil"/>
              <w:bottom w:val="nil"/>
              <w:right w:val="nil"/>
            </w:tcBorders>
          </w:tcPr>
          <w:p w:rsidR="0070375D" w:rsidRPr="00774D76" w:rsidRDefault="002714D4" w:rsidP="00774D76">
            <w:pPr>
              <w:pStyle w:val="TableofFigures"/>
              <w:rPr>
                <w:rFonts w:eastAsiaTheme="minorEastAsia" w:cs="Calibri"/>
                <w:b/>
                <w:bCs/>
                <w:color w:val="000000"/>
                <w:lang w:eastAsia="en-AU"/>
              </w:rPr>
            </w:pPr>
            <w:r>
              <w:rPr>
                <w:rFonts w:eastAsiaTheme="minorEastAsia"/>
                <w:b/>
                <w:bCs/>
                <w:color w:val="000000"/>
                <w:lang w:eastAsia="en-AU"/>
              </w:rPr>
              <w:t>(</w:t>
            </w:r>
            <w:r w:rsidR="0070375D" w:rsidRPr="00774D76">
              <w:rPr>
                <w:rFonts w:eastAsiaTheme="minorEastAsia"/>
                <w:b/>
                <w:bCs/>
                <w:color w:val="000000"/>
                <w:lang w:eastAsia="en-AU"/>
              </w:rPr>
              <w:t>450.9)</w:t>
            </w:r>
          </w:p>
        </w:tc>
        <w:tc>
          <w:tcPr>
            <w:tcW w:w="938" w:type="dxa"/>
            <w:tcBorders>
              <w:top w:val="single" w:sz="6" w:space="0" w:color="auto"/>
              <w:left w:val="nil"/>
              <w:bottom w:val="nil"/>
              <w:right w:val="nil"/>
            </w:tcBorders>
          </w:tcPr>
          <w:p w:rsidR="0070375D" w:rsidRPr="00774D76" w:rsidRDefault="002714D4" w:rsidP="00774D76">
            <w:pPr>
              <w:pStyle w:val="TableofFigures"/>
              <w:rPr>
                <w:rFonts w:eastAsiaTheme="minorEastAsia" w:cs="Calibri"/>
                <w:b/>
                <w:bCs/>
                <w:color w:val="000000"/>
                <w:lang w:eastAsia="en-AU"/>
              </w:rPr>
            </w:pPr>
            <w:r>
              <w:rPr>
                <w:rFonts w:eastAsiaTheme="minorEastAsia"/>
                <w:b/>
                <w:bCs/>
                <w:color w:val="000000"/>
                <w:lang w:eastAsia="en-AU"/>
              </w:rPr>
              <w:t>(</w:t>
            </w:r>
            <w:r w:rsidR="0070375D" w:rsidRPr="00774D76">
              <w:rPr>
                <w:rFonts w:eastAsiaTheme="minorEastAsia"/>
                <w:b/>
                <w:bCs/>
                <w:color w:val="000000"/>
                <w:lang w:eastAsia="en-AU"/>
              </w:rPr>
              <w:t>706.3)</w:t>
            </w:r>
          </w:p>
        </w:tc>
      </w:tr>
      <w:tr w:rsidR="0070375D" w:rsidRPr="00774D76" w:rsidTr="00774D76">
        <w:tc>
          <w:tcPr>
            <w:tcW w:w="4964" w:type="dxa"/>
            <w:tcBorders>
              <w:top w:val="nil"/>
              <w:left w:val="nil"/>
              <w:bottom w:val="nil"/>
              <w:right w:val="nil"/>
            </w:tcBorders>
            <w:shd w:val="solid" w:color="FFFFFF" w:fill="auto"/>
          </w:tcPr>
          <w:p w:rsidR="0070375D" w:rsidRPr="00774D76" w:rsidRDefault="0070375D" w:rsidP="00774D76">
            <w:pPr>
              <w:pStyle w:val="Tabletext"/>
              <w:rPr>
                <w:rFonts w:eastAsiaTheme="minorEastAsia"/>
                <w:color w:val="000000"/>
                <w:vertAlign w:val="superscript"/>
                <w:lang w:eastAsia="en-AU"/>
              </w:rPr>
            </w:pPr>
            <w:r w:rsidRPr="00774D76">
              <w:rPr>
                <w:rFonts w:eastAsiaTheme="minorEastAsia"/>
                <w:color w:val="000000"/>
                <w:lang w:eastAsia="en-AU"/>
              </w:rPr>
              <w:t>Variations in own</w:t>
            </w:r>
            <w:r w:rsidR="00276239">
              <w:rPr>
                <w:rFonts w:eastAsiaTheme="minorEastAsia"/>
                <w:color w:val="000000"/>
                <w:lang w:eastAsia="en-AU"/>
              </w:rPr>
              <w:noBreakHyphen/>
            </w:r>
            <w:r w:rsidRPr="00774D76">
              <w:rPr>
                <w:rFonts w:eastAsiaTheme="minorEastAsia"/>
                <w:color w:val="000000"/>
                <w:lang w:eastAsia="en-AU"/>
              </w:rPr>
              <w:t xml:space="preserve">source revenue </w:t>
            </w:r>
            <w:r w:rsidRPr="00C43A91">
              <w:rPr>
                <w:rFonts w:eastAsiaTheme="minorEastAsia"/>
                <w:color w:val="000000"/>
                <w:vertAlign w:val="superscript"/>
                <w:lang w:eastAsia="en-AU"/>
              </w:rPr>
              <w:t>(</w:t>
            </w:r>
            <w:r w:rsidRPr="00774D76">
              <w:rPr>
                <w:rFonts w:eastAsiaTheme="minorEastAsia"/>
                <w:color w:val="000000"/>
                <w:vertAlign w:val="superscript"/>
                <w:lang w:eastAsia="en-AU"/>
              </w:rPr>
              <w:t>b</w:t>
            </w:r>
            <w:r w:rsidRPr="00C43A91">
              <w:rPr>
                <w:rFonts w:eastAsiaTheme="minorEastAsia"/>
                <w:color w:val="000000"/>
                <w:vertAlign w:val="superscript"/>
                <w:lang w:eastAsia="en-AU"/>
              </w:rPr>
              <w:t>)</w:t>
            </w:r>
          </w:p>
        </w:tc>
        <w:tc>
          <w:tcPr>
            <w:tcW w:w="937" w:type="dxa"/>
            <w:tcBorders>
              <w:top w:val="nil"/>
              <w:left w:val="nil"/>
              <w:bottom w:val="nil"/>
              <w:right w:val="nil"/>
            </w:tcBorders>
            <w:shd w:val="solid" w:color="FFFFFF" w:fill="auto"/>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223.4</w:t>
            </w:r>
          </w:p>
        </w:tc>
        <w:tc>
          <w:tcPr>
            <w:tcW w:w="937" w:type="dxa"/>
            <w:gridSpan w:val="3"/>
            <w:tcBorders>
              <w:top w:val="nil"/>
              <w:left w:val="nil"/>
              <w:bottom w:val="nil"/>
              <w:right w:val="nil"/>
            </w:tcBorders>
            <w:shd w:val="solid" w:color="FFFFFF" w:fill="auto"/>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73.6</w:t>
            </w:r>
          </w:p>
        </w:tc>
        <w:tc>
          <w:tcPr>
            <w:tcW w:w="938" w:type="dxa"/>
            <w:tcBorders>
              <w:top w:val="nil"/>
              <w:left w:val="nil"/>
              <w:bottom w:val="nil"/>
              <w:right w:val="nil"/>
            </w:tcBorders>
            <w:shd w:val="solid" w:color="FFFFFF" w:fill="auto"/>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97.5</w:t>
            </w:r>
          </w:p>
        </w:tc>
      </w:tr>
      <w:tr w:rsidR="0070375D" w:rsidRPr="00774D76" w:rsidTr="00774D76">
        <w:tc>
          <w:tcPr>
            <w:tcW w:w="4964" w:type="dxa"/>
            <w:tcBorders>
              <w:top w:val="nil"/>
              <w:left w:val="nil"/>
              <w:bottom w:val="single" w:sz="6" w:space="0" w:color="auto"/>
              <w:right w:val="nil"/>
            </w:tcBorders>
            <w:shd w:val="solid" w:color="FFFFFF" w:fill="auto"/>
          </w:tcPr>
          <w:p w:rsidR="0070375D" w:rsidRPr="00774D76" w:rsidRDefault="0070375D" w:rsidP="00774D76">
            <w:pPr>
              <w:pStyle w:val="Tabletext"/>
              <w:rPr>
                <w:rFonts w:eastAsiaTheme="minorEastAsia"/>
                <w:color w:val="000000"/>
                <w:lang w:eastAsia="en-AU"/>
              </w:rPr>
            </w:pPr>
            <w:r w:rsidRPr="00774D76">
              <w:rPr>
                <w:rFonts w:eastAsiaTheme="minorEastAsia"/>
                <w:color w:val="000000"/>
                <w:lang w:eastAsia="en-AU"/>
              </w:rPr>
              <w:t>Administrative variations</w:t>
            </w:r>
          </w:p>
        </w:tc>
        <w:tc>
          <w:tcPr>
            <w:tcW w:w="937"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84.3</w:t>
            </w:r>
          </w:p>
        </w:tc>
        <w:tc>
          <w:tcPr>
            <w:tcW w:w="937" w:type="dxa"/>
            <w:gridSpan w:val="3"/>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79.2</w:t>
            </w:r>
          </w:p>
        </w:tc>
        <w:tc>
          <w:tcPr>
            <w:tcW w:w="938"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127.4</w:t>
            </w:r>
          </w:p>
        </w:tc>
      </w:tr>
      <w:tr w:rsidR="0070375D" w:rsidRPr="00774D76" w:rsidTr="00774D76">
        <w:tc>
          <w:tcPr>
            <w:tcW w:w="4964" w:type="dxa"/>
            <w:tcBorders>
              <w:top w:val="single" w:sz="6" w:space="0" w:color="auto"/>
              <w:left w:val="nil"/>
              <w:bottom w:val="nil"/>
              <w:right w:val="nil"/>
            </w:tcBorders>
            <w:shd w:val="solid" w:color="FFFFFF" w:fill="auto"/>
          </w:tcPr>
          <w:p w:rsidR="0070375D" w:rsidRPr="00774D76" w:rsidRDefault="0070375D" w:rsidP="00774D76">
            <w:pPr>
              <w:pStyle w:val="Tabletext"/>
              <w:rPr>
                <w:rFonts w:eastAsiaTheme="minorEastAsia"/>
                <w:b/>
                <w:bCs/>
                <w:i/>
                <w:iCs/>
                <w:color w:val="000000"/>
                <w:lang w:eastAsia="en-AU"/>
              </w:rPr>
            </w:pPr>
            <w:r w:rsidRPr="00774D76">
              <w:rPr>
                <w:rFonts w:eastAsiaTheme="minorEastAsia"/>
                <w:b/>
                <w:bCs/>
                <w:color w:val="000000"/>
                <w:lang w:eastAsia="en-AU"/>
              </w:rPr>
              <w:t xml:space="preserve">Total variation in income from transactions since </w:t>
            </w:r>
            <w:r w:rsidRPr="00774D76">
              <w:rPr>
                <w:rFonts w:eastAsiaTheme="minorEastAsia"/>
                <w:b/>
                <w:bCs/>
                <w:i/>
                <w:iCs/>
                <w:color w:val="000000"/>
                <w:lang w:eastAsia="en-AU"/>
              </w:rPr>
              <w:t>2012</w:t>
            </w:r>
            <w:r w:rsidR="00276239">
              <w:rPr>
                <w:rFonts w:eastAsiaTheme="minorEastAsia"/>
                <w:b/>
                <w:bCs/>
                <w:i/>
                <w:iCs/>
                <w:color w:val="000000"/>
                <w:lang w:eastAsia="en-AU"/>
              </w:rPr>
              <w:noBreakHyphen/>
            </w:r>
            <w:r w:rsidRPr="00774D76">
              <w:rPr>
                <w:rFonts w:eastAsiaTheme="minorEastAsia"/>
                <w:b/>
                <w:bCs/>
                <w:i/>
                <w:iCs/>
                <w:color w:val="000000"/>
                <w:lang w:eastAsia="en-AU"/>
              </w:rPr>
              <w:t>13 Budget Update</w:t>
            </w:r>
          </w:p>
        </w:tc>
        <w:tc>
          <w:tcPr>
            <w:tcW w:w="937" w:type="dxa"/>
            <w:tcBorders>
              <w:top w:val="single" w:sz="6" w:space="0" w:color="auto"/>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 xml:space="preserve"> 434.3</w:t>
            </w:r>
          </w:p>
        </w:tc>
        <w:tc>
          <w:tcPr>
            <w:tcW w:w="937" w:type="dxa"/>
            <w:gridSpan w:val="3"/>
            <w:tcBorders>
              <w:top w:val="single" w:sz="6" w:space="0" w:color="auto"/>
              <w:left w:val="nil"/>
              <w:bottom w:val="nil"/>
              <w:right w:val="nil"/>
            </w:tcBorders>
          </w:tcPr>
          <w:p w:rsidR="0070375D" w:rsidRPr="00774D76" w:rsidRDefault="002714D4" w:rsidP="00774D76">
            <w:pPr>
              <w:pStyle w:val="TableofFigures"/>
              <w:rPr>
                <w:rFonts w:eastAsiaTheme="minorEastAsia" w:cs="Calibri"/>
                <w:b/>
                <w:bCs/>
                <w:color w:val="000000"/>
                <w:lang w:eastAsia="en-AU"/>
              </w:rPr>
            </w:pPr>
            <w:r>
              <w:rPr>
                <w:rFonts w:eastAsiaTheme="minorEastAsia"/>
                <w:b/>
                <w:bCs/>
                <w:color w:val="000000"/>
                <w:lang w:eastAsia="en-AU"/>
              </w:rPr>
              <w:t>(</w:t>
            </w:r>
            <w:r w:rsidR="0070375D" w:rsidRPr="00774D76">
              <w:rPr>
                <w:rFonts w:eastAsiaTheme="minorEastAsia"/>
                <w:b/>
                <w:bCs/>
                <w:color w:val="000000"/>
                <w:lang w:eastAsia="en-AU"/>
              </w:rPr>
              <w:t>39.1)</w:t>
            </w:r>
          </w:p>
        </w:tc>
        <w:tc>
          <w:tcPr>
            <w:tcW w:w="938" w:type="dxa"/>
            <w:tcBorders>
              <w:top w:val="single" w:sz="6" w:space="0" w:color="auto"/>
              <w:left w:val="nil"/>
              <w:bottom w:val="nil"/>
              <w:right w:val="nil"/>
            </w:tcBorders>
          </w:tcPr>
          <w:p w:rsidR="0070375D" w:rsidRPr="00774D76" w:rsidRDefault="002714D4" w:rsidP="00774D76">
            <w:pPr>
              <w:pStyle w:val="TableofFigures"/>
              <w:rPr>
                <w:rFonts w:eastAsiaTheme="minorEastAsia" w:cs="Calibri"/>
                <w:b/>
                <w:bCs/>
                <w:color w:val="000000"/>
                <w:lang w:eastAsia="en-AU"/>
              </w:rPr>
            </w:pPr>
            <w:r>
              <w:rPr>
                <w:rFonts w:eastAsiaTheme="minorEastAsia"/>
                <w:b/>
                <w:bCs/>
                <w:color w:val="000000"/>
                <w:lang w:eastAsia="en-AU"/>
              </w:rPr>
              <w:t>(</w:t>
            </w:r>
            <w:r w:rsidR="0070375D" w:rsidRPr="00774D76">
              <w:rPr>
                <w:rFonts w:eastAsiaTheme="minorEastAsia"/>
                <w:b/>
                <w:bCs/>
                <w:color w:val="000000"/>
                <w:lang w:eastAsia="en-AU"/>
              </w:rPr>
              <w:t>137.9)</w:t>
            </w:r>
          </w:p>
        </w:tc>
      </w:tr>
      <w:tr w:rsidR="0070375D" w:rsidRPr="00774D76" w:rsidTr="00774D76">
        <w:tc>
          <w:tcPr>
            <w:tcW w:w="6626" w:type="dxa"/>
            <w:gridSpan w:val="3"/>
            <w:tcBorders>
              <w:top w:val="single" w:sz="6" w:space="0" w:color="auto"/>
              <w:left w:val="nil"/>
              <w:bottom w:val="nil"/>
              <w:right w:val="nil"/>
            </w:tcBorders>
            <w:shd w:val="solid" w:color="FFFFFF" w:fill="auto"/>
          </w:tcPr>
          <w:p w:rsidR="0070375D" w:rsidRPr="00774D76" w:rsidRDefault="0070375D" w:rsidP="00774D76">
            <w:pPr>
              <w:pStyle w:val="Tabletext"/>
              <w:rPr>
                <w:rFonts w:eastAsiaTheme="minorEastAsia"/>
                <w:i/>
                <w:iCs/>
                <w:color w:val="000000"/>
                <w:lang w:eastAsia="en-AU"/>
              </w:rPr>
            </w:pPr>
            <w:r w:rsidRPr="00774D76">
              <w:rPr>
                <w:rFonts w:eastAsiaTheme="minorEastAsia"/>
                <w:b/>
                <w:bCs/>
                <w:color w:val="000000"/>
                <w:lang w:eastAsia="en-AU"/>
              </w:rPr>
              <w:t>Less:</w:t>
            </w:r>
            <w:r w:rsidRPr="00774D76">
              <w:rPr>
                <w:rFonts w:eastAsiaTheme="minorEastAsia"/>
                <w:color w:val="000000"/>
                <w:lang w:eastAsia="en-AU"/>
              </w:rPr>
              <w:t xml:space="preserve"> Variations in expenses from transactions since </w:t>
            </w:r>
            <w:r w:rsidRPr="00774D76">
              <w:rPr>
                <w:rFonts w:eastAsiaTheme="minorEastAsia"/>
                <w:i/>
                <w:iCs/>
                <w:color w:val="000000"/>
                <w:lang w:eastAsia="en-AU"/>
              </w:rPr>
              <w:t>2012</w:t>
            </w:r>
            <w:r w:rsidR="00276239">
              <w:rPr>
                <w:rFonts w:eastAsiaTheme="minorEastAsia"/>
                <w:i/>
                <w:iCs/>
                <w:color w:val="000000"/>
                <w:lang w:eastAsia="en-AU"/>
              </w:rPr>
              <w:noBreakHyphen/>
            </w:r>
            <w:r w:rsidRPr="00774D76">
              <w:rPr>
                <w:rFonts w:eastAsiaTheme="minorEastAsia"/>
                <w:i/>
                <w:iCs/>
                <w:color w:val="000000"/>
                <w:lang w:eastAsia="en-AU"/>
              </w:rPr>
              <w:t>13 Budget Update</w:t>
            </w:r>
          </w:p>
        </w:tc>
        <w:tc>
          <w:tcPr>
            <w:tcW w:w="106" w:type="dxa"/>
            <w:tcBorders>
              <w:top w:val="single" w:sz="6" w:space="0" w:color="auto"/>
              <w:left w:val="nil"/>
              <w:bottom w:val="nil"/>
              <w:right w:val="nil"/>
            </w:tcBorders>
          </w:tcPr>
          <w:p w:rsidR="0070375D" w:rsidRPr="00774D76" w:rsidRDefault="0070375D" w:rsidP="00774D76">
            <w:pPr>
              <w:pStyle w:val="TableofFigures"/>
              <w:rPr>
                <w:rFonts w:eastAsiaTheme="minorEastAsia"/>
                <w:color w:val="000000"/>
                <w:lang w:eastAsia="en-AU"/>
              </w:rPr>
            </w:pPr>
          </w:p>
        </w:tc>
        <w:tc>
          <w:tcPr>
            <w:tcW w:w="106" w:type="dxa"/>
            <w:tcBorders>
              <w:top w:val="single" w:sz="6" w:space="0" w:color="auto"/>
              <w:left w:val="nil"/>
              <w:bottom w:val="nil"/>
              <w:right w:val="nil"/>
            </w:tcBorders>
          </w:tcPr>
          <w:p w:rsidR="0070375D" w:rsidRPr="00774D76" w:rsidRDefault="0070375D" w:rsidP="00774D76">
            <w:pPr>
              <w:pStyle w:val="TableofFigures"/>
              <w:rPr>
                <w:rFonts w:eastAsiaTheme="minorEastAsia"/>
                <w:color w:val="000000"/>
                <w:lang w:eastAsia="en-AU"/>
              </w:rPr>
            </w:pPr>
          </w:p>
        </w:tc>
        <w:tc>
          <w:tcPr>
            <w:tcW w:w="938" w:type="dxa"/>
            <w:tcBorders>
              <w:top w:val="single" w:sz="6" w:space="0" w:color="auto"/>
              <w:left w:val="nil"/>
              <w:bottom w:val="nil"/>
              <w:right w:val="nil"/>
            </w:tcBorders>
          </w:tcPr>
          <w:p w:rsidR="0070375D" w:rsidRPr="00774D76" w:rsidRDefault="0070375D" w:rsidP="00774D76">
            <w:pPr>
              <w:pStyle w:val="TableofFigures"/>
              <w:rPr>
                <w:rFonts w:eastAsiaTheme="minorEastAsia"/>
                <w:color w:val="000000"/>
                <w:lang w:eastAsia="en-AU"/>
              </w:rPr>
            </w:pPr>
          </w:p>
        </w:tc>
      </w:tr>
      <w:tr w:rsidR="0070375D" w:rsidRPr="00774D76" w:rsidTr="00774D76">
        <w:tc>
          <w:tcPr>
            <w:tcW w:w="4964" w:type="dxa"/>
            <w:tcBorders>
              <w:top w:val="nil"/>
              <w:left w:val="nil"/>
              <w:bottom w:val="nil"/>
              <w:right w:val="nil"/>
            </w:tcBorders>
            <w:shd w:val="solid" w:color="FFFFFF" w:fill="auto"/>
          </w:tcPr>
          <w:p w:rsidR="0070375D" w:rsidRPr="00774D76" w:rsidRDefault="0070375D" w:rsidP="00774D76">
            <w:pPr>
              <w:pStyle w:val="Tabletext"/>
              <w:rPr>
                <w:rFonts w:eastAsiaTheme="minorEastAsia"/>
                <w:color w:val="000000"/>
                <w:vertAlign w:val="superscript"/>
                <w:lang w:eastAsia="en-AU"/>
              </w:rPr>
            </w:pPr>
            <w:r w:rsidRPr="00774D76">
              <w:rPr>
                <w:rFonts w:eastAsiaTheme="minorEastAsia"/>
                <w:color w:val="000000"/>
                <w:lang w:eastAsia="en-AU"/>
              </w:rPr>
              <w:t xml:space="preserve">Policy decision variations </w:t>
            </w:r>
            <w:r w:rsidRPr="00774D76">
              <w:rPr>
                <w:rFonts w:eastAsiaTheme="minorEastAsia"/>
                <w:color w:val="000000"/>
                <w:vertAlign w:val="superscript"/>
                <w:lang w:eastAsia="en-AU"/>
              </w:rPr>
              <w:t>(c)</w:t>
            </w:r>
          </w:p>
        </w:tc>
        <w:tc>
          <w:tcPr>
            <w:tcW w:w="937" w:type="dxa"/>
            <w:tcBorders>
              <w:top w:val="nil"/>
              <w:left w:val="nil"/>
              <w:bottom w:val="nil"/>
              <w:right w:val="nil"/>
            </w:tcBorders>
            <w:shd w:val="solid" w:color="FFFFFF" w:fill="auto"/>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620.0</w:t>
            </w:r>
          </w:p>
        </w:tc>
        <w:tc>
          <w:tcPr>
            <w:tcW w:w="937" w:type="dxa"/>
            <w:gridSpan w:val="3"/>
            <w:tcBorders>
              <w:top w:val="nil"/>
              <w:left w:val="nil"/>
              <w:bottom w:val="nil"/>
              <w:right w:val="nil"/>
            </w:tcBorders>
            <w:shd w:val="solid" w:color="FFFFFF" w:fill="auto"/>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560.3</w:t>
            </w:r>
          </w:p>
        </w:tc>
        <w:tc>
          <w:tcPr>
            <w:tcW w:w="938" w:type="dxa"/>
            <w:tcBorders>
              <w:top w:val="nil"/>
              <w:left w:val="nil"/>
              <w:bottom w:val="nil"/>
              <w:right w:val="nil"/>
            </w:tcBorders>
            <w:shd w:val="solid" w:color="FFFFFF" w:fill="auto"/>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400.7</w:t>
            </w:r>
          </w:p>
        </w:tc>
      </w:tr>
      <w:tr w:rsidR="0070375D" w:rsidRPr="00774D76" w:rsidTr="00774D76">
        <w:tc>
          <w:tcPr>
            <w:tcW w:w="4964" w:type="dxa"/>
            <w:tcBorders>
              <w:top w:val="nil"/>
              <w:left w:val="nil"/>
              <w:bottom w:val="nil"/>
              <w:right w:val="nil"/>
            </w:tcBorders>
            <w:shd w:val="solid" w:color="FFFFFF" w:fill="auto"/>
          </w:tcPr>
          <w:p w:rsidR="0070375D" w:rsidRPr="00774D76" w:rsidRDefault="0070375D" w:rsidP="00774D76">
            <w:pPr>
              <w:pStyle w:val="Tabletext"/>
              <w:rPr>
                <w:rFonts w:eastAsiaTheme="minorEastAsia"/>
                <w:color w:val="000000"/>
                <w:lang w:eastAsia="en-AU"/>
              </w:rPr>
            </w:pPr>
            <w:r w:rsidRPr="00774D76">
              <w:rPr>
                <w:rFonts w:eastAsiaTheme="minorEastAsia"/>
                <w:color w:val="000000"/>
                <w:lang w:eastAsia="en-AU"/>
              </w:rPr>
              <w:t>Commonwealth grant variations</w:t>
            </w:r>
          </w:p>
        </w:tc>
        <w:tc>
          <w:tcPr>
            <w:tcW w:w="937" w:type="dxa"/>
            <w:tcBorders>
              <w:top w:val="nil"/>
              <w:left w:val="nil"/>
              <w:bottom w:val="nil"/>
              <w:right w:val="nil"/>
            </w:tcBorders>
            <w:shd w:val="solid" w:color="FFFFFF" w:fill="auto"/>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10.3</w:t>
            </w:r>
          </w:p>
        </w:tc>
        <w:tc>
          <w:tcPr>
            <w:tcW w:w="937" w:type="dxa"/>
            <w:gridSpan w:val="3"/>
            <w:tcBorders>
              <w:top w:val="nil"/>
              <w:left w:val="nil"/>
              <w:bottom w:val="nil"/>
              <w:right w:val="nil"/>
            </w:tcBorders>
            <w:shd w:val="solid" w:color="FFFFFF" w:fill="auto"/>
          </w:tcPr>
          <w:p w:rsidR="0070375D" w:rsidRPr="00774D76" w:rsidRDefault="002714D4" w:rsidP="00774D76">
            <w:pPr>
              <w:pStyle w:val="TableofFigures"/>
              <w:rPr>
                <w:rFonts w:eastAsiaTheme="minorEastAsia" w:cs="Calibri"/>
                <w:color w:val="000000"/>
                <w:lang w:eastAsia="en-AU"/>
              </w:rPr>
            </w:pPr>
            <w:r>
              <w:rPr>
                <w:rFonts w:eastAsiaTheme="minorEastAsia"/>
                <w:color w:val="000000"/>
                <w:lang w:eastAsia="en-AU"/>
              </w:rPr>
              <w:t>(</w:t>
            </w:r>
            <w:r w:rsidR="0070375D" w:rsidRPr="00774D76">
              <w:rPr>
                <w:rFonts w:eastAsiaTheme="minorEastAsia"/>
                <w:color w:val="000000"/>
                <w:lang w:eastAsia="en-AU"/>
              </w:rPr>
              <w:t>2.3)</w:t>
            </w:r>
          </w:p>
        </w:tc>
        <w:tc>
          <w:tcPr>
            <w:tcW w:w="938" w:type="dxa"/>
            <w:tcBorders>
              <w:top w:val="nil"/>
              <w:left w:val="nil"/>
              <w:bottom w:val="nil"/>
              <w:right w:val="nil"/>
            </w:tcBorders>
            <w:shd w:val="solid" w:color="FFFFFF" w:fill="auto"/>
          </w:tcPr>
          <w:p w:rsidR="0070375D" w:rsidRPr="00774D76" w:rsidRDefault="002714D4" w:rsidP="00774D76">
            <w:pPr>
              <w:pStyle w:val="TableofFigures"/>
              <w:rPr>
                <w:rFonts w:eastAsiaTheme="minorEastAsia" w:cs="Calibri"/>
                <w:color w:val="000000"/>
                <w:lang w:eastAsia="en-AU"/>
              </w:rPr>
            </w:pPr>
            <w:r>
              <w:rPr>
                <w:rFonts w:eastAsiaTheme="minorEastAsia"/>
                <w:color w:val="000000"/>
                <w:lang w:eastAsia="en-AU"/>
              </w:rPr>
              <w:t>(</w:t>
            </w:r>
            <w:r w:rsidR="0070375D" w:rsidRPr="00774D76">
              <w:rPr>
                <w:rFonts w:eastAsiaTheme="minorEastAsia"/>
                <w:color w:val="000000"/>
                <w:lang w:eastAsia="en-AU"/>
              </w:rPr>
              <w:t>7.1)</w:t>
            </w:r>
          </w:p>
        </w:tc>
      </w:tr>
      <w:tr w:rsidR="0070375D" w:rsidRPr="00774D76" w:rsidTr="00774D76">
        <w:tc>
          <w:tcPr>
            <w:tcW w:w="4964" w:type="dxa"/>
            <w:tcBorders>
              <w:top w:val="nil"/>
              <w:left w:val="nil"/>
              <w:bottom w:val="nil"/>
              <w:right w:val="nil"/>
            </w:tcBorders>
            <w:shd w:val="solid" w:color="FFFFFF" w:fill="auto"/>
          </w:tcPr>
          <w:p w:rsidR="0070375D" w:rsidRPr="00774D76" w:rsidRDefault="0070375D" w:rsidP="00774D76">
            <w:pPr>
              <w:pStyle w:val="Tabletext"/>
              <w:rPr>
                <w:rFonts w:eastAsiaTheme="minorEastAsia"/>
                <w:color w:val="000000"/>
                <w:vertAlign w:val="superscript"/>
                <w:lang w:eastAsia="en-AU"/>
              </w:rPr>
            </w:pPr>
            <w:r w:rsidRPr="00774D76">
              <w:rPr>
                <w:rFonts w:eastAsiaTheme="minorEastAsia"/>
                <w:color w:val="000000"/>
                <w:lang w:eastAsia="en-AU"/>
              </w:rPr>
              <w:t>Variations in own</w:t>
            </w:r>
            <w:r w:rsidR="00276239">
              <w:rPr>
                <w:rFonts w:eastAsiaTheme="minorEastAsia"/>
                <w:color w:val="000000"/>
                <w:lang w:eastAsia="en-AU"/>
              </w:rPr>
              <w:noBreakHyphen/>
            </w:r>
            <w:r w:rsidRPr="00774D76">
              <w:rPr>
                <w:rFonts w:eastAsiaTheme="minorEastAsia"/>
                <w:color w:val="000000"/>
                <w:lang w:eastAsia="en-AU"/>
              </w:rPr>
              <w:t xml:space="preserve">source revenue </w:t>
            </w:r>
            <w:r w:rsidRPr="00774D76">
              <w:rPr>
                <w:rFonts w:eastAsiaTheme="minorEastAsia"/>
                <w:color w:val="000000"/>
                <w:vertAlign w:val="superscript"/>
                <w:lang w:eastAsia="en-AU"/>
              </w:rPr>
              <w:t>(b)</w:t>
            </w:r>
          </w:p>
        </w:tc>
        <w:tc>
          <w:tcPr>
            <w:tcW w:w="937" w:type="dxa"/>
            <w:tcBorders>
              <w:top w:val="nil"/>
              <w:left w:val="nil"/>
              <w:bottom w:val="nil"/>
              <w:right w:val="nil"/>
            </w:tcBorders>
            <w:shd w:val="solid" w:color="FFFFFF" w:fill="auto"/>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116.1</w:t>
            </w:r>
          </w:p>
        </w:tc>
        <w:tc>
          <w:tcPr>
            <w:tcW w:w="937" w:type="dxa"/>
            <w:gridSpan w:val="3"/>
            <w:tcBorders>
              <w:top w:val="nil"/>
              <w:left w:val="nil"/>
              <w:bottom w:val="nil"/>
              <w:right w:val="nil"/>
            </w:tcBorders>
            <w:shd w:val="solid" w:color="FFFFFF" w:fill="auto"/>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33.9</w:t>
            </w:r>
          </w:p>
        </w:tc>
        <w:tc>
          <w:tcPr>
            <w:tcW w:w="938" w:type="dxa"/>
            <w:tcBorders>
              <w:top w:val="nil"/>
              <w:left w:val="nil"/>
              <w:bottom w:val="nil"/>
              <w:right w:val="nil"/>
            </w:tcBorders>
            <w:shd w:val="solid" w:color="FFFFFF" w:fill="auto"/>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17.7</w:t>
            </w:r>
          </w:p>
        </w:tc>
      </w:tr>
      <w:tr w:rsidR="0070375D" w:rsidRPr="00774D76" w:rsidTr="00774D76">
        <w:tc>
          <w:tcPr>
            <w:tcW w:w="4964" w:type="dxa"/>
            <w:tcBorders>
              <w:top w:val="nil"/>
              <w:left w:val="nil"/>
              <w:bottom w:val="nil"/>
              <w:right w:val="nil"/>
            </w:tcBorders>
            <w:shd w:val="solid" w:color="FFFFFF" w:fill="auto"/>
          </w:tcPr>
          <w:p w:rsidR="0070375D" w:rsidRPr="00774D76" w:rsidRDefault="0070375D" w:rsidP="00774D76">
            <w:pPr>
              <w:pStyle w:val="Tabletext"/>
              <w:rPr>
                <w:rFonts w:eastAsiaTheme="minorEastAsia"/>
                <w:b/>
                <w:bCs/>
                <w:color w:val="000000"/>
                <w:lang w:eastAsia="en-AU"/>
              </w:rPr>
            </w:pPr>
            <w:r w:rsidRPr="00774D76">
              <w:rPr>
                <w:rFonts w:eastAsiaTheme="minorEastAsia"/>
                <w:b/>
                <w:bCs/>
                <w:color w:val="000000"/>
                <w:lang w:eastAsia="en-AU"/>
              </w:rPr>
              <w:t>Administrative variations</w:t>
            </w:r>
          </w:p>
        </w:tc>
        <w:tc>
          <w:tcPr>
            <w:tcW w:w="937" w:type="dxa"/>
            <w:tcBorders>
              <w:top w:val="nil"/>
              <w:left w:val="nil"/>
              <w:bottom w:val="nil"/>
              <w:right w:val="nil"/>
            </w:tcBorders>
            <w:shd w:val="solid" w:color="FFFFFF" w:fill="auto"/>
          </w:tcPr>
          <w:p w:rsidR="0070375D" w:rsidRPr="00774D76" w:rsidRDefault="0070375D" w:rsidP="00774D76">
            <w:pPr>
              <w:pStyle w:val="TableofFigures"/>
              <w:rPr>
                <w:rFonts w:eastAsiaTheme="minorEastAsia"/>
                <w:color w:val="000000"/>
                <w:lang w:eastAsia="en-AU"/>
              </w:rPr>
            </w:pPr>
          </w:p>
        </w:tc>
        <w:tc>
          <w:tcPr>
            <w:tcW w:w="937" w:type="dxa"/>
            <w:gridSpan w:val="3"/>
            <w:tcBorders>
              <w:top w:val="nil"/>
              <w:left w:val="nil"/>
              <w:bottom w:val="nil"/>
              <w:right w:val="nil"/>
            </w:tcBorders>
            <w:shd w:val="solid" w:color="FFFFFF" w:fill="auto"/>
          </w:tcPr>
          <w:p w:rsidR="0070375D" w:rsidRPr="00774D76" w:rsidRDefault="0070375D" w:rsidP="00774D76">
            <w:pPr>
              <w:pStyle w:val="TableofFigures"/>
              <w:rPr>
                <w:rFonts w:eastAsiaTheme="minorEastAsia"/>
                <w:color w:val="000000"/>
                <w:lang w:eastAsia="en-AU"/>
              </w:rPr>
            </w:pPr>
          </w:p>
        </w:tc>
        <w:tc>
          <w:tcPr>
            <w:tcW w:w="938" w:type="dxa"/>
            <w:tcBorders>
              <w:top w:val="nil"/>
              <w:left w:val="nil"/>
              <w:bottom w:val="nil"/>
              <w:right w:val="nil"/>
            </w:tcBorders>
            <w:shd w:val="solid" w:color="FFFFFF" w:fill="auto"/>
          </w:tcPr>
          <w:p w:rsidR="0070375D" w:rsidRPr="00774D76" w:rsidRDefault="0070375D" w:rsidP="00774D76">
            <w:pPr>
              <w:pStyle w:val="TableofFigures"/>
              <w:rPr>
                <w:rFonts w:eastAsiaTheme="minorEastAsia"/>
                <w:color w:val="000000"/>
                <w:lang w:eastAsia="en-AU"/>
              </w:rPr>
            </w:pPr>
          </w:p>
        </w:tc>
      </w:tr>
      <w:tr w:rsidR="0070375D" w:rsidRPr="00774D76" w:rsidTr="00774D76">
        <w:tc>
          <w:tcPr>
            <w:tcW w:w="4964" w:type="dxa"/>
            <w:tcBorders>
              <w:top w:val="nil"/>
              <w:left w:val="nil"/>
              <w:bottom w:val="nil"/>
              <w:right w:val="nil"/>
            </w:tcBorders>
            <w:shd w:val="solid" w:color="FFFFFF" w:fill="auto"/>
          </w:tcPr>
          <w:p w:rsidR="0070375D" w:rsidRPr="00774D76" w:rsidRDefault="0070375D" w:rsidP="00774D76">
            <w:pPr>
              <w:pStyle w:val="Tabletext"/>
              <w:rPr>
                <w:rFonts w:eastAsiaTheme="minorEastAsia"/>
                <w:color w:val="000000"/>
                <w:lang w:eastAsia="en-AU"/>
              </w:rPr>
            </w:pPr>
            <w:r w:rsidRPr="00774D76">
              <w:rPr>
                <w:rFonts w:eastAsiaTheme="minorEastAsia"/>
                <w:color w:val="000000"/>
                <w:lang w:eastAsia="en-AU"/>
              </w:rPr>
              <w:t xml:space="preserve">   Superannuation variations</w:t>
            </w:r>
          </w:p>
        </w:tc>
        <w:tc>
          <w:tcPr>
            <w:tcW w:w="937" w:type="dxa"/>
            <w:tcBorders>
              <w:top w:val="nil"/>
              <w:left w:val="nil"/>
              <w:bottom w:val="nil"/>
              <w:right w:val="nil"/>
            </w:tcBorders>
            <w:shd w:val="solid" w:color="FFFFFF" w:fill="auto"/>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47.6</w:t>
            </w:r>
          </w:p>
        </w:tc>
        <w:tc>
          <w:tcPr>
            <w:tcW w:w="937" w:type="dxa"/>
            <w:gridSpan w:val="3"/>
            <w:tcBorders>
              <w:top w:val="nil"/>
              <w:left w:val="nil"/>
              <w:bottom w:val="nil"/>
              <w:right w:val="nil"/>
            </w:tcBorders>
            <w:shd w:val="solid" w:color="FFFFFF" w:fill="auto"/>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50.1</w:t>
            </w:r>
          </w:p>
        </w:tc>
        <w:tc>
          <w:tcPr>
            <w:tcW w:w="938" w:type="dxa"/>
            <w:tcBorders>
              <w:top w:val="nil"/>
              <w:left w:val="nil"/>
              <w:bottom w:val="nil"/>
              <w:right w:val="nil"/>
            </w:tcBorders>
            <w:shd w:val="solid" w:color="FFFFFF" w:fill="auto"/>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52.3</w:t>
            </w:r>
          </w:p>
        </w:tc>
      </w:tr>
      <w:tr w:rsidR="0070375D" w:rsidRPr="00774D76" w:rsidTr="00774D76">
        <w:tc>
          <w:tcPr>
            <w:tcW w:w="4964" w:type="dxa"/>
            <w:tcBorders>
              <w:top w:val="nil"/>
              <w:left w:val="nil"/>
              <w:bottom w:val="nil"/>
              <w:right w:val="nil"/>
            </w:tcBorders>
            <w:shd w:val="solid" w:color="FFFFFF" w:fill="auto"/>
          </w:tcPr>
          <w:p w:rsidR="0070375D" w:rsidRPr="00774D76" w:rsidRDefault="0070375D" w:rsidP="00774D76">
            <w:pPr>
              <w:pStyle w:val="Tabletext"/>
              <w:rPr>
                <w:rFonts w:eastAsiaTheme="minorEastAsia"/>
                <w:color w:val="000000"/>
                <w:lang w:eastAsia="en-AU"/>
              </w:rPr>
            </w:pPr>
            <w:r w:rsidRPr="00774D76">
              <w:rPr>
                <w:rFonts w:eastAsiaTheme="minorEastAsia"/>
                <w:color w:val="000000"/>
                <w:lang w:eastAsia="en-AU"/>
              </w:rPr>
              <w:t xml:space="preserve">   Contingency offset for new policy </w:t>
            </w:r>
            <w:r w:rsidRPr="00774D76">
              <w:rPr>
                <w:rFonts w:eastAsiaTheme="minorEastAsia"/>
                <w:color w:val="000000"/>
                <w:vertAlign w:val="superscript"/>
                <w:lang w:eastAsia="en-AU"/>
              </w:rPr>
              <w:t>(d)</w:t>
            </w:r>
          </w:p>
        </w:tc>
        <w:tc>
          <w:tcPr>
            <w:tcW w:w="937" w:type="dxa"/>
            <w:tcBorders>
              <w:top w:val="nil"/>
              <w:left w:val="nil"/>
              <w:bottom w:val="nil"/>
              <w:right w:val="nil"/>
            </w:tcBorders>
            <w:shd w:val="solid" w:color="FFFFFF" w:fill="auto"/>
          </w:tcPr>
          <w:p w:rsidR="0070375D" w:rsidRPr="00774D76" w:rsidRDefault="002714D4" w:rsidP="00774D76">
            <w:pPr>
              <w:pStyle w:val="TableofFigures"/>
              <w:rPr>
                <w:rFonts w:eastAsiaTheme="minorEastAsia" w:cs="Calibri"/>
                <w:color w:val="000000"/>
                <w:lang w:eastAsia="en-AU"/>
              </w:rPr>
            </w:pPr>
            <w:r>
              <w:rPr>
                <w:rFonts w:eastAsiaTheme="minorEastAsia"/>
                <w:color w:val="000000"/>
                <w:lang w:eastAsia="en-AU"/>
              </w:rPr>
              <w:t>(</w:t>
            </w:r>
            <w:r w:rsidR="0070375D" w:rsidRPr="00774D76">
              <w:rPr>
                <w:rFonts w:eastAsiaTheme="minorEastAsia"/>
                <w:color w:val="000000"/>
                <w:lang w:eastAsia="en-AU"/>
              </w:rPr>
              <w:t>488.0)</w:t>
            </w:r>
          </w:p>
        </w:tc>
        <w:tc>
          <w:tcPr>
            <w:tcW w:w="937" w:type="dxa"/>
            <w:gridSpan w:val="3"/>
            <w:tcBorders>
              <w:top w:val="nil"/>
              <w:left w:val="nil"/>
              <w:bottom w:val="nil"/>
              <w:right w:val="nil"/>
            </w:tcBorders>
            <w:shd w:val="solid" w:color="FFFFFF" w:fill="auto"/>
          </w:tcPr>
          <w:p w:rsidR="0070375D" w:rsidRPr="00774D76" w:rsidRDefault="002714D4" w:rsidP="00774D76">
            <w:pPr>
              <w:pStyle w:val="TableofFigures"/>
              <w:rPr>
                <w:rFonts w:eastAsiaTheme="minorEastAsia" w:cs="Calibri"/>
                <w:color w:val="000000"/>
                <w:lang w:eastAsia="en-AU"/>
              </w:rPr>
            </w:pPr>
            <w:r>
              <w:rPr>
                <w:rFonts w:eastAsiaTheme="minorEastAsia"/>
                <w:color w:val="000000"/>
                <w:lang w:eastAsia="en-AU"/>
              </w:rPr>
              <w:t>(</w:t>
            </w:r>
            <w:r w:rsidR="0070375D" w:rsidRPr="00774D76">
              <w:rPr>
                <w:rFonts w:eastAsiaTheme="minorEastAsia"/>
                <w:color w:val="000000"/>
                <w:lang w:eastAsia="en-AU"/>
              </w:rPr>
              <w:t>494.6)</w:t>
            </w:r>
          </w:p>
        </w:tc>
        <w:tc>
          <w:tcPr>
            <w:tcW w:w="938" w:type="dxa"/>
            <w:tcBorders>
              <w:top w:val="nil"/>
              <w:left w:val="nil"/>
              <w:bottom w:val="nil"/>
              <w:right w:val="nil"/>
            </w:tcBorders>
            <w:shd w:val="solid" w:color="FFFFFF" w:fill="auto"/>
          </w:tcPr>
          <w:p w:rsidR="0070375D" w:rsidRPr="00774D76" w:rsidRDefault="002714D4" w:rsidP="00774D76">
            <w:pPr>
              <w:pStyle w:val="TableofFigures"/>
              <w:rPr>
                <w:rFonts w:eastAsiaTheme="minorEastAsia" w:cs="Calibri"/>
                <w:color w:val="000000"/>
                <w:lang w:eastAsia="en-AU"/>
              </w:rPr>
            </w:pPr>
            <w:r>
              <w:rPr>
                <w:rFonts w:eastAsiaTheme="minorEastAsia"/>
                <w:color w:val="000000"/>
                <w:lang w:eastAsia="en-AU"/>
              </w:rPr>
              <w:t>(</w:t>
            </w:r>
            <w:r w:rsidR="0070375D" w:rsidRPr="00774D76">
              <w:rPr>
                <w:rFonts w:eastAsiaTheme="minorEastAsia"/>
                <w:color w:val="000000"/>
                <w:lang w:eastAsia="en-AU"/>
              </w:rPr>
              <w:t>508.4)</w:t>
            </w:r>
          </w:p>
        </w:tc>
      </w:tr>
      <w:tr w:rsidR="0070375D" w:rsidRPr="00774D76" w:rsidTr="00774D76">
        <w:tc>
          <w:tcPr>
            <w:tcW w:w="4964" w:type="dxa"/>
            <w:tcBorders>
              <w:top w:val="nil"/>
              <w:left w:val="nil"/>
              <w:bottom w:val="single" w:sz="6" w:space="0" w:color="auto"/>
              <w:right w:val="nil"/>
            </w:tcBorders>
            <w:shd w:val="solid" w:color="FFFFFF" w:fill="auto"/>
          </w:tcPr>
          <w:p w:rsidR="0070375D" w:rsidRPr="00774D76" w:rsidRDefault="0070375D" w:rsidP="00774D76">
            <w:pPr>
              <w:pStyle w:val="Tabletext"/>
              <w:rPr>
                <w:rFonts w:eastAsiaTheme="minorEastAsia"/>
                <w:color w:val="000000"/>
                <w:lang w:eastAsia="en-AU"/>
              </w:rPr>
            </w:pPr>
            <w:r w:rsidRPr="00774D76">
              <w:rPr>
                <w:rFonts w:eastAsiaTheme="minorEastAsia"/>
                <w:color w:val="000000"/>
                <w:lang w:eastAsia="en-AU"/>
              </w:rPr>
              <w:t xml:space="preserve">   Other administrative variations</w:t>
            </w:r>
          </w:p>
        </w:tc>
        <w:tc>
          <w:tcPr>
            <w:tcW w:w="937" w:type="dxa"/>
            <w:tcBorders>
              <w:top w:val="nil"/>
              <w:left w:val="nil"/>
              <w:bottom w:val="nil"/>
              <w:right w:val="nil"/>
            </w:tcBorders>
            <w:shd w:val="solid" w:color="FFFFFF" w:fill="auto"/>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145.5</w:t>
            </w:r>
          </w:p>
        </w:tc>
        <w:tc>
          <w:tcPr>
            <w:tcW w:w="937" w:type="dxa"/>
            <w:gridSpan w:val="3"/>
            <w:tcBorders>
              <w:top w:val="nil"/>
              <w:left w:val="nil"/>
              <w:bottom w:val="nil"/>
              <w:right w:val="nil"/>
            </w:tcBorders>
            <w:shd w:val="solid" w:color="FFFFFF" w:fill="auto"/>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67.9</w:t>
            </w:r>
          </w:p>
        </w:tc>
        <w:tc>
          <w:tcPr>
            <w:tcW w:w="938" w:type="dxa"/>
            <w:tcBorders>
              <w:top w:val="nil"/>
              <w:left w:val="nil"/>
              <w:bottom w:val="nil"/>
              <w:right w:val="nil"/>
            </w:tcBorders>
            <w:shd w:val="solid" w:color="FFFFFF" w:fill="auto"/>
          </w:tcPr>
          <w:p w:rsidR="0070375D" w:rsidRPr="00774D76" w:rsidRDefault="002714D4" w:rsidP="00774D76">
            <w:pPr>
              <w:pStyle w:val="TableofFigures"/>
              <w:rPr>
                <w:rFonts w:eastAsiaTheme="minorEastAsia" w:cs="Calibri"/>
                <w:color w:val="000000"/>
                <w:lang w:eastAsia="en-AU"/>
              </w:rPr>
            </w:pPr>
            <w:r>
              <w:rPr>
                <w:rFonts w:eastAsiaTheme="minorEastAsia"/>
                <w:color w:val="000000"/>
                <w:lang w:eastAsia="en-AU"/>
              </w:rPr>
              <w:t>(</w:t>
            </w:r>
            <w:r w:rsidR="0070375D" w:rsidRPr="00774D76">
              <w:rPr>
                <w:rFonts w:eastAsiaTheme="minorEastAsia"/>
                <w:color w:val="000000"/>
                <w:lang w:eastAsia="en-AU"/>
              </w:rPr>
              <w:t>1.3</w:t>
            </w:r>
            <w:r w:rsidR="0070375D" w:rsidRPr="00774D76">
              <w:rPr>
                <w:rFonts w:eastAsiaTheme="minorEastAsia" w:cs="Calibri"/>
                <w:color w:val="000000"/>
                <w:lang w:eastAsia="en-AU"/>
              </w:rPr>
              <w:t>)</w:t>
            </w:r>
          </w:p>
        </w:tc>
      </w:tr>
      <w:tr w:rsidR="0070375D" w:rsidRPr="00774D76" w:rsidTr="00774D76">
        <w:tc>
          <w:tcPr>
            <w:tcW w:w="4964" w:type="dxa"/>
            <w:tcBorders>
              <w:top w:val="single" w:sz="6" w:space="0" w:color="auto"/>
              <w:left w:val="nil"/>
              <w:bottom w:val="nil"/>
              <w:right w:val="nil"/>
            </w:tcBorders>
            <w:shd w:val="solid" w:color="FFFFFF" w:fill="auto"/>
          </w:tcPr>
          <w:p w:rsidR="0070375D" w:rsidRPr="00774D76" w:rsidRDefault="0070375D" w:rsidP="00774D76">
            <w:pPr>
              <w:pStyle w:val="Tabletext"/>
              <w:rPr>
                <w:rFonts w:eastAsiaTheme="minorEastAsia"/>
                <w:b/>
                <w:bCs/>
                <w:color w:val="000000"/>
                <w:lang w:eastAsia="en-AU"/>
              </w:rPr>
            </w:pPr>
            <w:r w:rsidRPr="00774D76">
              <w:rPr>
                <w:rFonts w:eastAsiaTheme="minorEastAsia"/>
                <w:b/>
                <w:bCs/>
                <w:color w:val="000000"/>
                <w:lang w:eastAsia="en-AU"/>
              </w:rPr>
              <w:t>Total administrative variations</w:t>
            </w:r>
          </w:p>
        </w:tc>
        <w:tc>
          <w:tcPr>
            <w:tcW w:w="937" w:type="dxa"/>
            <w:tcBorders>
              <w:top w:val="single" w:sz="6" w:space="0" w:color="auto"/>
              <w:left w:val="nil"/>
              <w:bottom w:val="nil"/>
              <w:right w:val="nil"/>
            </w:tcBorders>
          </w:tcPr>
          <w:p w:rsidR="0070375D" w:rsidRPr="00774D76" w:rsidRDefault="002714D4" w:rsidP="00774D76">
            <w:pPr>
              <w:pStyle w:val="TableofFigures"/>
              <w:rPr>
                <w:rFonts w:eastAsiaTheme="minorEastAsia" w:cs="Calibri"/>
                <w:b/>
                <w:bCs/>
                <w:color w:val="000000"/>
                <w:lang w:eastAsia="en-AU"/>
              </w:rPr>
            </w:pPr>
            <w:r>
              <w:rPr>
                <w:rFonts w:eastAsiaTheme="minorEastAsia"/>
                <w:b/>
                <w:bCs/>
                <w:color w:val="000000"/>
                <w:lang w:eastAsia="en-AU"/>
              </w:rPr>
              <w:t>(</w:t>
            </w:r>
            <w:r w:rsidR="0070375D" w:rsidRPr="00774D76">
              <w:rPr>
                <w:rFonts w:eastAsiaTheme="minorEastAsia"/>
                <w:b/>
                <w:bCs/>
                <w:color w:val="000000"/>
                <w:lang w:eastAsia="en-AU"/>
              </w:rPr>
              <w:t>295.0)</w:t>
            </w:r>
          </w:p>
        </w:tc>
        <w:tc>
          <w:tcPr>
            <w:tcW w:w="937" w:type="dxa"/>
            <w:gridSpan w:val="3"/>
            <w:tcBorders>
              <w:top w:val="single" w:sz="6" w:space="0" w:color="auto"/>
              <w:left w:val="nil"/>
              <w:bottom w:val="nil"/>
              <w:right w:val="nil"/>
            </w:tcBorders>
          </w:tcPr>
          <w:p w:rsidR="0070375D" w:rsidRPr="00774D76" w:rsidRDefault="002714D4" w:rsidP="00774D76">
            <w:pPr>
              <w:pStyle w:val="TableofFigures"/>
              <w:rPr>
                <w:rFonts w:eastAsiaTheme="minorEastAsia" w:cs="Calibri"/>
                <w:b/>
                <w:bCs/>
                <w:color w:val="000000"/>
                <w:lang w:eastAsia="en-AU"/>
              </w:rPr>
            </w:pPr>
            <w:r>
              <w:rPr>
                <w:rFonts w:eastAsiaTheme="minorEastAsia"/>
                <w:b/>
                <w:bCs/>
                <w:color w:val="000000"/>
                <w:lang w:eastAsia="en-AU"/>
              </w:rPr>
              <w:t>(</w:t>
            </w:r>
            <w:r w:rsidR="0070375D" w:rsidRPr="00774D76">
              <w:rPr>
                <w:rFonts w:eastAsiaTheme="minorEastAsia"/>
                <w:b/>
                <w:bCs/>
                <w:color w:val="000000"/>
                <w:lang w:eastAsia="en-AU"/>
              </w:rPr>
              <w:t>376.6)</w:t>
            </w:r>
          </w:p>
        </w:tc>
        <w:tc>
          <w:tcPr>
            <w:tcW w:w="938" w:type="dxa"/>
            <w:tcBorders>
              <w:top w:val="single" w:sz="6" w:space="0" w:color="auto"/>
              <w:left w:val="nil"/>
              <w:bottom w:val="nil"/>
              <w:right w:val="nil"/>
            </w:tcBorders>
          </w:tcPr>
          <w:p w:rsidR="0070375D" w:rsidRPr="00774D76" w:rsidRDefault="002714D4" w:rsidP="00774D76">
            <w:pPr>
              <w:pStyle w:val="TableofFigures"/>
              <w:rPr>
                <w:rFonts w:eastAsiaTheme="minorEastAsia" w:cs="Calibri"/>
                <w:b/>
                <w:bCs/>
                <w:color w:val="000000"/>
                <w:lang w:eastAsia="en-AU"/>
              </w:rPr>
            </w:pPr>
            <w:r>
              <w:rPr>
                <w:rFonts w:eastAsiaTheme="minorEastAsia"/>
                <w:b/>
                <w:bCs/>
                <w:color w:val="000000"/>
                <w:lang w:eastAsia="en-AU"/>
              </w:rPr>
              <w:t>(</w:t>
            </w:r>
            <w:r w:rsidR="0070375D" w:rsidRPr="00774D76">
              <w:rPr>
                <w:rFonts w:eastAsiaTheme="minorEastAsia"/>
                <w:b/>
                <w:bCs/>
                <w:color w:val="000000"/>
                <w:lang w:eastAsia="en-AU"/>
              </w:rPr>
              <w:t>457.3)</w:t>
            </w:r>
          </w:p>
        </w:tc>
      </w:tr>
      <w:tr w:rsidR="0070375D" w:rsidRPr="00774D76" w:rsidTr="00774D76">
        <w:tc>
          <w:tcPr>
            <w:tcW w:w="4964" w:type="dxa"/>
            <w:tcBorders>
              <w:top w:val="nil"/>
              <w:left w:val="nil"/>
              <w:bottom w:val="single" w:sz="6" w:space="0" w:color="auto"/>
              <w:right w:val="nil"/>
            </w:tcBorders>
            <w:shd w:val="solid" w:color="FFFFFF" w:fill="auto"/>
          </w:tcPr>
          <w:p w:rsidR="0070375D" w:rsidRPr="00774D76" w:rsidRDefault="0070375D" w:rsidP="00774D76">
            <w:pPr>
              <w:pStyle w:val="Tabletext"/>
              <w:rPr>
                <w:rFonts w:eastAsiaTheme="minorEastAsia"/>
                <w:b/>
                <w:bCs/>
                <w:color w:val="000000"/>
                <w:lang w:eastAsia="en-AU"/>
              </w:rPr>
            </w:pPr>
            <w:r w:rsidRPr="00774D76">
              <w:rPr>
                <w:rFonts w:eastAsiaTheme="minorEastAsia"/>
                <w:b/>
                <w:bCs/>
                <w:color w:val="000000"/>
                <w:lang w:eastAsia="en-AU"/>
              </w:rPr>
              <w:t xml:space="preserve">Total variation in expenses since </w:t>
            </w:r>
            <w:r w:rsidRPr="00774D76">
              <w:rPr>
                <w:rFonts w:eastAsiaTheme="minorEastAsia"/>
                <w:b/>
                <w:bCs/>
                <w:i/>
                <w:color w:val="000000"/>
                <w:lang w:eastAsia="en-AU"/>
              </w:rPr>
              <w:t>2012</w:t>
            </w:r>
            <w:r w:rsidR="00276239">
              <w:rPr>
                <w:rFonts w:eastAsiaTheme="minorEastAsia"/>
                <w:b/>
                <w:bCs/>
                <w:i/>
                <w:color w:val="000000"/>
                <w:lang w:eastAsia="en-AU"/>
              </w:rPr>
              <w:noBreakHyphen/>
            </w:r>
            <w:r w:rsidRPr="00774D76">
              <w:rPr>
                <w:rFonts w:eastAsiaTheme="minorEastAsia"/>
                <w:b/>
                <w:bCs/>
                <w:i/>
                <w:color w:val="000000"/>
                <w:lang w:eastAsia="en-AU"/>
              </w:rPr>
              <w:t xml:space="preserve">13 Budget Update </w:t>
            </w:r>
            <w:r w:rsidRPr="00774D76">
              <w:rPr>
                <w:rFonts w:eastAsiaTheme="minorEastAsia"/>
                <w:b/>
                <w:bCs/>
                <w:color w:val="000000"/>
                <w:lang w:eastAsia="en-AU"/>
              </w:rPr>
              <w:t>(excluding impact of change to AASB 119)</w:t>
            </w:r>
          </w:p>
        </w:tc>
        <w:tc>
          <w:tcPr>
            <w:tcW w:w="937" w:type="dxa"/>
            <w:tcBorders>
              <w:top w:val="nil"/>
              <w:left w:val="nil"/>
              <w:bottom w:val="single" w:sz="6" w:space="0" w:color="auto"/>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 xml:space="preserve"> 451.4</w:t>
            </w:r>
          </w:p>
        </w:tc>
        <w:tc>
          <w:tcPr>
            <w:tcW w:w="937" w:type="dxa"/>
            <w:gridSpan w:val="3"/>
            <w:tcBorders>
              <w:top w:val="nil"/>
              <w:left w:val="nil"/>
              <w:bottom w:val="single" w:sz="6" w:space="0" w:color="auto"/>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 xml:space="preserve"> 215.3</w:t>
            </w:r>
          </w:p>
        </w:tc>
        <w:tc>
          <w:tcPr>
            <w:tcW w:w="938" w:type="dxa"/>
            <w:tcBorders>
              <w:top w:val="nil"/>
              <w:left w:val="nil"/>
              <w:bottom w:val="single" w:sz="6" w:space="0" w:color="auto"/>
              <w:right w:val="nil"/>
            </w:tcBorders>
          </w:tcPr>
          <w:p w:rsidR="0070375D" w:rsidRPr="00774D76" w:rsidRDefault="002714D4" w:rsidP="00774D76">
            <w:pPr>
              <w:pStyle w:val="TableofFigures"/>
              <w:rPr>
                <w:rFonts w:eastAsiaTheme="minorEastAsia" w:cs="Calibri"/>
                <w:b/>
                <w:bCs/>
                <w:color w:val="000000"/>
                <w:lang w:eastAsia="en-AU"/>
              </w:rPr>
            </w:pPr>
            <w:r>
              <w:rPr>
                <w:rFonts w:eastAsiaTheme="minorEastAsia"/>
                <w:b/>
                <w:bCs/>
                <w:color w:val="000000"/>
                <w:lang w:eastAsia="en-AU"/>
              </w:rPr>
              <w:t>(</w:t>
            </w:r>
            <w:r w:rsidR="0070375D" w:rsidRPr="00774D76">
              <w:rPr>
                <w:rFonts w:eastAsiaTheme="minorEastAsia"/>
                <w:b/>
                <w:bCs/>
                <w:color w:val="000000"/>
                <w:lang w:eastAsia="en-AU"/>
              </w:rPr>
              <w:t>46.1)</w:t>
            </w:r>
          </w:p>
        </w:tc>
      </w:tr>
      <w:tr w:rsidR="0070375D" w:rsidRPr="00774D76" w:rsidTr="00774D76">
        <w:tc>
          <w:tcPr>
            <w:tcW w:w="4964" w:type="dxa"/>
            <w:tcBorders>
              <w:top w:val="single" w:sz="6" w:space="0" w:color="auto"/>
              <w:left w:val="nil"/>
              <w:bottom w:val="single" w:sz="12" w:space="0" w:color="auto"/>
              <w:right w:val="nil"/>
            </w:tcBorders>
            <w:shd w:val="solid" w:color="FFFFFF" w:fill="auto"/>
          </w:tcPr>
          <w:p w:rsidR="0070375D" w:rsidRPr="00774D76" w:rsidRDefault="0070375D" w:rsidP="00774D76">
            <w:pPr>
              <w:pStyle w:val="Tabletext"/>
              <w:rPr>
                <w:rFonts w:eastAsiaTheme="minorEastAsia"/>
                <w:b/>
                <w:bCs/>
                <w:color w:val="000000"/>
                <w:lang w:eastAsia="en-AU"/>
              </w:rPr>
            </w:pPr>
            <w:r w:rsidRPr="00774D76">
              <w:rPr>
                <w:rFonts w:eastAsiaTheme="minorEastAsia"/>
                <w:b/>
                <w:bCs/>
                <w:color w:val="000000"/>
                <w:lang w:eastAsia="en-AU"/>
              </w:rPr>
              <w:t>Revised net result from transactions</w:t>
            </w:r>
          </w:p>
        </w:tc>
        <w:tc>
          <w:tcPr>
            <w:tcW w:w="937" w:type="dxa"/>
            <w:tcBorders>
              <w:top w:val="single" w:sz="6" w:space="0" w:color="auto"/>
              <w:left w:val="nil"/>
              <w:bottom w:val="single" w:sz="12" w:space="0" w:color="auto"/>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 xml:space="preserve"> 224.5</w:t>
            </w:r>
          </w:p>
        </w:tc>
        <w:tc>
          <w:tcPr>
            <w:tcW w:w="937" w:type="dxa"/>
            <w:gridSpan w:val="3"/>
            <w:tcBorders>
              <w:top w:val="single" w:sz="6" w:space="0" w:color="auto"/>
              <w:left w:val="nil"/>
              <w:bottom w:val="single" w:sz="12" w:space="0" w:color="auto"/>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 xml:space="preserve"> 398.7</w:t>
            </w:r>
          </w:p>
        </w:tc>
        <w:tc>
          <w:tcPr>
            <w:tcW w:w="938" w:type="dxa"/>
            <w:tcBorders>
              <w:top w:val="single" w:sz="6" w:space="0" w:color="auto"/>
              <w:left w:val="nil"/>
              <w:bottom w:val="single" w:sz="12" w:space="0" w:color="auto"/>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1 927.7</w:t>
            </w:r>
          </w:p>
        </w:tc>
      </w:tr>
      <w:tr w:rsidR="0070375D" w:rsidRPr="00774D76" w:rsidTr="00774D76">
        <w:tc>
          <w:tcPr>
            <w:tcW w:w="4964" w:type="dxa"/>
            <w:tcBorders>
              <w:top w:val="single" w:sz="6" w:space="0" w:color="auto"/>
              <w:left w:val="nil"/>
              <w:bottom w:val="single" w:sz="12" w:space="0" w:color="auto"/>
              <w:right w:val="nil"/>
            </w:tcBorders>
            <w:shd w:val="solid" w:color="FFFFFF" w:fill="auto"/>
          </w:tcPr>
          <w:p w:rsidR="0070375D" w:rsidRPr="00774D76" w:rsidRDefault="0070375D" w:rsidP="00774D76">
            <w:pPr>
              <w:pStyle w:val="Tabletext"/>
              <w:rPr>
                <w:rFonts w:eastAsiaTheme="minorEastAsia"/>
                <w:b/>
                <w:bCs/>
                <w:color w:val="000000"/>
                <w:lang w:eastAsia="en-AU"/>
              </w:rPr>
            </w:pPr>
            <w:r w:rsidRPr="00774D76">
              <w:rPr>
                <w:rFonts w:eastAsiaTheme="minorEastAsia"/>
                <w:b/>
                <w:bCs/>
                <w:color w:val="000000"/>
                <w:lang w:eastAsia="en-AU"/>
              </w:rPr>
              <w:t>2013</w:t>
            </w:r>
            <w:r w:rsidR="00276239">
              <w:rPr>
                <w:rFonts w:eastAsiaTheme="minorEastAsia"/>
                <w:b/>
                <w:bCs/>
                <w:color w:val="000000"/>
                <w:lang w:eastAsia="en-AU"/>
              </w:rPr>
              <w:noBreakHyphen/>
            </w:r>
            <w:r w:rsidRPr="00774D76">
              <w:rPr>
                <w:rFonts w:eastAsiaTheme="minorEastAsia"/>
                <w:b/>
                <w:bCs/>
                <w:color w:val="000000"/>
                <w:lang w:eastAsia="en-AU"/>
              </w:rPr>
              <w:t>14 Budget Government Fiscal Result</w:t>
            </w:r>
          </w:p>
        </w:tc>
        <w:tc>
          <w:tcPr>
            <w:tcW w:w="937" w:type="dxa"/>
            <w:tcBorders>
              <w:top w:val="single" w:sz="6" w:space="0" w:color="auto"/>
              <w:left w:val="nil"/>
              <w:bottom w:val="single" w:sz="12" w:space="0" w:color="auto"/>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 xml:space="preserve"> 817.6</w:t>
            </w:r>
          </w:p>
        </w:tc>
        <w:tc>
          <w:tcPr>
            <w:tcW w:w="937" w:type="dxa"/>
            <w:gridSpan w:val="3"/>
            <w:tcBorders>
              <w:top w:val="single" w:sz="6" w:space="0" w:color="auto"/>
              <w:left w:val="nil"/>
              <w:bottom w:val="single" w:sz="12" w:space="0" w:color="auto"/>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1 005.5</w:t>
            </w:r>
          </w:p>
        </w:tc>
        <w:tc>
          <w:tcPr>
            <w:tcW w:w="938" w:type="dxa"/>
            <w:tcBorders>
              <w:top w:val="single" w:sz="6" w:space="0" w:color="auto"/>
              <w:left w:val="nil"/>
              <w:bottom w:val="single" w:sz="12" w:space="0" w:color="auto"/>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2 545.0</w:t>
            </w:r>
          </w:p>
        </w:tc>
      </w:tr>
    </w:tbl>
    <w:p w:rsidR="0070375D" w:rsidRPr="003E66F6" w:rsidRDefault="0070375D" w:rsidP="00D407BA">
      <w:pPr>
        <w:pStyle w:val="Source"/>
      </w:pPr>
      <w:r w:rsidRPr="00D407BA">
        <w:t xml:space="preserve"> </w:t>
      </w:r>
      <w:r w:rsidRPr="003E66F6">
        <w:t>Source: Department of Treasury and Finance</w:t>
      </w:r>
    </w:p>
    <w:p w:rsidR="0070375D" w:rsidRPr="003E66F6" w:rsidRDefault="0070375D" w:rsidP="00D407BA">
      <w:pPr>
        <w:pStyle w:val="Notes"/>
      </w:pPr>
      <w:r w:rsidRPr="003E66F6">
        <w:t>Notes:</w:t>
      </w:r>
    </w:p>
    <w:p w:rsidR="0070375D" w:rsidRPr="003E66F6" w:rsidRDefault="0070375D" w:rsidP="00D407BA">
      <w:pPr>
        <w:pStyle w:val="Notes"/>
      </w:pPr>
      <w:r w:rsidRPr="003E66F6">
        <w:t>(a)</w:t>
      </w:r>
      <w:r w:rsidRPr="003E66F6">
        <w:tab/>
        <w:t>Investment income includes dividends, income tax and rate equivalent revenue and interest.</w:t>
      </w:r>
    </w:p>
    <w:p w:rsidR="0070375D" w:rsidRPr="003E66F6" w:rsidRDefault="0070375D" w:rsidP="00D407BA">
      <w:pPr>
        <w:pStyle w:val="Notes"/>
      </w:pPr>
      <w:r w:rsidRPr="003E66F6">
        <w:t>(b)</w:t>
      </w:r>
      <w:r w:rsidRPr="003E66F6">
        <w:tab/>
        <w:t>Own</w:t>
      </w:r>
      <w:r w:rsidR="00276239">
        <w:noBreakHyphen/>
      </w:r>
      <w:r w:rsidRPr="003E66F6">
        <w:t>source revenue variations represent third party variations by departments.</w:t>
      </w:r>
    </w:p>
    <w:p w:rsidR="0070375D" w:rsidRPr="003E66F6" w:rsidRDefault="0070375D" w:rsidP="00D407BA">
      <w:pPr>
        <w:pStyle w:val="Notes"/>
      </w:pPr>
      <w:r w:rsidRPr="003E66F6">
        <w:t>(c)</w:t>
      </w:r>
      <w:r w:rsidRPr="003E66F6">
        <w:tab/>
        <w:t>This is represented in Table 4.</w:t>
      </w:r>
      <w:r>
        <w:t>4</w:t>
      </w:r>
      <w:r w:rsidRPr="003E66F6">
        <w:t xml:space="preserve"> as the </w:t>
      </w:r>
      <w:r w:rsidRPr="003E66F6">
        <w:rPr>
          <w:i w:val="0"/>
        </w:rPr>
        <w:t>201</w:t>
      </w:r>
      <w:r>
        <w:rPr>
          <w:i w:val="0"/>
        </w:rPr>
        <w:t>3</w:t>
      </w:r>
      <w:r w:rsidR="00276239">
        <w:rPr>
          <w:i w:val="0"/>
        </w:rPr>
        <w:noBreakHyphen/>
      </w:r>
      <w:r w:rsidRPr="003E66F6">
        <w:rPr>
          <w:i w:val="0"/>
        </w:rPr>
        <w:t>1</w:t>
      </w:r>
      <w:r>
        <w:rPr>
          <w:i w:val="0"/>
        </w:rPr>
        <w:t>4</w:t>
      </w:r>
      <w:r w:rsidRPr="003E66F6">
        <w:rPr>
          <w:i w:val="0"/>
        </w:rPr>
        <w:t xml:space="preserve"> Budget</w:t>
      </w:r>
      <w:r w:rsidRPr="003E66F6">
        <w:t xml:space="preserve"> output policy decisions.</w:t>
      </w:r>
    </w:p>
    <w:p w:rsidR="0070375D" w:rsidRDefault="0070375D" w:rsidP="00DE5E37">
      <w:pPr>
        <w:pStyle w:val="Notes"/>
      </w:pPr>
      <w:r>
        <w:t>(d)</w:t>
      </w:r>
      <w:r>
        <w:tab/>
        <w:t>Represents release of contingencies associated with demand for government services.</w:t>
      </w:r>
    </w:p>
    <w:p w:rsidR="0070375D" w:rsidRDefault="0070375D" w:rsidP="00DE5E37">
      <w:pPr>
        <w:pStyle w:val="Notes"/>
      </w:pPr>
    </w:p>
    <w:p w:rsidR="0070375D" w:rsidRDefault="0070375D" w:rsidP="00E23DD4">
      <w:pPr>
        <w:pStyle w:val="Heading3"/>
      </w:pPr>
      <w:bookmarkStart w:id="49" w:name="BP2CH4AASB119"/>
      <w:bookmarkStart w:id="50" w:name="BP2CH4VariationsToIncomeFromTransactions"/>
      <w:r>
        <w:t xml:space="preserve">Impact of </w:t>
      </w:r>
      <w:r w:rsidRPr="00E23DD4">
        <w:t>changes</w:t>
      </w:r>
      <w:r>
        <w:t xml:space="preserve"> to AASB 119</w:t>
      </w:r>
    </w:p>
    <w:p w:rsidR="0070375D" w:rsidRDefault="0070375D" w:rsidP="00DA0303">
      <w:pPr>
        <w:rPr>
          <w:lang w:eastAsia="en-AU"/>
        </w:rPr>
      </w:pPr>
      <w:r w:rsidRPr="004F3E36">
        <w:rPr>
          <w:lang w:eastAsia="en-AU"/>
        </w:rPr>
        <w:t xml:space="preserve">A revised version of </w:t>
      </w:r>
      <w:r>
        <w:rPr>
          <w:lang w:eastAsia="en-AU"/>
        </w:rPr>
        <w:t>AASB </w:t>
      </w:r>
      <w:r w:rsidRPr="004F3E36">
        <w:rPr>
          <w:lang w:eastAsia="en-AU"/>
        </w:rPr>
        <w:t>119</w:t>
      </w:r>
      <w:r w:rsidRPr="004F3E36">
        <w:rPr>
          <w:i/>
          <w:lang w:eastAsia="en-AU"/>
        </w:rPr>
        <w:t xml:space="preserve"> Employee Benefits</w:t>
      </w:r>
      <w:r w:rsidRPr="004F3E36">
        <w:rPr>
          <w:lang w:eastAsia="en-AU"/>
        </w:rPr>
        <w:t>, which came into effect on 1</w:t>
      </w:r>
      <w:r>
        <w:rPr>
          <w:lang w:eastAsia="en-AU"/>
        </w:rPr>
        <w:t> January </w:t>
      </w:r>
      <w:r w:rsidRPr="004F3E36">
        <w:rPr>
          <w:lang w:eastAsia="en-AU"/>
        </w:rPr>
        <w:t>2013, changed the way defined benefit supera</w:t>
      </w:r>
      <w:r w:rsidR="00F00A93">
        <w:rPr>
          <w:lang w:eastAsia="en-AU"/>
        </w:rPr>
        <w:t>nnuation costs are presented in </w:t>
      </w:r>
      <w:r w:rsidRPr="004F3E36">
        <w:rPr>
          <w:lang w:eastAsia="en-AU"/>
        </w:rPr>
        <w:t>the operating statement.</w:t>
      </w:r>
    </w:p>
    <w:p w:rsidR="0070375D" w:rsidRDefault="0070375D">
      <w:pPr>
        <w:spacing w:after="0"/>
        <w:rPr>
          <w:lang w:eastAsia="en-AU"/>
        </w:rPr>
      </w:pPr>
      <w:r>
        <w:rPr>
          <w:lang w:eastAsia="en-AU"/>
        </w:rPr>
        <w:br w:type="page"/>
      </w:r>
    </w:p>
    <w:p w:rsidR="0070375D" w:rsidRPr="00101873" w:rsidRDefault="0070375D" w:rsidP="00DA0303">
      <w:pPr>
        <w:rPr>
          <w:lang w:eastAsia="en-AU"/>
        </w:rPr>
      </w:pPr>
      <w:r w:rsidRPr="00101873">
        <w:rPr>
          <w:lang w:eastAsia="en-AU"/>
        </w:rPr>
        <w:lastRenderedPageBreak/>
        <w:t>In p</w:t>
      </w:r>
      <w:r>
        <w:rPr>
          <w:lang w:eastAsia="en-AU"/>
        </w:rPr>
        <w:t xml:space="preserve">articular, </w:t>
      </w:r>
      <w:r w:rsidRPr="00E4504F">
        <w:rPr>
          <w:lang w:eastAsia="en-AU"/>
        </w:rPr>
        <w:t>the revised AASB 119 requires a net interest cost to be calculated using the discount rate (a long</w:t>
      </w:r>
      <w:r w:rsidR="00276239">
        <w:rPr>
          <w:lang w:eastAsia="en-AU"/>
        </w:rPr>
        <w:noBreakHyphen/>
      </w:r>
      <w:r w:rsidRPr="00E4504F">
        <w:rPr>
          <w:lang w:eastAsia="en-AU"/>
        </w:rPr>
        <w:t xml:space="preserve">term Commonwealth Government bond rate) without reference to the expected rate of investment return </w:t>
      </w:r>
      <w:r>
        <w:rPr>
          <w:lang w:eastAsia="en-AU"/>
        </w:rPr>
        <w:t>on</w:t>
      </w:r>
      <w:r w:rsidRPr="00E4504F">
        <w:rPr>
          <w:lang w:eastAsia="en-AU"/>
        </w:rPr>
        <w:t xml:space="preserve"> plan assets, as was previously the case.</w:t>
      </w:r>
      <w:r w:rsidRPr="00101873">
        <w:rPr>
          <w:lang w:eastAsia="en-AU"/>
        </w:rPr>
        <w:t xml:space="preserve"> The </w:t>
      </w:r>
      <w:r>
        <w:rPr>
          <w:lang w:eastAsia="en-AU"/>
        </w:rPr>
        <w:t>higher expected investment return that is in excess of the discount rate</w:t>
      </w:r>
      <w:r w:rsidRPr="00101873">
        <w:rPr>
          <w:lang w:eastAsia="en-AU"/>
        </w:rPr>
        <w:t xml:space="preserve"> is then recognised under </w:t>
      </w:r>
      <w:r>
        <w:rPr>
          <w:lang w:eastAsia="en-AU"/>
        </w:rPr>
        <w:t>other comprehensive income as an economic flow</w:t>
      </w:r>
      <w:r w:rsidRPr="00101873">
        <w:rPr>
          <w:lang w:eastAsia="en-AU"/>
        </w:rPr>
        <w:t xml:space="preserve"> such that the total superannuation liability is unchanged as a result of the revised </w:t>
      </w:r>
      <w:r>
        <w:rPr>
          <w:lang w:eastAsia="en-AU"/>
        </w:rPr>
        <w:t>AASB </w:t>
      </w:r>
      <w:r w:rsidRPr="00101873">
        <w:rPr>
          <w:lang w:eastAsia="en-AU"/>
        </w:rPr>
        <w:t>119.</w:t>
      </w:r>
      <w:bookmarkEnd w:id="49"/>
      <w:r>
        <w:rPr>
          <w:lang w:eastAsia="en-AU"/>
        </w:rPr>
        <w:fldChar w:fldCharType="begin"/>
      </w:r>
      <w:r>
        <w:instrText xml:space="preserve"> XE "</w:instrText>
      </w:r>
      <w:r w:rsidRPr="00D3448B">
        <w:instrText>AASB</w:instrText>
      </w:r>
      <w:r>
        <w:instrText xml:space="preserve"> </w:instrText>
      </w:r>
      <w:r w:rsidRPr="00D3448B">
        <w:instrText>119</w:instrText>
      </w:r>
      <w:r>
        <w:instrText xml:space="preserve"> </w:instrText>
      </w:r>
      <w:r w:rsidRPr="004A448A">
        <w:rPr>
          <w:i/>
        </w:rPr>
        <w:instrText>Employee Benefits</w:instrText>
      </w:r>
      <w:r>
        <w:instrText xml:space="preserve">" \r "BP2CH4AASB119" </w:instrText>
      </w:r>
      <w:r>
        <w:rPr>
          <w:lang w:eastAsia="en-AU"/>
        </w:rPr>
        <w:fldChar w:fldCharType="end"/>
      </w:r>
    </w:p>
    <w:p w:rsidR="0070375D" w:rsidRPr="008C73E3" w:rsidRDefault="0070375D" w:rsidP="00E23DD4">
      <w:pPr>
        <w:pStyle w:val="Heading3"/>
      </w:pPr>
      <w:r w:rsidRPr="008C73E3">
        <w:t>Variations to income from transactions</w:t>
      </w:r>
    </w:p>
    <w:p w:rsidR="0070375D" w:rsidRPr="008C73E3" w:rsidRDefault="0070375D" w:rsidP="00DA0303">
      <w:pPr>
        <w:rPr>
          <w:highlight w:val="yellow"/>
        </w:rPr>
      </w:pPr>
      <w:r w:rsidRPr="004F3E36">
        <w:t>The revision to total revenue compared to the</w:t>
      </w:r>
      <w:r>
        <w:t xml:space="preserve"> </w:t>
      </w:r>
      <w:r>
        <w:rPr>
          <w:i/>
        </w:rPr>
        <w:t>2012</w:t>
      </w:r>
      <w:r w:rsidR="00276239">
        <w:rPr>
          <w:i/>
        </w:rPr>
        <w:noBreakHyphen/>
      </w:r>
      <w:r>
        <w:rPr>
          <w:i/>
        </w:rPr>
        <w:t xml:space="preserve">13 Budget Update </w:t>
      </w:r>
      <w:r w:rsidRPr="004F3E36">
        <w:t xml:space="preserve">is mainly attributed to weaker </w:t>
      </w:r>
      <w:r>
        <w:t>revenue from GST and other Commonwealth grants</w:t>
      </w:r>
      <w:r w:rsidRPr="004F3E36">
        <w:t xml:space="preserve">, </w:t>
      </w:r>
      <w:r>
        <w:t xml:space="preserve">offset by </w:t>
      </w:r>
      <w:r w:rsidRPr="004F3E36">
        <w:t xml:space="preserve">revised </w:t>
      </w:r>
      <w:r>
        <w:t>estimates of own</w:t>
      </w:r>
      <w:r w:rsidR="00276239">
        <w:noBreakHyphen/>
      </w:r>
      <w:r>
        <w:t>source revenue, investment income, and new targeted revenue measures.</w:t>
      </w:r>
    </w:p>
    <w:p w:rsidR="0070375D" w:rsidRPr="008C73E3" w:rsidRDefault="0070375D" w:rsidP="00E23DD4">
      <w:pPr>
        <w:pStyle w:val="Heading4"/>
      </w:pPr>
      <w:r>
        <w:t>P</w:t>
      </w:r>
      <w:r w:rsidRPr="008C73E3">
        <w:t>olicy decision variations</w:t>
      </w:r>
    </w:p>
    <w:p w:rsidR="0070375D" w:rsidRPr="008C73E3" w:rsidRDefault="0070375D" w:rsidP="00DA0303">
      <w:pPr>
        <w:rPr>
          <w:rFonts w:ascii="Calibri" w:hAnsi="Calibri" w:cs="Calibri"/>
        </w:rPr>
      </w:pPr>
      <w:r w:rsidRPr="008C73E3">
        <w:t xml:space="preserve">Revenue policy decisions in the </w:t>
      </w:r>
      <w:r>
        <w:rPr>
          <w:i/>
        </w:rPr>
        <w:t>2013</w:t>
      </w:r>
      <w:r w:rsidR="00276239">
        <w:rPr>
          <w:i/>
        </w:rPr>
        <w:noBreakHyphen/>
      </w:r>
      <w:r>
        <w:rPr>
          <w:i/>
        </w:rPr>
        <w:t>14 Budget</w:t>
      </w:r>
      <w:r w:rsidRPr="008C73E3">
        <w:t xml:space="preserve"> are expected to increase forec</w:t>
      </w:r>
      <w:r>
        <w:t>ast revenue by around $140 million a year on average over the period 2013</w:t>
      </w:r>
      <w:r w:rsidR="00276239">
        <w:noBreakHyphen/>
      </w:r>
      <w:r>
        <w:t>14 to 2015</w:t>
      </w:r>
      <w:r w:rsidR="00276239">
        <w:noBreakHyphen/>
      </w:r>
      <w:r>
        <w:t>16. This includes a broadened scope of the congestion levy in inner Melbourne, addressing anomalies in land tax compliance and retargeting the Driver Reward Scheme</w:t>
      </w:r>
      <w:r w:rsidRPr="008C73E3">
        <w:t>.</w:t>
      </w:r>
    </w:p>
    <w:p w:rsidR="0070375D" w:rsidRPr="008C73E3" w:rsidRDefault="0070375D" w:rsidP="00DA0303">
      <w:r w:rsidRPr="008C73E3">
        <w:t xml:space="preserve">Details of specific revenue policy initiatives are contained in Budget Paper No. 3 </w:t>
      </w:r>
      <w:r w:rsidRPr="008C73E3">
        <w:rPr>
          <w:i/>
        </w:rPr>
        <w:t>Service Delivery</w:t>
      </w:r>
      <w:r w:rsidRPr="008C73E3">
        <w:t>.</w:t>
      </w:r>
    </w:p>
    <w:p w:rsidR="0070375D" w:rsidRPr="008C73E3" w:rsidRDefault="0070375D" w:rsidP="000920EE">
      <w:pPr>
        <w:pStyle w:val="Heading4"/>
      </w:pPr>
      <w:r w:rsidRPr="008C73E3">
        <w:t xml:space="preserve">Economic and </w:t>
      </w:r>
      <w:r w:rsidRPr="000920EE">
        <w:t>demographic</w:t>
      </w:r>
      <w:r w:rsidRPr="008C73E3">
        <w:t xml:space="preserve"> variations</w:t>
      </w:r>
    </w:p>
    <w:p w:rsidR="0070375D" w:rsidRDefault="0070375D" w:rsidP="0033621D">
      <w:pPr>
        <w:rPr>
          <w:lang w:eastAsia="en-AU"/>
        </w:rPr>
      </w:pPr>
      <w:r>
        <w:rPr>
          <w:lang w:eastAsia="en-AU"/>
        </w:rPr>
        <w:t>Taxation</w:t>
      </w:r>
      <w:r>
        <w:rPr>
          <w:lang w:eastAsia="en-AU"/>
        </w:rPr>
        <w:fldChar w:fldCharType="begin"/>
      </w:r>
      <w:r>
        <w:instrText xml:space="preserve"> XE "</w:instrText>
      </w:r>
      <w:r w:rsidRPr="00BC714C">
        <w:rPr>
          <w:lang w:eastAsia="en-AU"/>
        </w:rPr>
        <w:instrText>Taxation</w:instrText>
      </w:r>
      <w:r w:rsidRPr="00BC714C">
        <w:instrText>:Revenue</w:instrText>
      </w:r>
      <w:r>
        <w:instrText xml:space="preserve">" </w:instrText>
      </w:r>
      <w:r>
        <w:rPr>
          <w:lang w:eastAsia="en-AU"/>
        </w:rPr>
        <w:fldChar w:fldCharType="end"/>
      </w:r>
      <w:r>
        <w:rPr>
          <w:lang w:eastAsia="en-AU"/>
        </w:rPr>
        <w:t xml:space="preserve"> revenue is, on average, largely unchanged between 2013</w:t>
      </w:r>
      <w:r w:rsidR="00276239">
        <w:rPr>
          <w:lang w:eastAsia="en-AU"/>
        </w:rPr>
        <w:noBreakHyphen/>
      </w:r>
      <w:r>
        <w:rPr>
          <w:lang w:eastAsia="en-AU"/>
        </w:rPr>
        <w:t>14 and 2015</w:t>
      </w:r>
      <w:r w:rsidR="00276239">
        <w:rPr>
          <w:lang w:eastAsia="en-AU"/>
        </w:rPr>
        <w:noBreakHyphen/>
      </w:r>
      <w:r>
        <w:rPr>
          <w:lang w:eastAsia="en-AU"/>
        </w:rPr>
        <w:t xml:space="preserve">16. Specifically, over the three year period: </w:t>
      </w:r>
    </w:p>
    <w:p w:rsidR="0070375D" w:rsidRDefault="0070375D" w:rsidP="0033621D">
      <w:pPr>
        <w:pStyle w:val="BulletText"/>
        <w:rPr>
          <w:lang w:eastAsia="en-AU"/>
        </w:rPr>
      </w:pPr>
      <w:r>
        <w:rPr>
          <w:lang w:eastAsia="en-AU"/>
        </w:rPr>
        <w:t>land tax</w:t>
      </w:r>
      <w:r>
        <w:rPr>
          <w:lang w:eastAsia="en-AU"/>
        </w:rPr>
        <w:fldChar w:fldCharType="begin"/>
      </w:r>
      <w:r>
        <w:instrText xml:space="preserve"> XE "</w:instrText>
      </w:r>
      <w:r w:rsidRPr="00083747">
        <w:instrText>Taxation:Land tax</w:instrText>
      </w:r>
      <w:r>
        <w:instrText xml:space="preserve">" </w:instrText>
      </w:r>
      <w:r>
        <w:rPr>
          <w:lang w:eastAsia="en-AU"/>
        </w:rPr>
        <w:fldChar w:fldCharType="end"/>
      </w:r>
      <w:r>
        <w:rPr>
          <w:lang w:eastAsia="en-AU"/>
        </w:rPr>
        <w:t xml:space="preserve"> is up by an average of $48 million a year, following revisions to the expected biennial revaluations of land value; </w:t>
      </w:r>
    </w:p>
    <w:p w:rsidR="0070375D" w:rsidRDefault="0070375D" w:rsidP="000920EE">
      <w:pPr>
        <w:pStyle w:val="BulletText"/>
        <w:rPr>
          <w:lang w:eastAsia="en-AU"/>
        </w:rPr>
      </w:pPr>
      <w:r>
        <w:rPr>
          <w:lang w:eastAsia="en-AU"/>
        </w:rPr>
        <w:t>land transfer duty</w:t>
      </w:r>
      <w:r>
        <w:rPr>
          <w:lang w:eastAsia="en-AU"/>
        </w:rPr>
        <w:fldChar w:fldCharType="begin"/>
      </w:r>
      <w:r>
        <w:instrText xml:space="preserve"> XE "</w:instrText>
      </w:r>
      <w:r w:rsidRPr="001A62CC">
        <w:instrText>Taxation:Land transfer</w:instrText>
      </w:r>
      <w:r>
        <w:instrText xml:space="preserve">" </w:instrText>
      </w:r>
      <w:r>
        <w:rPr>
          <w:lang w:eastAsia="en-AU"/>
        </w:rPr>
        <w:fldChar w:fldCharType="end"/>
      </w:r>
      <w:r>
        <w:rPr>
          <w:lang w:eastAsia="en-AU"/>
        </w:rPr>
        <w:t xml:space="preserve"> is up by an average of $35 million a year, reflecting the recent improvements in the property </w:t>
      </w:r>
      <w:r w:rsidRPr="000920EE">
        <w:t>market</w:t>
      </w:r>
      <w:r>
        <w:rPr>
          <w:lang w:eastAsia="en-AU"/>
        </w:rPr>
        <w:t>;</w:t>
      </w:r>
    </w:p>
    <w:p w:rsidR="0070375D" w:rsidRDefault="0070375D" w:rsidP="0033621D">
      <w:pPr>
        <w:pStyle w:val="BulletText"/>
        <w:rPr>
          <w:lang w:eastAsia="en-AU"/>
        </w:rPr>
      </w:pPr>
      <w:r>
        <w:rPr>
          <w:lang w:eastAsia="en-AU"/>
        </w:rPr>
        <w:t>taxes on insurance are up by an average of $6 million a year, in line with a return to trend growth in the Victorian economy; and</w:t>
      </w:r>
    </w:p>
    <w:p w:rsidR="0070375D" w:rsidRDefault="0070375D" w:rsidP="0033621D">
      <w:pPr>
        <w:pStyle w:val="BulletText"/>
        <w:rPr>
          <w:lang w:eastAsia="en-AU"/>
        </w:rPr>
      </w:pPr>
      <w:r>
        <w:rPr>
          <w:lang w:eastAsia="en-AU"/>
        </w:rPr>
        <w:t>motor vehicle</w:t>
      </w:r>
      <w:r>
        <w:rPr>
          <w:lang w:eastAsia="en-AU"/>
        </w:rPr>
        <w:fldChar w:fldCharType="begin"/>
      </w:r>
      <w:r>
        <w:instrText xml:space="preserve"> XE "</w:instrText>
      </w:r>
      <w:r w:rsidRPr="00DB63DF">
        <w:instrText>Taxation:Motor vehicle</w:instrText>
      </w:r>
      <w:r>
        <w:instrText xml:space="preserve">" </w:instrText>
      </w:r>
      <w:r>
        <w:rPr>
          <w:lang w:eastAsia="en-AU"/>
        </w:rPr>
        <w:fldChar w:fldCharType="end"/>
      </w:r>
      <w:r>
        <w:rPr>
          <w:lang w:eastAsia="en-AU"/>
        </w:rPr>
        <w:t xml:space="preserve"> taxes are up by an average of $38 million a year, in line with recent strength in both registrations and transfers of vehicles.</w:t>
      </w:r>
    </w:p>
    <w:p w:rsidR="0070375D" w:rsidRDefault="0070375D" w:rsidP="0033621D">
      <w:pPr>
        <w:rPr>
          <w:lang w:eastAsia="en-AU"/>
        </w:rPr>
      </w:pPr>
      <w:r>
        <w:rPr>
          <w:lang w:eastAsia="en-AU"/>
        </w:rPr>
        <w:t>These movements are largely offset by downward revisions to:</w:t>
      </w:r>
    </w:p>
    <w:p w:rsidR="0070375D" w:rsidRDefault="0070375D" w:rsidP="0033621D">
      <w:pPr>
        <w:pStyle w:val="BulletText"/>
        <w:rPr>
          <w:lang w:eastAsia="en-AU"/>
        </w:rPr>
      </w:pPr>
      <w:r>
        <w:rPr>
          <w:lang w:eastAsia="en-AU"/>
        </w:rPr>
        <w:t>payroll tax</w:t>
      </w:r>
      <w:r>
        <w:rPr>
          <w:lang w:eastAsia="en-AU"/>
        </w:rPr>
        <w:fldChar w:fldCharType="begin"/>
      </w:r>
      <w:r>
        <w:instrText xml:space="preserve"> XE "</w:instrText>
      </w:r>
      <w:r w:rsidRPr="00CB2B5B">
        <w:instrText>Taxation:Payroll</w:instrText>
      </w:r>
      <w:r>
        <w:instrText xml:space="preserve">" </w:instrText>
      </w:r>
      <w:r>
        <w:rPr>
          <w:lang w:eastAsia="en-AU"/>
        </w:rPr>
        <w:fldChar w:fldCharType="end"/>
      </w:r>
      <w:r>
        <w:rPr>
          <w:lang w:eastAsia="en-AU"/>
        </w:rPr>
        <w:t>, down by an average of $75 million a year, to incorporate changes in the composition of employment growth towards higher part</w:t>
      </w:r>
      <w:r w:rsidR="00276239">
        <w:rPr>
          <w:lang w:eastAsia="en-AU"/>
        </w:rPr>
        <w:noBreakHyphen/>
      </w:r>
      <w:r>
        <w:rPr>
          <w:lang w:eastAsia="en-AU"/>
        </w:rPr>
        <w:t>time employment, moderating growth in total hours worked; and</w:t>
      </w:r>
    </w:p>
    <w:p w:rsidR="0070375D" w:rsidRDefault="0070375D" w:rsidP="0033621D">
      <w:pPr>
        <w:pStyle w:val="BulletText"/>
        <w:rPr>
          <w:lang w:eastAsia="en-AU"/>
        </w:rPr>
      </w:pPr>
      <w:r>
        <w:rPr>
          <w:lang w:eastAsia="en-AU"/>
        </w:rPr>
        <w:t>gambling taxes</w:t>
      </w:r>
      <w:r>
        <w:rPr>
          <w:lang w:eastAsia="en-AU"/>
        </w:rPr>
        <w:fldChar w:fldCharType="begin"/>
      </w:r>
      <w:r>
        <w:instrText xml:space="preserve"> XE "</w:instrText>
      </w:r>
      <w:r w:rsidRPr="009567FB">
        <w:instrText>Taxation:Gambling</w:instrText>
      </w:r>
      <w:r>
        <w:instrText xml:space="preserve">" </w:instrText>
      </w:r>
      <w:r>
        <w:rPr>
          <w:lang w:eastAsia="en-AU"/>
        </w:rPr>
        <w:fldChar w:fldCharType="end"/>
      </w:r>
      <w:r>
        <w:rPr>
          <w:lang w:eastAsia="en-AU"/>
        </w:rPr>
        <w:t>, down by an average of $32 million a year.</w:t>
      </w:r>
    </w:p>
    <w:p w:rsidR="009F27AE" w:rsidRDefault="009F27AE">
      <w:pPr>
        <w:spacing w:after="0"/>
      </w:pPr>
      <w:r>
        <w:br w:type="page"/>
      </w:r>
    </w:p>
    <w:p w:rsidR="0070375D" w:rsidRDefault="0070375D" w:rsidP="0033621D">
      <w:r>
        <w:lastRenderedPageBreak/>
        <w:t>Investment</w:t>
      </w:r>
      <w:r>
        <w:fldChar w:fldCharType="begin"/>
      </w:r>
      <w:r>
        <w:instrText xml:space="preserve"> XE "</w:instrText>
      </w:r>
      <w:r w:rsidRPr="00D3448B">
        <w:instrText>Investment</w:instrText>
      </w:r>
      <w:r>
        <w:instrText xml:space="preserve">" </w:instrText>
      </w:r>
      <w:r>
        <w:fldChar w:fldCharType="end"/>
      </w:r>
      <w:r>
        <w:t xml:space="preserve"> income is expected to be higher in 2013</w:t>
      </w:r>
      <w:r w:rsidR="00276239">
        <w:noBreakHyphen/>
      </w:r>
      <w:r>
        <w:t>14 primarily reflecting:</w:t>
      </w:r>
    </w:p>
    <w:p w:rsidR="0070375D" w:rsidRDefault="0070375D" w:rsidP="00FB471A">
      <w:pPr>
        <w:pStyle w:val="BulletText"/>
      </w:pPr>
      <w:r>
        <w:t>higher dividends</w:t>
      </w:r>
      <w:r>
        <w:fldChar w:fldCharType="begin"/>
      </w:r>
      <w:r>
        <w:instrText xml:space="preserve"> XE "</w:instrText>
      </w:r>
      <w:r w:rsidRPr="00D3448B">
        <w:instrText>Dividends</w:instrText>
      </w:r>
      <w:r>
        <w:instrText xml:space="preserve">" </w:instrText>
      </w:r>
      <w:r>
        <w:fldChar w:fldCharType="end"/>
      </w:r>
      <w:r>
        <w:t xml:space="preserve"> from the public financial corporations</w:t>
      </w:r>
      <w:r>
        <w:fldChar w:fldCharType="begin"/>
      </w:r>
      <w:r>
        <w:instrText xml:space="preserve"> XE "</w:instrText>
      </w:r>
      <w:r w:rsidRPr="00D3448B">
        <w:instrText>Public financial corporations</w:instrText>
      </w:r>
      <w:r>
        <w:instrText xml:space="preserve">" </w:instrText>
      </w:r>
      <w:r>
        <w:fldChar w:fldCharType="end"/>
      </w:r>
      <w:r>
        <w:t xml:space="preserve"> (PFC) sector, due to the once</w:t>
      </w:r>
      <w:r w:rsidR="00276239">
        <w:noBreakHyphen/>
      </w:r>
      <w:r>
        <w:t>off impact of the introduction of interim dividends framework consistent with that which applies to the public non</w:t>
      </w:r>
      <w:r w:rsidR="00276239">
        <w:noBreakHyphen/>
      </w:r>
      <w:r>
        <w:t>financial corporations</w:t>
      </w:r>
      <w:r>
        <w:fldChar w:fldCharType="begin"/>
      </w:r>
      <w:r>
        <w:instrText xml:space="preserve"> XE "</w:instrText>
      </w:r>
      <w:r w:rsidRPr="00D3448B">
        <w:instrText>Public non</w:instrText>
      </w:r>
      <w:r w:rsidRPr="00D3448B">
        <w:noBreakHyphen/>
        <w:instrText>financial corporations</w:instrText>
      </w:r>
      <w:r>
        <w:instrText xml:space="preserve">" </w:instrText>
      </w:r>
      <w:r>
        <w:fldChar w:fldCharType="end"/>
      </w:r>
      <w:r>
        <w:t xml:space="preserve"> (PNFC) sector; </w:t>
      </w:r>
    </w:p>
    <w:p w:rsidR="0070375D" w:rsidRDefault="0070375D" w:rsidP="00FB471A">
      <w:pPr>
        <w:pStyle w:val="BulletText"/>
      </w:pPr>
      <w:r>
        <w:t>a stronger than previously forecast financial performance from the Treasury Corporation of Victoria during 2012</w:t>
      </w:r>
      <w:r w:rsidR="00276239">
        <w:noBreakHyphen/>
      </w:r>
      <w:r>
        <w:t>13; and</w:t>
      </w:r>
    </w:p>
    <w:p w:rsidR="0070375D" w:rsidRDefault="0070375D" w:rsidP="00FB471A">
      <w:pPr>
        <w:pStyle w:val="BulletText"/>
      </w:pPr>
      <w:r>
        <w:t>receipt of a dividend from the State Electricity Commission of Victoria reflecting an anticipated payment of a special dividend from Snowy Hydro Limited.</w:t>
      </w:r>
    </w:p>
    <w:p w:rsidR="0070375D" w:rsidRPr="008C73E3" w:rsidRDefault="0070375D" w:rsidP="00FB471A">
      <w:r>
        <w:t>Beyond 2013</w:t>
      </w:r>
      <w:r w:rsidR="00276239">
        <w:noBreakHyphen/>
      </w:r>
      <w:r>
        <w:t>14, investment income will be higher than previously forecast, largely reflecting stronger investment returns in the PFC sector, which are forecast to grow in line with longer</w:t>
      </w:r>
      <w:r w:rsidR="00276239">
        <w:noBreakHyphen/>
      </w:r>
      <w:r>
        <w:t>term trends.</w:t>
      </w:r>
    </w:p>
    <w:p w:rsidR="0070375D" w:rsidRPr="008C73E3" w:rsidRDefault="0070375D" w:rsidP="00E23DD4">
      <w:pPr>
        <w:pStyle w:val="Heading4"/>
      </w:pPr>
      <w:r w:rsidRPr="008C73E3">
        <w:t>Commonwealth grant variations</w:t>
      </w:r>
    </w:p>
    <w:p w:rsidR="0070375D" w:rsidRPr="00EC03CC" w:rsidRDefault="0070375D" w:rsidP="00EA7FFB">
      <w:pPr>
        <w:rPr>
          <w:i/>
        </w:rPr>
      </w:pPr>
      <w:r w:rsidRPr="00EC03CC">
        <w:t>General purpose grants (GST revenue)</w:t>
      </w:r>
      <w:r>
        <w:fldChar w:fldCharType="begin"/>
      </w:r>
      <w:r>
        <w:instrText xml:space="preserve"> XE "</w:instrText>
      </w:r>
      <w:r w:rsidRPr="00D3448B">
        <w:instrText>Goods and services tax</w:instrText>
      </w:r>
      <w:r>
        <w:instrText xml:space="preserve">" </w:instrText>
      </w:r>
      <w:r>
        <w:fldChar w:fldCharType="end"/>
      </w:r>
      <w:r w:rsidRPr="00EC03CC">
        <w:t xml:space="preserve"> have been revised down in 2013</w:t>
      </w:r>
      <w:r w:rsidR="00276239">
        <w:rPr>
          <w:i/>
        </w:rPr>
        <w:noBreakHyphen/>
      </w:r>
      <w:r w:rsidRPr="00EC03CC">
        <w:t>14</w:t>
      </w:r>
      <w:r>
        <w:t>, and by an average of $</w:t>
      </w:r>
      <w:r w:rsidRPr="009224F5">
        <w:t>350</w:t>
      </w:r>
      <w:r>
        <w:t> million</w:t>
      </w:r>
      <w:r w:rsidRPr="009224F5">
        <w:t xml:space="preserve"> a year</w:t>
      </w:r>
      <w:r>
        <w:t xml:space="preserve"> over the next two years</w:t>
      </w:r>
      <w:r w:rsidRPr="00EC03CC">
        <w:t xml:space="preserve">. This reflects the impact of slower growth in the GST national pool, in part due to a </w:t>
      </w:r>
      <w:r>
        <w:t xml:space="preserve">further </w:t>
      </w:r>
      <w:r w:rsidRPr="00EC03CC">
        <w:t>decline in the proportion of consumption o</w:t>
      </w:r>
      <w:r>
        <w:t>n</w:t>
      </w:r>
      <w:r w:rsidRPr="00EC03CC">
        <w:t xml:space="preserve"> goods </w:t>
      </w:r>
      <w:r>
        <w:t xml:space="preserve">and services </w:t>
      </w:r>
      <w:r w:rsidRPr="00EC03CC">
        <w:t>that are subject to GST. Victoria is also expected to receive a lower share of the GST national pool over the period</w:t>
      </w:r>
      <w:r>
        <w:t xml:space="preserve"> than previously forecast</w:t>
      </w:r>
      <w:r w:rsidRPr="00EC03CC">
        <w:t>.</w:t>
      </w:r>
    </w:p>
    <w:p w:rsidR="0070375D" w:rsidRDefault="0070375D" w:rsidP="000920EE">
      <w:pPr>
        <w:rPr>
          <w:i/>
        </w:rPr>
      </w:pPr>
      <w:r w:rsidRPr="00EC03CC">
        <w:t>Commonwealth</w:t>
      </w:r>
      <w:r>
        <w:fldChar w:fldCharType="begin"/>
      </w:r>
      <w:r>
        <w:instrText xml:space="preserve"> XE "</w:instrText>
      </w:r>
      <w:r w:rsidRPr="00057D88">
        <w:instrText>Grants:Commonwealth</w:instrText>
      </w:r>
      <w:r>
        <w:instrText xml:space="preserve">" </w:instrText>
      </w:r>
      <w:r>
        <w:fldChar w:fldCharType="end"/>
      </w:r>
      <w:r w:rsidRPr="00EC03CC">
        <w:t xml:space="preserve"> specific purpose and national partnerships grants revenu</w:t>
      </w:r>
      <w:r>
        <w:t>e estimates have been reduced beyond 2013</w:t>
      </w:r>
      <w:r w:rsidR="00276239">
        <w:noBreakHyphen/>
      </w:r>
      <w:r>
        <w:t xml:space="preserve">14 largely due to an </w:t>
      </w:r>
      <w:r>
        <w:rPr>
          <w:rFonts w:cs="Garamond"/>
          <w:color w:val="000000"/>
          <w:szCs w:val="22"/>
          <w:lang w:eastAsia="en-AU"/>
        </w:rPr>
        <w:t xml:space="preserve">anticipated reduction in revenue levels from the Commonwealth for health. These revisions are consistent with the arrangements of the new Health Reform Agreement where the Commonwealth will provide funds for new growth on a shared basis. Other relatively minor </w:t>
      </w:r>
      <w:r>
        <w:t xml:space="preserve">revisions to national partnership revenue over the period occur in the health and education sectors, which are matched by corresponding expenditure. </w:t>
      </w:r>
    </w:p>
    <w:p w:rsidR="0070375D" w:rsidRPr="00B60591" w:rsidRDefault="0070375D" w:rsidP="00E23DD4">
      <w:pPr>
        <w:pStyle w:val="Heading4"/>
      </w:pPr>
      <w:r>
        <w:t>Own</w:t>
      </w:r>
      <w:r w:rsidR="00276239">
        <w:noBreakHyphen/>
      </w:r>
      <w:r>
        <w:t>source revenue</w:t>
      </w:r>
    </w:p>
    <w:p w:rsidR="0070375D" w:rsidRDefault="0070375D" w:rsidP="00DE5E37">
      <w:pPr>
        <w:pStyle w:val="Heading4"/>
        <w:rPr>
          <w:rFonts w:ascii="Garamond" w:hAnsi="Garamond"/>
          <w:i w:val="0"/>
          <w:sz w:val="22"/>
          <w:szCs w:val="20"/>
        </w:rPr>
      </w:pPr>
      <w:r w:rsidRPr="00A6192E">
        <w:rPr>
          <w:rFonts w:ascii="Garamond" w:hAnsi="Garamond"/>
          <w:i w:val="0"/>
          <w:sz w:val="22"/>
          <w:szCs w:val="20"/>
        </w:rPr>
        <w:t>Own</w:t>
      </w:r>
      <w:r w:rsidR="00276239">
        <w:rPr>
          <w:rFonts w:ascii="Garamond" w:hAnsi="Garamond"/>
          <w:i w:val="0"/>
          <w:sz w:val="22"/>
          <w:szCs w:val="20"/>
        </w:rPr>
        <w:noBreakHyphen/>
      </w:r>
      <w:r w:rsidRPr="00A6192E">
        <w:rPr>
          <w:rFonts w:ascii="Garamond" w:hAnsi="Garamond"/>
          <w:i w:val="0"/>
          <w:sz w:val="22"/>
          <w:szCs w:val="20"/>
        </w:rPr>
        <w:t>source revenue is higher in 2013</w:t>
      </w:r>
      <w:r w:rsidR="00276239">
        <w:rPr>
          <w:rFonts w:ascii="Garamond" w:hAnsi="Garamond"/>
          <w:i w:val="0"/>
          <w:sz w:val="22"/>
          <w:szCs w:val="20"/>
        </w:rPr>
        <w:noBreakHyphen/>
      </w:r>
      <w:r w:rsidRPr="00A6192E">
        <w:rPr>
          <w:rFonts w:ascii="Garamond" w:hAnsi="Garamond"/>
          <w:i w:val="0"/>
          <w:sz w:val="22"/>
          <w:szCs w:val="20"/>
        </w:rPr>
        <w:t>14 and by an average of around $</w:t>
      </w:r>
      <w:r>
        <w:rPr>
          <w:rFonts w:ascii="Garamond" w:hAnsi="Garamond"/>
          <w:i w:val="0"/>
          <w:sz w:val="22"/>
          <w:szCs w:val="20"/>
        </w:rPr>
        <w:t>85 million</w:t>
      </w:r>
      <w:r w:rsidRPr="00A6192E">
        <w:rPr>
          <w:rFonts w:ascii="Garamond" w:hAnsi="Garamond"/>
          <w:i w:val="0"/>
          <w:sz w:val="22"/>
          <w:szCs w:val="20"/>
        </w:rPr>
        <w:t xml:space="preserve"> across the next two years. </w:t>
      </w:r>
      <w:r>
        <w:rPr>
          <w:rFonts w:ascii="Garamond" w:hAnsi="Garamond"/>
          <w:i w:val="0"/>
          <w:sz w:val="22"/>
          <w:szCs w:val="20"/>
        </w:rPr>
        <w:t>Particular drivers of this revision include:</w:t>
      </w:r>
    </w:p>
    <w:p w:rsidR="0070375D" w:rsidRPr="00A6192E" w:rsidRDefault="0070375D" w:rsidP="00DE5E37">
      <w:pPr>
        <w:pStyle w:val="BulletText"/>
      </w:pPr>
      <w:r>
        <w:t xml:space="preserve">fees and fines revenue, which is estimated to be higher than previous forecasts by around </w:t>
      </w:r>
      <w:r w:rsidRPr="00A6192E">
        <w:t>$</w:t>
      </w:r>
      <w:r>
        <w:t xml:space="preserve">50 million a year </w:t>
      </w:r>
      <w:r w:rsidRPr="00A6192E">
        <w:t xml:space="preserve">across the </w:t>
      </w:r>
      <w:r>
        <w:t>period</w:t>
      </w:r>
      <w:r w:rsidRPr="00A6192E">
        <w:t xml:space="preserve"> </w:t>
      </w:r>
      <w:r>
        <w:t>t</w:t>
      </w:r>
      <w:r>
        <w:rPr>
          <w:rFonts w:cs="Garamond"/>
          <w:color w:val="000000"/>
          <w:szCs w:val="22"/>
          <w:lang w:eastAsia="en-AU"/>
        </w:rPr>
        <w:t>o better align estimates with projected infringement volume</w:t>
      </w:r>
      <w:r>
        <w:t>;</w:t>
      </w:r>
    </w:p>
    <w:p w:rsidR="0070375D" w:rsidRDefault="0070375D" w:rsidP="00DE5E37">
      <w:pPr>
        <w:pStyle w:val="BulletText"/>
      </w:pPr>
      <w:r w:rsidRPr="00A6192E">
        <w:t>additional thir</w:t>
      </w:r>
      <w:r>
        <w:t>d</w:t>
      </w:r>
      <w:r w:rsidR="00276239">
        <w:noBreakHyphen/>
      </w:r>
      <w:r>
        <w:t>party revenue for hospital related activities, which is matched with corresponding expenditure; and</w:t>
      </w:r>
    </w:p>
    <w:p w:rsidR="0070375D" w:rsidRPr="00A6192E" w:rsidRDefault="0070375D" w:rsidP="00DE5E37">
      <w:pPr>
        <w:pStyle w:val="BulletText"/>
      </w:pPr>
      <w:r>
        <w:t>a rephase of revenue from later years into 2013</w:t>
      </w:r>
      <w:r w:rsidR="00276239">
        <w:noBreakHyphen/>
      </w:r>
      <w:r>
        <w:t xml:space="preserve">14 associated with </w:t>
      </w:r>
      <w:r w:rsidRPr="0040004A">
        <w:t xml:space="preserve">land sales from the Kew Residential Services site reflecting changed market conditions. In addition to the revenue impacts there are offsetting reductions in </w:t>
      </w:r>
      <w:r>
        <w:t>expenses</w:t>
      </w:r>
      <w:r w:rsidRPr="0040004A">
        <w:t>.</w:t>
      </w:r>
      <w:r>
        <w:t xml:space="preserve"> </w:t>
      </w:r>
    </w:p>
    <w:p w:rsidR="0070375D" w:rsidRPr="00730ACA" w:rsidRDefault="0070375D" w:rsidP="00DE5E37">
      <w:r>
        <w:t>These i</w:t>
      </w:r>
      <w:r w:rsidRPr="00A6192E">
        <w:t>ncreases in own</w:t>
      </w:r>
      <w:r w:rsidR="00276239">
        <w:noBreakHyphen/>
      </w:r>
      <w:r w:rsidRPr="00A6192E">
        <w:t xml:space="preserve">source revenue </w:t>
      </w:r>
      <w:r>
        <w:t>are</w:t>
      </w:r>
      <w:r w:rsidRPr="00A6192E">
        <w:t xml:space="preserve"> </w:t>
      </w:r>
      <w:r>
        <w:t xml:space="preserve">partly offset </w:t>
      </w:r>
      <w:r w:rsidRPr="00A6192E">
        <w:t xml:space="preserve">by </w:t>
      </w:r>
      <w:r>
        <w:t xml:space="preserve">a downwards revision to </w:t>
      </w:r>
      <w:r w:rsidRPr="00A6192E">
        <w:t>revenue</w:t>
      </w:r>
      <w:r>
        <w:t xml:space="preserve"> from </w:t>
      </w:r>
      <w:r w:rsidRPr="00A15102">
        <w:t>Melbourne Strategic Assessment</w:t>
      </w:r>
      <w:r w:rsidRPr="00A6192E">
        <w:t xml:space="preserve"> </w:t>
      </w:r>
      <w:r>
        <w:t xml:space="preserve">activities </w:t>
      </w:r>
      <w:r w:rsidRPr="00A6192E">
        <w:t>by a total of $25</w:t>
      </w:r>
      <w:r>
        <w:t> million</w:t>
      </w:r>
      <w:r w:rsidRPr="00A6192E">
        <w:t xml:space="preserve"> over the period, largely due to a weaker outlook for land development and lower forecast revenue from developers.</w:t>
      </w:r>
    </w:p>
    <w:p w:rsidR="0070375D" w:rsidRDefault="0070375D" w:rsidP="00E23DD4">
      <w:pPr>
        <w:pStyle w:val="Heading4"/>
      </w:pPr>
      <w:r w:rsidRPr="003638E9">
        <w:lastRenderedPageBreak/>
        <w:t>Administrative variations</w:t>
      </w:r>
    </w:p>
    <w:p w:rsidR="0070375D" w:rsidRDefault="0070375D" w:rsidP="00F47DA8">
      <w:pPr>
        <w:autoSpaceDE w:val="0"/>
        <w:autoSpaceDN w:val="0"/>
        <w:adjustRightInd w:val="0"/>
        <w:rPr>
          <w:rFonts w:cs="Garamond"/>
          <w:color w:val="000000"/>
          <w:szCs w:val="22"/>
          <w:lang w:eastAsia="en-AU"/>
        </w:rPr>
      </w:pPr>
      <w:r>
        <w:rPr>
          <w:rFonts w:cs="Garamond"/>
          <w:color w:val="000000"/>
          <w:szCs w:val="22"/>
          <w:lang w:eastAsia="en-AU"/>
        </w:rPr>
        <w:t>Revenue estimates have been revised upwards over the period largely reflecting</w:t>
      </w:r>
      <w:r w:rsidRPr="00F47DA8">
        <w:rPr>
          <w:rFonts w:cs="Garamond"/>
          <w:color w:val="000000"/>
          <w:szCs w:val="22"/>
          <w:lang w:eastAsia="en-AU"/>
        </w:rPr>
        <w:t xml:space="preserve"> </w:t>
      </w:r>
      <w:r>
        <w:rPr>
          <w:rFonts w:cs="Garamond"/>
          <w:color w:val="000000"/>
          <w:szCs w:val="22"/>
          <w:lang w:eastAsia="en-AU"/>
        </w:rPr>
        <w:t>activities in the transport and fire services sectors. These revisions are partly offset by a reduction in forecast revenue associated with the Victorian desalination plant</w:t>
      </w:r>
      <w:r>
        <w:rPr>
          <w:rFonts w:cs="Garamond"/>
          <w:color w:val="000000"/>
          <w:szCs w:val="22"/>
          <w:lang w:eastAsia="en-AU"/>
        </w:rPr>
        <w:fldChar w:fldCharType="begin"/>
      </w:r>
      <w:r>
        <w:instrText xml:space="preserve"> XE "</w:instrText>
      </w:r>
      <w:r w:rsidRPr="00D3448B">
        <w:rPr>
          <w:rFonts w:cs="Garamond"/>
          <w:color w:val="000000"/>
          <w:szCs w:val="22"/>
          <w:lang w:eastAsia="en-AU"/>
        </w:rPr>
        <w:instrText>Victorian Desalination Plant</w:instrText>
      </w:r>
      <w:r>
        <w:instrText xml:space="preserve">" </w:instrText>
      </w:r>
      <w:r>
        <w:rPr>
          <w:rFonts w:cs="Garamond"/>
          <w:color w:val="000000"/>
          <w:szCs w:val="22"/>
          <w:lang w:eastAsia="en-AU"/>
        </w:rPr>
        <w:fldChar w:fldCharType="end"/>
      </w:r>
      <w:r>
        <w:rPr>
          <w:rFonts w:cs="Garamond"/>
          <w:color w:val="000000"/>
          <w:szCs w:val="22"/>
          <w:lang w:eastAsia="en-AU"/>
        </w:rPr>
        <w:t xml:space="preserve"> from Melbourne Water Corporation primarily due to a reduction in anticipated water purchases from 50 gigalitres to zero gigalitres.</w:t>
      </w:r>
    </w:p>
    <w:p w:rsidR="0070375D" w:rsidRPr="008C73E3" w:rsidRDefault="0070375D" w:rsidP="00900876">
      <w:pPr>
        <w:pStyle w:val="Heading3"/>
      </w:pPr>
      <w:r w:rsidRPr="008C73E3">
        <w:t xml:space="preserve">Variations to </w:t>
      </w:r>
      <w:r>
        <w:t>expenses</w:t>
      </w:r>
      <w:r w:rsidRPr="008C73E3">
        <w:t xml:space="preserve"> from transactions</w:t>
      </w:r>
    </w:p>
    <w:bookmarkEnd w:id="50"/>
    <w:p w:rsidR="0070375D" w:rsidRDefault="0070375D" w:rsidP="00900876">
      <w:r>
        <w:t>Total expenses in 2013</w:t>
      </w:r>
      <w:r w:rsidR="00276239">
        <w:noBreakHyphen/>
      </w:r>
      <w:r>
        <w:t xml:space="preserve">14 have increased since the </w:t>
      </w:r>
      <w:r w:rsidRPr="00C80D5F">
        <w:rPr>
          <w:i/>
        </w:rPr>
        <w:t>2012</w:t>
      </w:r>
      <w:r w:rsidR="00276239">
        <w:rPr>
          <w:i/>
        </w:rPr>
        <w:noBreakHyphen/>
      </w:r>
      <w:r w:rsidRPr="00C80D5F">
        <w:rPr>
          <w:i/>
        </w:rPr>
        <w:t>13 Budget Update</w:t>
      </w:r>
      <w:r>
        <w:t>, largely reflecting the impact of new policy, partially offset by the impact of new savings and the release of contingencies for policy purposes. By 2015</w:t>
      </w:r>
      <w:r w:rsidR="00276239">
        <w:noBreakHyphen/>
      </w:r>
      <w:r>
        <w:t>16 expenses have been revised down reflecting the falling net impact on expenses of new policy spending offset by savings.</w:t>
      </w:r>
    </w:p>
    <w:p w:rsidR="0070375D" w:rsidRDefault="0070375D" w:rsidP="00E23DD4">
      <w:pPr>
        <w:pStyle w:val="Heading4"/>
      </w:pPr>
      <w:r w:rsidRPr="003638E9">
        <w:t>Policy decision variations</w:t>
      </w:r>
    </w:p>
    <w:p w:rsidR="0070375D" w:rsidRPr="003638E9" w:rsidRDefault="0070375D" w:rsidP="00E23DD4">
      <w:r w:rsidRPr="003E66F6">
        <w:t xml:space="preserve">New output policy decisions reflect the impact of the </w:t>
      </w:r>
      <w:r w:rsidRPr="003E66F6">
        <w:rPr>
          <w:i/>
        </w:rPr>
        <w:t>201</w:t>
      </w:r>
      <w:r>
        <w:rPr>
          <w:i/>
        </w:rPr>
        <w:t>3</w:t>
      </w:r>
      <w:r w:rsidR="00276239">
        <w:rPr>
          <w:i/>
        </w:rPr>
        <w:noBreakHyphen/>
      </w:r>
      <w:r w:rsidRPr="003E66F6">
        <w:rPr>
          <w:i/>
        </w:rPr>
        <w:t>1</w:t>
      </w:r>
      <w:r>
        <w:rPr>
          <w:i/>
        </w:rPr>
        <w:t>4</w:t>
      </w:r>
      <w:r w:rsidRPr="003E66F6">
        <w:rPr>
          <w:i/>
        </w:rPr>
        <w:t xml:space="preserve"> Budget</w:t>
      </w:r>
      <w:r w:rsidRPr="003E66F6">
        <w:t xml:space="preserve"> output initiatives (</w:t>
      </w:r>
      <w:r>
        <w:t>Table </w:t>
      </w:r>
      <w:r w:rsidRPr="003E66F6">
        <w:t>4.4)</w:t>
      </w:r>
      <w:r>
        <w:t xml:space="preserve"> net of new savings</w:t>
      </w:r>
      <w:r w:rsidRPr="003E66F6">
        <w:t xml:space="preserve">. </w:t>
      </w:r>
    </w:p>
    <w:p w:rsidR="0070375D" w:rsidRDefault="0070375D" w:rsidP="00DA0303">
      <w:pPr>
        <w:pStyle w:val="Heading4"/>
      </w:pPr>
      <w:r w:rsidRPr="00D11E77">
        <w:t>Commonwealth grant variations</w:t>
      </w:r>
    </w:p>
    <w:p w:rsidR="0070375D" w:rsidRPr="00730ACA" w:rsidRDefault="0070375D" w:rsidP="00E23DD4">
      <w:r w:rsidRPr="006018F6">
        <w:t>Variations to Comm</w:t>
      </w:r>
      <w:r>
        <w:t>onwealth</w:t>
      </w:r>
      <w:r>
        <w:fldChar w:fldCharType="begin"/>
      </w:r>
      <w:r>
        <w:instrText xml:space="preserve"> XE "</w:instrText>
      </w:r>
      <w:r w:rsidRPr="00D62351">
        <w:instrText>Grants:Commonwealth</w:instrText>
      </w:r>
      <w:r>
        <w:instrText xml:space="preserve">" </w:instrText>
      </w:r>
      <w:r>
        <w:fldChar w:fldCharType="end"/>
      </w:r>
      <w:r>
        <w:t xml:space="preserve"> grants expense </w:t>
      </w:r>
      <w:r w:rsidRPr="006018F6">
        <w:t>are largel</w:t>
      </w:r>
      <w:r>
        <w:t>y driven by minor revisions to C</w:t>
      </w:r>
      <w:r w:rsidRPr="006018F6">
        <w:t xml:space="preserve">ommonwealth related </w:t>
      </w:r>
      <w:r>
        <w:t xml:space="preserve">national partnership </w:t>
      </w:r>
      <w:r w:rsidRPr="006018F6">
        <w:t>expenditure, pr</w:t>
      </w:r>
      <w:r>
        <w:t>imarily in the health and education sectors</w:t>
      </w:r>
      <w:r w:rsidRPr="00730ACA">
        <w:t xml:space="preserve">. </w:t>
      </w:r>
    </w:p>
    <w:p w:rsidR="0070375D" w:rsidRDefault="0070375D" w:rsidP="00DA0303">
      <w:pPr>
        <w:pStyle w:val="Heading4"/>
      </w:pPr>
      <w:r w:rsidRPr="003E630A">
        <w:t>Variations due to changes in own</w:t>
      </w:r>
      <w:r w:rsidR="00276239">
        <w:noBreakHyphen/>
      </w:r>
      <w:r w:rsidRPr="003E630A">
        <w:t>source revenue</w:t>
      </w:r>
    </w:p>
    <w:p w:rsidR="0070375D" w:rsidRPr="00730ACA" w:rsidRDefault="0070375D" w:rsidP="00E23DD4">
      <w:r w:rsidRPr="009F5559">
        <w:t>Expenses associated with own</w:t>
      </w:r>
      <w:r w:rsidR="00276239">
        <w:noBreakHyphen/>
      </w:r>
      <w:r w:rsidRPr="009F5559">
        <w:t>source revenue have been revised upward</w:t>
      </w:r>
      <w:r>
        <w:t>s</w:t>
      </w:r>
      <w:r w:rsidRPr="009F5559">
        <w:t xml:space="preserve"> in each year. This primarily reflects the off</w:t>
      </w:r>
      <w:r>
        <w:t xml:space="preserve">setting expenditure impact of </w:t>
      </w:r>
      <w:r w:rsidRPr="009F5559">
        <w:t xml:space="preserve">revenue </w:t>
      </w:r>
      <w:r>
        <w:t xml:space="preserve">changes </w:t>
      </w:r>
      <w:r w:rsidRPr="009F5559">
        <w:t>outlined above</w:t>
      </w:r>
      <w:r>
        <w:t>,</w:t>
      </w:r>
      <w:r w:rsidRPr="009F5559">
        <w:t xml:space="preserve"> including</w:t>
      </w:r>
      <w:r>
        <w:t xml:space="preserve"> a rephase associated with </w:t>
      </w:r>
      <w:r w:rsidRPr="009F5559">
        <w:t xml:space="preserve">the Kew </w:t>
      </w:r>
      <w:r>
        <w:t>Residential Services,</w:t>
      </w:r>
      <w:r w:rsidRPr="009F5559">
        <w:t xml:space="preserve"> </w:t>
      </w:r>
      <w:r>
        <w:t xml:space="preserve">and </w:t>
      </w:r>
      <w:r w:rsidRPr="009F5559">
        <w:t>higher third party revenue from hospital</w:t>
      </w:r>
      <w:r>
        <w:t xml:space="preserve"> activities</w:t>
      </w:r>
      <w:r w:rsidRPr="009F5559">
        <w:t>.</w:t>
      </w:r>
    </w:p>
    <w:p w:rsidR="0070375D" w:rsidRDefault="0070375D" w:rsidP="00DA0303">
      <w:pPr>
        <w:pStyle w:val="Heading4"/>
      </w:pPr>
      <w:r w:rsidRPr="003E630A">
        <w:t>Administrative variations</w:t>
      </w:r>
    </w:p>
    <w:p w:rsidR="0070375D" w:rsidRDefault="0070375D" w:rsidP="00DE5E37">
      <w:r>
        <w:t>In addition to the impact of the revised AASB 119 discussed previously, superannuation</w:t>
      </w:r>
      <w:r w:rsidR="00276239">
        <w:noBreakHyphen/>
      </w:r>
      <w:r>
        <w:t xml:space="preserve">related expenses have increased since the </w:t>
      </w:r>
      <w:r w:rsidRPr="00EC03CC">
        <w:rPr>
          <w:i/>
        </w:rPr>
        <w:t>2012</w:t>
      </w:r>
      <w:r w:rsidR="00276239">
        <w:rPr>
          <w:i/>
        </w:rPr>
        <w:noBreakHyphen/>
      </w:r>
      <w:r>
        <w:rPr>
          <w:i/>
        </w:rPr>
        <w:t>13 </w:t>
      </w:r>
      <w:r w:rsidRPr="00EC03CC">
        <w:rPr>
          <w:i/>
        </w:rPr>
        <w:t>Budget Update</w:t>
      </w:r>
      <w:r>
        <w:t xml:space="preserve">, primarily due to movements in bond rates. </w:t>
      </w:r>
    </w:p>
    <w:p w:rsidR="0070375D" w:rsidRDefault="0070375D" w:rsidP="00CE0BDA">
      <w:r w:rsidRPr="00CE0BDA">
        <w:t xml:space="preserve">The release of contingencies as part of the </w:t>
      </w:r>
      <w:r w:rsidRPr="00F00A93">
        <w:rPr>
          <w:i/>
        </w:rPr>
        <w:t>2013</w:t>
      </w:r>
      <w:r w:rsidR="00276239">
        <w:rPr>
          <w:i/>
        </w:rPr>
        <w:noBreakHyphen/>
      </w:r>
      <w:r w:rsidR="00F00A93">
        <w:rPr>
          <w:i/>
        </w:rPr>
        <w:t>14 </w:t>
      </w:r>
      <w:r w:rsidRPr="00F00A93">
        <w:rPr>
          <w:i/>
        </w:rPr>
        <w:t>Budget</w:t>
      </w:r>
      <w:r w:rsidRPr="00CE0BDA">
        <w:t xml:space="preserve"> to offset new policy decisions averages around</w:t>
      </w:r>
      <w:r>
        <w:t xml:space="preserve"> </w:t>
      </w:r>
      <w:r w:rsidRPr="00CE0BDA">
        <w:t>$500</w:t>
      </w:r>
      <w:r>
        <w:t> million</w:t>
      </w:r>
      <w:r w:rsidRPr="00CE0BDA">
        <w:t xml:space="preserve"> a year over the period.</w:t>
      </w:r>
    </w:p>
    <w:p w:rsidR="0070375D" w:rsidRDefault="0070375D" w:rsidP="00DE5E37">
      <w:r>
        <w:t>Other administrative variations are projected to increase expenses in 2013</w:t>
      </w:r>
      <w:r w:rsidR="00276239">
        <w:noBreakHyphen/>
      </w:r>
      <w:r>
        <w:t>14, before marginally reducing expenses by 2015</w:t>
      </w:r>
      <w:r w:rsidR="00276239">
        <w:noBreakHyphen/>
      </w:r>
      <w:r>
        <w:t>16. Revisions from administrative factors that have increased expenses over the period include:</w:t>
      </w:r>
    </w:p>
    <w:p w:rsidR="0070375D" w:rsidRDefault="0070375D" w:rsidP="00DE5E37">
      <w:pPr>
        <w:pStyle w:val="BulletText"/>
      </w:pPr>
      <w:r>
        <w:t>an increase in interest expense primarily reflecting the additional servicing costs associated with the revised profile of borrowings, together with an increase in assumed borrowing rates;</w:t>
      </w:r>
    </w:p>
    <w:p w:rsidR="0070375D" w:rsidRDefault="0070375D" w:rsidP="00DE5E37">
      <w:pPr>
        <w:pStyle w:val="BulletText"/>
      </w:pPr>
      <w:r>
        <w:lastRenderedPageBreak/>
        <w:t>rephases of expenditure from 2012</w:t>
      </w:r>
      <w:r w:rsidR="00276239">
        <w:noBreakHyphen/>
      </w:r>
      <w:r>
        <w:t>13 into later years to better reflect anticipated funding profiles, in particular relating to the racing industry to better reflect expected timing of capital works, and grants for energy and technology programs;</w:t>
      </w:r>
    </w:p>
    <w:p w:rsidR="0070375D" w:rsidRDefault="0070375D" w:rsidP="00DE5E37">
      <w:pPr>
        <w:pStyle w:val="BulletText"/>
      </w:pPr>
      <w:r>
        <w:t xml:space="preserve">revised timing of expenditure associated with the preventive health program which has rephased the estimated expense over the budget and forward estimates relative to </w:t>
      </w:r>
      <w:r w:rsidRPr="007F5FC5">
        <w:rPr>
          <w:i/>
        </w:rPr>
        <w:t>2012</w:t>
      </w:r>
      <w:r w:rsidR="00276239">
        <w:rPr>
          <w:i/>
        </w:rPr>
        <w:noBreakHyphen/>
      </w:r>
      <w:r w:rsidRPr="007F5FC5">
        <w:rPr>
          <w:i/>
        </w:rPr>
        <w:t>13 Budget Update</w:t>
      </w:r>
      <w:r>
        <w:t xml:space="preserve"> forecasts; and</w:t>
      </w:r>
    </w:p>
    <w:p w:rsidR="0070375D" w:rsidRDefault="0070375D" w:rsidP="00DE5E37">
      <w:pPr>
        <w:pStyle w:val="BulletText"/>
      </w:pPr>
      <w:r>
        <w:t>revised timing of expenditure associated with the digital education revolution program on</w:t>
      </w:r>
      <w:r w:rsidR="00276239">
        <w:noBreakHyphen/>
      </w:r>
      <w:r>
        <w:t>costs which has resulted in rephased expenditure into 2012</w:t>
      </w:r>
      <w:r w:rsidR="00276239">
        <w:noBreakHyphen/>
      </w:r>
      <w:r>
        <w:t>13 and 2013</w:t>
      </w:r>
      <w:r w:rsidR="00276239">
        <w:noBreakHyphen/>
      </w:r>
      <w:r>
        <w:t>14.</w:t>
      </w:r>
    </w:p>
    <w:p w:rsidR="0070375D" w:rsidRDefault="0070375D" w:rsidP="00DE5E37">
      <w:r>
        <w:t>These increases are partly offset by:</w:t>
      </w:r>
    </w:p>
    <w:p w:rsidR="0070375D" w:rsidRDefault="0070375D" w:rsidP="00DE5E37">
      <w:pPr>
        <w:pStyle w:val="BulletText"/>
      </w:pPr>
      <w:r>
        <w:t>a reduction in non</w:t>
      </w:r>
      <w:r w:rsidR="00276239">
        <w:noBreakHyphen/>
      </w:r>
      <w:r>
        <w:t xml:space="preserve">cash depreciation expenses, largely resulting from a revaluation of Government assets in line with accounting standards; </w:t>
      </w:r>
    </w:p>
    <w:p w:rsidR="0070375D" w:rsidRDefault="0070375D" w:rsidP="00675E49">
      <w:pPr>
        <w:pStyle w:val="BulletText"/>
      </w:pPr>
      <w:r>
        <w:t xml:space="preserve">a reduction in forecast operating expenses associated with the Victorian </w:t>
      </w:r>
      <w:r w:rsidR="00F00A93">
        <w:t>de</w:t>
      </w:r>
      <w:r>
        <w:t>salination</w:t>
      </w:r>
      <w:r>
        <w:fldChar w:fldCharType="begin"/>
      </w:r>
      <w:r>
        <w:instrText xml:space="preserve"> XE "</w:instrText>
      </w:r>
      <w:r w:rsidRPr="00D3448B">
        <w:instrText>Victorian Desalination Plant</w:instrText>
      </w:r>
      <w:r>
        <w:instrText xml:space="preserve">" </w:instrText>
      </w:r>
      <w:r>
        <w:fldChar w:fldCharType="end"/>
      </w:r>
      <w:r>
        <w:t xml:space="preserve"> project; and</w:t>
      </w:r>
    </w:p>
    <w:p w:rsidR="0070375D" w:rsidRPr="00E23DD4" w:rsidRDefault="0070375D" w:rsidP="00BA0637">
      <w:pPr>
        <w:pStyle w:val="BulletText"/>
      </w:pPr>
      <w:r w:rsidRPr="00BA0637">
        <w:t>a revision to contingency provisions to better reflect likely growth in expenditure associated with the revi</w:t>
      </w:r>
      <w:r>
        <w:t>sed fiscal and economic outlook.</w:t>
      </w:r>
    </w:p>
    <w:p w:rsidR="0070375D" w:rsidRPr="003E66F6" w:rsidRDefault="0070375D" w:rsidP="00E23DD4">
      <w:pPr>
        <w:pStyle w:val="Heading2"/>
      </w:pPr>
      <w:r w:rsidRPr="003E66F6">
        <w:t>New output initiatives by department</w:t>
      </w:r>
    </w:p>
    <w:p w:rsidR="0070375D" w:rsidRPr="007939C4" w:rsidRDefault="0070375D" w:rsidP="00455BB7">
      <w:r>
        <w:rPr>
          <w:szCs w:val="22"/>
        </w:rPr>
        <w:t xml:space="preserve">The </w:t>
      </w:r>
      <w:r>
        <w:rPr>
          <w:i/>
          <w:iCs/>
          <w:szCs w:val="22"/>
        </w:rPr>
        <w:t>2013</w:t>
      </w:r>
      <w:r w:rsidR="00276239">
        <w:rPr>
          <w:i/>
          <w:iCs/>
          <w:szCs w:val="22"/>
        </w:rPr>
        <w:noBreakHyphen/>
      </w:r>
      <w:r>
        <w:rPr>
          <w:i/>
          <w:iCs/>
          <w:szCs w:val="22"/>
        </w:rPr>
        <w:t xml:space="preserve">14 Budget </w:t>
      </w:r>
      <w:r>
        <w:rPr>
          <w:szCs w:val="22"/>
        </w:rPr>
        <w:t>provides over $3.5 billion in new output initiatives over the four years to 2016</w:t>
      </w:r>
      <w:r w:rsidR="00276239">
        <w:rPr>
          <w:szCs w:val="22"/>
        </w:rPr>
        <w:noBreakHyphen/>
      </w:r>
      <w:r>
        <w:rPr>
          <w:szCs w:val="22"/>
        </w:rPr>
        <w:t xml:space="preserve">17. </w:t>
      </w:r>
      <w:r w:rsidRPr="007939C4">
        <w:t>The Government</w:t>
      </w:r>
      <w:r w:rsidR="00276239">
        <w:t>’</w:t>
      </w:r>
      <w:r w:rsidRPr="007939C4">
        <w:t>s</w:t>
      </w:r>
      <w:r>
        <w:t xml:space="preserve"> fiscal strategy has</w:t>
      </w:r>
      <w:r w:rsidRPr="007939C4">
        <w:t xml:space="preserve"> constrained expenditure through increased savings</w:t>
      </w:r>
      <w:r>
        <w:fldChar w:fldCharType="begin"/>
      </w:r>
      <w:r>
        <w:instrText xml:space="preserve"> XE "</w:instrText>
      </w:r>
      <w:r w:rsidRPr="00D3448B">
        <w:instrText>Savings</w:instrText>
      </w:r>
      <w:r>
        <w:instrText xml:space="preserve">" </w:instrText>
      </w:r>
      <w:r>
        <w:fldChar w:fldCharType="end"/>
      </w:r>
      <w:r w:rsidRPr="007939C4">
        <w:t xml:space="preserve"> and the better targeting of government services, </w:t>
      </w:r>
      <w:r w:rsidRPr="009F5559">
        <w:t>including $1</w:t>
      </w:r>
      <w:r>
        <w:t xml:space="preserve">.6 billion of savings and targeted revenue measures </w:t>
      </w:r>
      <w:r w:rsidRPr="007939C4">
        <w:t xml:space="preserve">as part of the </w:t>
      </w:r>
      <w:r>
        <w:rPr>
          <w:i/>
          <w:iCs/>
        </w:rPr>
        <w:t>2013</w:t>
      </w:r>
      <w:r w:rsidR="00276239">
        <w:rPr>
          <w:i/>
          <w:iCs/>
        </w:rPr>
        <w:noBreakHyphen/>
      </w:r>
      <w:r>
        <w:rPr>
          <w:i/>
          <w:iCs/>
        </w:rPr>
        <w:t>14 Budget</w:t>
      </w:r>
      <w:r w:rsidRPr="007939C4">
        <w:t>.</w:t>
      </w:r>
    </w:p>
    <w:p w:rsidR="0070375D" w:rsidRDefault="0070375D" w:rsidP="004B53CA">
      <w:r w:rsidRPr="007939C4">
        <w:t xml:space="preserve">These </w:t>
      </w:r>
      <w:r>
        <w:t>measures increase operating</w:t>
      </w:r>
      <w:r w:rsidRPr="007939C4">
        <w:t xml:space="preserve"> surpluses and provide funding to support key Government priorities. </w:t>
      </w:r>
      <w:r>
        <w:t>As well as boosting funding in health, disability services, education and transport, the Government is reforming service provision to drive more responsive and productive services.</w:t>
      </w:r>
      <w:r w:rsidRPr="007939C4">
        <w:t xml:space="preserve"> </w:t>
      </w:r>
    </w:p>
    <w:p w:rsidR="0070375D" w:rsidRDefault="0070375D" w:rsidP="00EC03CC">
      <w:r w:rsidRPr="00455BB7">
        <w:t xml:space="preserve">The </w:t>
      </w:r>
      <w:r w:rsidRPr="0007773F">
        <w:rPr>
          <w:i/>
        </w:rPr>
        <w:t>2013</w:t>
      </w:r>
      <w:r w:rsidR="00276239">
        <w:rPr>
          <w:i/>
        </w:rPr>
        <w:noBreakHyphen/>
      </w:r>
      <w:r w:rsidRPr="0007773F">
        <w:rPr>
          <w:i/>
        </w:rPr>
        <w:t>14 Budget</w:t>
      </w:r>
      <w:r w:rsidRPr="00455BB7">
        <w:t xml:space="preserve"> includes substantial and carefully targeted expenditure to continue the Government</w:t>
      </w:r>
      <w:r w:rsidR="00276239">
        <w:t>’</w:t>
      </w:r>
      <w:r w:rsidRPr="00455BB7">
        <w:t>s commitment to key services for Victorians across metropolitan and rural Victoria, including:</w:t>
      </w:r>
    </w:p>
    <w:p w:rsidR="0070375D" w:rsidRDefault="0070375D" w:rsidP="00455BB7">
      <w:pPr>
        <w:pStyle w:val="BulletText"/>
      </w:pPr>
      <w:r>
        <w:t xml:space="preserve">funding for hospitals and healthcare; </w:t>
      </w:r>
    </w:p>
    <w:p w:rsidR="0070375D" w:rsidRDefault="0070375D" w:rsidP="00455BB7">
      <w:pPr>
        <w:pStyle w:val="BulletText"/>
      </w:pPr>
      <w:r>
        <w:t xml:space="preserve">greater access to services and innovative and new service models for vulnerable children, families, and people with disabilities, including early childhood intervention services, and disability support services in government schools; </w:t>
      </w:r>
    </w:p>
    <w:p w:rsidR="0070375D" w:rsidRDefault="0070375D" w:rsidP="00455BB7">
      <w:pPr>
        <w:pStyle w:val="BulletText"/>
      </w:pPr>
      <w:r>
        <w:t>funding for TAFEs</w:t>
      </w:r>
      <w:r>
        <w:fldChar w:fldCharType="begin"/>
      </w:r>
      <w:r>
        <w:instrText xml:space="preserve"> XE "</w:instrText>
      </w:r>
      <w:r w:rsidRPr="00D3448B">
        <w:instrText>Technical and further education</w:instrText>
      </w:r>
      <w:r>
        <w:instrText xml:space="preserve">" </w:instrText>
      </w:r>
      <w:r>
        <w:fldChar w:fldCharType="end"/>
      </w:r>
      <w:r>
        <w:t xml:space="preserve"> to support innovation, better services and to build business models to ensure their financial sustainability; </w:t>
      </w:r>
    </w:p>
    <w:p w:rsidR="0070375D" w:rsidRDefault="0070375D" w:rsidP="00455BB7">
      <w:pPr>
        <w:pStyle w:val="BulletText"/>
      </w:pPr>
      <w:r>
        <w:t xml:space="preserve">improvements to public transport services; and </w:t>
      </w:r>
    </w:p>
    <w:p w:rsidR="0070375D" w:rsidRDefault="0070375D" w:rsidP="00455BB7">
      <w:pPr>
        <w:pStyle w:val="BulletText"/>
      </w:pPr>
      <w:r>
        <w:t>additional support for victims of crime.</w:t>
      </w:r>
    </w:p>
    <w:p w:rsidR="0070375D" w:rsidRDefault="0070375D" w:rsidP="00EC03CC">
      <w:r w:rsidRPr="007939C4">
        <w:t xml:space="preserve">The impact of new output measures in this budget are summarised by department in </w:t>
      </w:r>
      <w:r>
        <w:t>Table </w:t>
      </w:r>
      <w:r w:rsidRPr="007939C4">
        <w:t xml:space="preserve">4.4, with further detail in Budget Paper No. 3 </w:t>
      </w:r>
      <w:r w:rsidRPr="007939C4">
        <w:rPr>
          <w:i/>
          <w:iCs/>
        </w:rPr>
        <w:t>Service Delivery</w:t>
      </w:r>
      <w:r>
        <w:t>.</w:t>
      </w:r>
    </w:p>
    <w:p w:rsidR="0070375D" w:rsidRDefault="0070375D">
      <w:pPr>
        <w:spacing w:after="0"/>
        <w:rPr>
          <w:rFonts w:ascii="Calibri" w:hAnsi="Calibri"/>
          <w:b/>
        </w:rPr>
      </w:pPr>
      <w:r>
        <w:br w:type="page"/>
      </w:r>
    </w:p>
    <w:p w:rsidR="0070375D" w:rsidRPr="00E45E97" w:rsidRDefault="0070375D" w:rsidP="00583CAC">
      <w:pPr>
        <w:pStyle w:val="Tableheading"/>
        <w:rPr>
          <w:rFonts w:ascii="Garamond" w:hAnsi="Garamond"/>
        </w:rPr>
      </w:pPr>
      <w:r>
        <w:lastRenderedPageBreak/>
        <w:t>Table 4.4</w:t>
      </w:r>
      <w:r w:rsidRPr="00E45E97">
        <w:t>:</w:t>
      </w:r>
      <w:r w:rsidRPr="00E45E97">
        <w:tab/>
        <w:t xml:space="preserve">Net impact of </w:t>
      </w:r>
      <w:r w:rsidRPr="00E45E97">
        <w:rPr>
          <w:i/>
        </w:rPr>
        <w:t>2013</w:t>
      </w:r>
      <w:r w:rsidR="00276239">
        <w:rPr>
          <w:i/>
        </w:rPr>
        <w:noBreakHyphen/>
      </w:r>
      <w:r w:rsidRPr="00E45E97">
        <w:rPr>
          <w:i/>
        </w:rPr>
        <w:t>14 Budget</w:t>
      </w:r>
      <w:r w:rsidRPr="00E45E97">
        <w:t xml:space="preserve"> new output initiatives</w:t>
      </w:r>
      <w:r w:rsidRPr="0068186A">
        <w:rPr>
          <w:vertAlign w:val="superscript"/>
        </w:rPr>
        <w:t>(a)</w:t>
      </w:r>
    </w:p>
    <w:p w:rsidR="0070375D" w:rsidRPr="00BF624C" w:rsidRDefault="0070375D" w:rsidP="00BF624C">
      <w:pPr>
        <w:pStyle w:val="million"/>
      </w:pPr>
      <w:r w:rsidRPr="00E45E97">
        <w:t>($</w:t>
      </w: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974"/>
        <w:gridCol w:w="950"/>
        <w:gridCol w:w="951"/>
        <w:gridCol w:w="950"/>
        <w:gridCol w:w="951"/>
      </w:tblGrid>
      <w:tr w:rsidR="0070375D" w:rsidRPr="00BF624C" w:rsidTr="00BF624C">
        <w:tc>
          <w:tcPr>
            <w:tcW w:w="3974" w:type="dxa"/>
            <w:tcBorders>
              <w:top w:val="single" w:sz="4" w:space="0" w:color="auto"/>
              <w:left w:val="single" w:sz="4" w:space="0" w:color="auto"/>
              <w:bottom w:val="nil"/>
              <w:right w:val="nil"/>
            </w:tcBorders>
            <w:shd w:val="clear" w:color="auto" w:fill="000000"/>
          </w:tcPr>
          <w:p w:rsidR="0070375D" w:rsidRPr="00BF624C" w:rsidRDefault="0070375D" w:rsidP="00BF624C">
            <w:pPr>
              <w:pStyle w:val="Tabletext"/>
              <w:rPr>
                <w:rFonts w:eastAsiaTheme="minorEastAsia"/>
                <w:lang w:eastAsia="en-AU"/>
              </w:rPr>
            </w:pPr>
            <w:r w:rsidRPr="00BF624C">
              <w:rPr>
                <w:rFonts w:eastAsiaTheme="minorEastAsia"/>
                <w:lang w:eastAsia="en-AU"/>
              </w:rPr>
              <w:t xml:space="preserve"> </w:t>
            </w:r>
          </w:p>
        </w:tc>
        <w:tc>
          <w:tcPr>
            <w:tcW w:w="950" w:type="dxa"/>
            <w:tcBorders>
              <w:top w:val="single" w:sz="4" w:space="0" w:color="auto"/>
              <w:left w:val="nil"/>
              <w:bottom w:val="nil"/>
              <w:right w:val="nil"/>
            </w:tcBorders>
            <w:shd w:val="clear" w:color="auto" w:fill="000000"/>
          </w:tcPr>
          <w:p w:rsidR="0070375D" w:rsidRPr="00BF624C" w:rsidRDefault="0070375D" w:rsidP="00BF624C">
            <w:pPr>
              <w:pStyle w:val="Tabletextheading"/>
              <w:rPr>
                <w:rFonts w:eastAsiaTheme="minorEastAsia"/>
                <w:lang w:eastAsia="en-AU"/>
              </w:rPr>
            </w:pPr>
            <w:r w:rsidRPr="00BF624C">
              <w:rPr>
                <w:rFonts w:eastAsiaTheme="minorEastAsia"/>
                <w:lang w:eastAsia="en-AU"/>
              </w:rPr>
              <w:t>2013</w:t>
            </w:r>
            <w:r w:rsidR="00276239">
              <w:rPr>
                <w:rFonts w:eastAsiaTheme="minorEastAsia"/>
                <w:lang w:eastAsia="en-AU"/>
              </w:rPr>
              <w:noBreakHyphen/>
            </w:r>
            <w:r w:rsidRPr="00BF624C">
              <w:rPr>
                <w:rFonts w:eastAsiaTheme="minorEastAsia"/>
                <w:lang w:eastAsia="en-AU"/>
              </w:rPr>
              <w:t>14</w:t>
            </w:r>
          </w:p>
        </w:tc>
        <w:tc>
          <w:tcPr>
            <w:tcW w:w="951" w:type="dxa"/>
            <w:tcBorders>
              <w:top w:val="single" w:sz="4" w:space="0" w:color="auto"/>
              <w:left w:val="nil"/>
              <w:bottom w:val="nil"/>
              <w:right w:val="nil"/>
            </w:tcBorders>
            <w:shd w:val="clear" w:color="auto" w:fill="000000"/>
          </w:tcPr>
          <w:p w:rsidR="0070375D" w:rsidRPr="00BF624C" w:rsidRDefault="0070375D" w:rsidP="00BF624C">
            <w:pPr>
              <w:pStyle w:val="Tabletextheading"/>
              <w:rPr>
                <w:rFonts w:eastAsiaTheme="minorEastAsia"/>
                <w:lang w:eastAsia="en-AU"/>
              </w:rPr>
            </w:pPr>
            <w:r w:rsidRPr="00BF624C">
              <w:rPr>
                <w:rFonts w:eastAsiaTheme="minorEastAsia"/>
                <w:lang w:eastAsia="en-AU"/>
              </w:rPr>
              <w:t>2014</w:t>
            </w:r>
            <w:r w:rsidR="00276239">
              <w:rPr>
                <w:rFonts w:eastAsiaTheme="minorEastAsia"/>
                <w:lang w:eastAsia="en-AU"/>
              </w:rPr>
              <w:noBreakHyphen/>
            </w:r>
            <w:r w:rsidRPr="00BF624C">
              <w:rPr>
                <w:rFonts w:eastAsiaTheme="minorEastAsia"/>
                <w:lang w:eastAsia="en-AU"/>
              </w:rPr>
              <w:t>15</w:t>
            </w:r>
          </w:p>
        </w:tc>
        <w:tc>
          <w:tcPr>
            <w:tcW w:w="950" w:type="dxa"/>
            <w:tcBorders>
              <w:top w:val="single" w:sz="4" w:space="0" w:color="auto"/>
              <w:left w:val="nil"/>
              <w:bottom w:val="nil"/>
              <w:right w:val="nil"/>
            </w:tcBorders>
            <w:shd w:val="clear" w:color="auto" w:fill="000000"/>
          </w:tcPr>
          <w:p w:rsidR="0070375D" w:rsidRPr="00BF624C" w:rsidRDefault="0070375D" w:rsidP="00BF624C">
            <w:pPr>
              <w:pStyle w:val="Tabletextheading"/>
              <w:rPr>
                <w:rFonts w:eastAsiaTheme="minorEastAsia"/>
                <w:lang w:eastAsia="en-AU"/>
              </w:rPr>
            </w:pPr>
            <w:r w:rsidRPr="00BF624C">
              <w:rPr>
                <w:rFonts w:eastAsiaTheme="minorEastAsia"/>
                <w:lang w:eastAsia="en-AU"/>
              </w:rPr>
              <w:t>2015</w:t>
            </w:r>
            <w:r w:rsidR="00276239">
              <w:rPr>
                <w:rFonts w:eastAsiaTheme="minorEastAsia"/>
                <w:lang w:eastAsia="en-AU"/>
              </w:rPr>
              <w:noBreakHyphen/>
            </w:r>
            <w:r w:rsidRPr="00BF624C">
              <w:rPr>
                <w:rFonts w:eastAsiaTheme="minorEastAsia"/>
                <w:lang w:eastAsia="en-AU"/>
              </w:rPr>
              <w:t>16</w:t>
            </w:r>
          </w:p>
        </w:tc>
        <w:tc>
          <w:tcPr>
            <w:tcW w:w="951" w:type="dxa"/>
            <w:tcBorders>
              <w:top w:val="single" w:sz="4" w:space="0" w:color="auto"/>
              <w:left w:val="nil"/>
              <w:bottom w:val="nil"/>
              <w:right w:val="single" w:sz="4" w:space="0" w:color="auto"/>
            </w:tcBorders>
            <w:shd w:val="clear" w:color="auto" w:fill="000000"/>
          </w:tcPr>
          <w:p w:rsidR="0070375D" w:rsidRPr="00BF624C" w:rsidRDefault="0070375D" w:rsidP="00BF624C">
            <w:pPr>
              <w:pStyle w:val="Tabletextheading"/>
              <w:rPr>
                <w:rFonts w:eastAsiaTheme="minorEastAsia"/>
                <w:lang w:eastAsia="en-AU"/>
              </w:rPr>
            </w:pPr>
            <w:r w:rsidRPr="00BF624C">
              <w:rPr>
                <w:rFonts w:eastAsiaTheme="minorEastAsia"/>
                <w:lang w:eastAsia="en-AU"/>
              </w:rPr>
              <w:t>2016</w:t>
            </w:r>
            <w:r w:rsidR="00276239">
              <w:rPr>
                <w:rFonts w:eastAsiaTheme="minorEastAsia"/>
                <w:lang w:eastAsia="en-AU"/>
              </w:rPr>
              <w:noBreakHyphen/>
            </w:r>
            <w:r w:rsidRPr="00BF624C">
              <w:rPr>
                <w:rFonts w:eastAsiaTheme="minorEastAsia"/>
                <w:lang w:eastAsia="en-AU"/>
              </w:rPr>
              <w:t>17</w:t>
            </w:r>
          </w:p>
        </w:tc>
      </w:tr>
      <w:tr w:rsidR="0070375D" w:rsidRPr="00BF624C" w:rsidTr="00BF624C">
        <w:tc>
          <w:tcPr>
            <w:tcW w:w="3974" w:type="dxa"/>
            <w:tcBorders>
              <w:top w:val="nil"/>
              <w:left w:val="single" w:sz="4" w:space="0" w:color="auto"/>
              <w:bottom w:val="single" w:sz="4" w:space="0" w:color="auto"/>
              <w:right w:val="nil"/>
            </w:tcBorders>
            <w:shd w:val="clear" w:color="auto" w:fill="000000"/>
          </w:tcPr>
          <w:p w:rsidR="0070375D" w:rsidRPr="00BF624C" w:rsidRDefault="0070375D" w:rsidP="00BF624C">
            <w:pPr>
              <w:pStyle w:val="Tabletext"/>
              <w:rPr>
                <w:rFonts w:eastAsiaTheme="minorEastAsia"/>
                <w:lang w:eastAsia="en-AU"/>
              </w:rPr>
            </w:pPr>
            <w:r w:rsidRPr="00BF624C">
              <w:rPr>
                <w:rFonts w:eastAsiaTheme="minorEastAsia"/>
                <w:lang w:eastAsia="en-AU"/>
              </w:rPr>
              <w:t xml:space="preserve"> </w:t>
            </w:r>
          </w:p>
        </w:tc>
        <w:tc>
          <w:tcPr>
            <w:tcW w:w="950" w:type="dxa"/>
            <w:tcBorders>
              <w:top w:val="nil"/>
              <w:left w:val="nil"/>
              <w:bottom w:val="single" w:sz="4" w:space="0" w:color="auto"/>
              <w:right w:val="nil"/>
            </w:tcBorders>
            <w:shd w:val="clear" w:color="auto" w:fill="000000"/>
          </w:tcPr>
          <w:p w:rsidR="0070375D" w:rsidRPr="00BF624C" w:rsidRDefault="0070375D" w:rsidP="00BF624C">
            <w:pPr>
              <w:pStyle w:val="Tabletextheading"/>
              <w:rPr>
                <w:rFonts w:eastAsiaTheme="minorEastAsia"/>
                <w:lang w:eastAsia="en-AU"/>
              </w:rPr>
            </w:pPr>
            <w:r w:rsidRPr="00BF624C">
              <w:rPr>
                <w:rFonts w:eastAsiaTheme="minorEastAsia"/>
                <w:lang w:eastAsia="en-AU"/>
              </w:rPr>
              <w:t>Budget</w:t>
            </w:r>
          </w:p>
        </w:tc>
        <w:tc>
          <w:tcPr>
            <w:tcW w:w="951" w:type="dxa"/>
            <w:tcBorders>
              <w:top w:val="nil"/>
              <w:left w:val="nil"/>
              <w:bottom w:val="single" w:sz="4" w:space="0" w:color="auto"/>
              <w:right w:val="nil"/>
            </w:tcBorders>
            <w:shd w:val="clear" w:color="auto" w:fill="000000"/>
          </w:tcPr>
          <w:p w:rsidR="0070375D" w:rsidRPr="00BF624C" w:rsidRDefault="0070375D" w:rsidP="00BF624C">
            <w:pPr>
              <w:pStyle w:val="Tabletextheading"/>
              <w:rPr>
                <w:rFonts w:eastAsiaTheme="minorEastAsia"/>
                <w:lang w:eastAsia="en-AU"/>
              </w:rPr>
            </w:pPr>
            <w:r w:rsidRPr="00BF624C">
              <w:rPr>
                <w:rFonts w:eastAsiaTheme="minorEastAsia"/>
                <w:lang w:eastAsia="en-AU"/>
              </w:rPr>
              <w:t>Estimate</w:t>
            </w:r>
          </w:p>
        </w:tc>
        <w:tc>
          <w:tcPr>
            <w:tcW w:w="950" w:type="dxa"/>
            <w:tcBorders>
              <w:top w:val="nil"/>
              <w:left w:val="nil"/>
              <w:bottom w:val="single" w:sz="4" w:space="0" w:color="auto"/>
              <w:right w:val="nil"/>
            </w:tcBorders>
            <w:shd w:val="clear" w:color="auto" w:fill="000000"/>
          </w:tcPr>
          <w:p w:rsidR="0070375D" w:rsidRPr="00BF624C" w:rsidRDefault="0070375D" w:rsidP="00BF624C">
            <w:pPr>
              <w:pStyle w:val="Tabletextheading"/>
              <w:rPr>
                <w:rFonts w:eastAsiaTheme="minorEastAsia"/>
                <w:lang w:eastAsia="en-AU"/>
              </w:rPr>
            </w:pPr>
            <w:r w:rsidRPr="00BF624C">
              <w:rPr>
                <w:rFonts w:eastAsiaTheme="minorEastAsia"/>
                <w:lang w:eastAsia="en-AU"/>
              </w:rPr>
              <w:t>Estimate</w:t>
            </w:r>
          </w:p>
        </w:tc>
        <w:tc>
          <w:tcPr>
            <w:tcW w:w="951" w:type="dxa"/>
            <w:tcBorders>
              <w:top w:val="nil"/>
              <w:left w:val="nil"/>
              <w:bottom w:val="single" w:sz="4" w:space="0" w:color="auto"/>
              <w:right w:val="single" w:sz="4" w:space="0" w:color="auto"/>
            </w:tcBorders>
            <w:shd w:val="clear" w:color="auto" w:fill="000000"/>
          </w:tcPr>
          <w:p w:rsidR="0070375D" w:rsidRPr="00BF624C" w:rsidRDefault="0070375D" w:rsidP="00BF624C">
            <w:pPr>
              <w:pStyle w:val="Tabletextheading"/>
              <w:rPr>
                <w:rFonts w:eastAsiaTheme="minorEastAsia"/>
                <w:lang w:eastAsia="en-AU"/>
              </w:rPr>
            </w:pPr>
            <w:r w:rsidRPr="00BF624C">
              <w:rPr>
                <w:rFonts w:eastAsiaTheme="minorEastAsia"/>
                <w:lang w:eastAsia="en-AU"/>
              </w:rPr>
              <w:t>Estimate</w:t>
            </w:r>
          </w:p>
        </w:tc>
      </w:tr>
      <w:tr w:rsidR="0070375D" w:rsidRPr="00BF624C" w:rsidTr="00BF624C">
        <w:tc>
          <w:tcPr>
            <w:tcW w:w="3974" w:type="dxa"/>
            <w:tcBorders>
              <w:top w:val="single" w:sz="4" w:space="0" w:color="auto"/>
              <w:left w:val="nil"/>
              <w:bottom w:val="nil"/>
              <w:right w:val="nil"/>
            </w:tcBorders>
          </w:tcPr>
          <w:p w:rsidR="0070375D" w:rsidRPr="00BF624C" w:rsidRDefault="0070375D" w:rsidP="00BF624C">
            <w:pPr>
              <w:pStyle w:val="Tabletext"/>
              <w:rPr>
                <w:rFonts w:eastAsiaTheme="minorEastAsia"/>
                <w:color w:val="000000"/>
                <w:lang w:eastAsia="en-AU"/>
              </w:rPr>
            </w:pPr>
            <w:r w:rsidRPr="00BF624C">
              <w:rPr>
                <w:rFonts w:eastAsiaTheme="minorEastAsia"/>
                <w:color w:val="000000"/>
                <w:lang w:eastAsia="en-AU"/>
              </w:rPr>
              <w:t>Education and Early Childhood Development</w:t>
            </w:r>
          </w:p>
        </w:tc>
        <w:tc>
          <w:tcPr>
            <w:tcW w:w="950" w:type="dxa"/>
            <w:tcBorders>
              <w:top w:val="single" w:sz="4" w:space="0" w:color="auto"/>
              <w:left w:val="nil"/>
              <w:bottom w:val="nil"/>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78.6</w:t>
            </w:r>
          </w:p>
        </w:tc>
        <w:tc>
          <w:tcPr>
            <w:tcW w:w="951" w:type="dxa"/>
            <w:tcBorders>
              <w:top w:val="single" w:sz="4" w:space="0" w:color="auto"/>
              <w:left w:val="nil"/>
              <w:bottom w:val="nil"/>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75.8</w:t>
            </w:r>
          </w:p>
        </w:tc>
        <w:tc>
          <w:tcPr>
            <w:tcW w:w="950" w:type="dxa"/>
            <w:tcBorders>
              <w:top w:val="single" w:sz="4" w:space="0" w:color="auto"/>
              <w:left w:val="nil"/>
              <w:bottom w:val="nil"/>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27.1</w:t>
            </w:r>
          </w:p>
        </w:tc>
        <w:tc>
          <w:tcPr>
            <w:tcW w:w="951" w:type="dxa"/>
            <w:tcBorders>
              <w:top w:val="single" w:sz="4" w:space="0" w:color="auto"/>
              <w:left w:val="nil"/>
              <w:bottom w:val="nil"/>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19.9</w:t>
            </w:r>
          </w:p>
        </w:tc>
      </w:tr>
      <w:tr w:rsidR="0070375D" w:rsidRPr="00BF624C" w:rsidTr="00BF624C">
        <w:tc>
          <w:tcPr>
            <w:tcW w:w="3974" w:type="dxa"/>
            <w:tcBorders>
              <w:top w:val="nil"/>
              <w:left w:val="nil"/>
              <w:bottom w:val="nil"/>
              <w:right w:val="nil"/>
            </w:tcBorders>
          </w:tcPr>
          <w:p w:rsidR="0070375D" w:rsidRPr="00BF624C" w:rsidRDefault="0070375D" w:rsidP="00BF624C">
            <w:pPr>
              <w:pStyle w:val="Tabletext"/>
              <w:rPr>
                <w:rFonts w:eastAsiaTheme="minorEastAsia"/>
                <w:color w:val="000000"/>
                <w:lang w:eastAsia="en-AU"/>
              </w:rPr>
            </w:pPr>
            <w:r w:rsidRPr="00BF624C">
              <w:rPr>
                <w:rFonts w:eastAsiaTheme="minorEastAsia"/>
                <w:color w:val="000000"/>
                <w:lang w:eastAsia="en-AU"/>
              </w:rPr>
              <w:t>Environment and Primary Industries</w:t>
            </w:r>
          </w:p>
        </w:tc>
        <w:tc>
          <w:tcPr>
            <w:tcW w:w="950" w:type="dxa"/>
            <w:tcBorders>
              <w:top w:val="nil"/>
              <w:left w:val="nil"/>
              <w:bottom w:val="nil"/>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55.0</w:t>
            </w:r>
          </w:p>
        </w:tc>
        <w:tc>
          <w:tcPr>
            <w:tcW w:w="951" w:type="dxa"/>
            <w:tcBorders>
              <w:top w:val="nil"/>
              <w:left w:val="nil"/>
              <w:bottom w:val="nil"/>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52.2</w:t>
            </w:r>
          </w:p>
        </w:tc>
        <w:tc>
          <w:tcPr>
            <w:tcW w:w="950" w:type="dxa"/>
            <w:tcBorders>
              <w:top w:val="nil"/>
              <w:left w:val="nil"/>
              <w:bottom w:val="nil"/>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22.2</w:t>
            </w:r>
          </w:p>
        </w:tc>
        <w:tc>
          <w:tcPr>
            <w:tcW w:w="951" w:type="dxa"/>
            <w:tcBorders>
              <w:top w:val="nil"/>
              <w:left w:val="nil"/>
              <w:bottom w:val="nil"/>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10.3</w:t>
            </w:r>
          </w:p>
        </w:tc>
      </w:tr>
      <w:tr w:rsidR="0070375D" w:rsidRPr="00BF624C" w:rsidTr="00BF624C">
        <w:tc>
          <w:tcPr>
            <w:tcW w:w="3974" w:type="dxa"/>
            <w:tcBorders>
              <w:top w:val="nil"/>
              <w:left w:val="nil"/>
              <w:bottom w:val="nil"/>
              <w:right w:val="nil"/>
            </w:tcBorders>
          </w:tcPr>
          <w:p w:rsidR="0070375D" w:rsidRPr="00BF624C" w:rsidRDefault="0070375D" w:rsidP="00BF624C">
            <w:pPr>
              <w:pStyle w:val="Tabletext"/>
              <w:rPr>
                <w:rFonts w:eastAsiaTheme="minorEastAsia"/>
                <w:color w:val="000000"/>
                <w:lang w:eastAsia="en-AU"/>
              </w:rPr>
            </w:pPr>
            <w:r w:rsidRPr="00BF624C">
              <w:rPr>
                <w:rFonts w:eastAsiaTheme="minorEastAsia"/>
                <w:color w:val="000000"/>
                <w:lang w:eastAsia="en-AU"/>
              </w:rPr>
              <w:t>Health</w:t>
            </w:r>
          </w:p>
        </w:tc>
        <w:tc>
          <w:tcPr>
            <w:tcW w:w="950" w:type="dxa"/>
            <w:tcBorders>
              <w:top w:val="nil"/>
              <w:left w:val="nil"/>
              <w:bottom w:val="nil"/>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426.3</w:t>
            </w:r>
          </w:p>
        </w:tc>
        <w:tc>
          <w:tcPr>
            <w:tcW w:w="951" w:type="dxa"/>
            <w:tcBorders>
              <w:top w:val="nil"/>
              <w:left w:val="nil"/>
              <w:bottom w:val="nil"/>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444.7</w:t>
            </w:r>
          </w:p>
        </w:tc>
        <w:tc>
          <w:tcPr>
            <w:tcW w:w="950" w:type="dxa"/>
            <w:tcBorders>
              <w:top w:val="nil"/>
              <w:left w:val="nil"/>
              <w:bottom w:val="nil"/>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453.3</w:t>
            </w:r>
          </w:p>
        </w:tc>
        <w:tc>
          <w:tcPr>
            <w:tcW w:w="951" w:type="dxa"/>
            <w:tcBorders>
              <w:top w:val="nil"/>
              <w:left w:val="nil"/>
              <w:bottom w:val="nil"/>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467.1</w:t>
            </w:r>
          </w:p>
        </w:tc>
      </w:tr>
      <w:tr w:rsidR="0070375D" w:rsidRPr="00BF624C" w:rsidTr="00BF624C">
        <w:tc>
          <w:tcPr>
            <w:tcW w:w="3974" w:type="dxa"/>
            <w:tcBorders>
              <w:top w:val="nil"/>
              <w:left w:val="nil"/>
              <w:bottom w:val="nil"/>
              <w:right w:val="nil"/>
            </w:tcBorders>
          </w:tcPr>
          <w:p w:rsidR="0070375D" w:rsidRPr="00BF624C" w:rsidRDefault="0070375D" w:rsidP="00BF624C">
            <w:pPr>
              <w:pStyle w:val="Tabletext"/>
              <w:rPr>
                <w:rFonts w:eastAsiaTheme="minorEastAsia"/>
                <w:color w:val="000000"/>
                <w:lang w:eastAsia="en-AU"/>
              </w:rPr>
            </w:pPr>
            <w:r w:rsidRPr="00BF624C">
              <w:rPr>
                <w:rFonts w:eastAsiaTheme="minorEastAsia"/>
                <w:color w:val="000000"/>
                <w:lang w:eastAsia="en-AU"/>
              </w:rPr>
              <w:t>Human Services</w:t>
            </w:r>
          </w:p>
        </w:tc>
        <w:tc>
          <w:tcPr>
            <w:tcW w:w="950" w:type="dxa"/>
            <w:tcBorders>
              <w:top w:val="nil"/>
              <w:left w:val="nil"/>
              <w:bottom w:val="nil"/>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117.5</w:t>
            </w:r>
          </w:p>
        </w:tc>
        <w:tc>
          <w:tcPr>
            <w:tcW w:w="951" w:type="dxa"/>
            <w:tcBorders>
              <w:top w:val="nil"/>
              <w:left w:val="nil"/>
              <w:bottom w:val="nil"/>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98.5</w:t>
            </w:r>
          </w:p>
        </w:tc>
        <w:tc>
          <w:tcPr>
            <w:tcW w:w="950" w:type="dxa"/>
            <w:tcBorders>
              <w:top w:val="nil"/>
              <w:left w:val="nil"/>
              <w:bottom w:val="nil"/>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110.7</w:t>
            </w:r>
          </w:p>
        </w:tc>
        <w:tc>
          <w:tcPr>
            <w:tcW w:w="951" w:type="dxa"/>
            <w:tcBorders>
              <w:top w:val="nil"/>
              <w:left w:val="nil"/>
              <w:bottom w:val="nil"/>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99.3</w:t>
            </w:r>
          </w:p>
        </w:tc>
      </w:tr>
      <w:tr w:rsidR="0070375D" w:rsidRPr="00BF624C" w:rsidTr="00BF624C">
        <w:tc>
          <w:tcPr>
            <w:tcW w:w="3974" w:type="dxa"/>
            <w:tcBorders>
              <w:top w:val="nil"/>
              <w:left w:val="nil"/>
              <w:bottom w:val="nil"/>
              <w:right w:val="nil"/>
            </w:tcBorders>
          </w:tcPr>
          <w:p w:rsidR="0070375D" w:rsidRPr="00BF624C" w:rsidRDefault="0070375D" w:rsidP="00BF624C">
            <w:pPr>
              <w:pStyle w:val="Tabletext"/>
              <w:rPr>
                <w:rFonts w:eastAsiaTheme="minorEastAsia"/>
                <w:color w:val="000000"/>
                <w:lang w:eastAsia="en-AU"/>
              </w:rPr>
            </w:pPr>
            <w:r w:rsidRPr="00BF624C">
              <w:rPr>
                <w:rFonts w:eastAsiaTheme="minorEastAsia"/>
                <w:color w:val="000000"/>
                <w:lang w:eastAsia="en-AU"/>
              </w:rPr>
              <w:t>Justice</w:t>
            </w:r>
          </w:p>
        </w:tc>
        <w:tc>
          <w:tcPr>
            <w:tcW w:w="950" w:type="dxa"/>
            <w:tcBorders>
              <w:top w:val="nil"/>
              <w:left w:val="nil"/>
              <w:bottom w:val="nil"/>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74.7</w:t>
            </w:r>
          </w:p>
        </w:tc>
        <w:tc>
          <w:tcPr>
            <w:tcW w:w="951" w:type="dxa"/>
            <w:tcBorders>
              <w:top w:val="nil"/>
              <w:left w:val="nil"/>
              <w:bottom w:val="nil"/>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99.0</w:t>
            </w:r>
          </w:p>
        </w:tc>
        <w:tc>
          <w:tcPr>
            <w:tcW w:w="950" w:type="dxa"/>
            <w:tcBorders>
              <w:top w:val="nil"/>
              <w:left w:val="nil"/>
              <w:bottom w:val="nil"/>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54.3</w:t>
            </w:r>
          </w:p>
        </w:tc>
        <w:tc>
          <w:tcPr>
            <w:tcW w:w="951" w:type="dxa"/>
            <w:tcBorders>
              <w:top w:val="nil"/>
              <w:left w:val="nil"/>
              <w:bottom w:val="nil"/>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61.7</w:t>
            </w:r>
          </w:p>
        </w:tc>
      </w:tr>
      <w:tr w:rsidR="0070375D" w:rsidRPr="00BF624C" w:rsidTr="00BF624C">
        <w:tc>
          <w:tcPr>
            <w:tcW w:w="3974" w:type="dxa"/>
            <w:tcBorders>
              <w:top w:val="nil"/>
              <w:left w:val="nil"/>
              <w:bottom w:val="nil"/>
              <w:right w:val="nil"/>
            </w:tcBorders>
          </w:tcPr>
          <w:p w:rsidR="0070375D" w:rsidRPr="00BF624C" w:rsidRDefault="0070375D" w:rsidP="00BF624C">
            <w:pPr>
              <w:pStyle w:val="Tabletext"/>
              <w:rPr>
                <w:rFonts w:eastAsiaTheme="minorEastAsia"/>
                <w:color w:val="000000"/>
                <w:lang w:eastAsia="en-AU"/>
              </w:rPr>
            </w:pPr>
            <w:r w:rsidRPr="00BF624C">
              <w:rPr>
                <w:rFonts w:eastAsiaTheme="minorEastAsia"/>
                <w:color w:val="000000"/>
                <w:lang w:eastAsia="en-AU"/>
              </w:rPr>
              <w:t>Premier and Cabinet</w:t>
            </w:r>
          </w:p>
        </w:tc>
        <w:tc>
          <w:tcPr>
            <w:tcW w:w="950" w:type="dxa"/>
            <w:tcBorders>
              <w:top w:val="nil"/>
              <w:left w:val="nil"/>
              <w:bottom w:val="nil"/>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13.4</w:t>
            </w:r>
          </w:p>
        </w:tc>
        <w:tc>
          <w:tcPr>
            <w:tcW w:w="951" w:type="dxa"/>
            <w:tcBorders>
              <w:top w:val="nil"/>
              <w:left w:val="nil"/>
              <w:bottom w:val="nil"/>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10.7</w:t>
            </w:r>
          </w:p>
        </w:tc>
        <w:tc>
          <w:tcPr>
            <w:tcW w:w="950" w:type="dxa"/>
            <w:tcBorders>
              <w:top w:val="nil"/>
              <w:left w:val="nil"/>
              <w:bottom w:val="nil"/>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1.3</w:t>
            </w:r>
          </w:p>
        </w:tc>
        <w:tc>
          <w:tcPr>
            <w:tcW w:w="951" w:type="dxa"/>
            <w:tcBorders>
              <w:top w:val="nil"/>
              <w:left w:val="nil"/>
              <w:bottom w:val="nil"/>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1.3</w:t>
            </w:r>
          </w:p>
        </w:tc>
      </w:tr>
      <w:tr w:rsidR="0070375D" w:rsidRPr="00BF624C" w:rsidTr="00BF624C">
        <w:tc>
          <w:tcPr>
            <w:tcW w:w="3974" w:type="dxa"/>
            <w:tcBorders>
              <w:top w:val="nil"/>
              <w:left w:val="nil"/>
              <w:bottom w:val="nil"/>
              <w:right w:val="nil"/>
            </w:tcBorders>
          </w:tcPr>
          <w:p w:rsidR="0070375D" w:rsidRPr="00BF624C" w:rsidRDefault="0070375D" w:rsidP="00BF624C">
            <w:pPr>
              <w:pStyle w:val="Tabletext"/>
              <w:rPr>
                <w:rFonts w:eastAsiaTheme="minorEastAsia" w:cs="Calibri"/>
                <w:color w:val="000000"/>
                <w:lang w:eastAsia="en-AU"/>
              </w:rPr>
            </w:pPr>
            <w:r w:rsidRPr="00BF624C">
              <w:rPr>
                <w:rFonts w:eastAsiaTheme="minorEastAsia"/>
                <w:color w:val="000000"/>
                <w:lang w:eastAsia="en-AU"/>
              </w:rPr>
              <w:t>State Development, Business and Innovation</w:t>
            </w:r>
          </w:p>
        </w:tc>
        <w:tc>
          <w:tcPr>
            <w:tcW w:w="950" w:type="dxa"/>
            <w:tcBorders>
              <w:top w:val="nil"/>
              <w:left w:val="nil"/>
              <w:bottom w:val="nil"/>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51.7</w:t>
            </w:r>
          </w:p>
        </w:tc>
        <w:tc>
          <w:tcPr>
            <w:tcW w:w="951" w:type="dxa"/>
            <w:tcBorders>
              <w:top w:val="nil"/>
              <w:left w:val="nil"/>
              <w:bottom w:val="nil"/>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53.1</w:t>
            </w:r>
          </w:p>
        </w:tc>
        <w:tc>
          <w:tcPr>
            <w:tcW w:w="950" w:type="dxa"/>
            <w:tcBorders>
              <w:top w:val="nil"/>
              <w:left w:val="nil"/>
              <w:bottom w:val="nil"/>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36.4</w:t>
            </w:r>
          </w:p>
        </w:tc>
        <w:tc>
          <w:tcPr>
            <w:tcW w:w="951" w:type="dxa"/>
            <w:tcBorders>
              <w:top w:val="nil"/>
              <w:left w:val="nil"/>
              <w:bottom w:val="nil"/>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35.7</w:t>
            </w:r>
          </w:p>
        </w:tc>
      </w:tr>
      <w:tr w:rsidR="0070375D" w:rsidRPr="00BF624C" w:rsidTr="00BF624C">
        <w:tc>
          <w:tcPr>
            <w:tcW w:w="3974" w:type="dxa"/>
            <w:tcBorders>
              <w:top w:val="nil"/>
              <w:left w:val="nil"/>
              <w:bottom w:val="nil"/>
              <w:right w:val="nil"/>
            </w:tcBorders>
          </w:tcPr>
          <w:p w:rsidR="0070375D" w:rsidRPr="00BF624C" w:rsidRDefault="0070375D" w:rsidP="00BF624C">
            <w:pPr>
              <w:pStyle w:val="Tabletext"/>
              <w:rPr>
                <w:rFonts w:eastAsiaTheme="minorEastAsia"/>
                <w:color w:val="000000"/>
                <w:lang w:eastAsia="en-AU"/>
              </w:rPr>
            </w:pPr>
            <w:r w:rsidRPr="00BF624C">
              <w:rPr>
                <w:rFonts w:eastAsiaTheme="minorEastAsia"/>
                <w:color w:val="000000"/>
                <w:lang w:eastAsia="en-AU"/>
              </w:rPr>
              <w:t>Transport, Planning and Local Infrastructure</w:t>
            </w:r>
          </w:p>
        </w:tc>
        <w:tc>
          <w:tcPr>
            <w:tcW w:w="950" w:type="dxa"/>
            <w:tcBorders>
              <w:top w:val="nil"/>
              <w:left w:val="nil"/>
              <w:bottom w:val="nil"/>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126.4</w:t>
            </w:r>
          </w:p>
        </w:tc>
        <w:tc>
          <w:tcPr>
            <w:tcW w:w="951" w:type="dxa"/>
            <w:tcBorders>
              <w:top w:val="nil"/>
              <w:left w:val="nil"/>
              <w:bottom w:val="nil"/>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123.5</w:t>
            </w:r>
          </w:p>
        </w:tc>
        <w:tc>
          <w:tcPr>
            <w:tcW w:w="950" w:type="dxa"/>
            <w:tcBorders>
              <w:top w:val="nil"/>
              <w:left w:val="nil"/>
              <w:bottom w:val="nil"/>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103.0</w:t>
            </w:r>
          </w:p>
        </w:tc>
        <w:tc>
          <w:tcPr>
            <w:tcW w:w="951" w:type="dxa"/>
            <w:tcBorders>
              <w:top w:val="nil"/>
              <w:left w:val="nil"/>
              <w:bottom w:val="nil"/>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99.9</w:t>
            </w:r>
          </w:p>
        </w:tc>
      </w:tr>
      <w:tr w:rsidR="0070375D" w:rsidRPr="00BF624C" w:rsidTr="00BF624C">
        <w:tc>
          <w:tcPr>
            <w:tcW w:w="3974" w:type="dxa"/>
            <w:tcBorders>
              <w:top w:val="nil"/>
              <w:left w:val="nil"/>
              <w:bottom w:val="nil"/>
              <w:right w:val="nil"/>
            </w:tcBorders>
          </w:tcPr>
          <w:p w:rsidR="0070375D" w:rsidRPr="00BF624C" w:rsidRDefault="0070375D" w:rsidP="00BF624C">
            <w:pPr>
              <w:pStyle w:val="Tabletext"/>
              <w:rPr>
                <w:rFonts w:eastAsiaTheme="minorEastAsia"/>
                <w:color w:val="000000"/>
                <w:lang w:eastAsia="en-AU"/>
              </w:rPr>
            </w:pPr>
            <w:r w:rsidRPr="00BF624C">
              <w:rPr>
                <w:rFonts w:eastAsiaTheme="minorEastAsia"/>
                <w:color w:val="000000"/>
                <w:lang w:eastAsia="en-AU"/>
              </w:rPr>
              <w:t>Treasury and Finance</w:t>
            </w:r>
          </w:p>
        </w:tc>
        <w:tc>
          <w:tcPr>
            <w:tcW w:w="950" w:type="dxa"/>
            <w:tcBorders>
              <w:top w:val="nil"/>
              <w:left w:val="nil"/>
              <w:bottom w:val="nil"/>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6.5</w:t>
            </w:r>
          </w:p>
        </w:tc>
        <w:tc>
          <w:tcPr>
            <w:tcW w:w="951" w:type="dxa"/>
            <w:tcBorders>
              <w:top w:val="nil"/>
              <w:left w:val="nil"/>
              <w:bottom w:val="nil"/>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2.8</w:t>
            </w:r>
          </w:p>
        </w:tc>
        <w:tc>
          <w:tcPr>
            <w:tcW w:w="950" w:type="dxa"/>
            <w:tcBorders>
              <w:top w:val="nil"/>
              <w:left w:val="nil"/>
              <w:bottom w:val="nil"/>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2.9</w:t>
            </w:r>
          </w:p>
        </w:tc>
        <w:tc>
          <w:tcPr>
            <w:tcW w:w="951" w:type="dxa"/>
            <w:tcBorders>
              <w:top w:val="nil"/>
              <w:left w:val="nil"/>
              <w:bottom w:val="nil"/>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w:t>
            </w:r>
          </w:p>
        </w:tc>
      </w:tr>
      <w:tr w:rsidR="0070375D" w:rsidRPr="00BF624C" w:rsidTr="00BF624C">
        <w:tc>
          <w:tcPr>
            <w:tcW w:w="3974" w:type="dxa"/>
            <w:tcBorders>
              <w:top w:val="nil"/>
              <w:left w:val="nil"/>
              <w:bottom w:val="nil"/>
              <w:right w:val="nil"/>
            </w:tcBorders>
          </w:tcPr>
          <w:p w:rsidR="0070375D" w:rsidRPr="00BF624C" w:rsidRDefault="0070375D" w:rsidP="00BF624C">
            <w:pPr>
              <w:pStyle w:val="Tabletext"/>
              <w:rPr>
                <w:rFonts w:eastAsiaTheme="minorEastAsia"/>
                <w:color w:val="000000"/>
                <w:lang w:eastAsia="en-AU"/>
              </w:rPr>
            </w:pPr>
            <w:r w:rsidRPr="00BF624C">
              <w:rPr>
                <w:rFonts w:eastAsiaTheme="minorEastAsia"/>
                <w:color w:val="000000"/>
                <w:lang w:eastAsia="en-AU"/>
              </w:rPr>
              <w:t>Parliament</w:t>
            </w:r>
          </w:p>
        </w:tc>
        <w:tc>
          <w:tcPr>
            <w:tcW w:w="950" w:type="dxa"/>
            <w:tcBorders>
              <w:top w:val="nil"/>
              <w:left w:val="nil"/>
              <w:bottom w:val="nil"/>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0.5</w:t>
            </w:r>
          </w:p>
        </w:tc>
        <w:tc>
          <w:tcPr>
            <w:tcW w:w="951" w:type="dxa"/>
            <w:tcBorders>
              <w:top w:val="nil"/>
              <w:left w:val="nil"/>
              <w:bottom w:val="nil"/>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0.5</w:t>
            </w:r>
          </w:p>
        </w:tc>
        <w:tc>
          <w:tcPr>
            <w:tcW w:w="950" w:type="dxa"/>
            <w:tcBorders>
              <w:top w:val="nil"/>
              <w:left w:val="nil"/>
              <w:bottom w:val="nil"/>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w:t>
            </w:r>
          </w:p>
        </w:tc>
        <w:tc>
          <w:tcPr>
            <w:tcW w:w="951" w:type="dxa"/>
            <w:tcBorders>
              <w:top w:val="nil"/>
              <w:left w:val="nil"/>
              <w:bottom w:val="nil"/>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w:t>
            </w:r>
          </w:p>
        </w:tc>
      </w:tr>
      <w:tr w:rsidR="0070375D" w:rsidRPr="00BF624C" w:rsidTr="00BF624C">
        <w:tc>
          <w:tcPr>
            <w:tcW w:w="3974" w:type="dxa"/>
            <w:tcBorders>
              <w:top w:val="single" w:sz="6" w:space="0" w:color="auto"/>
              <w:left w:val="nil"/>
              <w:bottom w:val="single" w:sz="6" w:space="0" w:color="auto"/>
              <w:right w:val="nil"/>
            </w:tcBorders>
          </w:tcPr>
          <w:p w:rsidR="0070375D" w:rsidRPr="00BF624C" w:rsidRDefault="0070375D" w:rsidP="00BF624C">
            <w:pPr>
              <w:pStyle w:val="Tabletext"/>
              <w:rPr>
                <w:rFonts w:eastAsiaTheme="minorEastAsia"/>
                <w:b/>
                <w:bCs/>
                <w:color w:val="000000"/>
                <w:lang w:eastAsia="en-AU"/>
              </w:rPr>
            </w:pPr>
            <w:r w:rsidRPr="00BF624C">
              <w:rPr>
                <w:rFonts w:eastAsiaTheme="minorEastAsia"/>
                <w:b/>
                <w:bCs/>
                <w:color w:val="000000"/>
                <w:lang w:eastAsia="en-AU"/>
              </w:rPr>
              <w:t>Subtotal</w:t>
            </w:r>
          </w:p>
        </w:tc>
        <w:tc>
          <w:tcPr>
            <w:tcW w:w="950" w:type="dxa"/>
            <w:tcBorders>
              <w:top w:val="single" w:sz="6" w:space="0" w:color="auto"/>
              <w:left w:val="nil"/>
              <w:bottom w:val="single" w:sz="6" w:space="0" w:color="auto"/>
              <w:right w:val="nil"/>
            </w:tcBorders>
            <w:shd w:val="solid" w:color="FFFFFF" w:fill="auto"/>
          </w:tcPr>
          <w:p w:rsidR="0070375D" w:rsidRPr="00BF624C" w:rsidRDefault="0070375D" w:rsidP="00BF624C">
            <w:pPr>
              <w:pStyle w:val="TableofFigures"/>
              <w:rPr>
                <w:rFonts w:eastAsiaTheme="minorEastAsia"/>
                <w:b/>
                <w:bCs/>
                <w:color w:val="000000"/>
                <w:lang w:eastAsia="en-AU"/>
              </w:rPr>
            </w:pPr>
            <w:r w:rsidRPr="00BF624C">
              <w:rPr>
                <w:rFonts w:eastAsiaTheme="minorEastAsia"/>
                <w:b/>
                <w:bCs/>
                <w:color w:val="000000"/>
                <w:lang w:eastAsia="en-AU"/>
              </w:rPr>
              <w:t xml:space="preserve"> 950.6</w:t>
            </w:r>
          </w:p>
        </w:tc>
        <w:tc>
          <w:tcPr>
            <w:tcW w:w="951" w:type="dxa"/>
            <w:tcBorders>
              <w:top w:val="single" w:sz="6" w:space="0" w:color="auto"/>
              <w:left w:val="nil"/>
              <w:bottom w:val="single" w:sz="6" w:space="0" w:color="auto"/>
              <w:right w:val="nil"/>
            </w:tcBorders>
            <w:shd w:val="solid" w:color="FFFFFF" w:fill="auto"/>
          </w:tcPr>
          <w:p w:rsidR="0070375D" w:rsidRPr="00BF624C" w:rsidRDefault="0070375D" w:rsidP="00BF624C">
            <w:pPr>
              <w:pStyle w:val="TableofFigures"/>
              <w:rPr>
                <w:rFonts w:eastAsiaTheme="minorEastAsia"/>
                <w:b/>
                <w:bCs/>
                <w:color w:val="000000"/>
                <w:lang w:eastAsia="en-AU"/>
              </w:rPr>
            </w:pPr>
            <w:r w:rsidRPr="00BF624C">
              <w:rPr>
                <w:rFonts w:eastAsiaTheme="minorEastAsia"/>
                <w:b/>
                <w:bCs/>
                <w:color w:val="000000"/>
                <w:lang w:eastAsia="en-AU"/>
              </w:rPr>
              <w:t xml:space="preserve"> 960.7</w:t>
            </w:r>
          </w:p>
        </w:tc>
        <w:tc>
          <w:tcPr>
            <w:tcW w:w="950" w:type="dxa"/>
            <w:tcBorders>
              <w:top w:val="single" w:sz="6" w:space="0" w:color="auto"/>
              <w:left w:val="nil"/>
              <w:bottom w:val="single" w:sz="6" w:space="0" w:color="auto"/>
              <w:right w:val="nil"/>
            </w:tcBorders>
            <w:shd w:val="solid" w:color="FFFFFF" w:fill="auto"/>
          </w:tcPr>
          <w:p w:rsidR="0070375D" w:rsidRPr="00BF624C" w:rsidRDefault="0070375D" w:rsidP="00BF624C">
            <w:pPr>
              <w:pStyle w:val="TableofFigures"/>
              <w:rPr>
                <w:rFonts w:eastAsiaTheme="minorEastAsia"/>
                <w:b/>
                <w:bCs/>
                <w:color w:val="000000"/>
                <w:lang w:eastAsia="en-AU"/>
              </w:rPr>
            </w:pPr>
            <w:r w:rsidRPr="00BF624C">
              <w:rPr>
                <w:rFonts w:eastAsiaTheme="minorEastAsia"/>
                <w:b/>
                <w:bCs/>
                <w:color w:val="000000"/>
                <w:lang w:eastAsia="en-AU"/>
              </w:rPr>
              <w:t xml:space="preserve"> 811.1</w:t>
            </w:r>
          </w:p>
        </w:tc>
        <w:tc>
          <w:tcPr>
            <w:tcW w:w="951" w:type="dxa"/>
            <w:tcBorders>
              <w:top w:val="single" w:sz="6" w:space="0" w:color="auto"/>
              <w:left w:val="nil"/>
              <w:bottom w:val="single" w:sz="6" w:space="0" w:color="auto"/>
              <w:right w:val="nil"/>
            </w:tcBorders>
            <w:shd w:val="solid" w:color="FFFFFF" w:fill="auto"/>
          </w:tcPr>
          <w:p w:rsidR="0070375D" w:rsidRPr="00BF624C" w:rsidRDefault="0070375D" w:rsidP="00BF624C">
            <w:pPr>
              <w:pStyle w:val="TableofFigures"/>
              <w:rPr>
                <w:rFonts w:eastAsiaTheme="minorEastAsia"/>
                <w:b/>
                <w:bCs/>
                <w:color w:val="000000"/>
                <w:lang w:eastAsia="en-AU"/>
              </w:rPr>
            </w:pPr>
            <w:r w:rsidRPr="00BF624C">
              <w:rPr>
                <w:rFonts w:eastAsiaTheme="minorEastAsia"/>
                <w:b/>
                <w:bCs/>
                <w:color w:val="000000"/>
                <w:lang w:eastAsia="en-AU"/>
              </w:rPr>
              <w:t xml:space="preserve"> 795.2</w:t>
            </w:r>
          </w:p>
        </w:tc>
      </w:tr>
      <w:tr w:rsidR="0070375D" w:rsidRPr="00BF624C" w:rsidTr="00BF624C">
        <w:tc>
          <w:tcPr>
            <w:tcW w:w="3974" w:type="dxa"/>
            <w:tcBorders>
              <w:top w:val="single" w:sz="6" w:space="0" w:color="auto"/>
              <w:left w:val="nil"/>
              <w:bottom w:val="single" w:sz="6" w:space="0" w:color="auto"/>
              <w:right w:val="nil"/>
            </w:tcBorders>
          </w:tcPr>
          <w:p w:rsidR="0070375D" w:rsidRPr="00BF624C" w:rsidRDefault="0070375D" w:rsidP="00BF624C">
            <w:pPr>
              <w:pStyle w:val="Tabletext"/>
              <w:rPr>
                <w:rFonts w:eastAsiaTheme="minorEastAsia"/>
                <w:color w:val="000000"/>
                <w:lang w:eastAsia="en-AU"/>
              </w:rPr>
            </w:pPr>
            <w:r w:rsidRPr="00BF624C">
              <w:rPr>
                <w:rFonts w:eastAsiaTheme="minorEastAsia"/>
                <w:color w:val="000000"/>
                <w:lang w:eastAsia="en-AU"/>
              </w:rPr>
              <w:t xml:space="preserve">Less funding from reprioritisation and adjustments </w:t>
            </w:r>
            <w:r w:rsidRPr="00BF624C">
              <w:rPr>
                <w:rFonts w:eastAsiaTheme="minorEastAsia"/>
                <w:color w:val="000000"/>
                <w:vertAlign w:val="superscript"/>
                <w:lang w:eastAsia="en-AU"/>
              </w:rPr>
              <w:t>(b)</w:t>
            </w:r>
          </w:p>
        </w:tc>
        <w:tc>
          <w:tcPr>
            <w:tcW w:w="950" w:type="dxa"/>
            <w:tcBorders>
              <w:top w:val="nil"/>
              <w:left w:val="nil"/>
              <w:bottom w:val="single" w:sz="6" w:space="0" w:color="auto"/>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192.6</w:t>
            </w:r>
          </w:p>
        </w:tc>
        <w:tc>
          <w:tcPr>
            <w:tcW w:w="951" w:type="dxa"/>
            <w:tcBorders>
              <w:top w:val="nil"/>
              <w:left w:val="nil"/>
              <w:bottom w:val="single" w:sz="6" w:space="0" w:color="auto"/>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160.8</w:t>
            </w:r>
          </w:p>
        </w:tc>
        <w:tc>
          <w:tcPr>
            <w:tcW w:w="950" w:type="dxa"/>
            <w:tcBorders>
              <w:top w:val="nil"/>
              <w:left w:val="nil"/>
              <w:bottom w:val="single" w:sz="6" w:space="0" w:color="auto"/>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114.6</w:t>
            </w:r>
          </w:p>
        </w:tc>
        <w:tc>
          <w:tcPr>
            <w:tcW w:w="951" w:type="dxa"/>
            <w:tcBorders>
              <w:top w:val="nil"/>
              <w:left w:val="nil"/>
              <w:bottom w:val="single" w:sz="6" w:space="0" w:color="auto"/>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98.7</w:t>
            </w:r>
          </w:p>
        </w:tc>
      </w:tr>
      <w:tr w:rsidR="0070375D" w:rsidRPr="00BF624C" w:rsidTr="00BF624C">
        <w:tc>
          <w:tcPr>
            <w:tcW w:w="3974" w:type="dxa"/>
            <w:tcBorders>
              <w:top w:val="nil"/>
              <w:left w:val="nil"/>
              <w:bottom w:val="single" w:sz="6" w:space="0" w:color="auto"/>
              <w:right w:val="nil"/>
            </w:tcBorders>
          </w:tcPr>
          <w:p w:rsidR="0070375D" w:rsidRPr="00BF624C" w:rsidRDefault="0070375D" w:rsidP="00BF624C">
            <w:pPr>
              <w:pStyle w:val="Tabletext"/>
              <w:rPr>
                <w:rFonts w:eastAsiaTheme="minorEastAsia"/>
                <w:color w:val="000000"/>
                <w:lang w:eastAsia="en-AU"/>
              </w:rPr>
            </w:pPr>
            <w:r w:rsidRPr="00BF624C">
              <w:rPr>
                <w:rFonts w:eastAsiaTheme="minorEastAsia"/>
                <w:color w:val="000000"/>
                <w:lang w:eastAsia="en-AU"/>
              </w:rPr>
              <w:t>Less savings</w:t>
            </w:r>
          </w:p>
        </w:tc>
        <w:tc>
          <w:tcPr>
            <w:tcW w:w="950" w:type="dxa"/>
            <w:tcBorders>
              <w:top w:val="nil"/>
              <w:left w:val="nil"/>
              <w:bottom w:val="single" w:sz="6" w:space="0" w:color="auto"/>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138.1</w:t>
            </w:r>
          </w:p>
        </w:tc>
        <w:tc>
          <w:tcPr>
            <w:tcW w:w="951" w:type="dxa"/>
            <w:tcBorders>
              <w:top w:val="nil"/>
              <w:left w:val="nil"/>
              <w:bottom w:val="single" w:sz="6" w:space="0" w:color="auto"/>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239.6</w:t>
            </w:r>
          </w:p>
        </w:tc>
        <w:tc>
          <w:tcPr>
            <w:tcW w:w="950" w:type="dxa"/>
            <w:tcBorders>
              <w:top w:val="nil"/>
              <w:left w:val="nil"/>
              <w:bottom w:val="single" w:sz="6" w:space="0" w:color="auto"/>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295.9</w:t>
            </w:r>
          </w:p>
        </w:tc>
        <w:tc>
          <w:tcPr>
            <w:tcW w:w="951" w:type="dxa"/>
            <w:tcBorders>
              <w:top w:val="nil"/>
              <w:left w:val="nil"/>
              <w:bottom w:val="single" w:sz="6" w:space="0" w:color="auto"/>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345.6</w:t>
            </w:r>
          </w:p>
        </w:tc>
      </w:tr>
      <w:tr w:rsidR="0070375D" w:rsidRPr="00BF624C" w:rsidTr="00BF624C">
        <w:tc>
          <w:tcPr>
            <w:tcW w:w="3974" w:type="dxa"/>
            <w:tcBorders>
              <w:top w:val="single" w:sz="6" w:space="0" w:color="auto"/>
              <w:left w:val="nil"/>
              <w:bottom w:val="single" w:sz="6" w:space="0" w:color="auto"/>
              <w:right w:val="nil"/>
            </w:tcBorders>
          </w:tcPr>
          <w:p w:rsidR="0070375D" w:rsidRPr="00BF624C" w:rsidRDefault="0070375D" w:rsidP="00BF624C">
            <w:pPr>
              <w:pStyle w:val="Tabletext"/>
              <w:rPr>
                <w:rFonts w:eastAsiaTheme="minorEastAsia"/>
                <w:b/>
                <w:bCs/>
                <w:i/>
                <w:iCs/>
                <w:color w:val="000000"/>
                <w:lang w:eastAsia="en-AU"/>
              </w:rPr>
            </w:pPr>
            <w:r w:rsidRPr="00BF624C">
              <w:rPr>
                <w:rFonts w:eastAsiaTheme="minorEastAsia"/>
                <w:b/>
                <w:bCs/>
                <w:i/>
                <w:iCs/>
                <w:color w:val="000000"/>
                <w:lang w:eastAsia="en-AU"/>
              </w:rPr>
              <w:t>2013</w:t>
            </w:r>
            <w:r w:rsidR="00276239">
              <w:rPr>
                <w:rFonts w:eastAsiaTheme="minorEastAsia"/>
                <w:b/>
                <w:bCs/>
                <w:i/>
                <w:iCs/>
                <w:color w:val="000000"/>
                <w:lang w:eastAsia="en-AU"/>
              </w:rPr>
              <w:noBreakHyphen/>
            </w:r>
            <w:r w:rsidRPr="00BF624C">
              <w:rPr>
                <w:rFonts w:eastAsiaTheme="minorEastAsia"/>
                <w:b/>
                <w:bCs/>
                <w:i/>
                <w:iCs/>
                <w:color w:val="000000"/>
                <w:lang w:eastAsia="en-AU"/>
              </w:rPr>
              <w:t>14 Budget output policy decisions</w:t>
            </w:r>
          </w:p>
        </w:tc>
        <w:tc>
          <w:tcPr>
            <w:tcW w:w="950" w:type="dxa"/>
            <w:tcBorders>
              <w:top w:val="single" w:sz="6" w:space="0" w:color="auto"/>
              <w:left w:val="nil"/>
              <w:bottom w:val="single" w:sz="6" w:space="0" w:color="auto"/>
              <w:right w:val="nil"/>
            </w:tcBorders>
            <w:shd w:val="solid" w:color="FFFFFF" w:fill="auto"/>
          </w:tcPr>
          <w:p w:rsidR="0070375D" w:rsidRPr="00BF624C" w:rsidRDefault="0070375D" w:rsidP="00BF624C">
            <w:pPr>
              <w:pStyle w:val="TableofFigures"/>
              <w:rPr>
                <w:rFonts w:eastAsiaTheme="minorEastAsia"/>
                <w:b/>
                <w:bCs/>
                <w:color w:val="000000"/>
                <w:lang w:eastAsia="en-AU"/>
              </w:rPr>
            </w:pPr>
            <w:r w:rsidRPr="00BF624C">
              <w:rPr>
                <w:rFonts w:eastAsiaTheme="minorEastAsia"/>
                <w:b/>
                <w:bCs/>
                <w:color w:val="000000"/>
                <w:lang w:eastAsia="en-AU"/>
              </w:rPr>
              <w:t xml:space="preserve"> 620.0</w:t>
            </w:r>
          </w:p>
        </w:tc>
        <w:tc>
          <w:tcPr>
            <w:tcW w:w="951" w:type="dxa"/>
            <w:tcBorders>
              <w:top w:val="single" w:sz="6" w:space="0" w:color="auto"/>
              <w:left w:val="nil"/>
              <w:bottom w:val="single" w:sz="6" w:space="0" w:color="auto"/>
              <w:right w:val="nil"/>
            </w:tcBorders>
            <w:shd w:val="solid" w:color="FFFFFF" w:fill="auto"/>
          </w:tcPr>
          <w:p w:rsidR="0070375D" w:rsidRPr="00BF624C" w:rsidRDefault="0070375D" w:rsidP="00BF624C">
            <w:pPr>
              <w:pStyle w:val="TableofFigures"/>
              <w:rPr>
                <w:rFonts w:eastAsiaTheme="minorEastAsia"/>
                <w:b/>
                <w:bCs/>
                <w:color w:val="000000"/>
                <w:lang w:eastAsia="en-AU"/>
              </w:rPr>
            </w:pPr>
            <w:r w:rsidRPr="00BF624C">
              <w:rPr>
                <w:rFonts w:eastAsiaTheme="minorEastAsia"/>
                <w:b/>
                <w:bCs/>
                <w:color w:val="000000"/>
                <w:lang w:eastAsia="en-AU"/>
              </w:rPr>
              <w:t xml:space="preserve"> 560.3</w:t>
            </w:r>
          </w:p>
        </w:tc>
        <w:tc>
          <w:tcPr>
            <w:tcW w:w="950" w:type="dxa"/>
            <w:tcBorders>
              <w:top w:val="single" w:sz="6" w:space="0" w:color="auto"/>
              <w:left w:val="nil"/>
              <w:bottom w:val="single" w:sz="6" w:space="0" w:color="auto"/>
              <w:right w:val="nil"/>
            </w:tcBorders>
            <w:shd w:val="solid" w:color="FFFFFF" w:fill="auto"/>
          </w:tcPr>
          <w:p w:rsidR="0070375D" w:rsidRPr="00BF624C" w:rsidRDefault="0070375D" w:rsidP="00BF624C">
            <w:pPr>
              <w:pStyle w:val="TableofFigures"/>
              <w:rPr>
                <w:rFonts w:eastAsiaTheme="minorEastAsia"/>
                <w:b/>
                <w:bCs/>
                <w:color w:val="000000"/>
                <w:lang w:eastAsia="en-AU"/>
              </w:rPr>
            </w:pPr>
            <w:r w:rsidRPr="00BF624C">
              <w:rPr>
                <w:rFonts w:eastAsiaTheme="minorEastAsia"/>
                <w:b/>
                <w:bCs/>
                <w:color w:val="000000"/>
                <w:lang w:eastAsia="en-AU"/>
              </w:rPr>
              <w:t xml:space="preserve"> 400.7</w:t>
            </w:r>
          </w:p>
        </w:tc>
        <w:tc>
          <w:tcPr>
            <w:tcW w:w="951" w:type="dxa"/>
            <w:tcBorders>
              <w:top w:val="single" w:sz="6" w:space="0" w:color="auto"/>
              <w:left w:val="nil"/>
              <w:bottom w:val="single" w:sz="6" w:space="0" w:color="auto"/>
              <w:right w:val="nil"/>
            </w:tcBorders>
            <w:shd w:val="solid" w:color="FFFFFF" w:fill="auto"/>
          </w:tcPr>
          <w:p w:rsidR="0070375D" w:rsidRPr="00BF624C" w:rsidRDefault="0070375D" w:rsidP="00BF624C">
            <w:pPr>
              <w:pStyle w:val="TableofFigures"/>
              <w:rPr>
                <w:rFonts w:eastAsiaTheme="minorEastAsia"/>
                <w:b/>
                <w:bCs/>
                <w:color w:val="000000"/>
                <w:lang w:eastAsia="en-AU"/>
              </w:rPr>
            </w:pPr>
            <w:r w:rsidRPr="00BF624C">
              <w:rPr>
                <w:rFonts w:eastAsiaTheme="minorEastAsia"/>
                <w:b/>
                <w:bCs/>
                <w:color w:val="000000"/>
                <w:lang w:eastAsia="en-AU"/>
              </w:rPr>
              <w:t xml:space="preserve"> 350.9</w:t>
            </w:r>
          </w:p>
        </w:tc>
      </w:tr>
      <w:tr w:rsidR="0070375D" w:rsidRPr="00BF624C" w:rsidTr="00BF624C">
        <w:tc>
          <w:tcPr>
            <w:tcW w:w="3974" w:type="dxa"/>
            <w:tcBorders>
              <w:top w:val="nil"/>
              <w:left w:val="nil"/>
              <w:bottom w:val="single" w:sz="6" w:space="0" w:color="auto"/>
              <w:right w:val="nil"/>
            </w:tcBorders>
          </w:tcPr>
          <w:p w:rsidR="0070375D" w:rsidRPr="00BF624C" w:rsidRDefault="0070375D" w:rsidP="00BF624C">
            <w:pPr>
              <w:pStyle w:val="Tabletext"/>
              <w:rPr>
                <w:rFonts w:eastAsiaTheme="minorEastAsia"/>
                <w:color w:val="000000"/>
                <w:lang w:eastAsia="en-AU"/>
              </w:rPr>
            </w:pPr>
            <w:r w:rsidRPr="00BF624C">
              <w:rPr>
                <w:rFonts w:eastAsiaTheme="minorEastAsia"/>
                <w:color w:val="000000"/>
                <w:lang w:eastAsia="en-AU"/>
              </w:rPr>
              <w:t xml:space="preserve">Less contingency offset for new policy </w:t>
            </w:r>
            <w:r w:rsidRPr="00BF624C">
              <w:rPr>
                <w:rFonts w:eastAsiaTheme="minorEastAsia"/>
                <w:color w:val="000000"/>
                <w:vertAlign w:val="superscript"/>
                <w:lang w:eastAsia="en-AU"/>
              </w:rPr>
              <w:t>(c)</w:t>
            </w:r>
          </w:p>
        </w:tc>
        <w:tc>
          <w:tcPr>
            <w:tcW w:w="950" w:type="dxa"/>
            <w:tcBorders>
              <w:top w:val="nil"/>
              <w:left w:val="nil"/>
              <w:bottom w:val="nil"/>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488.0</w:t>
            </w:r>
          </w:p>
        </w:tc>
        <w:tc>
          <w:tcPr>
            <w:tcW w:w="951" w:type="dxa"/>
            <w:tcBorders>
              <w:top w:val="nil"/>
              <w:left w:val="nil"/>
              <w:bottom w:val="nil"/>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494.6</w:t>
            </w:r>
          </w:p>
        </w:tc>
        <w:tc>
          <w:tcPr>
            <w:tcW w:w="950" w:type="dxa"/>
            <w:tcBorders>
              <w:top w:val="nil"/>
              <w:left w:val="nil"/>
              <w:bottom w:val="nil"/>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508.4</w:t>
            </w:r>
          </w:p>
        </w:tc>
        <w:tc>
          <w:tcPr>
            <w:tcW w:w="951" w:type="dxa"/>
            <w:tcBorders>
              <w:top w:val="nil"/>
              <w:left w:val="nil"/>
              <w:bottom w:val="nil"/>
              <w:right w:val="nil"/>
            </w:tcBorders>
            <w:shd w:val="solid" w:color="FFFFFF" w:fill="auto"/>
          </w:tcPr>
          <w:p w:rsidR="0070375D" w:rsidRPr="00BF624C" w:rsidRDefault="0070375D" w:rsidP="00BF624C">
            <w:pPr>
              <w:pStyle w:val="TableofFigures"/>
              <w:rPr>
                <w:rFonts w:eastAsiaTheme="minorEastAsia"/>
                <w:color w:val="000000"/>
                <w:lang w:eastAsia="en-AU"/>
              </w:rPr>
            </w:pPr>
            <w:r w:rsidRPr="00BF624C">
              <w:rPr>
                <w:rFonts w:eastAsiaTheme="minorEastAsia"/>
                <w:color w:val="000000"/>
                <w:lang w:eastAsia="en-AU"/>
              </w:rPr>
              <w:t xml:space="preserve"> 479.0</w:t>
            </w:r>
          </w:p>
        </w:tc>
      </w:tr>
      <w:tr w:rsidR="0070375D" w:rsidRPr="00BF624C" w:rsidTr="00BF624C">
        <w:tc>
          <w:tcPr>
            <w:tcW w:w="3974" w:type="dxa"/>
            <w:tcBorders>
              <w:top w:val="single" w:sz="6" w:space="0" w:color="auto"/>
              <w:left w:val="nil"/>
              <w:bottom w:val="single" w:sz="12" w:space="0" w:color="auto"/>
              <w:right w:val="nil"/>
            </w:tcBorders>
          </w:tcPr>
          <w:p w:rsidR="0070375D" w:rsidRPr="00BF624C" w:rsidRDefault="0070375D" w:rsidP="00BF624C">
            <w:pPr>
              <w:pStyle w:val="Tabletext"/>
              <w:rPr>
                <w:rFonts w:eastAsiaTheme="minorEastAsia"/>
                <w:b/>
                <w:bCs/>
                <w:color w:val="000000"/>
                <w:lang w:eastAsia="en-AU"/>
              </w:rPr>
            </w:pPr>
            <w:r w:rsidRPr="00BF624C">
              <w:rPr>
                <w:rFonts w:eastAsiaTheme="minorEastAsia"/>
                <w:b/>
                <w:bCs/>
                <w:color w:val="000000"/>
                <w:lang w:eastAsia="en-AU"/>
              </w:rPr>
              <w:t xml:space="preserve">Net impact </w:t>
            </w:r>
          </w:p>
        </w:tc>
        <w:tc>
          <w:tcPr>
            <w:tcW w:w="950" w:type="dxa"/>
            <w:tcBorders>
              <w:top w:val="single" w:sz="6" w:space="0" w:color="auto"/>
              <w:left w:val="nil"/>
              <w:bottom w:val="single" w:sz="12" w:space="0" w:color="auto"/>
              <w:right w:val="nil"/>
            </w:tcBorders>
            <w:shd w:val="solid" w:color="FFFFFF" w:fill="auto"/>
          </w:tcPr>
          <w:p w:rsidR="0070375D" w:rsidRPr="00BF624C" w:rsidRDefault="0070375D" w:rsidP="00BF624C">
            <w:pPr>
              <w:pStyle w:val="TableofFigures"/>
              <w:rPr>
                <w:rFonts w:eastAsiaTheme="minorEastAsia" w:cs="Calibri"/>
                <w:b/>
                <w:bCs/>
                <w:color w:val="000000"/>
                <w:lang w:eastAsia="en-AU"/>
              </w:rPr>
            </w:pPr>
            <w:r w:rsidRPr="00BF624C">
              <w:rPr>
                <w:rFonts w:eastAsiaTheme="minorEastAsia"/>
                <w:b/>
                <w:bCs/>
                <w:color w:val="000000"/>
                <w:lang w:eastAsia="en-AU"/>
              </w:rPr>
              <w:t xml:space="preserve"> 131.9</w:t>
            </w:r>
          </w:p>
        </w:tc>
        <w:tc>
          <w:tcPr>
            <w:tcW w:w="951" w:type="dxa"/>
            <w:tcBorders>
              <w:top w:val="single" w:sz="6" w:space="0" w:color="auto"/>
              <w:left w:val="nil"/>
              <w:bottom w:val="single" w:sz="12" w:space="0" w:color="auto"/>
              <w:right w:val="nil"/>
            </w:tcBorders>
            <w:shd w:val="solid" w:color="FFFFFF" w:fill="auto"/>
          </w:tcPr>
          <w:p w:rsidR="0070375D" w:rsidRPr="00BF624C" w:rsidRDefault="0070375D" w:rsidP="00BF624C">
            <w:pPr>
              <w:pStyle w:val="TableofFigures"/>
              <w:rPr>
                <w:rFonts w:eastAsiaTheme="minorEastAsia" w:cs="Calibri"/>
                <w:b/>
                <w:bCs/>
                <w:color w:val="000000"/>
                <w:lang w:eastAsia="en-AU"/>
              </w:rPr>
            </w:pPr>
            <w:r w:rsidRPr="00BF624C">
              <w:rPr>
                <w:rFonts w:eastAsiaTheme="minorEastAsia"/>
                <w:b/>
                <w:bCs/>
                <w:color w:val="000000"/>
                <w:lang w:eastAsia="en-AU"/>
              </w:rPr>
              <w:t xml:space="preserve"> 65.7</w:t>
            </w:r>
          </w:p>
        </w:tc>
        <w:tc>
          <w:tcPr>
            <w:tcW w:w="950" w:type="dxa"/>
            <w:tcBorders>
              <w:top w:val="single" w:sz="6" w:space="0" w:color="auto"/>
              <w:left w:val="nil"/>
              <w:bottom w:val="single" w:sz="12" w:space="0" w:color="auto"/>
              <w:right w:val="nil"/>
            </w:tcBorders>
            <w:shd w:val="solid" w:color="FFFFFF" w:fill="auto"/>
          </w:tcPr>
          <w:p w:rsidR="0070375D" w:rsidRPr="00BF624C" w:rsidRDefault="002714D4" w:rsidP="00BF624C">
            <w:pPr>
              <w:pStyle w:val="TableofFigures"/>
              <w:rPr>
                <w:rFonts w:eastAsiaTheme="minorEastAsia" w:cs="Calibri"/>
                <w:b/>
                <w:bCs/>
                <w:color w:val="000000"/>
                <w:lang w:eastAsia="en-AU"/>
              </w:rPr>
            </w:pPr>
            <w:r>
              <w:rPr>
                <w:rFonts w:eastAsiaTheme="minorEastAsia"/>
                <w:b/>
                <w:bCs/>
                <w:color w:val="000000"/>
                <w:lang w:eastAsia="en-AU"/>
              </w:rPr>
              <w:t>(</w:t>
            </w:r>
            <w:r w:rsidR="0070375D" w:rsidRPr="00BF624C">
              <w:rPr>
                <w:rFonts w:eastAsiaTheme="minorEastAsia" w:cs="Calibri"/>
                <w:b/>
                <w:bCs/>
                <w:color w:val="000000"/>
                <w:lang w:eastAsia="en-AU"/>
              </w:rPr>
              <w:t>107.7)</w:t>
            </w:r>
          </w:p>
        </w:tc>
        <w:tc>
          <w:tcPr>
            <w:tcW w:w="951" w:type="dxa"/>
            <w:tcBorders>
              <w:top w:val="single" w:sz="6" w:space="0" w:color="auto"/>
              <w:left w:val="nil"/>
              <w:bottom w:val="single" w:sz="12" w:space="0" w:color="auto"/>
              <w:right w:val="nil"/>
            </w:tcBorders>
            <w:shd w:val="solid" w:color="FFFFFF" w:fill="auto"/>
          </w:tcPr>
          <w:p w:rsidR="0070375D" w:rsidRPr="00BF624C" w:rsidRDefault="002714D4" w:rsidP="00BF624C">
            <w:pPr>
              <w:pStyle w:val="TableofFigures"/>
              <w:rPr>
                <w:rFonts w:eastAsiaTheme="minorEastAsia" w:cs="Calibri"/>
                <w:b/>
                <w:bCs/>
                <w:color w:val="000000"/>
                <w:lang w:eastAsia="en-AU"/>
              </w:rPr>
            </w:pPr>
            <w:r>
              <w:rPr>
                <w:rFonts w:eastAsiaTheme="minorEastAsia"/>
                <w:b/>
                <w:bCs/>
                <w:color w:val="000000"/>
                <w:lang w:eastAsia="en-AU"/>
              </w:rPr>
              <w:t>(</w:t>
            </w:r>
            <w:r w:rsidR="0070375D" w:rsidRPr="00BF624C">
              <w:rPr>
                <w:rFonts w:eastAsiaTheme="minorEastAsia" w:cs="Calibri"/>
                <w:b/>
                <w:bCs/>
                <w:color w:val="000000"/>
                <w:lang w:eastAsia="en-AU"/>
              </w:rPr>
              <w:t>128.1)</w:t>
            </w:r>
          </w:p>
        </w:tc>
      </w:tr>
    </w:tbl>
    <w:p w:rsidR="0070375D" w:rsidRDefault="0070375D" w:rsidP="002B6FD9">
      <w:pPr>
        <w:pStyle w:val="Source"/>
      </w:pPr>
      <w:r>
        <w:t>Source: Department of Treasury and Finance</w:t>
      </w:r>
    </w:p>
    <w:p w:rsidR="0070375D" w:rsidRPr="008E35C0" w:rsidRDefault="0047351B" w:rsidP="00941273">
      <w:pPr>
        <w:pStyle w:val="Notes"/>
      </w:pPr>
      <w:r>
        <w:fldChar w:fldCharType="begin"/>
      </w:r>
      <w:r>
        <w:instrText xml:space="preserve"> XE "</w:instrText>
      </w:r>
      <w:r w:rsidRPr="00FF792E">
        <w:instrText>Department of Environment and Primary Industries</w:instrText>
      </w:r>
      <w:r>
        <w:instrText xml:space="preserve">" </w:instrText>
      </w:r>
      <w:r>
        <w:fldChar w:fldCharType="end"/>
      </w:r>
      <w:r>
        <w:fldChar w:fldCharType="begin"/>
      </w:r>
      <w:r>
        <w:instrText xml:space="preserve"> XE "</w:instrText>
      </w:r>
      <w:r w:rsidRPr="00FF792E">
        <w:instrText>Department of State Development, Business and Innovation</w:instrText>
      </w:r>
      <w:r>
        <w:instrText xml:space="preserve">" </w:instrText>
      </w:r>
      <w:r>
        <w:fldChar w:fldCharType="end"/>
      </w:r>
      <w:r>
        <w:fldChar w:fldCharType="begin"/>
      </w:r>
      <w:r>
        <w:instrText xml:space="preserve"> XE "</w:instrText>
      </w:r>
      <w:r w:rsidRPr="00FF792E">
        <w:instrText>Department of Transport, Planning and Local Infrastructure</w:instrText>
      </w:r>
      <w:r>
        <w:instrText xml:space="preserve">" </w:instrText>
      </w:r>
      <w:r>
        <w:fldChar w:fldCharType="end"/>
      </w:r>
      <w:r w:rsidR="0070375D" w:rsidRPr="008E35C0">
        <w:t>Notes:</w:t>
      </w:r>
    </w:p>
    <w:p w:rsidR="0070375D" w:rsidRPr="003E66F6" w:rsidRDefault="0070375D" w:rsidP="00941273">
      <w:pPr>
        <w:pStyle w:val="Notes"/>
      </w:pPr>
      <w:r w:rsidRPr="003E66F6">
        <w:t>(a)</w:t>
      </w:r>
      <w:r w:rsidRPr="003E66F6">
        <w:tab/>
        <w:t>Departmental totals reflect gross expenditure outlined in Budget Paper No. 3</w:t>
      </w:r>
      <w:r>
        <w:t xml:space="preserve"> </w:t>
      </w:r>
      <w:r w:rsidRPr="00E23DD4">
        <w:rPr>
          <w:i w:val="0"/>
        </w:rPr>
        <w:t>Service Delivery</w:t>
      </w:r>
      <w:r w:rsidRPr="003E66F6">
        <w:t>.</w:t>
      </w:r>
    </w:p>
    <w:p w:rsidR="0070375D" w:rsidRPr="003E66F6" w:rsidRDefault="0070375D" w:rsidP="00583CAC">
      <w:pPr>
        <w:pStyle w:val="Notes"/>
        <w:rPr>
          <w:highlight w:val="yellow"/>
        </w:rPr>
      </w:pPr>
      <w:r w:rsidRPr="003E66F6">
        <w:t>(b)</w:t>
      </w:r>
      <w:r w:rsidRPr="003E66F6">
        <w:tab/>
        <w:t>This includes the reprioritisation of resources previously allocated to departments.</w:t>
      </w:r>
    </w:p>
    <w:p w:rsidR="0070375D" w:rsidRPr="00546DAE" w:rsidRDefault="0070375D" w:rsidP="00546DAE">
      <w:pPr>
        <w:pStyle w:val="Notes"/>
      </w:pPr>
      <w:r w:rsidRPr="003E66F6">
        <w:t>(c)</w:t>
      </w:r>
      <w:r w:rsidRPr="003E66F6">
        <w:tab/>
        <w:t>Represents release of contingencies associated with demand for government services.</w:t>
      </w:r>
    </w:p>
    <w:p w:rsidR="0070375D" w:rsidRDefault="0070375D" w:rsidP="00941273">
      <w:pPr>
        <w:pStyle w:val="Notes"/>
      </w:pPr>
    </w:p>
    <w:p w:rsidR="0070375D" w:rsidRDefault="0070375D" w:rsidP="00583CAC">
      <w:pPr>
        <w:keepNext/>
        <w:spacing w:before="360"/>
        <w:outlineLvl w:val="0"/>
        <w:rPr>
          <w:rFonts w:ascii="Calibri" w:hAnsi="Calibri"/>
          <w:b/>
          <w:caps/>
          <w:sz w:val="26"/>
          <w:szCs w:val="22"/>
        </w:rPr>
      </w:pPr>
      <w:r w:rsidRPr="003E66F6">
        <w:rPr>
          <w:rFonts w:ascii="Calibri" w:hAnsi="Calibri"/>
          <w:b/>
          <w:caps/>
          <w:sz w:val="26"/>
          <w:szCs w:val="22"/>
        </w:rPr>
        <w:t>Cash Flows</w:t>
      </w:r>
    </w:p>
    <w:p w:rsidR="0070375D" w:rsidRDefault="0070375D" w:rsidP="00F86D0F">
      <w:r>
        <w:t>The Government</w:t>
      </w:r>
      <w:r w:rsidR="00276239">
        <w:t>’</w:t>
      </w:r>
      <w:r>
        <w:t xml:space="preserve">s strategy to constrain expenditure growth and drive improved productivity in the delivery of government services will provide increasing cash from operating activities over the forward estimates. </w:t>
      </w:r>
    </w:p>
    <w:p w:rsidR="0070375D" w:rsidRDefault="0070375D" w:rsidP="00F86D0F">
      <w:r>
        <w:t>These increasing cash surpluses over the forward estimates will finance infrastructure investment in a sustainable manner and repay existing accumulated debt. By 2015</w:t>
      </w:r>
      <w:r w:rsidR="00276239">
        <w:noBreakHyphen/>
      </w:r>
      <w:r>
        <w:t>16, it is projected that cash from operating activities will be sufficient to fund infrastructure investment</w:t>
      </w:r>
      <w:r>
        <w:fldChar w:fldCharType="begin"/>
      </w:r>
      <w:r>
        <w:instrText xml:space="preserve"> XE "</w:instrText>
      </w:r>
      <w:r w:rsidRPr="004C21DE">
        <w:instrText>Investment:Infrastructure</w:instrText>
      </w:r>
      <w:r>
        <w:instrText xml:space="preserve">" </w:instrText>
      </w:r>
      <w:r>
        <w:fldChar w:fldCharType="end"/>
      </w:r>
      <w:r>
        <w:t xml:space="preserve"> and reduce net debt</w:t>
      </w:r>
      <w:r>
        <w:fldChar w:fldCharType="begin"/>
      </w:r>
      <w:r>
        <w:instrText xml:space="preserve"> XE "Debt:</w:instrText>
      </w:r>
      <w:r w:rsidRPr="00D3448B">
        <w:instrText>Net debt</w:instrText>
      </w:r>
      <w:r>
        <w:instrText xml:space="preserve">" </w:instrText>
      </w:r>
      <w:r>
        <w:fldChar w:fldCharType="end"/>
      </w:r>
      <w:r>
        <w:t>.</w:t>
      </w:r>
    </w:p>
    <w:p w:rsidR="0070375D" w:rsidRDefault="0070375D">
      <w:pPr>
        <w:spacing w:after="0"/>
        <w:rPr>
          <w:rStyle w:val="TableheadingChar"/>
        </w:rPr>
      </w:pPr>
      <w:r>
        <w:rPr>
          <w:rStyle w:val="TableheadingChar"/>
        </w:rPr>
        <w:br w:type="page"/>
      </w:r>
    </w:p>
    <w:p w:rsidR="0070375D" w:rsidRPr="004D51C9" w:rsidRDefault="0070375D" w:rsidP="000748C8">
      <w:pPr>
        <w:pStyle w:val="Tableheading"/>
      </w:pPr>
      <w:r w:rsidRPr="004D51C9">
        <w:lastRenderedPageBreak/>
        <w:t xml:space="preserve">Table 4.5: </w:t>
      </w:r>
      <w:r w:rsidRPr="004D51C9">
        <w:tab/>
        <w:t>Application of cash resources for the general government sector</w:t>
      </w:r>
    </w:p>
    <w:p w:rsidR="0070375D" w:rsidRPr="00774D76" w:rsidRDefault="0070375D" w:rsidP="00774D76">
      <w:pPr>
        <w:pStyle w:val="million"/>
        <w:rPr>
          <w:sz w:val="22"/>
        </w:rPr>
      </w:pPr>
      <w:r w:rsidRPr="008E35C0">
        <w:t>($</w:t>
      </w: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420"/>
        <w:gridCol w:w="177"/>
        <w:gridCol w:w="609"/>
        <w:gridCol w:w="106"/>
        <w:gridCol w:w="892"/>
        <w:gridCol w:w="893"/>
        <w:gridCol w:w="893"/>
        <w:gridCol w:w="893"/>
        <w:gridCol w:w="893"/>
      </w:tblGrid>
      <w:tr w:rsidR="0070375D" w:rsidRPr="00774D76" w:rsidTr="00774D76">
        <w:tc>
          <w:tcPr>
            <w:tcW w:w="2420" w:type="dxa"/>
            <w:tcBorders>
              <w:top w:val="single" w:sz="4" w:space="0" w:color="auto"/>
              <w:left w:val="single" w:sz="4" w:space="0" w:color="auto"/>
              <w:bottom w:val="nil"/>
              <w:right w:val="nil"/>
            </w:tcBorders>
            <w:shd w:val="clear" w:color="auto" w:fill="000000"/>
          </w:tcPr>
          <w:p w:rsidR="0070375D" w:rsidRPr="00774D76" w:rsidRDefault="0070375D" w:rsidP="00774D76">
            <w:pPr>
              <w:pStyle w:val="Tabletext"/>
              <w:rPr>
                <w:rFonts w:eastAsiaTheme="minorEastAsia"/>
                <w:lang w:eastAsia="en-AU"/>
              </w:rPr>
            </w:pPr>
            <w:r w:rsidRPr="00774D76">
              <w:rPr>
                <w:rFonts w:eastAsiaTheme="minorEastAsia"/>
                <w:lang w:eastAsia="en-AU"/>
              </w:rPr>
              <w:t xml:space="preserve"> </w:t>
            </w:r>
          </w:p>
        </w:tc>
        <w:tc>
          <w:tcPr>
            <w:tcW w:w="892" w:type="dxa"/>
            <w:gridSpan w:val="3"/>
            <w:tcBorders>
              <w:top w:val="single" w:sz="4" w:space="0" w:color="auto"/>
              <w:left w:val="nil"/>
              <w:bottom w:val="nil"/>
              <w:right w:val="nil"/>
            </w:tcBorders>
            <w:shd w:val="clear" w:color="auto" w:fill="000000"/>
          </w:tcPr>
          <w:p w:rsidR="0070375D" w:rsidRPr="00774D76" w:rsidRDefault="0070375D" w:rsidP="00774D76">
            <w:pPr>
              <w:pStyle w:val="Tabletextheading"/>
              <w:rPr>
                <w:rFonts w:eastAsiaTheme="minorEastAsia"/>
                <w:lang w:eastAsia="en-AU"/>
              </w:rPr>
            </w:pPr>
            <w:r w:rsidRPr="00774D76">
              <w:rPr>
                <w:rFonts w:eastAsiaTheme="minorEastAsia"/>
                <w:lang w:eastAsia="en-AU"/>
              </w:rPr>
              <w:t>2011</w:t>
            </w:r>
            <w:r w:rsidR="00276239">
              <w:rPr>
                <w:rFonts w:eastAsiaTheme="minorEastAsia"/>
                <w:lang w:eastAsia="en-AU"/>
              </w:rPr>
              <w:noBreakHyphen/>
            </w:r>
            <w:r w:rsidRPr="00774D76">
              <w:rPr>
                <w:rFonts w:eastAsiaTheme="minorEastAsia"/>
                <w:lang w:eastAsia="en-AU"/>
              </w:rPr>
              <w:t>12</w:t>
            </w:r>
          </w:p>
        </w:tc>
        <w:tc>
          <w:tcPr>
            <w:tcW w:w="892" w:type="dxa"/>
            <w:tcBorders>
              <w:top w:val="single" w:sz="4" w:space="0" w:color="auto"/>
              <w:left w:val="nil"/>
              <w:bottom w:val="nil"/>
              <w:right w:val="nil"/>
            </w:tcBorders>
            <w:shd w:val="clear" w:color="auto" w:fill="000000"/>
          </w:tcPr>
          <w:p w:rsidR="0070375D" w:rsidRPr="00774D76" w:rsidRDefault="0070375D" w:rsidP="00774D76">
            <w:pPr>
              <w:pStyle w:val="Tabletextheading"/>
              <w:rPr>
                <w:rFonts w:eastAsiaTheme="minorEastAsia"/>
                <w:lang w:eastAsia="en-AU"/>
              </w:rPr>
            </w:pPr>
            <w:r w:rsidRPr="00774D76">
              <w:rPr>
                <w:rFonts w:eastAsiaTheme="minorEastAsia"/>
                <w:lang w:eastAsia="en-AU"/>
              </w:rPr>
              <w:t>2012</w:t>
            </w:r>
            <w:r w:rsidR="00276239">
              <w:rPr>
                <w:rFonts w:eastAsiaTheme="minorEastAsia"/>
                <w:lang w:eastAsia="en-AU"/>
              </w:rPr>
              <w:noBreakHyphen/>
            </w:r>
            <w:r w:rsidRPr="00774D76">
              <w:rPr>
                <w:rFonts w:eastAsiaTheme="minorEastAsia"/>
                <w:lang w:eastAsia="en-AU"/>
              </w:rPr>
              <w:t>13</w:t>
            </w:r>
          </w:p>
        </w:tc>
        <w:tc>
          <w:tcPr>
            <w:tcW w:w="893" w:type="dxa"/>
            <w:tcBorders>
              <w:top w:val="single" w:sz="4" w:space="0" w:color="auto"/>
              <w:left w:val="nil"/>
              <w:bottom w:val="nil"/>
              <w:right w:val="nil"/>
            </w:tcBorders>
            <w:shd w:val="clear" w:color="auto" w:fill="000000"/>
          </w:tcPr>
          <w:p w:rsidR="0070375D" w:rsidRPr="00774D76" w:rsidRDefault="0070375D" w:rsidP="00774D76">
            <w:pPr>
              <w:pStyle w:val="Tabletextheading"/>
              <w:rPr>
                <w:rFonts w:eastAsiaTheme="minorEastAsia"/>
                <w:lang w:eastAsia="en-AU"/>
              </w:rPr>
            </w:pPr>
            <w:r w:rsidRPr="00774D76">
              <w:rPr>
                <w:rFonts w:eastAsiaTheme="minorEastAsia"/>
                <w:lang w:eastAsia="en-AU"/>
              </w:rPr>
              <w:t>2013</w:t>
            </w:r>
            <w:r w:rsidR="00276239">
              <w:rPr>
                <w:rFonts w:eastAsiaTheme="minorEastAsia"/>
                <w:lang w:eastAsia="en-AU"/>
              </w:rPr>
              <w:noBreakHyphen/>
            </w:r>
            <w:r w:rsidRPr="00774D76">
              <w:rPr>
                <w:rFonts w:eastAsiaTheme="minorEastAsia"/>
                <w:lang w:eastAsia="en-AU"/>
              </w:rPr>
              <w:t>14</w:t>
            </w:r>
          </w:p>
        </w:tc>
        <w:tc>
          <w:tcPr>
            <w:tcW w:w="893" w:type="dxa"/>
            <w:tcBorders>
              <w:top w:val="single" w:sz="4" w:space="0" w:color="auto"/>
              <w:left w:val="nil"/>
              <w:bottom w:val="nil"/>
              <w:right w:val="nil"/>
            </w:tcBorders>
            <w:shd w:val="clear" w:color="auto" w:fill="000000"/>
          </w:tcPr>
          <w:p w:rsidR="0070375D" w:rsidRPr="00774D76" w:rsidRDefault="0070375D" w:rsidP="00774D76">
            <w:pPr>
              <w:pStyle w:val="Tabletextheading"/>
              <w:rPr>
                <w:rFonts w:eastAsiaTheme="minorEastAsia"/>
                <w:lang w:eastAsia="en-AU"/>
              </w:rPr>
            </w:pPr>
            <w:r w:rsidRPr="00774D76">
              <w:rPr>
                <w:rFonts w:eastAsiaTheme="minorEastAsia"/>
                <w:lang w:eastAsia="en-AU"/>
              </w:rPr>
              <w:t>2014</w:t>
            </w:r>
            <w:r w:rsidR="00276239">
              <w:rPr>
                <w:rFonts w:eastAsiaTheme="minorEastAsia"/>
                <w:lang w:eastAsia="en-AU"/>
              </w:rPr>
              <w:noBreakHyphen/>
            </w:r>
            <w:r w:rsidRPr="00774D76">
              <w:rPr>
                <w:rFonts w:eastAsiaTheme="minorEastAsia"/>
                <w:lang w:eastAsia="en-AU"/>
              </w:rPr>
              <w:t>15</w:t>
            </w:r>
          </w:p>
        </w:tc>
        <w:tc>
          <w:tcPr>
            <w:tcW w:w="893" w:type="dxa"/>
            <w:tcBorders>
              <w:top w:val="single" w:sz="4" w:space="0" w:color="auto"/>
              <w:left w:val="nil"/>
              <w:bottom w:val="nil"/>
              <w:right w:val="nil"/>
            </w:tcBorders>
            <w:shd w:val="clear" w:color="auto" w:fill="000000"/>
          </w:tcPr>
          <w:p w:rsidR="0070375D" w:rsidRPr="00774D76" w:rsidRDefault="0070375D" w:rsidP="00774D76">
            <w:pPr>
              <w:pStyle w:val="Tabletextheading"/>
              <w:rPr>
                <w:rFonts w:eastAsiaTheme="minorEastAsia"/>
                <w:lang w:eastAsia="en-AU"/>
              </w:rPr>
            </w:pPr>
            <w:r w:rsidRPr="00774D76">
              <w:rPr>
                <w:rFonts w:eastAsiaTheme="minorEastAsia"/>
                <w:lang w:eastAsia="en-AU"/>
              </w:rPr>
              <w:t>2015</w:t>
            </w:r>
            <w:r w:rsidR="00276239">
              <w:rPr>
                <w:rFonts w:eastAsiaTheme="minorEastAsia"/>
                <w:lang w:eastAsia="en-AU"/>
              </w:rPr>
              <w:noBreakHyphen/>
            </w:r>
            <w:r w:rsidRPr="00774D76">
              <w:rPr>
                <w:rFonts w:eastAsiaTheme="minorEastAsia"/>
                <w:lang w:eastAsia="en-AU"/>
              </w:rPr>
              <w:t>16</w:t>
            </w:r>
          </w:p>
        </w:tc>
        <w:tc>
          <w:tcPr>
            <w:tcW w:w="893" w:type="dxa"/>
            <w:tcBorders>
              <w:top w:val="single" w:sz="4" w:space="0" w:color="auto"/>
              <w:left w:val="nil"/>
              <w:bottom w:val="nil"/>
              <w:right w:val="single" w:sz="4" w:space="0" w:color="auto"/>
            </w:tcBorders>
            <w:shd w:val="clear" w:color="auto" w:fill="000000"/>
          </w:tcPr>
          <w:p w:rsidR="0070375D" w:rsidRPr="00774D76" w:rsidRDefault="0070375D" w:rsidP="00774D76">
            <w:pPr>
              <w:pStyle w:val="Tabletextheading"/>
              <w:rPr>
                <w:rFonts w:eastAsiaTheme="minorEastAsia"/>
                <w:lang w:eastAsia="en-AU"/>
              </w:rPr>
            </w:pPr>
            <w:r w:rsidRPr="00774D76">
              <w:rPr>
                <w:rFonts w:eastAsiaTheme="minorEastAsia"/>
                <w:lang w:eastAsia="en-AU"/>
              </w:rPr>
              <w:t>2016</w:t>
            </w:r>
            <w:r w:rsidR="00276239">
              <w:rPr>
                <w:rFonts w:eastAsiaTheme="minorEastAsia"/>
                <w:lang w:eastAsia="en-AU"/>
              </w:rPr>
              <w:noBreakHyphen/>
            </w:r>
            <w:r w:rsidRPr="00774D76">
              <w:rPr>
                <w:rFonts w:eastAsiaTheme="minorEastAsia"/>
                <w:lang w:eastAsia="en-AU"/>
              </w:rPr>
              <w:t>17</w:t>
            </w:r>
          </w:p>
        </w:tc>
      </w:tr>
      <w:tr w:rsidR="0070375D" w:rsidRPr="00774D76" w:rsidTr="00774D76">
        <w:tc>
          <w:tcPr>
            <w:tcW w:w="2420" w:type="dxa"/>
            <w:tcBorders>
              <w:top w:val="nil"/>
              <w:left w:val="single" w:sz="4" w:space="0" w:color="auto"/>
              <w:bottom w:val="single" w:sz="4" w:space="0" w:color="auto"/>
              <w:right w:val="nil"/>
            </w:tcBorders>
            <w:shd w:val="clear" w:color="auto" w:fill="000000"/>
          </w:tcPr>
          <w:p w:rsidR="0070375D" w:rsidRPr="00774D76" w:rsidRDefault="0070375D" w:rsidP="00774D76">
            <w:pPr>
              <w:pStyle w:val="Tabletext"/>
              <w:rPr>
                <w:rFonts w:eastAsiaTheme="minorEastAsia"/>
                <w:lang w:eastAsia="en-AU"/>
              </w:rPr>
            </w:pPr>
            <w:r w:rsidRPr="00774D76">
              <w:rPr>
                <w:rFonts w:eastAsiaTheme="minorEastAsia"/>
                <w:lang w:eastAsia="en-AU"/>
              </w:rPr>
              <w:t xml:space="preserve"> </w:t>
            </w:r>
          </w:p>
        </w:tc>
        <w:tc>
          <w:tcPr>
            <w:tcW w:w="892" w:type="dxa"/>
            <w:gridSpan w:val="3"/>
            <w:tcBorders>
              <w:top w:val="nil"/>
              <w:left w:val="nil"/>
              <w:bottom w:val="single" w:sz="4" w:space="0" w:color="auto"/>
              <w:right w:val="nil"/>
            </w:tcBorders>
            <w:shd w:val="clear" w:color="auto" w:fill="000000"/>
          </w:tcPr>
          <w:p w:rsidR="0070375D" w:rsidRPr="00774D76" w:rsidRDefault="0070375D" w:rsidP="00774D76">
            <w:pPr>
              <w:pStyle w:val="Tabletextheading"/>
              <w:rPr>
                <w:rFonts w:eastAsiaTheme="minorEastAsia"/>
                <w:lang w:eastAsia="en-AU"/>
              </w:rPr>
            </w:pPr>
            <w:r w:rsidRPr="00774D76">
              <w:rPr>
                <w:rFonts w:eastAsiaTheme="minorEastAsia"/>
                <w:lang w:eastAsia="en-AU"/>
              </w:rPr>
              <w:t>Actual</w:t>
            </w:r>
          </w:p>
        </w:tc>
        <w:tc>
          <w:tcPr>
            <w:tcW w:w="892" w:type="dxa"/>
            <w:tcBorders>
              <w:top w:val="nil"/>
              <w:left w:val="nil"/>
              <w:bottom w:val="single" w:sz="4" w:space="0" w:color="auto"/>
              <w:right w:val="nil"/>
            </w:tcBorders>
            <w:shd w:val="clear" w:color="auto" w:fill="000000"/>
          </w:tcPr>
          <w:p w:rsidR="0070375D" w:rsidRPr="00774D76" w:rsidRDefault="0070375D" w:rsidP="00774D76">
            <w:pPr>
              <w:pStyle w:val="Tabletextheading"/>
              <w:rPr>
                <w:rFonts w:eastAsiaTheme="minorEastAsia"/>
                <w:lang w:eastAsia="en-AU"/>
              </w:rPr>
            </w:pPr>
            <w:r w:rsidRPr="00774D76">
              <w:rPr>
                <w:rFonts w:eastAsiaTheme="minorEastAsia"/>
                <w:lang w:eastAsia="en-AU"/>
              </w:rPr>
              <w:t>Revised</w:t>
            </w:r>
          </w:p>
        </w:tc>
        <w:tc>
          <w:tcPr>
            <w:tcW w:w="893" w:type="dxa"/>
            <w:tcBorders>
              <w:top w:val="nil"/>
              <w:left w:val="nil"/>
              <w:bottom w:val="single" w:sz="4" w:space="0" w:color="auto"/>
              <w:right w:val="nil"/>
            </w:tcBorders>
            <w:shd w:val="clear" w:color="auto" w:fill="000000"/>
          </w:tcPr>
          <w:p w:rsidR="0070375D" w:rsidRPr="00774D76" w:rsidRDefault="0070375D" w:rsidP="00774D76">
            <w:pPr>
              <w:pStyle w:val="Tabletextheading"/>
              <w:rPr>
                <w:rFonts w:eastAsiaTheme="minorEastAsia"/>
                <w:lang w:eastAsia="en-AU"/>
              </w:rPr>
            </w:pPr>
            <w:r w:rsidRPr="00774D76">
              <w:rPr>
                <w:rFonts w:eastAsiaTheme="minorEastAsia"/>
                <w:lang w:eastAsia="en-AU"/>
              </w:rPr>
              <w:t>Budget</w:t>
            </w:r>
          </w:p>
        </w:tc>
        <w:tc>
          <w:tcPr>
            <w:tcW w:w="893" w:type="dxa"/>
            <w:tcBorders>
              <w:top w:val="nil"/>
              <w:left w:val="nil"/>
              <w:bottom w:val="single" w:sz="4" w:space="0" w:color="auto"/>
              <w:right w:val="nil"/>
            </w:tcBorders>
            <w:shd w:val="clear" w:color="auto" w:fill="000000"/>
          </w:tcPr>
          <w:p w:rsidR="0070375D" w:rsidRPr="00774D76" w:rsidRDefault="0070375D" w:rsidP="00774D76">
            <w:pPr>
              <w:pStyle w:val="Tabletextheading"/>
              <w:rPr>
                <w:rFonts w:eastAsiaTheme="minorEastAsia"/>
                <w:lang w:eastAsia="en-AU"/>
              </w:rPr>
            </w:pPr>
            <w:r w:rsidRPr="00774D76">
              <w:rPr>
                <w:rFonts w:eastAsiaTheme="minorEastAsia"/>
                <w:lang w:eastAsia="en-AU"/>
              </w:rPr>
              <w:t>Estimate</w:t>
            </w:r>
          </w:p>
        </w:tc>
        <w:tc>
          <w:tcPr>
            <w:tcW w:w="893" w:type="dxa"/>
            <w:tcBorders>
              <w:top w:val="nil"/>
              <w:left w:val="nil"/>
              <w:bottom w:val="single" w:sz="4" w:space="0" w:color="auto"/>
              <w:right w:val="nil"/>
            </w:tcBorders>
            <w:shd w:val="clear" w:color="auto" w:fill="000000"/>
          </w:tcPr>
          <w:p w:rsidR="0070375D" w:rsidRPr="00774D76" w:rsidRDefault="0070375D" w:rsidP="00774D76">
            <w:pPr>
              <w:pStyle w:val="Tabletextheading"/>
              <w:rPr>
                <w:rFonts w:eastAsiaTheme="minorEastAsia"/>
                <w:lang w:eastAsia="en-AU"/>
              </w:rPr>
            </w:pPr>
            <w:r w:rsidRPr="00774D76">
              <w:rPr>
                <w:rFonts w:eastAsiaTheme="minorEastAsia"/>
                <w:lang w:eastAsia="en-AU"/>
              </w:rPr>
              <w:t>Estimate</w:t>
            </w:r>
          </w:p>
        </w:tc>
        <w:tc>
          <w:tcPr>
            <w:tcW w:w="893" w:type="dxa"/>
            <w:tcBorders>
              <w:top w:val="nil"/>
              <w:left w:val="nil"/>
              <w:bottom w:val="single" w:sz="4" w:space="0" w:color="auto"/>
              <w:right w:val="single" w:sz="4" w:space="0" w:color="auto"/>
            </w:tcBorders>
            <w:shd w:val="clear" w:color="auto" w:fill="000000"/>
          </w:tcPr>
          <w:p w:rsidR="0070375D" w:rsidRPr="00774D76" w:rsidRDefault="0070375D" w:rsidP="00774D76">
            <w:pPr>
              <w:pStyle w:val="Tabletextheading"/>
              <w:rPr>
                <w:rFonts w:eastAsiaTheme="minorEastAsia"/>
                <w:lang w:eastAsia="en-AU"/>
              </w:rPr>
            </w:pPr>
            <w:r w:rsidRPr="00774D76">
              <w:rPr>
                <w:rFonts w:eastAsiaTheme="minorEastAsia"/>
                <w:lang w:eastAsia="en-AU"/>
              </w:rPr>
              <w:t>Estimate</w:t>
            </w:r>
          </w:p>
        </w:tc>
      </w:tr>
      <w:tr w:rsidR="0070375D" w:rsidRPr="00774D76" w:rsidTr="00774D76">
        <w:tc>
          <w:tcPr>
            <w:tcW w:w="2597" w:type="dxa"/>
            <w:gridSpan w:val="2"/>
            <w:tcBorders>
              <w:top w:val="single" w:sz="4" w:space="0" w:color="auto"/>
              <w:left w:val="nil"/>
              <w:bottom w:val="nil"/>
              <w:right w:val="nil"/>
            </w:tcBorders>
          </w:tcPr>
          <w:p w:rsidR="0070375D" w:rsidRPr="00774D76" w:rsidRDefault="0070375D" w:rsidP="00774D76">
            <w:pPr>
              <w:pStyle w:val="Tabletext"/>
              <w:rPr>
                <w:rFonts w:eastAsiaTheme="minorEastAsia"/>
                <w:b/>
                <w:bCs/>
                <w:color w:val="000000"/>
                <w:lang w:eastAsia="en-AU"/>
              </w:rPr>
            </w:pPr>
            <w:r w:rsidRPr="00774D76">
              <w:rPr>
                <w:rFonts w:eastAsiaTheme="minorEastAsia"/>
                <w:b/>
                <w:bCs/>
                <w:color w:val="000000"/>
                <w:lang w:eastAsia="en-AU"/>
              </w:rPr>
              <w:t>Net result from transactions</w:t>
            </w:r>
          </w:p>
        </w:tc>
        <w:tc>
          <w:tcPr>
            <w:tcW w:w="715" w:type="dxa"/>
            <w:gridSpan w:val="2"/>
            <w:tcBorders>
              <w:top w:val="single" w:sz="4" w:space="0" w:color="auto"/>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 xml:space="preserve"> 571.2</w:t>
            </w:r>
          </w:p>
        </w:tc>
        <w:tc>
          <w:tcPr>
            <w:tcW w:w="892" w:type="dxa"/>
            <w:tcBorders>
              <w:top w:val="single" w:sz="4" w:space="0" w:color="auto"/>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 xml:space="preserve"> 177.0</w:t>
            </w:r>
          </w:p>
        </w:tc>
        <w:tc>
          <w:tcPr>
            <w:tcW w:w="893" w:type="dxa"/>
            <w:tcBorders>
              <w:top w:val="single" w:sz="4" w:space="0" w:color="auto"/>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 xml:space="preserve"> 224.5</w:t>
            </w:r>
          </w:p>
        </w:tc>
        <w:tc>
          <w:tcPr>
            <w:tcW w:w="893" w:type="dxa"/>
            <w:tcBorders>
              <w:top w:val="single" w:sz="4" w:space="0" w:color="auto"/>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 xml:space="preserve"> 398.7</w:t>
            </w:r>
          </w:p>
        </w:tc>
        <w:tc>
          <w:tcPr>
            <w:tcW w:w="893" w:type="dxa"/>
            <w:tcBorders>
              <w:top w:val="single" w:sz="4" w:space="0" w:color="auto"/>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1 927.7</w:t>
            </w:r>
          </w:p>
        </w:tc>
        <w:tc>
          <w:tcPr>
            <w:tcW w:w="893" w:type="dxa"/>
            <w:tcBorders>
              <w:top w:val="single" w:sz="4" w:space="0" w:color="auto"/>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2 547.4</w:t>
            </w:r>
          </w:p>
        </w:tc>
      </w:tr>
      <w:tr w:rsidR="0070375D" w:rsidRPr="00774D76" w:rsidTr="00774D76">
        <w:tc>
          <w:tcPr>
            <w:tcW w:w="2420" w:type="dxa"/>
            <w:tcBorders>
              <w:top w:val="nil"/>
              <w:left w:val="nil"/>
              <w:bottom w:val="single" w:sz="6" w:space="0" w:color="auto"/>
              <w:right w:val="nil"/>
            </w:tcBorders>
          </w:tcPr>
          <w:p w:rsidR="0070375D" w:rsidRPr="00774D76" w:rsidRDefault="0070375D" w:rsidP="00774D76">
            <w:pPr>
              <w:pStyle w:val="Tabletext"/>
              <w:rPr>
                <w:rFonts w:eastAsiaTheme="minorEastAsia"/>
                <w:color w:val="000000"/>
                <w:vertAlign w:val="superscript"/>
                <w:lang w:eastAsia="en-AU"/>
              </w:rPr>
            </w:pPr>
            <w:r w:rsidRPr="00774D76">
              <w:rPr>
                <w:rFonts w:eastAsiaTheme="minorEastAsia"/>
                <w:color w:val="000000"/>
                <w:lang w:eastAsia="en-AU"/>
              </w:rPr>
              <w:t>Add back: Non</w:t>
            </w:r>
            <w:r w:rsidR="00276239">
              <w:rPr>
                <w:rFonts w:eastAsiaTheme="minorEastAsia"/>
                <w:color w:val="000000"/>
                <w:lang w:eastAsia="en-AU"/>
              </w:rPr>
              <w:noBreakHyphen/>
            </w:r>
            <w:r w:rsidRPr="00774D76">
              <w:rPr>
                <w:rFonts w:eastAsiaTheme="minorEastAsia"/>
                <w:color w:val="000000"/>
                <w:lang w:eastAsia="en-AU"/>
              </w:rPr>
              <w:t xml:space="preserve">cash income and expenses (net) </w:t>
            </w:r>
            <w:r w:rsidRPr="00774D76">
              <w:rPr>
                <w:rFonts w:eastAsiaTheme="minorEastAsia"/>
                <w:color w:val="000000"/>
                <w:vertAlign w:val="superscript"/>
                <w:lang w:eastAsia="en-AU"/>
              </w:rPr>
              <w:t>(a)</w:t>
            </w:r>
          </w:p>
        </w:tc>
        <w:tc>
          <w:tcPr>
            <w:tcW w:w="892" w:type="dxa"/>
            <w:gridSpan w:val="3"/>
            <w:tcBorders>
              <w:top w:val="nil"/>
              <w:left w:val="nil"/>
              <w:bottom w:val="single" w:sz="6" w:space="0" w:color="auto"/>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2 186.3</w:t>
            </w:r>
          </w:p>
        </w:tc>
        <w:tc>
          <w:tcPr>
            <w:tcW w:w="892" w:type="dxa"/>
            <w:tcBorders>
              <w:top w:val="nil"/>
              <w:left w:val="nil"/>
              <w:bottom w:val="single" w:sz="6" w:space="0" w:color="auto"/>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1 548.6</w:t>
            </w:r>
          </w:p>
        </w:tc>
        <w:tc>
          <w:tcPr>
            <w:tcW w:w="893" w:type="dxa"/>
            <w:tcBorders>
              <w:top w:val="nil"/>
              <w:left w:val="nil"/>
              <w:bottom w:val="single" w:sz="6" w:space="0" w:color="auto"/>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2 507.1</w:t>
            </w:r>
          </w:p>
        </w:tc>
        <w:tc>
          <w:tcPr>
            <w:tcW w:w="893" w:type="dxa"/>
            <w:tcBorders>
              <w:top w:val="nil"/>
              <w:left w:val="nil"/>
              <w:bottom w:val="single" w:sz="6" w:space="0" w:color="auto"/>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2 688.1</w:t>
            </w:r>
          </w:p>
        </w:tc>
        <w:tc>
          <w:tcPr>
            <w:tcW w:w="893" w:type="dxa"/>
            <w:tcBorders>
              <w:top w:val="nil"/>
              <w:left w:val="nil"/>
              <w:bottom w:val="single" w:sz="6" w:space="0" w:color="auto"/>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2 743.3</w:t>
            </w:r>
          </w:p>
        </w:tc>
        <w:tc>
          <w:tcPr>
            <w:tcW w:w="893" w:type="dxa"/>
            <w:tcBorders>
              <w:top w:val="nil"/>
              <w:left w:val="nil"/>
              <w:bottom w:val="single" w:sz="6" w:space="0" w:color="auto"/>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2 731.4</w:t>
            </w:r>
          </w:p>
        </w:tc>
      </w:tr>
      <w:tr w:rsidR="0070375D" w:rsidRPr="00774D76" w:rsidTr="00774D76">
        <w:tc>
          <w:tcPr>
            <w:tcW w:w="2420" w:type="dxa"/>
            <w:tcBorders>
              <w:top w:val="single" w:sz="6" w:space="0" w:color="auto"/>
              <w:left w:val="nil"/>
              <w:bottom w:val="nil"/>
              <w:right w:val="nil"/>
            </w:tcBorders>
          </w:tcPr>
          <w:p w:rsidR="0070375D" w:rsidRPr="00774D76" w:rsidRDefault="0070375D" w:rsidP="00774D76">
            <w:pPr>
              <w:pStyle w:val="Tabletext"/>
              <w:rPr>
                <w:rFonts w:eastAsiaTheme="minorEastAsia"/>
                <w:b/>
                <w:bCs/>
                <w:color w:val="000000"/>
                <w:lang w:eastAsia="en-AU"/>
              </w:rPr>
            </w:pPr>
            <w:r w:rsidRPr="00774D76">
              <w:rPr>
                <w:rFonts w:eastAsiaTheme="minorEastAsia"/>
                <w:b/>
                <w:bCs/>
                <w:color w:val="000000"/>
                <w:lang w:eastAsia="en-AU"/>
              </w:rPr>
              <w:t xml:space="preserve">Net cash flows from operating activities </w:t>
            </w:r>
          </w:p>
        </w:tc>
        <w:tc>
          <w:tcPr>
            <w:tcW w:w="892" w:type="dxa"/>
            <w:gridSpan w:val="3"/>
            <w:tcBorders>
              <w:top w:val="nil"/>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2 757.5</w:t>
            </w:r>
          </w:p>
        </w:tc>
        <w:tc>
          <w:tcPr>
            <w:tcW w:w="892" w:type="dxa"/>
            <w:tcBorders>
              <w:top w:val="nil"/>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1 725.6</w:t>
            </w:r>
          </w:p>
        </w:tc>
        <w:tc>
          <w:tcPr>
            <w:tcW w:w="893" w:type="dxa"/>
            <w:tcBorders>
              <w:top w:val="nil"/>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2 731.6</w:t>
            </w:r>
          </w:p>
        </w:tc>
        <w:tc>
          <w:tcPr>
            <w:tcW w:w="893" w:type="dxa"/>
            <w:tcBorders>
              <w:top w:val="nil"/>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3 086.9</w:t>
            </w:r>
          </w:p>
        </w:tc>
        <w:tc>
          <w:tcPr>
            <w:tcW w:w="893" w:type="dxa"/>
            <w:tcBorders>
              <w:top w:val="nil"/>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4 671.0</w:t>
            </w:r>
          </w:p>
        </w:tc>
        <w:tc>
          <w:tcPr>
            <w:tcW w:w="893" w:type="dxa"/>
            <w:tcBorders>
              <w:top w:val="nil"/>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5 278.8</w:t>
            </w:r>
          </w:p>
        </w:tc>
      </w:tr>
      <w:tr w:rsidR="0070375D" w:rsidRPr="00774D76" w:rsidTr="00774D76">
        <w:tc>
          <w:tcPr>
            <w:tcW w:w="2420" w:type="dxa"/>
            <w:tcBorders>
              <w:top w:val="nil"/>
              <w:left w:val="nil"/>
              <w:bottom w:val="nil"/>
              <w:right w:val="nil"/>
            </w:tcBorders>
          </w:tcPr>
          <w:p w:rsidR="0070375D" w:rsidRPr="00774D76" w:rsidRDefault="0070375D" w:rsidP="00774D76">
            <w:pPr>
              <w:pStyle w:val="Tabletext"/>
              <w:rPr>
                <w:rFonts w:eastAsiaTheme="minorEastAsia"/>
                <w:color w:val="000000"/>
                <w:lang w:eastAsia="en-AU"/>
              </w:rPr>
            </w:pPr>
            <w:r w:rsidRPr="00774D76">
              <w:rPr>
                <w:rFonts w:eastAsiaTheme="minorEastAsia"/>
                <w:color w:val="000000"/>
                <w:lang w:eastAsia="en-AU"/>
              </w:rPr>
              <w:t>Less:</w:t>
            </w:r>
          </w:p>
        </w:tc>
        <w:tc>
          <w:tcPr>
            <w:tcW w:w="892" w:type="dxa"/>
            <w:gridSpan w:val="3"/>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w:t>
            </w:r>
          </w:p>
        </w:tc>
        <w:tc>
          <w:tcPr>
            <w:tcW w:w="892"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w:t>
            </w:r>
          </w:p>
        </w:tc>
        <w:tc>
          <w:tcPr>
            <w:tcW w:w="893"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w:t>
            </w:r>
          </w:p>
        </w:tc>
        <w:tc>
          <w:tcPr>
            <w:tcW w:w="893"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w:t>
            </w:r>
          </w:p>
        </w:tc>
        <w:tc>
          <w:tcPr>
            <w:tcW w:w="893"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w:t>
            </w:r>
          </w:p>
        </w:tc>
        <w:tc>
          <w:tcPr>
            <w:tcW w:w="893" w:type="dxa"/>
            <w:tcBorders>
              <w:top w:val="nil"/>
              <w:left w:val="nil"/>
              <w:bottom w:val="nil"/>
              <w:right w:val="nil"/>
            </w:tcBorders>
          </w:tcPr>
          <w:p w:rsidR="0070375D" w:rsidRPr="00774D76" w:rsidRDefault="0070375D" w:rsidP="00774D76">
            <w:pPr>
              <w:pStyle w:val="TableofFigures"/>
              <w:rPr>
                <w:rFonts w:eastAsiaTheme="minorEastAsia"/>
                <w:color w:val="000000"/>
                <w:szCs w:val="22"/>
                <w:lang w:eastAsia="en-AU"/>
              </w:rPr>
            </w:pPr>
          </w:p>
        </w:tc>
      </w:tr>
      <w:tr w:rsidR="0070375D" w:rsidRPr="00774D76" w:rsidTr="00774D76">
        <w:tc>
          <w:tcPr>
            <w:tcW w:w="3206" w:type="dxa"/>
            <w:gridSpan w:val="3"/>
            <w:tcBorders>
              <w:top w:val="nil"/>
              <w:left w:val="nil"/>
              <w:bottom w:val="nil"/>
              <w:right w:val="nil"/>
            </w:tcBorders>
          </w:tcPr>
          <w:p w:rsidR="0070375D" w:rsidRPr="00774D76" w:rsidRDefault="0070375D" w:rsidP="00774D76">
            <w:pPr>
              <w:pStyle w:val="Tabletext"/>
              <w:rPr>
                <w:rFonts w:eastAsiaTheme="minorEastAsia"/>
                <w:b/>
                <w:bCs/>
                <w:color w:val="000000"/>
                <w:lang w:eastAsia="en-AU"/>
              </w:rPr>
            </w:pPr>
            <w:r w:rsidRPr="00774D76">
              <w:rPr>
                <w:rFonts w:eastAsiaTheme="minorEastAsia"/>
                <w:b/>
                <w:bCs/>
                <w:color w:val="000000"/>
                <w:lang w:eastAsia="en-AU"/>
              </w:rPr>
              <w:t>Net investment in fixed assets</w:t>
            </w:r>
          </w:p>
        </w:tc>
        <w:tc>
          <w:tcPr>
            <w:tcW w:w="106" w:type="dxa"/>
            <w:tcBorders>
              <w:top w:val="nil"/>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 xml:space="preserve"> </w:t>
            </w:r>
          </w:p>
        </w:tc>
        <w:tc>
          <w:tcPr>
            <w:tcW w:w="892"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w:t>
            </w:r>
          </w:p>
        </w:tc>
        <w:tc>
          <w:tcPr>
            <w:tcW w:w="893"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w:t>
            </w:r>
          </w:p>
        </w:tc>
        <w:tc>
          <w:tcPr>
            <w:tcW w:w="893"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w:t>
            </w:r>
          </w:p>
        </w:tc>
        <w:tc>
          <w:tcPr>
            <w:tcW w:w="893"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w:t>
            </w:r>
          </w:p>
        </w:tc>
        <w:tc>
          <w:tcPr>
            <w:tcW w:w="893" w:type="dxa"/>
            <w:tcBorders>
              <w:top w:val="nil"/>
              <w:left w:val="nil"/>
              <w:bottom w:val="nil"/>
              <w:right w:val="nil"/>
            </w:tcBorders>
          </w:tcPr>
          <w:p w:rsidR="0070375D" w:rsidRPr="00774D76" w:rsidRDefault="0070375D" w:rsidP="00774D76">
            <w:pPr>
              <w:pStyle w:val="TableofFigures"/>
              <w:rPr>
                <w:rFonts w:eastAsiaTheme="minorEastAsia"/>
                <w:color w:val="000000"/>
                <w:szCs w:val="22"/>
                <w:lang w:eastAsia="en-AU"/>
              </w:rPr>
            </w:pPr>
          </w:p>
        </w:tc>
      </w:tr>
      <w:tr w:rsidR="0070375D" w:rsidRPr="00774D76" w:rsidTr="00774D76">
        <w:tc>
          <w:tcPr>
            <w:tcW w:w="2420" w:type="dxa"/>
            <w:tcBorders>
              <w:top w:val="nil"/>
              <w:left w:val="nil"/>
              <w:bottom w:val="nil"/>
              <w:right w:val="nil"/>
            </w:tcBorders>
          </w:tcPr>
          <w:p w:rsidR="0070375D" w:rsidRPr="00774D76" w:rsidRDefault="0070375D" w:rsidP="00774D76">
            <w:pPr>
              <w:pStyle w:val="Tabletext"/>
              <w:rPr>
                <w:rFonts w:eastAsiaTheme="minorEastAsia"/>
                <w:color w:val="000000"/>
                <w:lang w:eastAsia="en-AU"/>
              </w:rPr>
            </w:pPr>
            <w:r w:rsidRPr="00774D76">
              <w:rPr>
                <w:rFonts w:eastAsiaTheme="minorEastAsia"/>
                <w:color w:val="000000"/>
                <w:lang w:eastAsia="en-AU"/>
              </w:rPr>
              <w:t>Purchases of non</w:t>
            </w:r>
            <w:r w:rsidR="00276239">
              <w:rPr>
                <w:rFonts w:eastAsiaTheme="minorEastAsia"/>
                <w:color w:val="000000"/>
                <w:lang w:eastAsia="en-AU"/>
              </w:rPr>
              <w:noBreakHyphen/>
            </w:r>
            <w:r w:rsidRPr="00774D76">
              <w:rPr>
                <w:rFonts w:eastAsiaTheme="minorEastAsia"/>
                <w:color w:val="000000"/>
                <w:lang w:eastAsia="en-AU"/>
              </w:rPr>
              <w:t>financial assets</w:t>
            </w:r>
          </w:p>
        </w:tc>
        <w:tc>
          <w:tcPr>
            <w:tcW w:w="892" w:type="dxa"/>
            <w:gridSpan w:val="3"/>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3 564.9</w:t>
            </w:r>
          </w:p>
        </w:tc>
        <w:tc>
          <w:tcPr>
            <w:tcW w:w="892"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4 088.5</w:t>
            </w:r>
          </w:p>
        </w:tc>
        <w:tc>
          <w:tcPr>
            <w:tcW w:w="893"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4 868.9</w:t>
            </w:r>
          </w:p>
        </w:tc>
        <w:tc>
          <w:tcPr>
            <w:tcW w:w="893"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3 911.1</w:t>
            </w:r>
          </w:p>
        </w:tc>
        <w:tc>
          <w:tcPr>
            <w:tcW w:w="893"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2 840.5</w:t>
            </w:r>
          </w:p>
        </w:tc>
        <w:tc>
          <w:tcPr>
            <w:tcW w:w="893"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3 033.9</w:t>
            </w:r>
          </w:p>
        </w:tc>
      </w:tr>
      <w:tr w:rsidR="0070375D" w:rsidRPr="00774D76" w:rsidTr="00774D76">
        <w:tc>
          <w:tcPr>
            <w:tcW w:w="2420" w:type="dxa"/>
            <w:tcBorders>
              <w:top w:val="nil"/>
              <w:left w:val="nil"/>
              <w:bottom w:val="nil"/>
              <w:right w:val="nil"/>
            </w:tcBorders>
          </w:tcPr>
          <w:p w:rsidR="0070375D" w:rsidRPr="00774D76" w:rsidRDefault="0070375D" w:rsidP="00774D76">
            <w:pPr>
              <w:pStyle w:val="Tabletext"/>
              <w:rPr>
                <w:rFonts w:eastAsiaTheme="minorEastAsia"/>
                <w:color w:val="000000"/>
                <w:lang w:eastAsia="en-AU"/>
              </w:rPr>
            </w:pPr>
            <w:r w:rsidRPr="00774D76">
              <w:rPr>
                <w:rFonts w:eastAsiaTheme="minorEastAsia"/>
                <w:color w:val="000000"/>
                <w:lang w:eastAsia="en-AU"/>
              </w:rPr>
              <w:t>Net cash flows from investments in financial assets for policy purposes</w:t>
            </w:r>
          </w:p>
        </w:tc>
        <w:tc>
          <w:tcPr>
            <w:tcW w:w="892" w:type="dxa"/>
            <w:gridSpan w:val="3"/>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1 831.1</w:t>
            </w:r>
          </w:p>
        </w:tc>
        <w:tc>
          <w:tcPr>
            <w:tcW w:w="892"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1 521.7</w:t>
            </w:r>
          </w:p>
        </w:tc>
        <w:tc>
          <w:tcPr>
            <w:tcW w:w="893"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1 377.3</w:t>
            </w:r>
          </w:p>
        </w:tc>
        <w:tc>
          <w:tcPr>
            <w:tcW w:w="893"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1 399.4</w:t>
            </w:r>
          </w:p>
        </w:tc>
        <w:tc>
          <w:tcPr>
            <w:tcW w:w="893"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47.2</w:t>
            </w:r>
          </w:p>
        </w:tc>
        <w:tc>
          <w:tcPr>
            <w:tcW w:w="893"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112.8</w:t>
            </w:r>
          </w:p>
        </w:tc>
      </w:tr>
      <w:tr w:rsidR="0070375D" w:rsidRPr="00774D76" w:rsidTr="00774D76">
        <w:tc>
          <w:tcPr>
            <w:tcW w:w="2420" w:type="dxa"/>
            <w:tcBorders>
              <w:top w:val="nil"/>
              <w:left w:val="nil"/>
              <w:bottom w:val="nil"/>
              <w:right w:val="nil"/>
            </w:tcBorders>
          </w:tcPr>
          <w:p w:rsidR="0070375D" w:rsidRPr="00774D76" w:rsidRDefault="0070375D" w:rsidP="00774D76">
            <w:pPr>
              <w:pStyle w:val="Tabletext"/>
              <w:rPr>
                <w:rFonts w:eastAsiaTheme="minorEastAsia"/>
                <w:color w:val="000000"/>
                <w:vertAlign w:val="superscript"/>
                <w:lang w:eastAsia="en-AU"/>
              </w:rPr>
            </w:pPr>
            <w:r w:rsidRPr="00774D76">
              <w:rPr>
                <w:rFonts w:eastAsiaTheme="minorEastAsia"/>
                <w:color w:val="000000"/>
                <w:lang w:eastAsia="en-AU"/>
              </w:rPr>
              <w:t xml:space="preserve">Capital provision approved but not yet allocated </w:t>
            </w:r>
            <w:r w:rsidRPr="00774D76">
              <w:rPr>
                <w:rFonts w:eastAsiaTheme="minorEastAsia"/>
                <w:color w:val="000000"/>
                <w:vertAlign w:val="superscript"/>
                <w:lang w:eastAsia="en-AU"/>
              </w:rPr>
              <w:t>(b)</w:t>
            </w:r>
          </w:p>
        </w:tc>
        <w:tc>
          <w:tcPr>
            <w:tcW w:w="892" w:type="dxa"/>
            <w:gridSpan w:val="3"/>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w:t>
            </w:r>
          </w:p>
        </w:tc>
        <w:tc>
          <w:tcPr>
            <w:tcW w:w="892"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w:t>
            </w:r>
          </w:p>
        </w:tc>
        <w:tc>
          <w:tcPr>
            <w:tcW w:w="893"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w:t>
            </w:r>
          </w:p>
        </w:tc>
        <w:tc>
          <w:tcPr>
            <w:tcW w:w="893"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225.6</w:t>
            </w:r>
          </w:p>
        </w:tc>
        <w:tc>
          <w:tcPr>
            <w:tcW w:w="893"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504.2</w:t>
            </w:r>
          </w:p>
        </w:tc>
        <w:tc>
          <w:tcPr>
            <w:tcW w:w="893"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818.1</w:t>
            </w:r>
          </w:p>
        </w:tc>
      </w:tr>
      <w:tr w:rsidR="0070375D" w:rsidRPr="00774D76" w:rsidTr="00774D76">
        <w:tc>
          <w:tcPr>
            <w:tcW w:w="2420" w:type="dxa"/>
            <w:tcBorders>
              <w:top w:val="nil"/>
              <w:left w:val="nil"/>
              <w:bottom w:val="nil"/>
              <w:right w:val="nil"/>
            </w:tcBorders>
          </w:tcPr>
          <w:p w:rsidR="0070375D" w:rsidRPr="00774D76" w:rsidRDefault="0070375D" w:rsidP="00774D76">
            <w:pPr>
              <w:pStyle w:val="Tabletext"/>
              <w:rPr>
                <w:rFonts w:eastAsiaTheme="minorEastAsia"/>
                <w:color w:val="000000"/>
                <w:lang w:eastAsia="en-AU"/>
              </w:rPr>
            </w:pPr>
            <w:r w:rsidRPr="00774D76">
              <w:rPr>
                <w:rFonts w:eastAsiaTheme="minorEastAsia"/>
                <w:color w:val="000000"/>
                <w:lang w:eastAsia="en-AU"/>
              </w:rPr>
              <w:t>Proceeds from asset sales</w:t>
            </w:r>
          </w:p>
        </w:tc>
        <w:tc>
          <w:tcPr>
            <w:tcW w:w="892" w:type="dxa"/>
            <w:gridSpan w:val="3"/>
            <w:tcBorders>
              <w:top w:val="nil"/>
              <w:left w:val="nil"/>
              <w:bottom w:val="single" w:sz="6" w:space="0" w:color="auto"/>
              <w:right w:val="nil"/>
            </w:tcBorders>
          </w:tcPr>
          <w:p w:rsidR="0070375D" w:rsidRPr="00774D76" w:rsidRDefault="002714D4" w:rsidP="00774D76">
            <w:pPr>
              <w:pStyle w:val="TableofFigures"/>
              <w:rPr>
                <w:rFonts w:eastAsiaTheme="minorEastAsia"/>
                <w:b/>
                <w:bCs/>
                <w:color w:val="000000"/>
                <w:lang w:eastAsia="en-AU"/>
              </w:rPr>
            </w:pPr>
            <w:r>
              <w:rPr>
                <w:rFonts w:eastAsiaTheme="minorEastAsia"/>
                <w:b/>
                <w:bCs/>
                <w:color w:val="000000"/>
                <w:lang w:eastAsia="en-AU"/>
              </w:rPr>
              <w:t>(</w:t>
            </w:r>
            <w:r w:rsidR="0070375D" w:rsidRPr="00774D76">
              <w:rPr>
                <w:rFonts w:eastAsiaTheme="minorEastAsia"/>
                <w:b/>
                <w:bCs/>
                <w:color w:val="000000"/>
                <w:lang w:eastAsia="en-AU"/>
              </w:rPr>
              <w:t>167.1)</w:t>
            </w:r>
          </w:p>
        </w:tc>
        <w:tc>
          <w:tcPr>
            <w:tcW w:w="892" w:type="dxa"/>
            <w:tcBorders>
              <w:top w:val="nil"/>
              <w:left w:val="nil"/>
              <w:bottom w:val="single" w:sz="6" w:space="0" w:color="auto"/>
              <w:right w:val="nil"/>
            </w:tcBorders>
          </w:tcPr>
          <w:p w:rsidR="0070375D" w:rsidRPr="00774D76" w:rsidRDefault="002714D4" w:rsidP="00774D76">
            <w:pPr>
              <w:pStyle w:val="TableofFigures"/>
              <w:rPr>
                <w:rFonts w:eastAsiaTheme="minorEastAsia"/>
                <w:b/>
                <w:bCs/>
                <w:color w:val="000000"/>
                <w:lang w:eastAsia="en-AU"/>
              </w:rPr>
            </w:pPr>
            <w:r>
              <w:rPr>
                <w:rFonts w:eastAsiaTheme="minorEastAsia"/>
                <w:b/>
                <w:bCs/>
                <w:color w:val="000000"/>
                <w:lang w:eastAsia="en-AU"/>
              </w:rPr>
              <w:t>(</w:t>
            </w:r>
            <w:r w:rsidR="0070375D" w:rsidRPr="00774D76">
              <w:rPr>
                <w:rFonts w:eastAsiaTheme="minorEastAsia"/>
                <w:b/>
                <w:bCs/>
                <w:color w:val="000000"/>
                <w:lang w:eastAsia="en-AU"/>
              </w:rPr>
              <w:t>405.7)</w:t>
            </w:r>
          </w:p>
        </w:tc>
        <w:tc>
          <w:tcPr>
            <w:tcW w:w="893" w:type="dxa"/>
            <w:tcBorders>
              <w:top w:val="nil"/>
              <w:left w:val="nil"/>
              <w:bottom w:val="single" w:sz="6" w:space="0" w:color="auto"/>
              <w:right w:val="nil"/>
            </w:tcBorders>
          </w:tcPr>
          <w:p w:rsidR="0070375D" w:rsidRPr="00774D76" w:rsidRDefault="002714D4" w:rsidP="00774D76">
            <w:pPr>
              <w:pStyle w:val="TableofFigures"/>
              <w:rPr>
                <w:rFonts w:eastAsiaTheme="minorEastAsia"/>
                <w:b/>
                <w:bCs/>
                <w:color w:val="000000"/>
                <w:lang w:eastAsia="en-AU"/>
              </w:rPr>
            </w:pPr>
            <w:r>
              <w:rPr>
                <w:rFonts w:eastAsiaTheme="minorEastAsia"/>
                <w:b/>
                <w:bCs/>
                <w:color w:val="000000"/>
                <w:lang w:eastAsia="en-AU"/>
              </w:rPr>
              <w:t>(</w:t>
            </w:r>
            <w:r w:rsidR="0070375D" w:rsidRPr="00774D76">
              <w:rPr>
                <w:rFonts w:eastAsiaTheme="minorEastAsia"/>
                <w:b/>
                <w:bCs/>
                <w:color w:val="000000"/>
                <w:lang w:eastAsia="en-AU"/>
              </w:rPr>
              <w:t>420.2)</w:t>
            </w:r>
          </w:p>
        </w:tc>
        <w:tc>
          <w:tcPr>
            <w:tcW w:w="893" w:type="dxa"/>
            <w:tcBorders>
              <w:top w:val="nil"/>
              <w:left w:val="nil"/>
              <w:bottom w:val="single" w:sz="6" w:space="0" w:color="auto"/>
              <w:right w:val="nil"/>
            </w:tcBorders>
          </w:tcPr>
          <w:p w:rsidR="0070375D" w:rsidRPr="00774D76" w:rsidRDefault="002714D4" w:rsidP="00774D76">
            <w:pPr>
              <w:pStyle w:val="TableofFigures"/>
              <w:rPr>
                <w:rFonts w:eastAsiaTheme="minorEastAsia"/>
                <w:b/>
                <w:bCs/>
                <w:color w:val="000000"/>
                <w:lang w:eastAsia="en-AU"/>
              </w:rPr>
            </w:pPr>
            <w:r>
              <w:rPr>
                <w:rFonts w:eastAsiaTheme="minorEastAsia"/>
                <w:b/>
                <w:bCs/>
                <w:color w:val="000000"/>
                <w:lang w:eastAsia="en-AU"/>
              </w:rPr>
              <w:t>(</w:t>
            </w:r>
            <w:r w:rsidR="0070375D" w:rsidRPr="00774D76">
              <w:rPr>
                <w:rFonts w:eastAsiaTheme="minorEastAsia"/>
                <w:b/>
                <w:bCs/>
                <w:color w:val="000000"/>
                <w:lang w:eastAsia="en-AU"/>
              </w:rPr>
              <w:t>434.3)</w:t>
            </w:r>
          </w:p>
        </w:tc>
        <w:tc>
          <w:tcPr>
            <w:tcW w:w="893" w:type="dxa"/>
            <w:tcBorders>
              <w:top w:val="nil"/>
              <w:left w:val="nil"/>
              <w:bottom w:val="single" w:sz="6" w:space="0" w:color="auto"/>
              <w:right w:val="nil"/>
            </w:tcBorders>
          </w:tcPr>
          <w:p w:rsidR="0070375D" w:rsidRPr="00774D76" w:rsidRDefault="002714D4" w:rsidP="00774D76">
            <w:pPr>
              <w:pStyle w:val="TableofFigures"/>
              <w:rPr>
                <w:rFonts w:eastAsiaTheme="minorEastAsia"/>
                <w:b/>
                <w:bCs/>
                <w:color w:val="000000"/>
                <w:lang w:eastAsia="en-AU"/>
              </w:rPr>
            </w:pPr>
            <w:r>
              <w:rPr>
                <w:rFonts w:eastAsiaTheme="minorEastAsia"/>
                <w:b/>
                <w:bCs/>
                <w:color w:val="000000"/>
                <w:lang w:eastAsia="en-AU"/>
              </w:rPr>
              <w:t>(</w:t>
            </w:r>
            <w:r w:rsidR="0070375D" w:rsidRPr="00774D76">
              <w:rPr>
                <w:rFonts w:eastAsiaTheme="minorEastAsia"/>
                <w:b/>
                <w:bCs/>
                <w:color w:val="000000"/>
                <w:lang w:eastAsia="en-AU"/>
              </w:rPr>
              <w:t>500.8)</w:t>
            </w:r>
          </w:p>
        </w:tc>
        <w:tc>
          <w:tcPr>
            <w:tcW w:w="893" w:type="dxa"/>
            <w:tcBorders>
              <w:top w:val="nil"/>
              <w:left w:val="nil"/>
              <w:bottom w:val="single" w:sz="6" w:space="0" w:color="auto"/>
              <w:right w:val="nil"/>
            </w:tcBorders>
          </w:tcPr>
          <w:p w:rsidR="0070375D" w:rsidRPr="00774D76" w:rsidRDefault="002714D4" w:rsidP="00774D76">
            <w:pPr>
              <w:pStyle w:val="TableofFigures"/>
              <w:rPr>
                <w:rFonts w:eastAsiaTheme="minorEastAsia"/>
                <w:b/>
                <w:bCs/>
                <w:color w:val="000000"/>
                <w:lang w:eastAsia="en-AU"/>
              </w:rPr>
            </w:pPr>
            <w:r>
              <w:rPr>
                <w:rFonts w:eastAsiaTheme="minorEastAsia"/>
                <w:b/>
                <w:bCs/>
                <w:color w:val="000000"/>
                <w:lang w:eastAsia="en-AU"/>
              </w:rPr>
              <w:t>(</w:t>
            </w:r>
            <w:r w:rsidR="0070375D" w:rsidRPr="00774D76">
              <w:rPr>
                <w:rFonts w:eastAsiaTheme="minorEastAsia"/>
                <w:b/>
                <w:bCs/>
                <w:color w:val="000000"/>
                <w:lang w:eastAsia="en-AU"/>
              </w:rPr>
              <w:t>437.0)</w:t>
            </w:r>
          </w:p>
        </w:tc>
      </w:tr>
      <w:tr w:rsidR="0070375D" w:rsidRPr="00774D76" w:rsidTr="00774D76">
        <w:tc>
          <w:tcPr>
            <w:tcW w:w="2420" w:type="dxa"/>
            <w:tcBorders>
              <w:top w:val="single" w:sz="6" w:space="0" w:color="auto"/>
              <w:left w:val="nil"/>
              <w:bottom w:val="nil"/>
              <w:right w:val="nil"/>
            </w:tcBorders>
          </w:tcPr>
          <w:p w:rsidR="0070375D" w:rsidRPr="00774D76" w:rsidRDefault="0070375D" w:rsidP="00774D76">
            <w:pPr>
              <w:pStyle w:val="Tabletext"/>
              <w:rPr>
                <w:rFonts w:eastAsiaTheme="minorEastAsia"/>
                <w:b/>
                <w:bCs/>
                <w:color w:val="000000"/>
                <w:vertAlign w:val="superscript"/>
                <w:lang w:eastAsia="en-AU"/>
              </w:rPr>
            </w:pPr>
            <w:r w:rsidRPr="00774D76">
              <w:rPr>
                <w:rFonts w:eastAsiaTheme="minorEastAsia"/>
                <w:b/>
                <w:bCs/>
                <w:color w:val="000000"/>
                <w:lang w:eastAsia="en-AU"/>
              </w:rPr>
              <w:t>Total net investment in fixed assets</w:t>
            </w:r>
            <w:r w:rsidRPr="00774D76">
              <w:rPr>
                <w:rFonts w:eastAsiaTheme="minorEastAsia"/>
                <w:b/>
                <w:bCs/>
                <w:color w:val="000000"/>
                <w:vertAlign w:val="superscript"/>
                <w:lang w:eastAsia="en-AU"/>
              </w:rPr>
              <w:t xml:space="preserve"> (c)</w:t>
            </w:r>
          </w:p>
        </w:tc>
        <w:tc>
          <w:tcPr>
            <w:tcW w:w="892" w:type="dxa"/>
            <w:gridSpan w:val="3"/>
            <w:tcBorders>
              <w:top w:val="nil"/>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5 228.9</w:t>
            </w:r>
          </w:p>
        </w:tc>
        <w:tc>
          <w:tcPr>
            <w:tcW w:w="892" w:type="dxa"/>
            <w:tcBorders>
              <w:top w:val="nil"/>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5 204.5</w:t>
            </w:r>
          </w:p>
        </w:tc>
        <w:tc>
          <w:tcPr>
            <w:tcW w:w="893" w:type="dxa"/>
            <w:tcBorders>
              <w:top w:val="nil"/>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5 826.0</w:t>
            </w:r>
          </w:p>
        </w:tc>
        <w:tc>
          <w:tcPr>
            <w:tcW w:w="893" w:type="dxa"/>
            <w:tcBorders>
              <w:top w:val="nil"/>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5 101.8</w:t>
            </w:r>
          </w:p>
        </w:tc>
        <w:tc>
          <w:tcPr>
            <w:tcW w:w="893" w:type="dxa"/>
            <w:tcBorders>
              <w:top w:val="nil"/>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2 891.0</w:t>
            </w:r>
          </w:p>
        </w:tc>
        <w:tc>
          <w:tcPr>
            <w:tcW w:w="893" w:type="dxa"/>
            <w:tcBorders>
              <w:top w:val="nil"/>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3 527.8</w:t>
            </w:r>
          </w:p>
        </w:tc>
      </w:tr>
      <w:tr w:rsidR="0070375D" w:rsidRPr="00774D76" w:rsidTr="00774D76">
        <w:tc>
          <w:tcPr>
            <w:tcW w:w="2420" w:type="dxa"/>
            <w:tcBorders>
              <w:top w:val="nil"/>
              <w:left w:val="nil"/>
              <w:bottom w:val="nil"/>
              <w:right w:val="nil"/>
            </w:tcBorders>
          </w:tcPr>
          <w:p w:rsidR="0070375D" w:rsidRPr="00774D76" w:rsidRDefault="0070375D" w:rsidP="00774D76">
            <w:pPr>
              <w:pStyle w:val="Tabletext"/>
              <w:rPr>
                <w:rFonts w:eastAsiaTheme="minorEastAsia"/>
                <w:color w:val="000000"/>
                <w:vertAlign w:val="superscript"/>
                <w:lang w:eastAsia="en-AU"/>
              </w:rPr>
            </w:pPr>
            <w:r w:rsidRPr="00774D76">
              <w:rPr>
                <w:rFonts w:eastAsiaTheme="minorEastAsia"/>
                <w:color w:val="000000"/>
                <w:lang w:eastAsia="en-AU"/>
              </w:rPr>
              <w:t xml:space="preserve">Finance leases </w:t>
            </w:r>
            <w:r w:rsidRPr="00774D76">
              <w:rPr>
                <w:rFonts w:eastAsiaTheme="minorEastAsia"/>
                <w:color w:val="000000"/>
                <w:vertAlign w:val="superscript"/>
                <w:lang w:eastAsia="en-AU"/>
              </w:rPr>
              <w:t>(d)</w:t>
            </w:r>
          </w:p>
        </w:tc>
        <w:tc>
          <w:tcPr>
            <w:tcW w:w="892" w:type="dxa"/>
            <w:gridSpan w:val="3"/>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916.0</w:t>
            </w:r>
          </w:p>
        </w:tc>
        <w:tc>
          <w:tcPr>
            <w:tcW w:w="892"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1 055.3</w:t>
            </w:r>
          </w:p>
        </w:tc>
        <w:tc>
          <w:tcPr>
            <w:tcW w:w="893"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w:t>
            </w:r>
          </w:p>
        </w:tc>
        <w:tc>
          <w:tcPr>
            <w:tcW w:w="893"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w:t>
            </w:r>
          </w:p>
        </w:tc>
        <w:tc>
          <w:tcPr>
            <w:tcW w:w="893"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1 050.4</w:t>
            </w:r>
          </w:p>
        </w:tc>
        <w:tc>
          <w:tcPr>
            <w:tcW w:w="893"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w:t>
            </w:r>
          </w:p>
        </w:tc>
      </w:tr>
      <w:tr w:rsidR="0070375D" w:rsidRPr="00774D76" w:rsidTr="00774D76">
        <w:tc>
          <w:tcPr>
            <w:tcW w:w="2420" w:type="dxa"/>
            <w:tcBorders>
              <w:top w:val="nil"/>
              <w:left w:val="nil"/>
              <w:bottom w:val="single" w:sz="6" w:space="0" w:color="auto"/>
              <w:right w:val="nil"/>
            </w:tcBorders>
          </w:tcPr>
          <w:p w:rsidR="0070375D" w:rsidRPr="00774D76" w:rsidRDefault="0070375D" w:rsidP="00774D76">
            <w:pPr>
              <w:pStyle w:val="Tabletext"/>
              <w:rPr>
                <w:rFonts w:eastAsiaTheme="minorEastAsia"/>
                <w:color w:val="000000"/>
                <w:lang w:eastAsia="en-AU"/>
              </w:rPr>
            </w:pPr>
            <w:r w:rsidRPr="00774D76">
              <w:rPr>
                <w:rFonts w:eastAsiaTheme="minorEastAsia"/>
                <w:color w:val="000000"/>
                <w:lang w:eastAsia="en-AU"/>
              </w:rPr>
              <w:t>Other investment activities (net)</w:t>
            </w:r>
          </w:p>
        </w:tc>
        <w:tc>
          <w:tcPr>
            <w:tcW w:w="892" w:type="dxa"/>
            <w:gridSpan w:val="3"/>
            <w:tcBorders>
              <w:top w:val="nil"/>
              <w:left w:val="nil"/>
              <w:bottom w:val="single" w:sz="6" w:space="0" w:color="auto"/>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12.7</w:t>
            </w:r>
          </w:p>
        </w:tc>
        <w:tc>
          <w:tcPr>
            <w:tcW w:w="892" w:type="dxa"/>
            <w:tcBorders>
              <w:top w:val="nil"/>
              <w:left w:val="nil"/>
              <w:bottom w:val="single" w:sz="6" w:space="0" w:color="auto"/>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69.2</w:t>
            </w:r>
          </w:p>
        </w:tc>
        <w:tc>
          <w:tcPr>
            <w:tcW w:w="893" w:type="dxa"/>
            <w:tcBorders>
              <w:top w:val="nil"/>
              <w:left w:val="nil"/>
              <w:bottom w:val="single" w:sz="6" w:space="0" w:color="auto"/>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48.4</w:t>
            </w:r>
          </w:p>
        </w:tc>
        <w:tc>
          <w:tcPr>
            <w:tcW w:w="893" w:type="dxa"/>
            <w:tcBorders>
              <w:top w:val="nil"/>
              <w:left w:val="nil"/>
              <w:bottom w:val="single" w:sz="6" w:space="0" w:color="auto"/>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54.5</w:t>
            </w:r>
          </w:p>
        </w:tc>
        <w:tc>
          <w:tcPr>
            <w:tcW w:w="893" w:type="dxa"/>
            <w:tcBorders>
              <w:top w:val="nil"/>
              <w:left w:val="nil"/>
              <w:bottom w:val="single" w:sz="6" w:space="0" w:color="auto"/>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62.2</w:t>
            </w:r>
          </w:p>
        </w:tc>
        <w:tc>
          <w:tcPr>
            <w:tcW w:w="893" w:type="dxa"/>
            <w:tcBorders>
              <w:top w:val="nil"/>
              <w:left w:val="nil"/>
              <w:bottom w:val="single" w:sz="6" w:space="0" w:color="auto"/>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61.2</w:t>
            </w:r>
          </w:p>
        </w:tc>
      </w:tr>
      <w:tr w:rsidR="0070375D" w:rsidRPr="00774D76" w:rsidTr="00774D76">
        <w:tc>
          <w:tcPr>
            <w:tcW w:w="2420" w:type="dxa"/>
            <w:tcBorders>
              <w:top w:val="single" w:sz="6" w:space="0" w:color="auto"/>
              <w:left w:val="nil"/>
              <w:bottom w:val="single" w:sz="12" w:space="0" w:color="auto"/>
              <w:right w:val="nil"/>
            </w:tcBorders>
          </w:tcPr>
          <w:p w:rsidR="0070375D" w:rsidRPr="00774D76" w:rsidRDefault="0070375D" w:rsidP="00774D76">
            <w:pPr>
              <w:pStyle w:val="Tabletext"/>
              <w:rPr>
                <w:rFonts w:eastAsiaTheme="minorEastAsia"/>
                <w:b/>
                <w:bCs/>
                <w:color w:val="000000"/>
                <w:lang w:eastAsia="en-AU"/>
              </w:rPr>
            </w:pPr>
            <w:r w:rsidRPr="00774D76">
              <w:rPr>
                <w:rFonts w:eastAsiaTheme="minorEastAsia"/>
                <w:b/>
                <w:bCs/>
                <w:color w:val="000000"/>
                <w:lang w:eastAsia="en-AU"/>
              </w:rPr>
              <w:t>Decrease/(increase) in net debt</w:t>
            </w:r>
          </w:p>
        </w:tc>
        <w:tc>
          <w:tcPr>
            <w:tcW w:w="892" w:type="dxa"/>
            <w:gridSpan w:val="3"/>
            <w:tcBorders>
              <w:top w:val="single" w:sz="6" w:space="0" w:color="auto"/>
              <w:left w:val="nil"/>
              <w:bottom w:val="single" w:sz="12" w:space="0" w:color="auto"/>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(3 400.1)</w:t>
            </w:r>
          </w:p>
        </w:tc>
        <w:tc>
          <w:tcPr>
            <w:tcW w:w="892" w:type="dxa"/>
            <w:tcBorders>
              <w:top w:val="single" w:sz="6" w:space="0" w:color="auto"/>
              <w:left w:val="nil"/>
              <w:bottom w:val="single" w:sz="12" w:space="0" w:color="auto"/>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(4 603.5)</w:t>
            </w:r>
          </w:p>
        </w:tc>
        <w:tc>
          <w:tcPr>
            <w:tcW w:w="893" w:type="dxa"/>
            <w:tcBorders>
              <w:top w:val="single" w:sz="6" w:space="0" w:color="auto"/>
              <w:left w:val="nil"/>
              <w:bottom w:val="single" w:sz="12" w:space="0" w:color="auto"/>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(3 142.8)</w:t>
            </w:r>
          </w:p>
        </w:tc>
        <w:tc>
          <w:tcPr>
            <w:tcW w:w="893" w:type="dxa"/>
            <w:tcBorders>
              <w:top w:val="single" w:sz="6" w:space="0" w:color="auto"/>
              <w:left w:val="nil"/>
              <w:bottom w:val="single" w:sz="12" w:space="0" w:color="auto"/>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(2 069.5)</w:t>
            </w:r>
          </w:p>
        </w:tc>
        <w:tc>
          <w:tcPr>
            <w:tcW w:w="893" w:type="dxa"/>
            <w:tcBorders>
              <w:top w:val="single" w:sz="6" w:space="0" w:color="auto"/>
              <w:left w:val="nil"/>
              <w:bottom w:val="single" w:sz="12" w:space="0" w:color="auto"/>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 xml:space="preserve"> 667.3</w:t>
            </w:r>
          </w:p>
        </w:tc>
        <w:tc>
          <w:tcPr>
            <w:tcW w:w="893" w:type="dxa"/>
            <w:tcBorders>
              <w:top w:val="single" w:sz="6" w:space="0" w:color="auto"/>
              <w:left w:val="nil"/>
              <w:bottom w:val="single" w:sz="12" w:space="0" w:color="auto"/>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1 689.8</w:t>
            </w:r>
          </w:p>
        </w:tc>
      </w:tr>
    </w:tbl>
    <w:p w:rsidR="0070375D" w:rsidRDefault="0070375D" w:rsidP="00941273">
      <w:pPr>
        <w:pStyle w:val="Source"/>
      </w:pPr>
      <w:r w:rsidRPr="008E35C0">
        <w:t>Source: Departm</w:t>
      </w:r>
      <w:r>
        <w:t>ent of Treasury and Finance</w:t>
      </w:r>
    </w:p>
    <w:p w:rsidR="0070375D" w:rsidRPr="00B02893" w:rsidRDefault="0070375D" w:rsidP="00583CAC">
      <w:pPr>
        <w:pStyle w:val="Notes"/>
      </w:pPr>
      <w:r w:rsidRPr="00B02893">
        <w:t>Notes:</w:t>
      </w:r>
    </w:p>
    <w:p w:rsidR="0070375D" w:rsidRPr="00B02893" w:rsidRDefault="0070375D" w:rsidP="00583CAC">
      <w:pPr>
        <w:pStyle w:val="Notes"/>
      </w:pPr>
      <w:r w:rsidRPr="00B02893">
        <w:t>(a)</w:t>
      </w:r>
      <w:r w:rsidRPr="00B02893">
        <w:tab/>
        <w:t>Includes depreciation, movements in the unfunded superannuation liability and liability for employee benefits.</w:t>
      </w:r>
    </w:p>
    <w:p w:rsidR="0070375D" w:rsidRPr="00B02893" w:rsidRDefault="0070375D" w:rsidP="00583CAC">
      <w:pPr>
        <w:pStyle w:val="Notes"/>
      </w:pPr>
      <w:r w:rsidRPr="00B02893">
        <w:t>(b)</w:t>
      </w:r>
      <w:r w:rsidRPr="00B02893">
        <w:tab/>
        <w:t>Amount available to be allocated to specific departments and projects in future budgets, including contributions to other sectors.</w:t>
      </w:r>
    </w:p>
    <w:p w:rsidR="0070375D" w:rsidRPr="00B02893" w:rsidRDefault="0070375D" w:rsidP="00583CAC">
      <w:pPr>
        <w:pStyle w:val="Notes"/>
      </w:pPr>
      <w:r w:rsidRPr="00B02893">
        <w:t>(c)</w:t>
      </w:r>
      <w:r w:rsidRPr="00B02893">
        <w:tab/>
        <w:t>Includes total purchases of property plant and equipment, and capital contributions to other sectors of government net of proceeds from asset sales.</w:t>
      </w:r>
    </w:p>
    <w:p w:rsidR="0070375D" w:rsidRDefault="0070375D" w:rsidP="00583CAC">
      <w:pPr>
        <w:pStyle w:val="Notes"/>
      </w:pPr>
      <w:r w:rsidRPr="00B02893">
        <w:t>(d)</w:t>
      </w:r>
      <w:r w:rsidRPr="00B02893">
        <w:tab/>
        <w:t>The finance lease amount in 2011</w:t>
      </w:r>
      <w:r w:rsidR="00276239">
        <w:noBreakHyphen/>
      </w:r>
      <w:r w:rsidRPr="00B02893">
        <w:t>12 relates to the Royal Children</w:t>
      </w:r>
      <w:r w:rsidR="00276239">
        <w:t>’</w:t>
      </w:r>
      <w:r w:rsidRPr="00B02893">
        <w:t>s Hospital,</w:t>
      </w:r>
      <w:r>
        <w:t xml:space="preserve"> and</w:t>
      </w:r>
      <w:r w:rsidRPr="00B02893">
        <w:t xml:space="preserve"> finance lease</w:t>
      </w:r>
      <w:r>
        <w:t>s</w:t>
      </w:r>
      <w:r w:rsidRPr="00B02893">
        <w:t xml:space="preserve"> in 2012</w:t>
      </w:r>
      <w:r w:rsidR="00276239">
        <w:noBreakHyphen/>
      </w:r>
      <w:r w:rsidRPr="00B02893">
        <w:t>13 relate to the Biosciences Research Centre and Peninsula Link projects. The 2012</w:t>
      </w:r>
      <w:r w:rsidR="00276239">
        <w:noBreakHyphen/>
      </w:r>
      <w:r w:rsidRPr="00B02893">
        <w:t>13 estimate is net of the financing arrangements associated with the Victorian desalination plant project which forms part of the PNFC sector net debt. The 2015</w:t>
      </w:r>
      <w:r w:rsidR="00276239">
        <w:noBreakHyphen/>
      </w:r>
      <w:r w:rsidRPr="00B02893">
        <w:t>16 estimate relates to Victorian Comprehensive Cancer Centre.</w:t>
      </w:r>
    </w:p>
    <w:p w:rsidR="0070375D" w:rsidRDefault="0070375D" w:rsidP="00583CAC">
      <w:pPr>
        <w:pStyle w:val="Notes"/>
      </w:pPr>
    </w:p>
    <w:p w:rsidR="0070375D" w:rsidRPr="00E45E97" w:rsidRDefault="0070375D" w:rsidP="00577835">
      <w:pPr>
        <w:pStyle w:val="Source"/>
      </w:pPr>
    </w:p>
    <w:p w:rsidR="0070375D" w:rsidRDefault="0070375D" w:rsidP="00056CB3">
      <w:r>
        <w:t>Total net infrastructure investment</w:t>
      </w:r>
      <w:r>
        <w:fldChar w:fldCharType="begin"/>
      </w:r>
      <w:r>
        <w:instrText xml:space="preserve"> XE "</w:instrText>
      </w:r>
      <w:r w:rsidRPr="004C21DE">
        <w:instrText>Investment:Infrastructure</w:instrText>
      </w:r>
      <w:r>
        <w:instrText xml:space="preserve">" </w:instrText>
      </w:r>
      <w:r>
        <w:fldChar w:fldCharType="end"/>
      </w:r>
      <w:r>
        <w:t xml:space="preserve"> in fixed assets is projected to be $5.8 billion in 2013</w:t>
      </w:r>
      <w:r w:rsidR="00276239">
        <w:noBreakHyphen/>
      </w:r>
      <w:r>
        <w:t xml:space="preserve">14 and average over $3.8 billion a year over the forward estimates (Table 4.5). </w:t>
      </w:r>
    </w:p>
    <w:p w:rsidR="0070375D" w:rsidRDefault="0070375D" w:rsidP="00056CB3">
      <w:r>
        <w:t xml:space="preserve">In addition to </w:t>
      </w:r>
      <w:r w:rsidRPr="00F34399">
        <w:t>net infrastructure investment, the Government is also funding</w:t>
      </w:r>
      <w:r>
        <w:t xml:space="preserve"> and facilitating</w:t>
      </w:r>
      <w:r w:rsidRPr="00F34399">
        <w:t xml:space="preserve"> significant </w:t>
      </w:r>
      <w:r w:rsidRPr="00F34399">
        <w:rPr>
          <w:i/>
        </w:rPr>
        <w:t>Partnerships Victoria</w:t>
      </w:r>
      <w:r>
        <w:rPr>
          <w:i/>
        </w:rPr>
        <w:fldChar w:fldCharType="begin"/>
      </w:r>
      <w:r>
        <w:instrText xml:space="preserve"> XE "</w:instrText>
      </w:r>
      <w:r w:rsidRPr="00D3448B">
        <w:rPr>
          <w:i/>
        </w:rPr>
        <w:instrText>Partnerships Victoria</w:instrText>
      </w:r>
      <w:r>
        <w:instrText xml:space="preserve">" </w:instrText>
      </w:r>
      <w:r>
        <w:rPr>
          <w:i/>
        </w:rPr>
        <w:fldChar w:fldCharType="end"/>
      </w:r>
      <w:r w:rsidRPr="00F34399">
        <w:rPr>
          <w:i/>
        </w:rPr>
        <w:t xml:space="preserve"> </w:t>
      </w:r>
      <w:r w:rsidRPr="00F34399">
        <w:t>(PV) capital projects. Forecast total Government</w:t>
      </w:r>
      <w:r w:rsidR="00276239">
        <w:noBreakHyphen/>
      </w:r>
      <w:r w:rsidRPr="00F34399">
        <w:t xml:space="preserve">funded </w:t>
      </w:r>
      <w:r>
        <w:t xml:space="preserve">and facilitated </w:t>
      </w:r>
      <w:r w:rsidRPr="00F34399">
        <w:t>infrastructure</w:t>
      </w:r>
      <w:r>
        <w:t xml:space="preserve"> (Government infrastructure investment) is $6.1 billion in 2013</w:t>
      </w:r>
      <w:r w:rsidR="00276239">
        <w:noBreakHyphen/>
      </w:r>
      <w:r>
        <w:t>14 and averages $4.7 billion a year over the forward estimates. This aligns with</w:t>
      </w:r>
      <w:r w:rsidRPr="00F34399">
        <w:t xml:space="preserve"> the Government</w:t>
      </w:r>
      <w:r w:rsidR="00276239">
        <w:t>’</w:t>
      </w:r>
      <w:r w:rsidRPr="00F34399">
        <w:t>s</w:t>
      </w:r>
      <w:r>
        <w:t xml:space="preserve"> infrastructure</w:t>
      </w:r>
      <w:r w:rsidRPr="00F34399">
        <w:t xml:space="preserve"> fiscal parameter of 1.3</w:t>
      </w:r>
      <w:r>
        <w:t> per cent</w:t>
      </w:r>
      <w:r w:rsidRPr="00F34399">
        <w:t xml:space="preserve"> of GSP as a rolling five</w:t>
      </w:r>
      <w:r w:rsidR="00276239">
        <w:noBreakHyphen/>
      </w:r>
      <w:r w:rsidRPr="00F34399">
        <w:t>year average in every year of the forward estimates.</w:t>
      </w:r>
      <w:r>
        <w:t xml:space="preserve"> </w:t>
      </w:r>
    </w:p>
    <w:p w:rsidR="0070375D" w:rsidRPr="003E66F6" w:rsidRDefault="0070375D" w:rsidP="00583CAC">
      <w:pPr>
        <w:pStyle w:val="Heading2"/>
        <w:rPr>
          <w:caps/>
        </w:rPr>
      </w:pPr>
      <w:r w:rsidRPr="003E66F6">
        <w:lastRenderedPageBreak/>
        <w:t>New asset initiatives by department</w:t>
      </w:r>
    </w:p>
    <w:p w:rsidR="0070375D" w:rsidRDefault="0070375D" w:rsidP="00096A4C">
      <w:r>
        <w:t xml:space="preserve">The Government is facilitating major infrastructure projects and investing in the capacity and quality of road, rail and other key economic and social infrastructure </w:t>
      </w:r>
      <w:r w:rsidRPr="00B02893">
        <w:t>to support the delivery of government services for current and future generations.</w:t>
      </w:r>
    </w:p>
    <w:p w:rsidR="0070375D" w:rsidRDefault="0070375D" w:rsidP="00096A4C">
      <w:r>
        <w:t xml:space="preserve">Major investment funded in the </w:t>
      </w:r>
      <w:r w:rsidRPr="00F831A5">
        <w:rPr>
          <w:i/>
        </w:rPr>
        <w:t>2013</w:t>
      </w:r>
      <w:r w:rsidR="00276239">
        <w:rPr>
          <w:i/>
        </w:rPr>
        <w:noBreakHyphen/>
      </w:r>
      <w:r w:rsidRPr="00F831A5">
        <w:rPr>
          <w:i/>
        </w:rPr>
        <w:t>14 Budget</w:t>
      </w:r>
      <w:r>
        <w:t xml:space="preserve"> includes: </w:t>
      </w:r>
    </w:p>
    <w:p w:rsidR="0070375D" w:rsidRDefault="0070375D" w:rsidP="00110902">
      <w:pPr>
        <w:pStyle w:val="BulletText"/>
      </w:pPr>
      <w:r w:rsidRPr="00BF7EF6">
        <w:t>the introduction of key transformational projects for the state including the East West Link</w:t>
      </w:r>
      <w:r>
        <w:fldChar w:fldCharType="begin"/>
      </w:r>
      <w:r>
        <w:instrText xml:space="preserve"> XE "</w:instrText>
      </w:r>
      <w:r w:rsidRPr="00D3448B">
        <w:instrText>East West Link</w:instrText>
      </w:r>
      <w:r>
        <w:instrText xml:space="preserve">" </w:instrText>
      </w:r>
      <w:r>
        <w:fldChar w:fldCharType="end"/>
      </w:r>
      <w:r>
        <w:t xml:space="preserve"> – Stage 1;</w:t>
      </w:r>
    </w:p>
    <w:p w:rsidR="0070375D" w:rsidRDefault="0070375D" w:rsidP="00110902">
      <w:pPr>
        <w:pStyle w:val="BulletText"/>
      </w:pPr>
      <w:r w:rsidRPr="00BF7EF6">
        <w:t>transport passenger service improvements including more m</w:t>
      </w:r>
      <w:r>
        <w:t xml:space="preserve">etropolitan trains; </w:t>
      </w:r>
    </w:p>
    <w:p w:rsidR="0070375D" w:rsidRDefault="0070375D" w:rsidP="00110902">
      <w:pPr>
        <w:pStyle w:val="BulletText"/>
      </w:pPr>
      <w:r w:rsidRPr="00BF7EF6">
        <w:t>road network capacity and quality</w:t>
      </w:r>
      <w:r>
        <w:t xml:space="preserve"> improvements</w:t>
      </w:r>
      <w:r w:rsidRPr="00BF7EF6">
        <w:t xml:space="preserve"> </w:t>
      </w:r>
      <w:r>
        <w:t>including</w:t>
      </w:r>
      <w:r w:rsidRPr="00BF7EF6">
        <w:t xml:space="preserve"> </w:t>
      </w:r>
      <w:r>
        <w:t xml:space="preserve">rail </w:t>
      </w:r>
      <w:r w:rsidRPr="00BF7EF6">
        <w:t>crossing grade separations;</w:t>
      </w:r>
      <w:r>
        <w:t xml:space="preserve"> and</w:t>
      </w:r>
    </w:p>
    <w:p w:rsidR="0070375D" w:rsidRDefault="0070375D" w:rsidP="00110902">
      <w:pPr>
        <w:pStyle w:val="BulletText"/>
      </w:pPr>
      <w:r>
        <w:t>u</w:t>
      </w:r>
      <w:r w:rsidRPr="00BF7EF6">
        <w:t>pgrad</w:t>
      </w:r>
      <w:r>
        <w:t>ed</w:t>
      </w:r>
      <w:r w:rsidRPr="00BF7EF6">
        <w:t xml:space="preserve"> and modernis</w:t>
      </w:r>
      <w:r>
        <w:t>ed</w:t>
      </w:r>
      <w:r w:rsidRPr="00BF7EF6">
        <w:t xml:space="preserve"> schools</w:t>
      </w:r>
      <w:r>
        <w:t xml:space="preserve"> and new schools in growth corridors.</w:t>
      </w:r>
    </w:p>
    <w:p w:rsidR="0070375D" w:rsidRPr="00B02893" w:rsidRDefault="0070375D" w:rsidP="00096A4C">
      <w:r w:rsidRPr="00F86D0F">
        <w:t>Details of individual asset initiatives c</w:t>
      </w:r>
      <w:r>
        <w:t>an be found in Budget Paper No. </w:t>
      </w:r>
      <w:r w:rsidRPr="00F86D0F">
        <w:t xml:space="preserve">3 </w:t>
      </w:r>
      <w:r w:rsidRPr="00577835">
        <w:rPr>
          <w:i/>
        </w:rPr>
        <w:t>Service Delivery</w:t>
      </w:r>
      <w:r w:rsidRPr="00F86D0F">
        <w:t>.</w:t>
      </w:r>
    </w:p>
    <w:p w:rsidR="0070375D" w:rsidRDefault="0070375D" w:rsidP="00846D9D">
      <w:pPr>
        <w:pStyle w:val="Tableheading"/>
        <w:rPr>
          <w:i/>
        </w:rPr>
      </w:pPr>
      <w:r>
        <w:t>Table 4.6</w:t>
      </w:r>
      <w:r w:rsidRPr="003E66F6">
        <w:t xml:space="preserve">: </w:t>
      </w:r>
      <w:r w:rsidRPr="003E66F6">
        <w:tab/>
        <w:t xml:space="preserve">New </w:t>
      </w:r>
      <w:r w:rsidRPr="00E23DD4">
        <w:t>asset</w:t>
      </w:r>
      <w:r w:rsidRPr="003E66F6">
        <w:t xml:space="preserve"> funding </w:t>
      </w:r>
      <w:r>
        <w:rPr>
          <w:i/>
        </w:rPr>
        <w:t>2013</w:t>
      </w:r>
      <w:r w:rsidR="00276239">
        <w:rPr>
          <w:i/>
        </w:rPr>
        <w:noBreakHyphen/>
      </w:r>
      <w:r>
        <w:rPr>
          <w:i/>
        </w:rPr>
        <w:t>14</w:t>
      </w:r>
      <w:r w:rsidRPr="003E66F6">
        <w:rPr>
          <w:i/>
        </w:rPr>
        <w:t xml:space="preserve"> Budget</w:t>
      </w:r>
      <w:bookmarkStart w:id="51" w:name="_Toc323315244"/>
      <w:r w:rsidRPr="00B53BD7">
        <w:rPr>
          <w:vertAlign w:val="superscript"/>
        </w:rPr>
        <w:t>(a)(b)</w:t>
      </w:r>
    </w:p>
    <w:p w:rsidR="0070375D" w:rsidRPr="00632846" w:rsidRDefault="0070375D" w:rsidP="00632846">
      <w:pPr>
        <w:pStyle w:val="million"/>
      </w:pPr>
      <w:r>
        <w:t>($ million)</w:t>
      </w:r>
    </w:p>
    <w:tbl>
      <w:tblPr>
        <w:tblW w:w="7767" w:type="dxa"/>
        <w:tblInd w:w="29" w:type="dxa"/>
        <w:tblLayout w:type="fixed"/>
        <w:tblCellMar>
          <w:left w:w="43" w:type="dxa"/>
          <w:right w:w="43" w:type="dxa"/>
        </w:tblCellMar>
        <w:tblLook w:val="0000" w:firstRow="0" w:lastRow="0" w:firstColumn="0" w:lastColumn="0" w:noHBand="0" w:noVBand="0"/>
      </w:tblPr>
      <w:tblGrid>
        <w:gridCol w:w="5864"/>
        <w:gridCol w:w="990"/>
        <w:gridCol w:w="913"/>
      </w:tblGrid>
      <w:tr w:rsidR="0070375D" w:rsidRPr="00632846" w:rsidTr="00BB1988">
        <w:tc>
          <w:tcPr>
            <w:tcW w:w="5864" w:type="dxa"/>
            <w:tcBorders>
              <w:top w:val="single" w:sz="4" w:space="0" w:color="auto"/>
              <w:left w:val="single" w:sz="4" w:space="0" w:color="auto"/>
              <w:bottom w:val="nil"/>
              <w:right w:val="nil"/>
            </w:tcBorders>
            <w:shd w:val="clear" w:color="auto" w:fill="000000"/>
          </w:tcPr>
          <w:p w:rsidR="0070375D" w:rsidRPr="00632846" w:rsidRDefault="0070375D" w:rsidP="00632846">
            <w:pPr>
              <w:pStyle w:val="Tabletext"/>
              <w:rPr>
                <w:rFonts w:eastAsiaTheme="minorEastAsia"/>
                <w:lang w:eastAsia="en-AU"/>
              </w:rPr>
            </w:pPr>
          </w:p>
        </w:tc>
        <w:tc>
          <w:tcPr>
            <w:tcW w:w="990" w:type="dxa"/>
            <w:tcBorders>
              <w:top w:val="single" w:sz="4" w:space="0" w:color="auto"/>
              <w:left w:val="nil"/>
              <w:bottom w:val="nil"/>
              <w:right w:val="nil"/>
            </w:tcBorders>
            <w:shd w:val="clear" w:color="auto" w:fill="000000"/>
          </w:tcPr>
          <w:p w:rsidR="0070375D" w:rsidRPr="00632846" w:rsidRDefault="0070375D" w:rsidP="00632846">
            <w:pPr>
              <w:pStyle w:val="Tabletextheading"/>
              <w:rPr>
                <w:rFonts w:eastAsiaTheme="minorEastAsia"/>
                <w:lang w:eastAsia="en-AU"/>
              </w:rPr>
            </w:pPr>
            <w:r w:rsidRPr="00632846">
              <w:rPr>
                <w:rFonts w:eastAsiaTheme="minorEastAsia"/>
                <w:lang w:eastAsia="en-AU"/>
              </w:rPr>
              <w:t>2013</w:t>
            </w:r>
            <w:r w:rsidR="00276239">
              <w:rPr>
                <w:rFonts w:eastAsiaTheme="minorEastAsia"/>
                <w:lang w:eastAsia="en-AU"/>
              </w:rPr>
              <w:noBreakHyphen/>
            </w:r>
            <w:r w:rsidRPr="00632846">
              <w:rPr>
                <w:rFonts w:eastAsiaTheme="minorEastAsia"/>
                <w:lang w:eastAsia="en-AU"/>
              </w:rPr>
              <w:t>14</w:t>
            </w:r>
          </w:p>
        </w:tc>
        <w:tc>
          <w:tcPr>
            <w:tcW w:w="913" w:type="dxa"/>
            <w:tcBorders>
              <w:top w:val="single" w:sz="4" w:space="0" w:color="auto"/>
              <w:left w:val="nil"/>
              <w:bottom w:val="nil"/>
              <w:right w:val="single" w:sz="4" w:space="0" w:color="auto"/>
            </w:tcBorders>
            <w:shd w:val="clear" w:color="auto" w:fill="000000"/>
          </w:tcPr>
          <w:p w:rsidR="0070375D" w:rsidRPr="00632846" w:rsidRDefault="0070375D" w:rsidP="00632846">
            <w:pPr>
              <w:pStyle w:val="Tabletextheading"/>
              <w:rPr>
                <w:rFonts w:eastAsiaTheme="minorEastAsia"/>
                <w:vertAlign w:val="superscript"/>
                <w:lang w:eastAsia="en-AU"/>
              </w:rPr>
            </w:pPr>
          </w:p>
        </w:tc>
      </w:tr>
      <w:tr w:rsidR="0070375D" w:rsidRPr="00632846" w:rsidTr="00BB1988">
        <w:tc>
          <w:tcPr>
            <w:tcW w:w="5864" w:type="dxa"/>
            <w:tcBorders>
              <w:top w:val="nil"/>
              <w:left w:val="single" w:sz="4" w:space="0" w:color="auto"/>
              <w:bottom w:val="single" w:sz="4" w:space="0" w:color="auto"/>
              <w:right w:val="nil"/>
            </w:tcBorders>
            <w:shd w:val="clear" w:color="auto" w:fill="000000"/>
          </w:tcPr>
          <w:p w:rsidR="0070375D" w:rsidRPr="00632846" w:rsidRDefault="0070375D" w:rsidP="00632846">
            <w:pPr>
              <w:pStyle w:val="Tabletext"/>
              <w:rPr>
                <w:rFonts w:eastAsiaTheme="minorEastAsia"/>
                <w:lang w:eastAsia="en-AU"/>
              </w:rPr>
            </w:pPr>
          </w:p>
        </w:tc>
        <w:tc>
          <w:tcPr>
            <w:tcW w:w="990" w:type="dxa"/>
            <w:tcBorders>
              <w:top w:val="nil"/>
              <w:left w:val="nil"/>
              <w:bottom w:val="single" w:sz="4" w:space="0" w:color="auto"/>
              <w:right w:val="nil"/>
            </w:tcBorders>
            <w:shd w:val="clear" w:color="auto" w:fill="000000"/>
          </w:tcPr>
          <w:p w:rsidR="0070375D" w:rsidRPr="00632846" w:rsidRDefault="0070375D" w:rsidP="00632846">
            <w:pPr>
              <w:pStyle w:val="Tabletextheading"/>
              <w:rPr>
                <w:rFonts w:eastAsiaTheme="minorEastAsia"/>
                <w:lang w:eastAsia="en-AU"/>
              </w:rPr>
            </w:pPr>
            <w:r w:rsidRPr="00632846">
              <w:rPr>
                <w:rFonts w:eastAsiaTheme="minorEastAsia"/>
                <w:lang w:eastAsia="en-AU"/>
              </w:rPr>
              <w:t>Budget</w:t>
            </w:r>
          </w:p>
        </w:tc>
        <w:tc>
          <w:tcPr>
            <w:tcW w:w="913" w:type="dxa"/>
            <w:tcBorders>
              <w:top w:val="nil"/>
              <w:left w:val="nil"/>
              <w:bottom w:val="single" w:sz="4" w:space="0" w:color="auto"/>
              <w:right w:val="single" w:sz="4" w:space="0" w:color="auto"/>
            </w:tcBorders>
            <w:shd w:val="clear" w:color="auto" w:fill="000000"/>
          </w:tcPr>
          <w:p w:rsidR="0070375D" w:rsidRPr="00632846" w:rsidRDefault="009F27AE" w:rsidP="00632846">
            <w:pPr>
              <w:pStyle w:val="Tabletextheading"/>
              <w:rPr>
                <w:rFonts w:eastAsiaTheme="minorEastAsia"/>
                <w:lang w:eastAsia="en-AU"/>
              </w:rPr>
            </w:pPr>
            <w:r w:rsidRPr="00632846">
              <w:rPr>
                <w:rFonts w:eastAsiaTheme="minorEastAsia"/>
                <w:lang w:eastAsia="en-AU"/>
              </w:rPr>
              <w:t xml:space="preserve">TEI </w:t>
            </w:r>
            <w:r w:rsidRPr="00632846">
              <w:rPr>
                <w:rFonts w:eastAsiaTheme="minorEastAsia"/>
                <w:vertAlign w:val="superscript"/>
                <w:lang w:eastAsia="en-AU"/>
              </w:rPr>
              <w:t>(a)</w:t>
            </w:r>
          </w:p>
        </w:tc>
      </w:tr>
      <w:tr w:rsidR="0070375D" w:rsidRPr="00632846" w:rsidTr="00BB1988">
        <w:tc>
          <w:tcPr>
            <w:tcW w:w="5864" w:type="dxa"/>
            <w:tcBorders>
              <w:top w:val="single" w:sz="4" w:space="0" w:color="auto"/>
              <w:left w:val="nil"/>
              <w:bottom w:val="nil"/>
              <w:right w:val="nil"/>
            </w:tcBorders>
          </w:tcPr>
          <w:p w:rsidR="0070375D" w:rsidRPr="00632846" w:rsidRDefault="0070375D" w:rsidP="00632846">
            <w:pPr>
              <w:pStyle w:val="Tabletext"/>
              <w:rPr>
                <w:rFonts w:eastAsiaTheme="minorEastAsia"/>
                <w:lang w:eastAsia="en-AU"/>
              </w:rPr>
            </w:pPr>
            <w:r w:rsidRPr="00632846">
              <w:rPr>
                <w:rFonts w:eastAsiaTheme="minorEastAsia"/>
                <w:lang w:eastAsia="en-AU"/>
              </w:rPr>
              <w:t>Education and Early Childhood Development</w:t>
            </w:r>
          </w:p>
        </w:tc>
        <w:tc>
          <w:tcPr>
            <w:tcW w:w="990" w:type="dxa"/>
            <w:tcBorders>
              <w:top w:val="single" w:sz="4" w:space="0" w:color="auto"/>
              <w:left w:val="nil"/>
              <w:bottom w:val="nil"/>
              <w:right w:val="nil"/>
            </w:tcBorders>
          </w:tcPr>
          <w:p w:rsidR="0070375D" w:rsidRPr="00632846" w:rsidRDefault="0070375D" w:rsidP="00632846">
            <w:pPr>
              <w:pStyle w:val="TableofFigures"/>
              <w:rPr>
                <w:rFonts w:eastAsiaTheme="minorEastAsia"/>
                <w:color w:val="000000"/>
                <w:lang w:eastAsia="en-AU"/>
              </w:rPr>
            </w:pPr>
            <w:r w:rsidRPr="00632846">
              <w:rPr>
                <w:rFonts w:eastAsiaTheme="minorEastAsia"/>
                <w:color w:val="000000"/>
                <w:lang w:eastAsia="en-AU"/>
              </w:rPr>
              <w:t xml:space="preserve"> 98.5</w:t>
            </w:r>
          </w:p>
        </w:tc>
        <w:tc>
          <w:tcPr>
            <w:tcW w:w="913" w:type="dxa"/>
            <w:tcBorders>
              <w:top w:val="single" w:sz="4" w:space="0" w:color="auto"/>
              <w:left w:val="nil"/>
              <w:bottom w:val="nil"/>
              <w:right w:val="nil"/>
            </w:tcBorders>
          </w:tcPr>
          <w:p w:rsidR="0070375D" w:rsidRPr="00632846" w:rsidRDefault="0070375D" w:rsidP="00632846">
            <w:pPr>
              <w:pStyle w:val="TableofFigures"/>
              <w:rPr>
                <w:rFonts w:eastAsiaTheme="minorEastAsia"/>
                <w:color w:val="000000"/>
                <w:lang w:eastAsia="en-AU"/>
              </w:rPr>
            </w:pPr>
            <w:r w:rsidRPr="00632846">
              <w:rPr>
                <w:rFonts w:eastAsiaTheme="minorEastAsia"/>
                <w:color w:val="000000"/>
                <w:lang w:eastAsia="en-AU"/>
              </w:rPr>
              <w:t xml:space="preserve"> 303.0</w:t>
            </w:r>
          </w:p>
        </w:tc>
      </w:tr>
      <w:tr w:rsidR="0070375D" w:rsidRPr="00632846" w:rsidTr="00BB1988">
        <w:tc>
          <w:tcPr>
            <w:tcW w:w="5864" w:type="dxa"/>
            <w:tcBorders>
              <w:top w:val="nil"/>
              <w:left w:val="nil"/>
              <w:bottom w:val="nil"/>
              <w:right w:val="nil"/>
            </w:tcBorders>
          </w:tcPr>
          <w:p w:rsidR="0070375D" w:rsidRPr="00632846" w:rsidRDefault="0070375D" w:rsidP="00632846">
            <w:pPr>
              <w:pStyle w:val="Tabletext"/>
              <w:rPr>
                <w:rFonts w:eastAsiaTheme="minorEastAsia"/>
                <w:lang w:eastAsia="en-AU"/>
              </w:rPr>
            </w:pPr>
            <w:r w:rsidRPr="00632846">
              <w:rPr>
                <w:rFonts w:eastAsiaTheme="minorEastAsia"/>
                <w:lang w:eastAsia="en-AU"/>
              </w:rPr>
              <w:t>Environment and Primary Industries</w:t>
            </w:r>
          </w:p>
        </w:tc>
        <w:tc>
          <w:tcPr>
            <w:tcW w:w="990" w:type="dxa"/>
            <w:tcBorders>
              <w:top w:val="nil"/>
              <w:left w:val="nil"/>
              <w:bottom w:val="nil"/>
              <w:right w:val="nil"/>
            </w:tcBorders>
          </w:tcPr>
          <w:p w:rsidR="0070375D" w:rsidRPr="00632846" w:rsidRDefault="0070375D" w:rsidP="00632846">
            <w:pPr>
              <w:pStyle w:val="TableofFigures"/>
              <w:rPr>
                <w:rFonts w:eastAsiaTheme="minorEastAsia"/>
                <w:color w:val="000000"/>
                <w:lang w:eastAsia="en-AU"/>
              </w:rPr>
            </w:pPr>
            <w:r w:rsidRPr="00632846">
              <w:rPr>
                <w:rFonts w:eastAsiaTheme="minorEastAsia"/>
                <w:color w:val="000000"/>
                <w:lang w:eastAsia="en-AU"/>
              </w:rPr>
              <w:t xml:space="preserve"> 6.8</w:t>
            </w:r>
          </w:p>
        </w:tc>
        <w:tc>
          <w:tcPr>
            <w:tcW w:w="913" w:type="dxa"/>
            <w:tcBorders>
              <w:top w:val="nil"/>
              <w:left w:val="nil"/>
              <w:bottom w:val="nil"/>
              <w:right w:val="nil"/>
            </w:tcBorders>
          </w:tcPr>
          <w:p w:rsidR="0070375D" w:rsidRPr="00632846" w:rsidRDefault="0070375D" w:rsidP="00632846">
            <w:pPr>
              <w:pStyle w:val="TableofFigures"/>
              <w:rPr>
                <w:rFonts w:eastAsiaTheme="minorEastAsia"/>
                <w:color w:val="000000"/>
                <w:lang w:eastAsia="en-AU"/>
              </w:rPr>
            </w:pPr>
            <w:r w:rsidRPr="00632846">
              <w:rPr>
                <w:rFonts w:eastAsiaTheme="minorEastAsia"/>
                <w:color w:val="000000"/>
                <w:lang w:eastAsia="en-AU"/>
              </w:rPr>
              <w:t xml:space="preserve"> 36.0</w:t>
            </w:r>
          </w:p>
        </w:tc>
      </w:tr>
      <w:tr w:rsidR="0070375D" w:rsidRPr="00632846" w:rsidTr="00BB1988">
        <w:tc>
          <w:tcPr>
            <w:tcW w:w="5864" w:type="dxa"/>
            <w:tcBorders>
              <w:top w:val="nil"/>
              <w:left w:val="nil"/>
              <w:bottom w:val="nil"/>
              <w:right w:val="nil"/>
            </w:tcBorders>
          </w:tcPr>
          <w:p w:rsidR="0070375D" w:rsidRPr="00632846" w:rsidRDefault="0070375D" w:rsidP="00632846">
            <w:pPr>
              <w:pStyle w:val="Tabletext"/>
              <w:rPr>
                <w:rFonts w:eastAsiaTheme="minorEastAsia"/>
                <w:lang w:eastAsia="en-AU"/>
              </w:rPr>
            </w:pPr>
            <w:r w:rsidRPr="00632846">
              <w:rPr>
                <w:rFonts w:eastAsiaTheme="minorEastAsia"/>
                <w:lang w:eastAsia="en-AU"/>
              </w:rPr>
              <w:t>Health</w:t>
            </w:r>
          </w:p>
        </w:tc>
        <w:tc>
          <w:tcPr>
            <w:tcW w:w="990" w:type="dxa"/>
            <w:tcBorders>
              <w:top w:val="nil"/>
              <w:left w:val="nil"/>
              <w:bottom w:val="nil"/>
              <w:right w:val="nil"/>
            </w:tcBorders>
          </w:tcPr>
          <w:p w:rsidR="0070375D" w:rsidRPr="00632846" w:rsidRDefault="0070375D" w:rsidP="00632846">
            <w:pPr>
              <w:pStyle w:val="TableofFigures"/>
              <w:rPr>
                <w:rFonts w:eastAsiaTheme="minorEastAsia"/>
                <w:color w:val="000000"/>
                <w:lang w:eastAsia="en-AU"/>
              </w:rPr>
            </w:pPr>
            <w:r w:rsidRPr="00632846">
              <w:rPr>
                <w:rFonts w:eastAsiaTheme="minorEastAsia"/>
                <w:color w:val="000000"/>
                <w:lang w:eastAsia="en-AU"/>
              </w:rPr>
              <w:t xml:space="preserve"> 110.1</w:t>
            </w:r>
          </w:p>
        </w:tc>
        <w:tc>
          <w:tcPr>
            <w:tcW w:w="913" w:type="dxa"/>
            <w:tcBorders>
              <w:top w:val="nil"/>
              <w:left w:val="nil"/>
              <w:bottom w:val="nil"/>
              <w:right w:val="nil"/>
            </w:tcBorders>
          </w:tcPr>
          <w:p w:rsidR="0070375D" w:rsidRPr="00632846" w:rsidRDefault="0070375D" w:rsidP="00632846">
            <w:pPr>
              <w:pStyle w:val="TableofFigures"/>
              <w:rPr>
                <w:rFonts w:eastAsiaTheme="minorEastAsia"/>
                <w:color w:val="000000"/>
                <w:lang w:eastAsia="en-AU"/>
              </w:rPr>
            </w:pPr>
            <w:r w:rsidRPr="00632846">
              <w:rPr>
                <w:rFonts w:eastAsiaTheme="minorEastAsia"/>
                <w:color w:val="000000"/>
                <w:lang w:eastAsia="en-AU"/>
              </w:rPr>
              <w:t xml:space="preserve"> 629.4</w:t>
            </w:r>
          </w:p>
        </w:tc>
      </w:tr>
      <w:tr w:rsidR="0070375D" w:rsidRPr="00632846" w:rsidTr="00BB1988">
        <w:tc>
          <w:tcPr>
            <w:tcW w:w="5864" w:type="dxa"/>
            <w:tcBorders>
              <w:top w:val="nil"/>
              <w:left w:val="nil"/>
              <w:bottom w:val="nil"/>
              <w:right w:val="nil"/>
            </w:tcBorders>
          </w:tcPr>
          <w:p w:rsidR="0070375D" w:rsidRPr="00632846" w:rsidRDefault="0070375D" w:rsidP="00632846">
            <w:pPr>
              <w:pStyle w:val="Tabletext"/>
              <w:rPr>
                <w:rFonts w:eastAsiaTheme="minorEastAsia"/>
                <w:lang w:eastAsia="en-AU"/>
              </w:rPr>
            </w:pPr>
            <w:r w:rsidRPr="00632846">
              <w:rPr>
                <w:rFonts w:eastAsiaTheme="minorEastAsia"/>
                <w:lang w:eastAsia="en-AU"/>
              </w:rPr>
              <w:t>Human Services</w:t>
            </w:r>
          </w:p>
        </w:tc>
        <w:tc>
          <w:tcPr>
            <w:tcW w:w="990" w:type="dxa"/>
            <w:tcBorders>
              <w:top w:val="nil"/>
              <w:left w:val="nil"/>
              <w:bottom w:val="nil"/>
              <w:right w:val="nil"/>
            </w:tcBorders>
          </w:tcPr>
          <w:p w:rsidR="0070375D" w:rsidRPr="00632846" w:rsidRDefault="0070375D" w:rsidP="00632846">
            <w:pPr>
              <w:pStyle w:val="TableofFigures"/>
              <w:rPr>
                <w:rFonts w:eastAsiaTheme="minorEastAsia"/>
                <w:color w:val="000000"/>
                <w:lang w:eastAsia="en-AU"/>
              </w:rPr>
            </w:pPr>
            <w:r w:rsidRPr="00632846">
              <w:rPr>
                <w:rFonts w:eastAsiaTheme="minorEastAsia"/>
                <w:color w:val="000000"/>
                <w:lang w:eastAsia="en-AU"/>
              </w:rPr>
              <w:t xml:space="preserve"> 6.7</w:t>
            </w:r>
          </w:p>
        </w:tc>
        <w:tc>
          <w:tcPr>
            <w:tcW w:w="913" w:type="dxa"/>
            <w:tcBorders>
              <w:top w:val="nil"/>
              <w:left w:val="nil"/>
              <w:bottom w:val="nil"/>
              <w:right w:val="nil"/>
            </w:tcBorders>
          </w:tcPr>
          <w:p w:rsidR="0070375D" w:rsidRPr="00632846" w:rsidRDefault="0070375D" w:rsidP="00632846">
            <w:pPr>
              <w:pStyle w:val="TableofFigures"/>
              <w:rPr>
                <w:rFonts w:eastAsiaTheme="minorEastAsia"/>
                <w:color w:val="000000"/>
                <w:lang w:eastAsia="en-AU"/>
              </w:rPr>
            </w:pPr>
            <w:r w:rsidRPr="00632846">
              <w:rPr>
                <w:rFonts w:eastAsiaTheme="minorEastAsia"/>
                <w:color w:val="000000"/>
                <w:lang w:eastAsia="en-AU"/>
              </w:rPr>
              <w:t xml:space="preserve"> 20.0</w:t>
            </w:r>
          </w:p>
        </w:tc>
      </w:tr>
      <w:tr w:rsidR="0070375D" w:rsidRPr="00632846" w:rsidTr="00BB1988">
        <w:tc>
          <w:tcPr>
            <w:tcW w:w="5864" w:type="dxa"/>
            <w:tcBorders>
              <w:top w:val="nil"/>
              <w:left w:val="nil"/>
              <w:bottom w:val="nil"/>
              <w:right w:val="nil"/>
            </w:tcBorders>
          </w:tcPr>
          <w:p w:rsidR="0070375D" w:rsidRPr="00632846" w:rsidRDefault="0070375D" w:rsidP="00632846">
            <w:pPr>
              <w:pStyle w:val="Tabletext"/>
              <w:rPr>
                <w:rFonts w:eastAsiaTheme="minorEastAsia"/>
                <w:lang w:eastAsia="en-AU"/>
              </w:rPr>
            </w:pPr>
            <w:r w:rsidRPr="00632846">
              <w:rPr>
                <w:rFonts w:eastAsiaTheme="minorEastAsia"/>
                <w:lang w:eastAsia="en-AU"/>
              </w:rPr>
              <w:t>Justice</w:t>
            </w:r>
          </w:p>
        </w:tc>
        <w:tc>
          <w:tcPr>
            <w:tcW w:w="990" w:type="dxa"/>
            <w:tcBorders>
              <w:top w:val="nil"/>
              <w:left w:val="nil"/>
              <w:bottom w:val="nil"/>
              <w:right w:val="nil"/>
            </w:tcBorders>
          </w:tcPr>
          <w:p w:rsidR="0070375D" w:rsidRPr="00632846" w:rsidRDefault="0070375D" w:rsidP="00632846">
            <w:pPr>
              <w:pStyle w:val="TableofFigures"/>
              <w:rPr>
                <w:rFonts w:eastAsiaTheme="minorEastAsia"/>
                <w:color w:val="000000"/>
                <w:lang w:eastAsia="en-AU"/>
              </w:rPr>
            </w:pPr>
            <w:r w:rsidRPr="00632846">
              <w:rPr>
                <w:rFonts w:eastAsiaTheme="minorEastAsia"/>
                <w:color w:val="000000"/>
                <w:lang w:eastAsia="en-AU"/>
              </w:rPr>
              <w:t xml:space="preserve"> 83.1</w:t>
            </w:r>
          </w:p>
        </w:tc>
        <w:tc>
          <w:tcPr>
            <w:tcW w:w="913" w:type="dxa"/>
            <w:tcBorders>
              <w:top w:val="nil"/>
              <w:left w:val="nil"/>
              <w:bottom w:val="nil"/>
              <w:right w:val="nil"/>
            </w:tcBorders>
          </w:tcPr>
          <w:p w:rsidR="0070375D" w:rsidRPr="00632846" w:rsidRDefault="0070375D" w:rsidP="00632846">
            <w:pPr>
              <w:pStyle w:val="TableofFigures"/>
              <w:rPr>
                <w:rFonts w:eastAsiaTheme="minorEastAsia"/>
                <w:color w:val="000000"/>
                <w:lang w:eastAsia="en-AU"/>
              </w:rPr>
            </w:pPr>
            <w:r w:rsidRPr="00632846">
              <w:rPr>
                <w:rFonts w:eastAsiaTheme="minorEastAsia"/>
                <w:color w:val="000000"/>
                <w:lang w:eastAsia="en-AU"/>
              </w:rPr>
              <w:t xml:space="preserve"> 185.0</w:t>
            </w:r>
          </w:p>
        </w:tc>
      </w:tr>
      <w:tr w:rsidR="0070375D" w:rsidRPr="00632846" w:rsidTr="00BB1988">
        <w:tc>
          <w:tcPr>
            <w:tcW w:w="5864" w:type="dxa"/>
            <w:tcBorders>
              <w:top w:val="nil"/>
              <w:left w:val="nil"/>
              <w:bottom w:val="nil"/>
              <w:right w:val="nil"/>
            </w:tcBorders>
          </w:tcPr>
          <w:p w:rsidR="0070375D" w:rsidRPr="00632846" w:rsidRDefault="0070375D" w:rsidP="00632846">
            <w:pPr>
              <w:pStyle w:val="Tabletext"/>
              <w:rPr>
                <w:rFonts w:eastAsiaTheme="minorEastAsia"/>
                <w:lang w:eastAsia="en-AU"/>
              </w:rPr>
            </w:pPr>
            <w:r w:rsidRPr="00632846">
              <w:rPr>
                <w:rFonts w:eastAsiaTheme="minorEastAsia"/>
                <w:lang w:eastAsia="en-AU"/>
              </w:rPr>
              <w:t>Premier and Cabinet</w:t>
            </w:r>
          </w:p>
        </w:tc>
        <w:tc>
          <w:tcPr>
            <w:tcW w:w="990" w:type="dxa"/>
            <w:tcBorders>
              <w:top w:val="nil"/>
              <w:left w:val="nil"/>
              <w:bottom w:val="nil"/>
              <w:right w:val="nil"/>
            </w:tcBorders>
          </w:tcPr>
          <w:p w:rsidR="0070375D" w:rsidRPr="00632846" w:rsidRDefault="0070375D" w:rsidP="00632846">
            <w:pPr>
              <w:pStyle w:val="TableofFigures"/>
              <w:rPr>
                <w:rFonts w:eastAsiaTheme="minorEastAsia"/>
                <w:color w:val="000000"/>
                <w:lang w:eastAsia="en-AU"/>
              </w:rPr>
            </w:pPr>
            <w:r w:rsidRPr="00632846">
              <w:rPr>
                <w:rFonts w:eastAsiaTheme="minorEastAsia"/>
                <w:color w:val="000000"/>
                <w:lang w:eastAsia="en-AU"/>
              </w:rPr>
              <w:t xml:space="preserve"> 11.7</w:t>
            </w:r>
          </w:p>
        </w:tc>
        <w:tc>
          <w:tcPr>
            <w:tcW w:w="913" w:type="dxa"/>
            <w:tcBorders>
              <w:top w:val="nil"/>
              <w:left w:val="nil"/>
              <w:bottom w:val="nil"/>
              <w:right w:val="nil"/>
            </w:tcBorders>
          </w:tcPr>
          <w:p w:rsidR="0070375D" w:rsidRPr="00632846" w:rsidRDefault="0070375D" w:rsidP="00632846">
            <w:pPr>
              <w:pStyle w:val="TableofFigures"/>
              <w:rPr>
                <w:rFonts w:eastAsiaTheme="minorEastAsia"/>
                <w:color w:val="000000"/>
                <w:lang w:eastAsia="en-AU"/>
              </w:rPr>
            </w:pPr>
            <w:r w:rsidRPr="00632846">
              <w:rPr>
                <w:rFonts w:eastAsiaTheme="minorEastAsia"/>
                <w:color w:val="000000"/>
                <w:lang w:eastAsia="en-AU"/>
              </w:rPr>
              <w:t xml:space="preserve"> 13.2</w:t>
            </w:r>
          </w:p>
        </w:tc>
      </w:tr>
      <w:tr w:rsidR="0070375D" w:rsidRPr="00632846" w:rsidTr="00BB1988">
        <w:tc>
          <w:tcPr>
            <w:tcW w:w="5864" w:type="dxa"/>
            <w:tcBorders>
              <w:top w:val="nil"/>
              <w:left w:val="nil"/>
              <w:bottom w:val="nil"/>
              <w:right w:val="nil"/>
            </w:tcBorders>
          </w:tcPr>
          <w:p w:rsidR="0070375D" w:rsidRPr="00632846" w:rsidRDefault="0070375D" w:rsidP="00632846">
            <w:pPr>
              <w:pStyle w:val="Tabletext"/>
              <w:rPr>
                <w:rFonts w:eastAsiaTheme="minorEastAsia" w:cs="Calibri"/>
                <w:color w:val="000000"/>
                <w:lang w:eastAsia="en-AU"/>
              </w:rPr>
            </w:pPr>
            <w:r w:rsidRPr="00632846">
              <w:rPr>
                <w:rFonts w:eastAsiaTheme="minorEastAsia"/>
                <w:lang w:eastAsia="en-AU"/>
              </w:rPr>
              <w:t>State Development, Business and Innovation</w:t>
            </w:r>
          </w:p>
        </w:tc>
        <w:tc>
          <w:tcPr>
            <w:tcW w:w="990" w:type="dxa"/>
            <w:tcBorders>
              <w:top w:val="nil"/>
              <w:left w:val="nil"/>
              <w:bottom w:val="nil"/>
              <w:right w:val="nil"/>
            </w:tcBorders>
          </w:tcPr>
          <w:p w:rsidR="0070375D" w:rsidRPr="00632846" w:rsidRDefault="0070375D" w:rsidP="00632846">
            <w:pPr>
              <w:pStyle w:val="TableofFigures"/>
              <w:rPr>
                <w:rFonts w:eastAsiaTheme="minorEastAsia"/>
                <w:color w:val="000000"/>
                <w:lang w:eastAsia="en-AU"/>
              </w:rPr>
            </w:pPr>
            <w:r w:rsidRPr="00632846">
              <w:rPr>
                <w:rFonts w:eastAsiaTheme="minorEastAsia"/>
                <w:color w:val="000000"/>
                <w:lang w:eastAsia="en-AU"/>
              </w:rPr>
              <w:t xml:space="preserve"> 9.1</w:t>
            </w:r>
          </w:p>
        </w:tc>
        <w:tc>
          <w:tcPr>
            <w:tcW w:w="913" w:type="dxa"/>
            <w:tcBorders>
              <w:top w:val="nil"/>
              <w:left w:val="nil"/>
              <w:bottom w:val="nil"/>
              <w:right w:val="nil"/>
            </w:tcBorders>
          </w:tcPr>
          <w:p w:rsidR="0070375D" w:rsidRPr="00632846" w:rsidRDefault="0070375D" w:rsidP="00632846">
            <w:pPr>
              <w:pStyle w:val="TableofFigures"/>
              <w:rPr>
                <w:rFonts w:eastAsiaTheme="minorEastAsia"/>
                <w:color w:val="000000"/>
                <w:lang w:eastAsia="en-AU"/>
              </w:rPr>
            </w:pPr>
            <w:r w:rsidRPr="00632846">
              <w:rPr>
                <w:rFonts w:eastAsiaTheme="minorEastAsia"/>
                <w:color w:val="000000"/>
                <w:lang w:eastAsia="en-AU"/>
              </w:rPr>
              <w:t xml:space="preserve"> 16.9</w:t>
            </w:r>
          </w:p>
        </w:tc>
      </w:tr>
      <w:tr w:rsidR="0070375D" w:rsidRPr="00632846" w:rsidTr="00BB1988">
        <w:tc>
          <w:tcPr>
            <w:tcW w:w="5864" w:type="dxa"/>
            <w:tcBorders>
              <w:top w:val="nil"/>
              <w:left w:val="nil"/>
              <w:bottom w:val="nil"/>
              <w:right w:val="nil"/>
            </w:tcBorders>
          </w:tcPr>
          <w:p w:rsidR="0070375D" w:rsidRPr="00632846" w:rsidRDefault="0070375D" w:rsidP="00632846">
            <w:pPr>
              <w:pStyle w:val="Tabletext"/>
              <w:rPr>
                <w:rFonts w:eastAsiaTheme="minorEastAsia" w:cs="Calibri"/>
                <w:color w:val="000000"/>
                <w:vertAlign w:val="superscript"/>
                <w:lang w:eastAsia="en-AU"/>
              </w:rPr>
            </w:pPr>
            <w:r w:rsidRPr="00632846">
              <w:rPr>
                <w:rFonts w:eastAsiaTheme="minorEastAsia"/>
                <w:lang w:eastAsia="en-AU"/>
              </w:rPr>
              <w:t>Transport,</w:t>
            </w:r>
            <w:r w:rsidRPr="00632846">
              <w:rPr>
                <w:rFonts w:eastAsiaTheme="minorEastAsia" w:cs="Calibri"/>
                <w:color w:val="000000"/>
                <w:lang w:eastAsia="en-AU"/>
              </w:rPr>
              <w:t xml:space="preserve"> Planning and Local Infrastructure </w:t>
            </w:r>
            <w:r w:rsidRPr="00632846">
              <w:rPr>
                <w:rFonts w:eastAsiaTheme="minorEastAsia" w:cs="Calibri"/>
                <w:color w:val="000000"/>
                <w:vertAlign w:val="superscript"/>
                <w:lang w:eastAsia="en-AU"/>
              </w:rPr>
              <w:t xml:space="preserve">(c) </w:t>
            </w:r>
          </w:p>
        </w:tc>
        <w:tc>
          <w:tcPr>
            <w:tcW w:w="990" w:type="dxa"/>
            <w:tcBorders>
              <w:top w:val="nil"/>
              <w:left w:val="nil"/>
              <w:bottom w:val="nil"/>
              <w:right w:val="nil"/>
            </w:tcBorders>
          </w:tcPr>
          <w:p w:rsidR="0070375D" w:rsidRPr="00632846" w:rsidRDefault="0070375D" w:rsidP="00632846">
            <w:pPr>
              <w:pStyle w:val="TableofFigures"/>
              <w:rPr>
                <w:rFonts w:eastAsiaTheme="minorEastAsia"/>
                <w:color w:val="000000"/>
                <w:lang w:eastAsia="en-AU"/>
              </w:rPr>
            </w:pPr>
            <w:r w:rsidRPr="00632846">
              <w:rPr>
                <w:rFonts w:eastAsiaTheme="minorEastAsia"/>
                <w:color w:val="000000"/>
                <w:lang w:eastAsia="en-AU"/>
              </w:rPr>
              <w:t xml:space="preserve"> 499.0</w:t>
            </w:r>
          </w:p>
        </w:tc>
        <w:tc>
          <w:tcPr>
            <w:tcW w:w="913" w:type="dxa"/>
            <w:tcBorders>
              <w:top w:val="nil"/>
              <w:left w:val="nil"/>
              <w:bottom w:val="nil"/>
              <w:right w:val="nil"/>
            </w:tcBorders>
          </w:tcPr>
          <w:p w:rsidR="0070375D" w:rsidRPr="00632846" w:rsidRDefault="0070375D" w:rsidP="003155A2">
            <w:pPr>
              <w:pStyle w:val="TableofFigures"/>
              <w:rPr>
                <w:rFonts w:eastAsiaTheme="minorEastAsia" w:cs="Calibri"/>
                <w:color w:val="000000"/>
                <w:lang w:eastAsia="en-AU"/>
              </w:rPr>
            </w:pPr>
            <w:r w:rsidRPr="00632846">
              <w:rPr>
                <w:rFonts w:eastAsiaTheme="minorEastAsia"/>
                <w:color w:val="000000"/>
                <w:lang w:eastAsia="en-AU"/>
              </w:rPr>
              <w:t>7 292</w:t>
            </w:r>
            <w:r>
              <w:rPr>
                <w:rFonts w:eastAsiaTheme="minorEastAsia"/>
                <w:color w:val="000000"/>
                <w:lang w:eastAsia="en-AU"/>
              </w:rPr>
              <w:t>–</w:t>
            </w:r>
            <w:r>
              <w:rPr>
                <w:rFonts w:eastAsiaTheme="minorEastAsia"/>
                <w:color w:val="000000"/>
                <w:lang w:eastAsia="en-AU"/>
              </w:rPr>
              <w:br/>
            </w:r>
            <w:r w:rsidRPr="00632846">
              <w:rPr>
                <w:rFonts w:eastAsiaTheme="minorEastAsia" w:cs="Calibri"/>
                <w:color w:val="000000"/>
                <w:lang w:eastAsia="en-AU"/>
              </w:rPr>
              <w:t xml:space="preserve"> 9 292</w:t>
            </w:r>
          </w:p>
        </w:tc>
      </w:tr>
      <w:tr w:rsidR="0070375D" w:rsidRPr="00632846" w:rsidTr="00BB1988">
        <w:tc>
          <w:tcPr>
            <w:tcW w:w="5864" w:type="dxa"/>
            <w:tcBorders>
              <w:top w:val="nil"/>
              <w:left w:val="nil"/>
              <w:bottom w:val="nil"/>
              <w:right w:val="nil"/>
            </w:tcBorders>
          </w:tcPr>
          <w:p w:rsidR="0070375D" w:rsidRPr="00632846" w:rsidRDefault="0070375D" w:rsidP="00632846">
            <w:pPr>
              <w:pStyle w:val="Tabletext"/>
              <w:rPr>
                <w:rFonts w:eastAsiaTheme="minorEastAsia"/>
                <w:lang w:eastAsia="en-AU"/>
              </w:rPr>
            </w:pPr>
            <w:r w:rsidRPr="00632846">
              <w:rPr>
                <w:rFonts w:eastAsiaTheme="minorEastAsia"/>
                <w:lang w:eastAsia="en-AU"/>
              </w:rPr>
              <w:t>Treasury and Finance</w:t>
            </w:r>
          </w:p>
        </w:tc>
        <w:tc>
          <w:tcPr>
            <w:tcW w:w="990" w:type="dxa"/>
            <w:tcBorders>
              <w:top w:val="nil"/>
              <w:left w:val="nil"/>
              <w:bottom w:val="nil"/>
              <w:right w:val="nil"/>
            </w:tcBorders>
          </w:tcPr>
          <w:p w:rsidR="0070375D" w:rsidRPr="00632846" w:rsidRDefault="0070375D" w:rsidP="00632846">
            <w:pPr>
              <w:pStyle w:val="TableofFigures"/>
              <w:rPr>
                <w:rFonts w:eastAsiaTheme="minorEastAsia" w:cs="Calibri"/>
                <w:color w:val="000000"/>
                <w:lang w:eastAsia="en-AU"/>
              </w:rPr>
            </w:pPr>
            <w:r w:rsidRPr="00632846">
              <w:rPr>
                <w:rFonts w:eastAsiaTheme="minorEastAsia"/>
                <w:color w:val="000000"/>
                <w:lang w:eastAsia="en-AU"/>
              </w:rPr>
              <w:t>..</w:t>
            </w:r>
          </w:p>
        </w:tc>
        <w:tc>
          <w:tcPr>
            <w:tcW w:w="913" w:type="dxa"/>
            <w:tcBorders>
              <w:top w:val="nil"/>
              <w:left w:val="nil"/>
              <w:bottom w:val="nil"/>
              <w:right w:val="nil"/>
            </w:tcBorders>
          </w:tcPr>
          <w:p w:rsidR="0070375D" w:rsidRPr="00632846" w:rsidRDefault="0070375D" w:rsidP="00632846">
            <w:pPr>
              <w:pStyle w:val="TableofFigures"/>
              <w:rPr>
                <w:rFonts w:eastAsiaTheme="minorEastAsia" w:cs="Calibri"/>
                <w:color w:val="000000"/>
                <w:lang w:eastAsia="en-AU"/>
              </w:rPr>
            </w:pPr>
            <w:r w:rsidRPr="00632846">
              <w:rPr>
                <w:rFonts w:eastAsiaTheme="minorEastAsia"/>
                <w:color w:val="000000"/>
                <w:lang w:eastAsia="en-AU"/>
              </w:rPr>
              <w:t>..</w:t>
            </w:r>
          </w:p>
        </w:tc>
      </w:tr>
      <w:tr w:rsidR="0070375D" w:rsidRPr="00632846" w:rsidTr="00BB1988">
        <w:tc>
          <w:tcPr>
            <w:tcW w:w="5864" w:type="dxa"/>
            <w:tcBorders>
              <w:top w:val="nil"/>
              <w:left w:val="nil"/>
              <w:bottom w:val="nil"/>
              <w:right w:val="nil"/>
            </w:tcBorders>
          </w:tcPr>
          <w:p w:rsidR="0070375D" w:rsidRPr="00632846" w:rsidRDefault="0070375D" w:rsidP="00632846">
            <w:pPr>
              <w:pStyle w:val="Tabletext"/>
              <w:rPr>
                <w:rFonts w:eastAsiaTheme="minorEastAsia"/>
                <w:lang w:eastAsia="en-AU"/>
              </w:rPr>
            </w:pPr>
            <w:r w:rsidRPr="00632846">
              <w:rPr>
                <w:rFonts w:eastAsiaTheme="minorEastAsia"/>
                <w:lang w:eastAsia="en-AU"/>
              </w:rPr>
              <w:t>Parliament</w:t>
            </w:r>
          </w:p>
        </w:tc>
        <w:tc>
          <w:tcPr>
            <w:tcW w:w="990" w:type="dxa"/>
            <w:tcBorders>
              <w:top w:val="nil"/>
              <w:left w:val="nil"/>
              <w:bottom w:val="nil"/>
              <w:right w:val="nil"/>
            </w:tcBorders>
          </w:tcPr>
          <w:p w:rsidR="0070375D" w:rsidRPr="00632846" w:rsidRDefault="0070375D" w:rsidP="00632846">
            <w:pPr>
              <w:pStyle w:val="TableofFigures"/>
              <w:rPr>
                <w:rFonts w:eastAsiaTheme="minorEastAsia" w:cs="Calibri"/>
                <w:color w:val="000000"/>
                <w:lang w:eastAsia="en-AU"/>
              </w:rPr>
            </w:pPr>
            <w:r w:rsidRPr="00632846">
              <w:rPr>
                <w:rFonts w:eastAsiaTheme="minorEastAsia"/>
                <w:color w:val="000000"/>
                <w:lang w:eastAsia="en-AU"/>
              </w:rPr>
              <w:t>..</w:t>
            </w:r>
          </w:p>
        </w:tc>
        <w:tc>
          <w:tcPr>
            <w:tcW w:w="913" w:type="dxa"/>
            <w:tcBorders>
              <w:top w:val="nil"/>
              <w:left w:val="nil"/>
              <w:bottom w:val="nil"/>
              <w:right w:val="nil"/>
            </w:tcBorders>
          </w:tcPr>
          <w:p w:rsidR="0070375D" w:rsidRPr="00632846" w:rsidRDefault="0070375D" w:rsidP="00632846">
            <w:pPr>
              <w:pStyle w:val="TableofFigures"/>
              <w:rPr>
                <w:rFonts w:eastAsiaTheme="minorEastAsia" w:cs="Calibri"/>
                <w:color w:val="000000"/>
                <w:lang w:eastAsia="en-AU"/>
              </w:rPr>
            </w:pPr>
            <w:r w:rsidRPr="00632846">
              <w:rPr>
                <w:rFonts w:eastAsiaTheme="minorEastAsia"/>
                <w:color w:val="000000"/>
                <w:lang w:eastAsia="en-AU"/>
              </w:rPr>
              <w:t>..</w:t>
            </w:r>
          </w:p>
        </w:tc>
      </w:tr>
      <w:tr w:rsidR="0070375D" w:rsidRPr="00632846" w:rsidTr="00BB1988">
        <w:tc>
          <w:tcPr>
            <w:tcW w:w="5864" w:type="dxa"/>
            <w:tcBorders>
              <w:top w:val="single" w:sz="6" w:space="0" w:color="auto"/>
              <w:left w:val="nil"/>
              <w:bottom w:val="single" w:sz="12" w:space="0" w:color="auto"/>
              <w:right w:val="nil"/>
            </w:tcBorders>
          </w:tcPr>
          <w:p w:rsidR="0070375D" w:rsidRPr="00632846" w:rsidRDefault="0070375D" w:rsidP="00632846">
            <w:pPr>
              <w:pStyle w:val="Tabletext"/>
              <w:rPr>
                <w:rFonts w:eastAsiaTheme="minorEastAsia" w:cs="Calibri"/>
                <w:b/>
                <w:bCs/>
                <w:color w:val="000000"/>
                <w:vertAlign w:val="superscript"/>
                <w:lang w:eastAsia="en-AU"/>
              </w:rPr>
            </w:pPr>
            <w:r w:rsidRPr="00632846">
              <w:rPr>
                <w:rFonts w:eastAsiaTheme="minorEastAsia"/>
                <w:b/>
                <w:bCs/>
                <w:lang w:eastAsia="en-AU"/>
              </w:rPr>
              <w:t xml:space="preserve">Total </w:t>
            </w:r>
            <w:r w:rsidRPr="00632846">
              <w:rPr>
                <w:rFonts w:eastAsiaTheme="minorEastAsia"/>
                <w:b/>
                <w:bCs/>
                <w:i/>
                <w:iCs/>
                <w:lang w:eastAsia="en-AU"/>
              </w:rPr>
              <w:t>2013</w:t>
            </w:r>
            <w:r w:rsidR="00276239">
              <w:rPr>
                <w:rFonts w:eastAsiaTheme="minorEastAsia"/>
                <w:b/>
                <w:bCs/>
                <w:i/>
                <w:iCs/>
                <w:lang w:eastAsia="en-AU"/>
              </w:rPr>
              <w:noBreakHyphen/>
            </w:r>
            <w:r w:rsidRPr="00632846">
              <w:rPr>
                <w:rFonts w:eastAsiaTheme="minorEastAsia"/>
                <w:b/>
                <w:bCs/>
                <w:i/>
                <w:iCs/>
                <w:lang w:eastAsia="en-AU"/>
              </w:rPr>
              <w:t>14 Budget</w:t>
            </w:r>
            <w:r w:rsidRPr="00632846">
              <w:rPr>
                <w:rFonts w:eastAsiaTheme="minorEastAsia"/>
                <w:b/>
                <w:bCs/>
                <w:lang w:eastAsia="en-AU"/>
              </w:rPr>
              <w:t xml:space="preserve"> asset funding </w:t>
            </w:r>
            <w:r w:rsidRPr="00632846">
              <w:rPr>
                <w:rFonts w:eastAsiaTheme="minorEastAsia" w:cs="Calibri"/>
                <w:b/>
                <w:bCs/>
                <w:color w:val="000000"/>
                <w:vertAlign w:val="superscript"/>
                <w:lang w:eastAsia="en-AU"/>
              </w:rPr>
              <w:t>(c)</w:t>
            </w:r>
          </w:p>
        </w:tc>
        <w:tc>
          <w:tcPr>
            <w:tcW w:w="990" w:type="dxa"/>
            <w:tcBorders>
              <w:top w:val="single" w:sz="6" w:space="0" w:color="auto"/>
              <w:left w:val="nil"/>
              <w:bottom w:val="single" w:sz="12" w:space="0" w:color="auto"/>
              <w:right w:val="nil"/>
            </w:tcBorders>
          </w:tcPr>
          <w:p w:rsidR="0070375D" w:rsidRPr="00632846" w:rsidRDefault="0070375D" w:rsidP="00632846">
            <w:pPr>
              <w:pStyle w:val="TableofFigures"/>
              <w:rPr>
                <w:rFonts w:eastAsiaTheme="minorEastAsia"/>
                <w:b/>
                <w:bCs/>
                <w:color w:val="000000"/>
                <w:lang w:eastAsia="en-AU"/>
              </w:rPr>
            </w:pPr>
            <w:r w:rsidRPr="00632846">
              <w:rPr>
                <w:rFonts w:eastAsiaTheme="minorEastAsia"/>
                <w:b/>
                <w:bCs/>
                <w:color w:val="000000"/>
                <w:lang w:eastAsia="en-AU"/>
              </w:rPr>
              <w:t xml:space="preserve"> 825.0</w:t>
            </w:r>
          </w:p>
        </w:tc>
        <w:tc>
          <w:tcPr>
            <w:tcW w:w="913" w:type="dxa"/>
            <w:tcBorders>
              <w:top w:val="single" w:sz="6" w:space="0" w:color="auto"/>
              <w:left w:val="nil"/>
              <w:bottom w:val="single" w:sz="12" w:space="0" w:color="auto"/>
              <w:right w:val="nil"/>
            </w:tcBorders>
          </w:tcPr>
          <w:p w:rsidR="0070375D" w:rsidRPr="00632846" w:rsidRDefault="0070375D" w:rsidP="00632846">
            <w:pPr>
              <w:pStyle w:val="TableofFigures"/>
              <w:rPr>
                <w:rFonts w:eastAsiaTheme="minorEastAsia" w:cs="Calibri"/>
                <w:b/>
                <w:bCs/>
                <w:color w:val="000000"/>
                <w:lang w:eastAsia="en-AU"/>
              </w:rPr>
            </w:pPr>
            <w:r>
              <w:rPr>
                <w:rFonts w:eastAsiaTheme="minorEastAsia"/>
                <w:b/>
                <w:bCs/>
                <w:color w:val="000000"/>
                <w:lang w:eastAsia="en-AU"/>
              </w:rPr>
              <w:t>8 495–</w:t>
            </w:r>
            <w:r>
              <w:rPr>
                <w:rFonts w:eastAsiaTheme="minorEastAsia"/>
                <w:b/>
                <w:bCs/>
                <w:color w:val="000000"/>
                <w:lang w:eastAsia="en-AU"/>
              </w:rPr>
              <w:br/>
            </w:r>
            <w:r w:rsidRPr="00632846">
              <w:rPr>
                <w:rFonts w:eastAsiaTheme="minorEastAsia" w:cs="Calibri"/>
                <w:b/>
                <w:bCs/>
                <w:color w:val="000000"/>
                <w:lang w:eastAsia="en-AU"/>
              </w:rPr>
              <w:t>10 495</w:t>
            </w:r>
          </w:p>
        </w:tc>
      </w:tr>
    </w:tbl>
    <w:p w:rsidR="0070375D" w:rsidRPr="00B02893" w:rsidRDefault="0070375D" w:rsidP="00941273">
      <w:pPr>
        <w:pStyle w:val="Source"/>
      </w:pPr>
      <w:r w:rsidRPr="00B02893">
        <w:t>Source: Department of Treasury and Finance</w:t>
      </w:r>
    </w:p>
    <w:p w:rsidR="0070375D" w:rsidRPr="00B02893" w:rsidRDefault="00427B0C" w:rsidP="00583CAC">
      <w:pPr>
        <w:pStyle w:val="Notes"/>
      </w:pPr>
      <w:r>
        <w:fldChar w:fldCharType="begin"/>
      </w:r>
      <w:r>
        <w:instrText xml:space="preserve"> XE "</w:instrText>
      </w:r>
      <w:r w:rsidRPr="00FF792E">
        <w:instrText>Department of Environment and Primary Industries</w:instrText>
      </w:r>
      <w:r>
        <w:instrText xml:space="preserve">" </w:instrText>
      </w:r>
      <w:r>
        <w:fldChar w:fldCharType="end"/>
      </w:r>
      <w:r>
        <w:fldChar w:fldCharType="begin"/>
      </w:r>
      <w:r>
        <w:instrText xml:space="preserve"> XE "</w:instrText>
      </w:r>
      <w:r w:rsidRPr="00FF792E">
        <w:instrText>Department of State Development, Business and Innovation</w:instrText>
      </w:r>
      <w:r>
        <w:instrText xml:space="preserve">" </w:instrText>
      </w:r>
      <w:r>
        <w:fldChar w:fldCharType="end"/>
      </w:r>
      <w:r>
        <w:fldChar w:fldCharType="begin"/>
      </w:r>
      <w:r>
        <w:instrText xml:space="preserve"> XE "</w:instrText>
      </w:r>
      <w:r w:rsidRPr="00FF792E">
        <w:instrText>Department of Transport, Planning and Local Infrastructure</w:instrText>
      </w:r>
      <w:r>
        <w:instrText xml:space="preserve">" </w:instrText>
      </w:r>
      <w:r>
        <w:fldChar w:fldCharType="end"/>
      </w:r>
      <w:r w:rsidR="0070375D" w:rsidRPr="00B02893">
        <w:t>Note</w:t>
      </w:r>
      <w:r w:rsidR="0070375D">
        <w:t>s</w:t>
      </w:r>
      <w:r w:rsidR="0070375D" w:rsidRPr="00B02893">
        <w:t>:</w:t>
      </w:r>
    </w:p>
    <w:p w:rsidR="0070375D" w:rsidRDefault="0070375D" w:rsidP="00583CAC">
      <w:pPr>
        <w:pStyle w:val="Notes"/>
      </w:pPr>
      <w:r w:rsidRPr="00B02893">
        <w:t>(a)</w:t>
      </w:r>
      <w:r w:rsidRPr="00B02893">
        <w:tab/>
        <w:t xml:space="preserve">Budget Paper No. 4 </w:t>
      </w:r>
      <w:r w:rsidRPr="008C1F9F">
        <w:rPr>
          <w:i w:val="0"/>
        </w:rPr>
        <w:t>State Capital Program</w:t>
      </w:r>
      <w:r w:rsidRPr="00B02893">
        <w:t xml:space="preserve"> provides project</w:t>
      </w:r>
      <w:r w:rsidR="00276239">
        <w:noBreakHyphen/>
      </w:r>
      <w:r w:rsidRPr="00B02893">
        <w:t>level cashflow information about the Government</w:t>
      </w:r>
      <w:r w:rsidR="00276239">
        <w:t>’</w:t>
      </w:r>
      <w:r w:rsidRPr="00B02893">
        <w:t>s new asset i</w:t>
      </w:r>
      <w:r>
        <w:t xml:space="preserve">nvestments announced in the </w:t>
      </w:r>
      <w:r w:rsidRPr="009224F5">
        <w:rPr>
          <w:i w:val="0"/>
        </w:rPr>
        <w:t>2013</w:t>
      </w:r>
      <w:r w:rsidR="00276239">
        <w:rPr>
          <w:i w:val="0"/>
        </w:rPr>
        <w:noBreakHyphen/>
      </w:r>
      <w:r w:rsidRPr="009224F5">
        <w:rPr>
          <w:i w:val="0"/>
        </w:rPr>
        <w:t>14 Budget</w:t>
      </w:r>
      <w:r w:rsidRPr="00B02893">
        <w:t xml:space="preserve">, while Budget Paper No. 3 </w:t>
      </w:r>
      <w:r w:rsidRPr="008C1F9F">
        <w:rPr>
          <w:i w:val="0"/>
        </w:rPr>
        <w:t>Service Delivery</w:t>
      </w:r>
      <w:r w:rsidRPr="00B02893">
        <w:t xml:space="preserve"> includes a detailed list and description of all asset i</w:t>
      </w:r>
      <w:r>
        <w:t xml:space="preserve">nitiatives announced in the </w:t>
      </w:r>
      <w:r w:rsidRPr="009F27AE">
        <w:rPr>
          <w:i w:val="0"/>
        </w:rPr>
        <w:t>2013</w:t>
      </w:r>
      <w:r w:rsidR="00276239">
        <w:rPr>
          <w:i w:val="0"/>
        </w:rPr>
        <w:noBreakHyphen/>
      </w:r>
      <w:r w:rsidRPr="009F27AE">
        <w:rPr>
          <w:i w:val="0"/>
        </w:rPr>
        <w:t>14 Budget</w:t>
      </w:r>
      <w:r w:rsidRPr="00B02893">
        <w:t>.</w:t>
      </w:r>
    </w:p>
    <w:p w:rsidR="0070375D" w:rsidRDefault="0070375D" w:rsidP="00941273">
      <w:pPr>
        <w:pStyle w:val="Notes"/>
      </w:pPr>
      <w:r>
        <w:t>(b)</w:t>
      </w:r>
      <w:r>
        <w:tab/>
      </w:r>
      <w:r w:rsidRPr="00B02893">
        <w:t>Includes projects which are to be delivered through the public non</w:t>
      </w:r>
      <w:r w:rsidR="00276239">
        <w:noBreakHyphen/>
      </w:r>
      <w:r w:rsidRPr="00B02893">
        <w:t>financial corporations sector on behalf of the Government</w:t>
      </w:r>
      <w:r>
        <w:t>.</w:t>
      </w:r>
    </w:p>
    <w:p w:rsidR="0070375D" w:rsidRPr="003155A2" w:rsidRDefault="0070375D" w:rsidP="002027A4">
      <w:pPr>
        <w:pStyle w:val="Notes"/>
      </w:pPr>
      <w:r>
        <w:t>(c)</w:t>
      </w:r>
      <w:r>
        <w:tab/>
      </w:r>
      <w:r w:rsidRPr="00B02893">
        <w:t xml:space="preserve">Includes </w:t>
      </w:r>
      <w:r w:rsidRPr="003155A2">
        <w:t>East</w:t>
      </w:r>
      <w:r>
        <w:t> </w:t>
      </w:r>
      <w:r w:rsidRPr="003155A2">
        <w:t xml:space="preserve">West Link – Stage 1 </w:t>
      </w:r>
      <w:r>
        <w:t>project TEI of approximately $6–</w:t>
      </w:r>
      <w:r w:rsidRPr="003155A2">
        <w:t>8 billion.</w:t>
      </w:r>
    </w:p>
    <w:p w:rsidR="0070375D" w:rsidRPr="00941273" w:rsidRDefault="0070375D" w:rsidP="00941273">
      <w:pPr>
        <w:pStyle w:val="Notes"/>
      </w:pPr>
    </w:p>
    <w:p w:rsidR="0070375D" w:rsidRDefault="0070375D">
      <w:pPr>
        <w:spacing w:after="0"/>
        <w:rPr>
          <w:rFonts w:ascii="Calibri" w:hAnsi="Calibri"/>
          <w:b/>
          <w:caps/>
          <w:sz w:val="26"/>
          <w:szCs w:val="22"/>
        </w:rPr>
      </w:pPr>
      <w:r>
        <w:br w:type="page"/>
      </w:r>
    </w:p>
    <w:p w:rsidR="0070375D" w:rsidRPr="003E66F6" w:rsidRDefault="0070375D" w:rsidP="00583CAC">
      <w:pPr>
        <w:pStyle w:val="Heading1"/>
      </w:pPr>
      <w:bookmarkStart w:id="52" w:name="_Toc355372029"/>
      <w:bookmarkStart w:id="53" w:name="BP2CH4Netdebt"/>
      <w:r w:rsidRPr="003E66F6">
        <w:lastRenderedPageBreak/>
        <w:t xml:space="preserve">Net debt and </w:t>
      </w:r>
      <w:r w:rsidRPr="00E45E97">
        <w:t>net</w:t>
      </w:r>
      <w:r w:rsidRPr="003E66F6">
        <w:t xml:space="preserve"> financial liabilities</w:t>
      </w:r>
      <w:bookmarkEnd w:id="51"/>
      <w:bookmarkEnd w:id="52"/>
    </w:p>
    <w:p w:rsidR="0070375D" w:rsidRDefault="0070375D" w:rsidP="005D35F6">
      <w:r>
        <w:t>A strong budget position is critical to securing Victoria</w:t>
      </w:r>
      <w:r w:rsidR="00276239">
        <w:t>’</w:t>
      </w:r>
      <w:r>
        <w:t xml:space="preserve">s growth. The </w:t>
      </w:r>
      <w:r w:rsidRPr="00096A4C">
        <w:rPr>
          <w:i/>
        </w:rPr>
        <w:t>2013</w:t>
      </w:r>
      <w:r w:rsidR="00276239">
        <w:rPr>
          <w:i/>
        </w:rPr>
        <w:noBreakHyphen/>
      </w:r>
      <w:r w:rsidRPr="00096A4C">
        <w:rPr>
          <w:i/>
        </w:rPr>
        <w:t>14 Budget</w:t>
      </w:r>
      <w:r>
        <w:t xml:space="preserve"> forecasts substantial reductions in June 2017 net debt as a proportion of GSP compared to the forecast peak in June 2015.</w:t>
      </w:r>
    </w:p>
    <w:p w:rsidR="0070375D" w:rsidRDefault="0070375D" w:rsidP="005D35F6">
      <w:r>
        <w:t xml:space="preserve">Net debt is projected to rise compared to the </w:t>
      </w:r>
      <w:r w:rsidRPr="00BD53D6">
        <w:rPr>
          <w:i/>
        </w:rPr>
        <w:t>2012</w:t>
      </w:r>
      <w:r w:rsidR="00276239">
        <w:rPr>
          <w:i/>
        </w:rPr>
        <w:noBreakHyphen/>
      </w:r>
      <w:r w:rsidRPr="00BD53D6">
        <w:rPr>
          <w:i/>
        </w:rPr>
        <w:t>13 Budget Update</w:t>
      </w:r>
      <w:r>
        <w:t xml:space="preserve"> forecast by 2014</w:t>
      </w:r>
      <w:r w:rsidR="00276239">
        <w:noBreakHyphen/>
      </w:r>
      <w:r>
        <w:t>15, largely as a result of lower operating surpluses and necessary state</w:t>
      </w:r>
      <w:r w:rsidR="00276239">
        <w:noBreakHyphen/>
      </w:r>
      <w:r>
        <w:t>changing</w:t>
      </w:r>
      <w:r w:rsidRPr="00D81544">
        <w:t xml:space="preserve"> infrastructure investment</w:t>
      </w:r>
      <w:r>
        <w:t>. Net debt is expected to peak in June 2015 at 6.6 per cent of GSP. From 2015</w:t>
      </w:r>
      <w:r w:rsidR="00276239">
        <w:noBreakHyphen/>
      </w:r>
      <w:r>
        <w:t>16 onwards the Government</w:t>
      </w:r>
      <w:r w:rsidR="00276239">
        <w:t>’</w:t>
      </w:r>
      <w:r>
        <w:t>s continued expenditure constraint will drive sharp reductions to forecast net debt (</w:t>
      </w:r>
      <w:r w:rsidRPr="00D81544">
        <w:t>both in nominal dol</w:t>
      </w:r>
      <w:r>
        <w:t>lars and as a proportion of GSP).</w:t>
      </w:r>
    </w:p>
    <w:p w:rsidR="0070375D" w:rsidRPr="00522338" w:rsidRDefault="0070375D" w:rsidP="00D20E48">
      <w:pPr>
        <w:rPr>
          <w:i/>
          <w:iCs/>
        </w:rPr>
      </w:pPr>
      <w:r>
        <w:t>Estimated n</w:t>
      </w:r>
      <w:r w:rsidRPr="00D81544">
        <w:t>et financial liabilities</w:t>
      </w:r>
      <w:r>
        <w:t xml:space="preserve"> as a proportion of GSP are on a downwards trajectory over the forward estimates. </w:t>
      </w:r>
      <w:r w:rsidRPr="00D81544">
        <w:t>The Government continues to take action to fully fund the unfunded superannuation liability by 2035 and any changes in the superannuation liability that arise solely due to movements in the discount rate do not affect this.</w:t>
      </w:r>
    </w:p>
    <w:p w:rsidR="0070375D" w:rsidRDefault="0070375D" w:rsidP="00583CAC">
      <w:pPr>
        <w:pStyle w:val="Chartheading"/>
        <w:rPr>
          <w:vertAlign w:val="superscript"/>
        </w:rPr>
      </w:pPr>
      <w:r>
        <w:t>Chart </w:t>
      </w:r>
      <w:r w:rsidRPr="003E66F6">
        <w:t>4.</w:t>
      </w:r>
      <w:r>
        <w:t>1</w:t>
      </w:r>
      <w:r w:rsidRPr="003E66F6">
        <w:tab/>
      </w:r>
      <w:r w:rsidRPr="00E45E97">
        <w:t>General</w:t>
      </w:r>
      <w:r w:rsidRPr="003E66F6">
        <w:t xml:space="preserve"> government net financial liabilities as at 30 June</w:t>
      </w:r>
      <w:r w:rsidRPr="003E66F6">
        <w:rPr>
          <w:vertAlign w:val="superscript"/>
        </w:rPr>
        <w:t>(a)</w:t>
      </w:r>
    </w:p>
    <w:p w:rsidR="0070375D" w:rsidRDefault="00315427" w:rsidP="00846D9D">
      <w:pPr>
        <w:pStyle w:val="Chartpara"/>
      </w:pPr>
      <w:r>
        <w:pict>
          <v:shape id="_x0000_i1039" type="#_x0000_t75" style="width:382.5pt;height:254.25pt">
            <v:imagedata r:id="rId37" o:title=""/>
          </v:shape>
        </w:pict>
      </w:r>
    </w:p>
    <w:p w:rsidR="0070375D" w:rsidRDefault="0070375D" w:rsidP="00583CAC">
      <w:pPr>
        <w:pStyle w:val="Source"/>
      </w:pPr>
      <w:r>
        <w:t>Source: Department of Treasury and Finance</w:t>
      </w:r>
    </w:p>
    <w:p w:rsidR="0070375D" w:rsidRPr="00B02893" w:rsidRDefault="0070375D" w:rsidP="002B6FD9">
      <w:pPr>
        <w:pStyle w:val="Notes"/>
      </w:pPr>
      <w:r w:rsidRPr="00B02893">
        <w:t>Note:</w:t>
      </w:r>
    </w:p>
    <w:p w:rsidR="0070375D" w:rsidRDefault="0070375D" w:rsidP="002B6FD9">
      <w:pPr>
        <w:pStyle w:val="Notes"/>
      </w:pPr>
      <w:r w:rsidRPr="00B02893">
        <w:t>(a)</w:t>
      </w:r>
      <w:r w:rsidRPr="00B02893">
        <w:tab/>
      </w:r>
      <w:r>
        <w:t>Superannuation liabilities between 1999 and 2004 are calculated under the previous Australian accounting standard, whereas from 2005 onward AASB 119 has been applied</w:t>
      </w:r>
      <w:r w:rsidRPr="00B02893">
        <w:t>.</w:t>
      </w:r>
    </w:p>
    <w:p w:rsidR="0070375D" w:rsidRDefault="0070375D" w:rsidP="008E3CFF">
      <w:pPr>
        <w:pStyle w:val="Notes"/>
      </w:pPr>
    </w:p>
    <w:p w:rsidR="0070375D" w:rsidRPr="008E3CFF" w:rsidRDefault="0070375D" w:rsidP="008E3CFF"/>
    <w:p w:rsidR="0070375D" w:rsidRDefault="0070375D">
      <w:pPr>
        <w:spacing w:after="0"/>
      </w:pPr>
      <w:r>
        <w:br w:type="page"/>
      </w:r>
    </w:p>
    <w:p w:rsidR="0070375D" w:rsidRPr="00D81544" w:rsidRDefault="0070375D" w:rsidP="00583CAC">
      <w:pPr>
        <w:rPr>
          <w:i/>
        </w:rPr>
      </w:pPr>
      <w:r w:rsidRPr="00D81544">
        <w:lastRenderedPageBreak/>
        <w:t xml:space="preserve">Over recent years, and especially since the global financial crisis, the superannuation liability has fluctuated significantly. These </w:t>
      </w:r>
      <w:r>
        <w:t>variations</w:t>
      </w:r>
      <w:r w:rsidRPr="00D81544">
        <w:t xml:space="preserve"> are primarily due to movements in the discount rate that is required to value the superannuation liability under Australian Accounting Standard </w:t>
      </w:r>
      <w:r>
        <w:t>AASB </w:t>
      </w:r>
      <w:r w:rsidRPr="00D81544">
        <w:t>119</w:t>
      </w:r>
      <w:r>
        <w:t>,</w:t>
      </w:r>
      <w:r w:rsidRPr="00D81544">
        <w:rPr>
          <w:i/>
        </w:rPr>
        <w:t xml:space="preserve"> Employee Benefits.</w:t>
      </w:r>
    </w:p>
    <w:p w:rsidR="0070375D" w:rsidRDefault="0070375D" w:rsidP="00583CAC">
      <w:pPr>
        <w:pStyle w:val="Tableheading"/>
      </w:pPr>
      <w:bookmarkStart w:id="54" w:name="_Toc323315245"/>
      <w:r>
        <w:t>Table 4.7:</w:t>
      </w:r>
      <w:r>
        <w:tab/>
      </w:r>
      <w:r w:rsidRPr="00690CCF">
        <w:t xml:space="preserve">General </w:t>
      </w:r>
      <w:r w:rsidRPr="00085A9D">
        <w:t>government</w:t>
      </w:r>
      <w:r w:rsidRPr="00690CCF">
        <w:t xml:space="preserve"> sector net debt and net financial liabilities as at 30 June</w:t>
      </w:r>
    </w:p>
    <w:p w:rsidR="0070375D" w:rsidRPr="00774D76" w:rsidRDefault="0070375D" w:rsidP="00774D76">
      <w:pPr>
        <w:pStyle w:val="million"/>
        <w:rPr>
          <w:rFonts w:asciiTheme="minorHAnsi" w:hAnsiTheme="minorHAnsi" w:cstheme="minorHAnsi"/>
        </w:rPr>
      </w:pPr>
      <w:r w:rsidRPr="003A6309">
        <w:rPr>
          <w:rFonts w:asciiTheme="minorHAnsi" w:hAnsiTheme="minorHAnsi" w:cstheme="minorHAnsi"/>
        </w:rPr>
        <w:t>($</w:t>
      </w:r>
      <w:r>
        <w:rPr>
          <w:rFonts w:asciiTheme="minorHAnsi" w:hAnsiTheme="minorHAnsi" w:cstheme="minorHAnsi"/>
        </w:rPr>
        <w:t> billion)</w:t>
      </w:r>
    </w:p>
    <w:tbl>
      <w:tblPr>
        <w:tblW w:w="7776" w:type="dxa"/>
        <w:tblInd w:w="29" w:type="dxa"/>
        <w:tblLayout w:type="fixed"/>
        <w:tblCellMar>
          <w:left w:w="43" w:type="dxa"/>
          <w:right w:w="43" w:type="dxa"/>
        </w:tblCellMar>
        <w:tblLook w:val="0000" w:firstRow="0" w:lastRow="0" w:firstColumn="0" w:lastColumn="0" w:noHBand="0" w:noVBand="0"/>
      </w:tblPr>
      <w:tblGrid>
        <w:gridCol w:w="3254"/>
        <w:gridCol w:w="702"/>
        <w:gridCol w:w="558"/>
        <w:gridCol w:w="180"/>
        <w:gridCol w:w="686"/>
        <w:gridCol w:w="798"/>
        <w:gridCol w:w="799"/>
        <w:gridCol w:w="799"/>
      </w:tblGrid>
      <w:tr w:rsidR="0070375D" w:rsidRPr="00774D76" w:rsidTr="00774D76">
        <w:tc>
          <w:tcPr>
            <w:tcW w:w="3254" w:type="dxa"/>
            <w:tcBorders>
              <w:top w:val="single" w:sz="4" w:space="0" w:color="auto"/>
              <w:left w:val="single" w:sz="4" w:space="0" w:color="auto"/>
              <w:bottom w:val="single" w:sz="4" w:space="0" w:color="auto"/>
              <w:right w:val="nil"/>
            </w:tcBorders>
            <w:shd w:val="clear" w:color="auto" w:fill="000000"/>
          </w:tcPr>
          <w:p w:rsidR="0070375D" w:rsidRPr="00774D76" w:rsidRDefault="0070375D" w:rsidP="00774D76">
            <w:pPr>
              <w:pStyle w:val="Tabletext"/>
              <w:rPr>
                <w:rFonts w:eastAsiaTheme="minorEastAsia"/>
                <w:lang w:eastAsia="en-AU"/>
              </w:rPr>
            </w:pPr>
            <w:r w:rsidRPr="00774D76">
              <w:rPr>
                <w:rFonts w:eastAsiaTheme="minorEastAsia"/>
                <w:lang w:eastAsia="en-AU"/>
              </w:rPr>
              <w:t xml:space="preserve"> </w:t>
            </w:r>
          </w:p>
        </w:tc>
        <w:tc>
          <w:tcPr>
            <w:tcW w:w="702" w:type="dxa"/>
            <w:tcBorders>
              <w:top w:val="single" w:sz="4" w:space="0" w:color="auto"/>
              <w:left w:val="nil"/>
              <w:bottom w:val="single" w:sz="4" w:space="0" w:color="auto"/>
              <w:right w:val="nil"/>
            </w:tcBorders>
            <w:shd w:val="clear" w:color="auto" w:fill="000000"/>
          </w:tcPr>
          <w:p w:rsidR="0070375D" w:rsidRPr="00774D76" w:rsidRDefault="0070375D" w:rsidP="00774D76">
            <w:pPr>
              <w:pStyle w:val="Tabletextheading"/>
              <w:rPr>
                <w:rFonts w:eastAsiaTheme="minorEastAsia"/>
                <w:lang w:eastAsia="en-AU"/>
              </w:rPr>
            </w:pPr>
            <w:r w:rsidRPr="00774D76">
              <w:rPr>
                <w:rFonts w:eastAsiaTheme="minorEastAsia"/>
                <w:lang w:eastAsia="en-AU"/>
              </w:rPr>
              <w:t>2012</w:t>
            </w:r>
          </w:p>
        </w:tc>
        <w:tc>
          <w:tcPr>
            <w:tcW w:w="738" w:type="dxa"/>
            <w:gridSpan w:val="2"/>
            <w:tcBorders>
              <w:top w:val="single" w:sz="4" w:space="0" w:color="auto"/>
              <w:left w:val="nil"/>
              <w:bottom w:val="single" w:sz="4" w:space="0" w:color="auto"/>
              <w:right w:val="nil"/>
            </w:tcBorders>
            <w:shd w:val="clear" w:color="auto" w:fill="000000"/>
          </w:tcPr>
          <w:p w:rsidR="0070375D" w:rsidRPr="00774D76" w:rsidRDefault="0070375D" w:rsidP="00774D76">
            <w:pPr>
              <w:pStyle w:val="Tabletextheading"/>
              <w:rPr>
                <w:rFonts w:eastAsiaTheme="minorEastAsia"/>
                <w:lang w:eastAsia="en-AU"/>
              </w:rPr>
            </w:pPr>
            <w:r w:rsidRPr="00774D76">
              <w:rPr>
                <w:rFonts w:eastAsiaTheme="minorEastAsia"/>
                <w:lang w:eastAsia="en-AU"/>
              </w:rPr>
              <w:t>2013</w:t>
            </w:r>
          </w:p>
        </w:tc>
        <w:tc>
          <w:tcPr>
            <w:tcW w:w="686" w:type="dxa"/>
            <w:tcBorders>
              <w:top w:val="single" w:sz="4" w:space="0" w:color="auto"/>
              <w:left w:val="nil"/>
              <w:bottom w:val="single" w:sz="4" w:space="0" w:color="auto"/>
              <w:right w:val="nil"/>
            </w:tcBorders>
            <w:shd w:val="clear" w:color="auto" w:fill="000000"/>
          </w:tcPr>
          <w:p w:rsidR="0070375D" w:rsidRPr="00774D76" w:rsidRDefault="0070375D" w:rsidP="00774D76">
            <w:pPr>
              <w:pStyle w:val="Tabletextheading"/>
              <w:rPr>
                <w:rFonts w:eastAsiaTheme="minorEastAsia"/>
                <w:lang w:eastAsia="en-AU"/>
              </w:rPr>
            </w:pPr>
            <w:r w:rsidRPr="00774D76">
              <w:rPr>
                <w:rFonts w:eastAsiaTheme="minorEastAsia"/>
                <w:lang w:eastAsia="en-AU"/>
              </w:rPr>
              <w:t>2014</w:t>
            </w:r>
          </w:p>
        </w:tc>
        <w:tc>
          <w:tcPr>
            <w:tcW w:w="798" w:type="dxa"/>
            <w:tcBorders>
              <w:top w:val="single" w:sz="4" w:space="0" w:color="auto"/>
              <w:left w:val="nil"/>
              <w:bottom w:val="single" w:sz="4" w:space="0" w:color="auto"/>
              <w:right w:val="nil"/>
            </w:tcBorders>
            <w:shd w:val="clear" w:color="auto" w:fill="000000"/>
          </w:tcPr>
          <w:p w:rsidR="0070375D" w:rsidRPr="00774D76" w:rsidRDefault="0070375D" w:rsidP="00774D76">
            <w:pPr>
              <w:pStyle w:val="Tabletextheading"/>
              <w:rPr>
                <w:rFonts w:eastAsiaTheme="minorEastAsia"/>
                <w:lang w:eastAsia="en-AU"/>
              </w:rPr>
            </w:pPr>
            <w:r w:rsidRPr="00774D76">
              <w:rPr>
                <w:rFonts w:eastAsiaTheme="minorEastAsia"/>
                <w:lang w:eastAsia="en-AU"/>
              </w:rPr>
              <w:t>2015</w:t>
            </w:r>
          </w:p>
        </w:tc>
        <w:tc>
          <w:tcPr>
            <w:tcW w:w="799" w:type="dxa"/>
            <w:tcBorders>
              <w:top w:val="single" w:sz="4" w:space="0" w:color="auto"/>
              <w:left w:val="nil"/>
              <w:bottom w:val="single" w:sz="4" w:space="0" w:color="auto"/>
              <w:right w:val="nil"/>
            </w:tcBorders>
            <w:shd w:val="clear" w:color="auto" w:fill="000000"/>
          </w:tcPr>
          <w:p w:rsidR="0070375D" w:rsidRPr="00774D76" w:rsidRDefault="0070375D" w:rsidP="00774D76">
            <w:pPr>
              <w:pStyle w:val="Tabletextheading"/>
              <w:rPr>
                <w:rFonts w:eastAsiaTheme="minorEastAsia"/>
                <w:lang w:eastAsia="en-AU"/>
              </w:rPr>
            </w:pPr>
            <w:r w:rsidRPr="00774D76">
              <w:rPr>
                <w:rFonts w:eastAsiaTheme="minorEastAsia"/>
                <w:lang w:eastAsia="en-AU"/>
              </w:rPr>
              <w:t>2016</w:t>
            </w:r>
          </w:p>
        </w:tc>
        <w:tc>
          <w:tcPr>
            <w:tcW w:w="799" w:type="dxa"/>
            <w:tcBorders>
              <w:top w:val="single" w:sz="4" w:space="0" w:color="auto"/>
              <w:left w:val="nil"/>
              <w:bottom w:val="single" w:sz="4" w:space="0" w:color="auto"/>
              <w:right w:val="single" w:sz="4" w:space="0" w:color="auto"/>
            </w:tcBorders>
            <w:shd w:val="clear" w:color="auto" w:fill="000000"/>
          </w:tcPr>
          <w:p w:rsidR="0070375D" w:rsidRPr="00774D76" w:rsidRDefault="0070375D" w:rsidP="00774D76">
            <w:pPr>
              <w:pStyle w:val="Tabletextheading"/>
              <w:rPr>
                <w:rFonts w:eastAsiaTheme="minorEastAsia"/>
                <w:lang w:eastAsia="en-AU"/>
              </w:rPr>
            </w:pPr>
            <w:r w:rsidRPr="00774D76">
              <w:rPr>
                <w:rFonts w:eastAsiaTheme="minorEastAsia"/>
                <w:lang w:eastAsia="en-AU"/>
              </w:rPr>
              <w:t>2017</w:t>
            </w:r>
          </w:p>
        </w:tc>
      </w:tr>
      <w:tr w:rsidR="0070375D" w:rsidRPr="00774D76" w:rsidTr="00774D76">
        <w:tc>
          <w:tcPr>
            <w:tcW w:w="3254" w:type="dxa"/>
            <w:tcBorders>
              <w:top w:val="single" w:sz="4" w:space="0" w:color="auto"/>
              <w:left w:val="single" w:sz="4" w:space="0" w:color="auto"/>
              <w:bottom w:val="single" w:sz="4" w:space="0" w:color="auto"/>
              <w:right w:val="nil"/>
            </w:tcBorders>
            <w:shd w:val="clear" w:color="auto" w:fill="000000"/>
          </w:tcPr>
          <w:p w:rsidR="0070375D" w:rsidRPr="00774D76" w:rsidRDefault="0070375D" w:rsidP="00774D76">
            <w:pPr>
              <w:pStyle w:val="Tabletext"/>
              <w:rPr>
                <w:rFonts w:eastAsiaTheme="minorEastAsia"/>
                <w:lang w:eastAsia="en-AU"/>
              </w:rPr>
            </w:pPr>
            <w:r w:rsidRPr="00774D76">
              <w:rPr>
                <w:rFonts w:eastAsiaTheme="minorEastAsia"/>
                <w:lang w:eastAsia="en-AU"/>
              </w:rPr>
              <w:t xml:space="preserve"> </w:t>
            </w:r>
          </w:p>
        </w:tc>
        <w:tc>
          <w:tcPr>
            <w:tcW w:w="702" w:type="dxa"/>
            <w:tcBorders>
              <w:top w:val="single" w:sz="4" w:space="0" w:color="auto"/>
              <w:left w:val="nil"/>
              <w:bottom w:val="single" w:sz="4" w:space="0" w:color="auto"/>
              <w:right w:val="nil"/>
            </w:tcBorders>
            <w:shd w:val="clear" w:color="auto" w:fill="000000"/>
          </w:tcPr>
          <w:p w:rsidR="0070375D" w:rsidRPr="00774D76" w:rsidRDefault="0070375D" w:rsidP="00774D76">
            <w:pPr>
              <w:pStyle w:val="Tabletextheading"/>
              <w:rPr>
                <w:rFonts w:eastAsiaTheme="minorEastAsia"/>
                <w:lang w:eastAsia="en-AU"/>
              </w:rPr>
            </w:pPr>
            <w:r w:rsidRPr="00774D76">
              <w:rPr>
                <w:rFonts w:eastAsiaTheme="minorEastAsia"/>
                <w:lang w:eastAsia="en-AU"/>
              </w:rPr>
              <w:t>Actual</w:t>
            </w:r>
          </w:p>
        </w:tc>
        <w:tc>
          <w:tcPr>
            <w:tcW w:w="738" w:type="dxa"/>
            <w:gridSpan w:val="2"/>
            <w:tcBorders>
              <w:top w:val="single" w:sz="4" w:space="0" w:color="auto"/>
              <w:left w:val="nil"/>
              <w:bottom w:val="single" w:sz="4" w:space="0" w:color="auto"/>
              <w:right w:val="nil"/>
            </w:tcBorders>
            <w:shd w:val="clear" w:color="auto" w:fill="000000"/>
          </w:tcPr>
          <w:p w:rsidR="0070375D" w:rsidRPr="00774D76" w:rsidRDefault="0070375D" w:rsidP="00774D76">
            <w:pPr>
              <w:pStyle w:val="Tabletextheading"/>
              <w:rPr>
                <w:rFonts w:eastAsiaTheme="minorEastAsia"/>
                <w:lang w:eastAsia="en-AU"/>
              </w:rPr>
            </w:pPr>
            <w:r w:rsidRPr="00774D76">
              <w:rPr>
                <w:rFonts w:eastAsiaTheme="minorEastAsia"/>
                <w:lang w:eastAsia="en-AU"/>
              </w:rPr>
              <w:t>Revised</w:t>
            </w:r>
          </w:p>
        </w:tc>
        <w:tc>
          <w:tcPr>
            <w:tcW w:w="686" w:type="dxa"/>
            <w:tcBorders>
              <w:top w:val="single" w:sz="4" w:space="0" w:color="auto"/>
              <w:left w:val="nil"/>
              <w:bottom w:val="single" w:sz="4" w:space="0" w:color="auto"/>
              <w:right w:val="nil"/>
            </w:tcBorders>
            <w:shd w:val="clear" w:color="auto" w:fill="000000"/>
          </w:tcPr>
          <w:p w:rsidR="0070375D" w:rsidRPr="00774D76" w:rsidRDefault="0070375D" w:rsidP="00774D76">
            <w:pPr>
              <w:pStyle w:val="Tabletextheading"/>
              <w:rPr>
                <w:rFonts w:eastAsiaTheme="minorEastAsia"/>
                <w:lang w:eastAsia="en-AU"/>
              </w:rPr>
            </w:pPr>
            <w:r w:rsidRPr="00774D76">
              <w:rPr>
                <w:rFonts w:eastAsiaTheme="minorEastAsia"/>
                <w:lang w:eastAsia="en-AU"/>
              </w:rPr>
              <w:t>Budget</w:t>
            </w:r>
          </w:p>
        </w:tc>
        <w:tc>
          <w:tcPr>
            <w:tcW w:w="798" w:type="dxa"/>
            <w:tcBorders>
              <w:top w:val="single" w:sz="4" w:space="0" w:color="auto"/>
              <w:left w:val="nil"/>
              <w:bottom w:val="single" w:sz="4" w:space="0" w:color="auto"/>
              <w:right w:val="nil"/>
            </w:tcBorders>
            <w:shd w:val="clear" w:color="auto" w:fill="000000"/>
          </w:tcPr>
          <w:p w:rsidR="0070375D" w:rsidRPr="00774D76" w:rsidRDefault="0070375D" w:rsidP="00774D76">
            <w:pPr>
              <w:pStyle w:val="Tabletextheading"/>
              <w:rPr>
                <w:rFonts w:eastAsiaTheme="minorEastAsia"/>
                <w:lang w:eastAsia="en-AU"/>
              </w:rPr>
            </w:pPr>
            <w:r w:rsidRPr="00774D76">
              <w:rPr>
                <w:rFonts w:eastAsiaTheme="minorEastAsia"/>
                <w:lang w:eastAsia="en-AU"/>
              </w:rPr>
              <w:t>Estimate</w:t>
            </w:r>
          </w:p>
        </w:tc>
        <w:tc>
          <w:tcPr>
            <w:tcW w:w="799" w:type="dxa"/>
            <w:tcBorders>
              <w:top w:val="single" w:sz="4" w:space="0" w:color="auto"/>
              <w:left w:val="nil"/>
              <w:bottom w:val="single" w:sz="4" w:space="0" w:color="auto"/>
              <w:right w:val="nil"/>
            </w:tcBorders>
            <w:shd w:val="clear" w:color="auto" w:fill="000000"/>
          </w:tcPr>
          <w:p w:rsidR="0070375D" w:rsidRPr="00774D76" w:rsidRDefault="0070375D" w:rsidP="00774D76">
            <w:pPr>
              <w:pStyle w:val="Tabletextheading"/>
              <w:rPr>
                <w:rFonts w:eastAsiaTheme="minorEastAsia"/>
                <w:lang w:eastAsia="en-AU"/>
              </w:rPr>
            </w:pPr>
            <w:r w:rsidRPr="00774D76">
              <w:rPr>
                <w:rFonts w:eastAsiaTheme="minorEastAsia"/>
                <w:lang w:eastAsia="en-AU"/>
              </w:rPr>
              <w:t>Estimate</w:t>
            </w:r>
          </w:p>
        </w:tc>
        <w:tc>
          <w:tcPr>
            <w:tcW w:w="799" w:type="dxa"/>
            <w:tcBorders>
              <w:top w:val="single" w:sz="4" w:space="0" w:color="auto"/>
              <w:left w:val="nil"/>
              <w:bottom w:val="single" w:sz="4" w:space="0" w:color="auto"/>
              <w:right w:val="single" w:sz="4" w:space="0" w:color="auto"/>
            </w:tcBorders>
            <w:shd w:val="clear" w:color="auto" w:fill="000000"/>
          </w:tcPr>
          <w:p w:rsidR="0070375D" w:rsidRPr="00774D76" w:rsidRDefault="0070375D" w:rsidP="00774D76">
            <w:pPr>
              <w:pStyle w:val="Tabletextheading"/>
              <w:rPr>
                <w:rFonts w:eastAsiaTheme="minorEastAsia"/>
                <w:lang w:eastAsia="en-AU"/>
              </w:rPr>
            </w:pPr>
            <w:r w:rsidRPr="00774D76">
              <w:rPr>
                <w:rFonts w:eastAsiaTheme="minorEastAsia"/>
                <w:lang w:eastAsia="en-AU"/>
              </w:rPr>
              <w:t>Estimate</w:t>
            </w:r>
          </w:p>
        </w:tc>
      </w:tr>
      <w:tr w:rsidR="0070375D" w:rsidRPr="00774D76" w:rsidTr="00774D76">
        <w:tc>
          <w:tcPr>
            <w:tcW w:w="3254" w:type="dxa"/>
            <w:tcBorders>
              <w:top w:val="single" w:sz="4" w:space="0" w:color="auto"/>
              <w:left w:val="nil"/>
              <w:bottom w:val="nil"/>
              <w:right w:val="nil"/>
            </w:tcBorders>
          </w:tcPr>
          <w:p w:rsidR="0070375D" w:rsidRPr="00774D76" w:rsidRDefault="0070375D" w:rsidP="00774D76">
            <w:pPr>
              <w:pStyle w:val="Tabletext"/>
              <w:rPr>
                <w:rFonts w:eastAsiaTheme="minorEastAsia"/>
                <w:b/>
                <w:bCs/>
                <w:color w:val="000000"/>
                <w:lang w:eastAsia="en-AU"/>
              </w:rPr>
            </w:pPr>
            <w:r w:rsidRPr="00774D76">
              <w:rPr>
                <w:rFonts w:eastAsiaTheme="minorEastAsia"/>
                <w:b/>
                <w:bCs/>
                <w:color w:val="000000"/>
                <w:lang w:eastAsia="en-AU"/>
              </w:rPr>
              <w:t>Financial assets</w:t>
            </w:r>
          </w:p>
        </w:tc>
        <w:tc>
          <w:tcPr>
            <w:tcW w:w="702" w:type="dxa"/>
            <w:tcBorders>
              <w:top w:val="single" w:sz="4" w:space="0" w:color="auto"/>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w:t>
            </w:r>
          </w:p>
        </w:tc>
        <w:tc>
          <w:tcPr>
            <w:tcW w:w="738" w:type="dxa"/>
            <w:gridSpan w:val="2"/>
            <w:tcBorders>
              <w:top w:val="single" w:sz="4" w:space="0" w:color="auto"/>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w:t>
            </w:r>
          </w:p>
        </w:tc>
        <w:tc>
          <w:tcPr>
            <w:tcW w:w="686" w:type="dxa"/>
            <w:tcBorders>
              <w:top w:val="single" w:sz="4" w:space="0" w:color="auto"/>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w:t>
            </w:r>
          </w:p>
        </w:tc>
        <w:tc>
          <w:tcPr>
            <w:tcW w:w="798" w:type="dxa"/>
            <w:tcBorders>
              <w:top w:val="single" w:sz="4" w:space="0" w:color="auto"/>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w:t>
            </w:r>
          </w:p>
        </w:tc>
        <w:tc>
          <w:tcPr>
            <w:tcW w:w="799" w:type="dxa"/>
            <w:tcBorders>
              <w:top w:val="single" w:sz="4" w:space="0" w:color="auto"/>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w:t>
            </w:r>
          </w:p>
        </w:tc>
        <w:tc>
          <w:tcPr>
            <w:tcW w:w="799" w:type="dxa"/>
            <w:tcBorders>
              <w:top w:val="single" w:sz="4" w:space="0" w:color="auto"/>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w:t>
            </w:r>
          </w:p>
        </w:tc>
      </w:tr>
      <w:tr w:rsidR="0070375D" w:rsidRPr="00774D76" w:rsidTr="00774D76">
        <w:tc>
          <w:tcPr>
            <w:tcW w:w="3254" w:type="dxa"/>
            <w:tcBorders>
              <w:top w:val="nil"/>
              <w:left w:val="nil"/>
              <w:bottom w:val="nil"/>
              <w:right w:val="nil"/>
            </w:tcBorders>
          </w:tcPr>
          <w:p w:rsidR="0070375D" w:rsidRPr="00774D76" w:rsidRDefault="0070375D" w:rsidP="00774D76">
            <w:pPr>
              <w:pStyle w:val="Tabletext"/>
              <w:rPr>
                <w:rFonts w:eastAsiaTheme="minorEastAsia"/>
                <w:color w:val="000000"/>
                <w:lang w:eastAsia="en-AU"/>
              </w:rPr>
            </w:pPr>
            <w:r w:rsidRPr="00774D76">
              <w:rPr>
                <w:rFonts w:eastAsiaTheme="minorEastAsia"/>
                <w:color w:val="000000"/>
                <w:lang w:eastAsia="en-AU"/>
              </w:rPr>
              <w:t>Cash and deposits</w:t>
            </w:r>
          </w:p>
        </w:tc>
        <w:tc>
          <w:tcPr>
            <w:tcW w:w="702" w:type="dxa"/>
            <w:tcBorders>
              <w:top w:val="nil"/>
              <w:left w:val="nil"/>
              <w:bottom w:val="nil"/>
              <w:right w:val="nil"/>
            </w:tcBorders>
          </w:tcPr>
          <w:p w:rsidR="0070375D" w:rsidRPr="00774D76" w:rsidRDefault="0070375D" w:rsidP="00774D76">
            <w:pPr>
              <w:pStyle w:val="TableofFigures"/>
              <w:rPr>
                <w:rFonts w:eastAsiaTheme="minorEastAsia"/>
                <w:color w:val="000000"/>
                <w:szCs w:val="22"/>
                <w:lang w:eastAsia="en-AU"/>
              </w:rPr>
            </w:pPr>
            <w:r w:rsidRPr="00774D76">
              <w:rPr>
                <w:rFonts w:eastAsiaTheme="minorEastAsia"/>
                <w:color w:val="000000"/>
                <w:szCs w:val="22"/>
                <w:lang w:eastAsia="en-AU"/>
              </w:rPr>
              <w:t>4.6</w:t>
            </w:r>
          </w:p>
        </w:tc>
        <w:tc>
          <w:tcPr>
            <w:tcW w:w="738" w:type="dxa"/>
            <w:gridSpan w:val="2"/>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4.7</w:t>
            </w:r>
          </w:p>
        </w:tc>
        <w:tc>
          <w:tcPr>
            <w:tcW w:w="686"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4.9</w:t>
            </w:r>
          </w:p>
        </w:tc>
        <w:tc>
          <w:tcPr>
            <w:tcW w:w="798"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5.1</w:t>
            </w:r>
          </w:p>
        </w:tc>
        <w:tc>
          <w:tcPr>
            <w:tcW w:w="799"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5.4</w:t>
            </w:r>
          </w:p>
        </w:tc>
        <w:tc>
          <w:tcPr>
            <w:tcW w:w="799"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5.7</w:t>
            </w:r>
          </w:p>
        </w:tc>
      </w:tr>
      <w:tr w:rsidR="0070375D" w:rsidRPr="00774D76" w:rsidTr="00774D76">
        <w:tc>
          <w:tcPr>
            <w:tcW w:w="3254" w:type="dxa"/>
            <w:tcBorders>
              <w:top w:val="nil"/>
              <w:left w:val="nil"/>
              <w:bottom w:val="nil"/>
              <w:right w:val="nil"/>
            </w:tcBorders>
          </w:tcPr>
          <w:p w:rsidR="0070375D" w:rsidRPr="00774D76" w:rsidRDefault="0070375D" w:rsidP="00774D76">
            <w:pPr>
              <w:pStyle w:val="Tabletext"/>
              <w:rPr>
                <w:rFonts w:eastAsiaTheme="minorEastAsia"/>
                <w:color w:val="000000"/>
                <w:lang w:eastAsia="en-AU"/>
              </w:rPr>
            </w:pPr>
            <w:r w:rsidRPr="00774D76">
              <w:rPr>
                <w:rFonts w:eastAsiaTheme="minorEastAsia"/>
                <w:color w:val="000000"/>
                <w:lang w:eastAsia="en-AU"/>
              </w:rPr>
              <w:t>Advances paid</w:t>
            </w:r>
          </w:p>
        </w:tc>
        <w:tc>
          <w:tcPr>
            <w:tcW w:w="702" w:type="dxa"/>
            <w:tcBorders>
              <w:top w:val="nil"/>
              <w:left w:val="nil"/>
              <w:bottom w:val="nil"/>
              <w:right w:val="nil"/>
            </w:tcBorders>
          </w:tcPr>
          <w:p w:rsidR="0070375D" w:rsidRPr="00774D76" w:rsidRDefault="0070375D" w:rsidP="00774D76">
            <w:pPr>
              <w:pStyle w:val="TableofFigures"/>
              <w:rPr>
                <w:rFonts w:eastAsiaTheme="minorEastAsia"/>
                <w:color w:val="000000"/>
                <w:szCs w:val="22"/>
                <w:lang w:eastAsia="en-AU"/>
              </w:rPr>
            </w:pPr>
            <w:r w:rsidRPr="00774D76">
              <w:rPr>
                <w:rFonts w:eastAsiaTheme="minorEastAsia"/>
                <w:color w:val="000000"/>
                <w:szCs w:val="22"/>
                <w:lang w:eastAsia="en-AU"/>
              </w:rPr>
              <w:t>0.3</w:t>
            </w:r>
          </w:p>
        </w:tc>
        <w:tc>
          <w:tcPr>
            <w:tcW w:w="738" w:type="dxa"/>
            <w:gridSpan w:val="2"/>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4.6</w:t>
            </w:r>
          </w:p>
        </w:tc>
        <w:tc>
          <w:tcPr>
            <w:tcW w:w="686"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4.6</w:t>
            </w:r>
          </w:p>
        </w:tc>
        <w:tc>
          <w:tcPr>
            <w:tcW w:w="798"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4.5</w:t>
            </w:r>
          </w:p>
        </w:tc>
        <w:tc>
          <w:tcPr>
            <w:tcW w:w="799"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4.5</w:t>
            </w:r>
          </w:p>
        </w:tc>
        <w:tc>
          <w:tcPr>
            <w:tcW w:w="799"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4.5</w:t>
            </w:r>
          </w:p>
        </w:tc>
      </w:tr>
      <w:tr w:rsidR="0070375D" w:rsidRPr="00774D76" w:rsidTr="00774D76">
        <w:tc>
          <w:tcPr>
            <w:tcW w:w="3254" w:type="dxa"/>
            <w:tcBorders>
              <w:top w:val="nil"/>
              <w:left w:val="nil"/>
              <w:bottom w:val="single" w:sz="6" w:space="0" w:color="auto"/>
              <w:right w:val="nil"/>
            </w:tcBorders>
          </w:tcPr>
          <w:p w:rsidR="0070375D" w:rsidRPr="00774D76" w:rsidRDefault="0070375D" w:rsidP="00774D76">
            <w:pPr>
              <w:pStyle w:val="Tabletext"/>
              <w:rPr>
                <w:rFonts w:eastAsiaTheme="minorEastAsia"/>
                <w:color w:val="000000"/>
                <w:lang w:eastAsia="en-AU"/>
              </w:rPr>
            </w:pPr>
            <w:r w:rsidRPr="00774D76">
              <w:rPr>
                <w:rFonts w:eastAsiaTheme="minorEastAsia"/>
                <w:color w:val="000000"/>
                <w:lang w:eastAsia="en-AU"/>
              </w:rPr>
              <w:t>Investments, loans and placements</w:t>
            </w:r>
          </w:p>
        </w:tc>
        <w:tc>
          <w:tcPr>
            <w:tcW w:w="702" w:type="dxa"/>
            <w:tcBorders>
              <w:top w:val="nil"/>
              <w:left w:val="nil"/>
              <w:bottom w:val="nil"/>
              <w:right w:val="nil"/>
            </w:tcBorders>
          </w:tcPr>
          <w:p w:rsidR="0070375D" w:rsidRPr="00774D76" w:rsidRDefault="0070375D" w:rsidP="00774D76">
            <w:pPr>
              <w:pStyle w:val="TableofFigures"/>
              <w:rPr>
                <w:rFonts w:eastAsiaTheme="minorEastAsia"/>
                <w:color w:val="000000"/>
                <w:szCs w:val="22"/>
                <w:lang w:eastAsia="en-AU"/>
              </w:rPr>
            </w:pPr>
            <w:r w:rsidRPr="00774D76">
              <w:rPr>
                <w:rFonts w:eastAsiaTheme="minorEastAsia"/>
                <w:color w:val="000000"/>
                <w:szCs w:val="22"/>
                <w:lang w:eastAsia="en-AU"/>
              </w:rPr>
              <w:t>2.6</w:t>
            </w:r>
          </w:p>
        </w:tc>
        <w:tc>
          <w:tcPr>
            <w:tcW w:w="738" w:type="dxa"/>
            <w:gridSpan w:val="2"/>
            <w:tcBorders>
              <w:top w:val="nil"/>
              <w:left w:val="nil"/>
              <w:bottom w:val="single" w:sz="6" w:space="0" w:color="auto"/>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2.6</w:t>
            </w:r>
          </w:p>
        </w:tc>
        <w:tc>
          <w:tcPr>
            <w:tcW w:w="686" w:type="dxa"/>
            <w:tcBorders>
              <w:top w:val="nil"/>
              <w:left w:val="nil"/>
              <w:bottom w:val="single" w:sz="6" w:space="0" w:color="auto"/>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2.7</w:t>
            </w:r>
          </w:p>
        </w:tc>
        <w:tc>
          <w:tcPr>
            <w:tcW w:w="798" w:type="dxa"/>
            <w:tcBorders>
              <w:top w:val="nil"/>
              <w:left w:val="nil"/>
              <w:bottom w:val="single" w:sz="6" w:space="0" w:color="auto"/>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2.8</w:t>
            </w:r>
          </w:p>
        </w:tc>
        <w:tc>
          <w:tcPr>
            <w:tcW w:w="799" w:type="dxa"/>
            <w:tcBorders>
              <w:top w:val="nil"/>
              <w:left w:val="nil"/>
              <w:bottom w:val="single" w:sz="6" w:space="0" w:color="auto"/>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2.9</w:t>
            </w:r>
          </w:p>
        </w:tc>
        <w:tc>
          <w:tcPr>
            <w:tcW w:w="799" w:type="dxa"/>
            <w:tcBorders>
              <w:top w:val="nil"/>
              <w:left w:val="nil"/>
              <w:bottom w:val="single" w:sz="6" w:space="0" w:color="auto"/>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2.9</w:t>
            </w:r>
          </w:p>
        </w:tc>
      </w:tr>
      <w:tr w:rsidR="0070375D" w:rsidRPr="00774D76" w:rsidTr="00774D76">
        <w:tc>
          <w:tcPr>
            <w:tcW w:w="3254" w:type="dxa"/>
            <w:tcBorders>
              <w:top w:val="nil"/>
              <w:left w:val="nil"/>
              <w:bottom w:val="nil"/>
              <w:right w:val="nil"/>
            </w:tcBorders>
          </w:tcPr>
          <w:p w:rsidR="0070375D" w:rsidRPr="00774D76" w:rsidRDefault="0070375D" w:rsidP="00774D76">
            <w:pPr>
              <w:pStyle w:val="Tabletext"/>
              <w:rPr>
                <w:rFonts w:eastAsiaTheme="minorEastAsia"/>
                <w:b/>
                <w:bCs/>
                <w:color w:val="000000"/>
                <w:lang w:eastAsia="en-AU"/>
              </w:rPr>
            </w:pPr>
            <w:r w:rsidRPr="00774D76">
              <w:rPr>
                <w:rFonts w:eastAsiaTheme="minorEastAsia"/>
                <w:b/>
                <w:bCs/>
                <w:color w:val="000000"/>
                <w:lang w:eastAsia="en-AU"/>
              </w:rPr>
              <w:t>Total</w:t>
            </w:r>
          </w:p>
        </w:tc>
        <w:tc>
          <w:tcPr>
            <w:tcW w:w="702" w:type="dxa"/>
            <w:tcBorders>
              <w:top w:val="single" w:sz="6" w:space="0" w:color="auto"/>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7.5</w:t>
            </w:r>
          </w:p>
        </w:tc>
        <w:tc>
          <w:tcPr>
            <w:tcW w:w="738" w:type="dxa"/>
            <w:gridSpan w:val="2"/>
            <w:tcBorders>
              <w:top w:val="nil"/>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12.0</w:t>
            </w:r>
          </w:p>
        </w:tc>
        <w:tc>
          <w:tcPr>
            <w:tcW w:w="686" w:type="dxa"/>
            <w:tcBorders>
              <w:top w:val="nil"/>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12.2</w:t>
            </w:r>
          </w:p>
        </w:tc>
        <w:tc>
          <w:tcPr>
            <w:tcW w:w="798" w:type="dxa"/>
            <w:tcBorders>
              <w:top w:val="nil"/>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12.5</w:t>
            </w:r>
          </w:p>
        </w:tc>
        <w:tc>
          <w:tcPr>
            <w:tcW w:w="799" w:type="dxa"/>
            <w:tcBorders>
              <w:top w:val="nil"/>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12.8</w:t>
            </w:r>
          </w:p>
        </w:tc>
        <w:tc>
          <w:tcPr>
            <w:tcW w:w="799" w:type="dxa"/>
            <w:tcBorders>
              <w:top w:val="nil"/>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13.2</w:t>
            </w:r>
          </w:p>
        </w:tc>
      </w:tr>
      <w:tr w:rsidR="0070375D" w:rsidRPr="00774D76" w:rsidTr="00774D76">
        <w:tc>
          <w:tcPr>
            <w:tcW w:w="3254" w:type="dxa"/>
            <w:tcBorders>
              <w:top w:val="nil"/>
              <w:left w:val="nil"/>
              <w:bottom w:val="nil"/>
              <w:right w:val="nil"/>
            </w:tcBorders>
          </w:tcPr>
          <w:p w:rsidR="0070375D" w:rsidRPr="00774D76" w:rsidRDefault="0070375D" w:rsidP="00774D76">
            <w:pPr>
              <w:pStyle w:val="Tabletext"/>
              <w:rPr>
                <w:rFonts w:eastAsiaTheme="minorEastAsia"/>
                <w:b/>
                <w:bCs/>
                <w:color w:val="000000"/>
                <w:lang w:eastAsia="en-AU"/>
              </w:rPr>
            </w:pPr>
            <w:r w:rsidRPr="00774D76">
              <w:rPr>
                <w:rFonts w:eastAsiaTheme="minorEastAsia"/>
                <w:b/>
                <w:bCs/>
                <w:color w:val="000000"/>
                <w:lang w:eastAsia="en-AU"/>
              </w:rPr>
              <w:t>Financial liabilities</w:t>
            </w:r>
          </w:p>
        </w:tc>
        <w:tc>
          <w:tcPr>
            <w:tcW w:w="702"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w:t>
            </w:r>
          </w:p>
        </w:tc>
        <w:tc>
          <w:tcPr>
            <w:tcW w:w="738" w:type="dxa"/>
            <w:gridSpan w:val="2"/>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w:t>
            </w:r>
          </w:p>
        </w:tc>
        <w:tc>
          <w:tcPr>
            <w:tcW w:w="686"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w:t>
            </w:r>
          </w:p>
        </w:tc>
        <w:tc>
          <w:tcPr>
            <w:tcW w:w="798"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w:t>
            </w:r>
          </w:p>
        </w:tc>
        <w:tc>
          <w:tcPr>
            <w:tcW w:w="799" w:type="dxa"/>
            <w:tcBorders>
              <w:top w:val="nil"/>
              <w:left w:val="nil"/>
              <w:bottom w:val="nil"/>
              <w:right w:val="nil"/>
            </w:tcBorders>
          </w:tcPr>
          <w:p w:rsidR="0070375D" w:rsidRPr="00774D76" w:rsidRDefault="0070375D" w:rsidP="00774D76">
            <w:pPr>
              <w:pStyle w:val="TableofFigures"/>
              <w:rPr>
                <w:rFonts w:eastAsiaTheme="minorEastAsia"/>
                <w:color w:val="000000"/>
                <w:sz w:val="18"/>
                <w:lang w:eastAsia="en-AU"/>
              </w:rPr>
            </w:pPr>
            <w:r w:rsidRPr="00774D76">
              <w:rPr>
                <w:rFonts w:eastAsiaTheme="minorEastAsia"/>
                <w:color w:val="000000"/>
                <w:sz w:val="18"/>
                <w:lang w:eastAsia="en-AU"/>
              </w:rPr>
              <w:t xml:space="preserve"> </w:t>
            </w:r>
          </w:p>
        </w:tc>
        <w:tc>
          <w:tcPr>
            <w:tcW w:w="799"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w:t>
            </w:r>
          </w:p>
        </w:tc>
      </w:tr>
      <w:tr w:rsidR="0070375D" w:rsidRPr="00774D76" w:rsidTr="00774D76">
        <w:tc>
          <w:tcPr>
            <w:tcW w:w="3254" w:type="dxa"/>
            <w:tcBorders>
              <w:top w:val="nil"/>
              <w:left w:val="nil"/>
              <w:bottom w:val="nil"/>
              <w:right w:val="nil"/>
            </w:tcBorders>
          </w:tcPr>
          <w:p w:rsidR="0070375D" w:rsidRPr="00774D76" w:rsidRDefault="0070375D" w:rsidP="00774D76">
            <w:pPr>
              <w:pStyle w:val="Tabletext"/>
              <w:rPr>
                <w:rFonts w:eastAsiaTheme="minorEastAsia"/>
                <w:color w:val="000000"/>
                <w:lang w:eastAsia="en-AU"/>
              </w:rPr>
            </w:pPr>
            <w:r w:rsidRPr="00774D76">
              <w:rPr>
                <w:rFonts w:eastAsiaTheme="minorEastAsia"/>
                <w:color w:val="000000"/>
                <w:lang w:eastAsia="en-AU"/>
              </w:rPr>
              <w:t>Deposits held and advances received</w:t>
            </w:r>
          </w:p>
        </w:tc>
        <w:tc>
          <w:tcPr>
            <w:tcW w:w="702" w:type="dxa"/>
            <w:tcBorders>
              <w:top w:val="nil"/>
              <w:left w:val="nil"/>
              <w:bottom w:val="nil"/>
              <w:right w:val="nil"/>
            </w:tcBorders>
          </w:tcPr>
          <w:p w:rsidR="0070375D" w:rsidRPr="00774D76" w:rsidRDefault="0070375D" w:rsidP="00774D76">
            <w:pPr>
              <w:pStyle w:val="TableofFigures"/>
              <w:rPr>
                <w:rFonts w:eastAsiaTheme="minorEastAsia"/>
                <w:color w:val="000000"/>
                <w:szCs w:val="22"/>
                <w:lang w:eastAsia="en-AU"/>
              </w:rPr>
            </w:pPr>
            <w:r w:rsidRPr="00774D76">
              <w:rPr>
                <w:rFonts w:eastAsiaTheme="minorEastAsia"/>
                <w:color w:val="000000"/>
                <w:szCs w:val="22"/>
                <w:lang w:eastAsia="en-AU"/>
              </w:rPr>
              <w:t>0.4</w:t>
            </w:r>
          </w:p>
        </w:tc>
        <w:tc>
          <w:tcPr>
            <w:tcW w:w="738" w:type="dxa"/>
            <w:gridSpan w:val="2"/>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0.4</w:t>
            </w:r>
          </w:p>
        </w:tc>
        <w:tc>
          <w:tcPr>
            <w:tcW w:w="686"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0.4</w:t>
            </w:r>
          </w:p>
        </w:tc>
        <w:tc>
          <w:tcPr>
            <w:tcW w:w="798"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0.4</w:t>
            </w:r>
          </w:p>
        </w:tc>
        <w:tc>
          <w:tcPr>
            <w:tcW w:w="799"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0.4</w:t>
            </w:r>
          </w:p>
        </w:tc>
        <w:tc>
          <w:tcPr>
            <w:tcW w:w="799"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0.4</w:t>
            </w:r>
          </w:p>
        </w:tc>
      </w:tr>
      <w:tr w:rsidR="0070375D" w:rsidRPr="00774D76" w:rsidTr="00774D76">
        <w:tc>
          <w:tcPr>
            <w:tcW w:w="3254" w:type="dxa"/>
            <w:tcBorders>
              <w:top w:val="nil"/>
              <w:left w:val="nil"/>
              <w:bottom w:val="nil"/>
              <w:right w:val="nil"/>
            </w:tcBorders>
          </w:tcPr>
          <w:p w:rsidR="0070375D" w:rsidRPr="00774D76" w:rsidRDefault="0070375D" w:rsidP="00774D76">
            <w:pPr>
              <w:pStyle w:val="Tabletext"/>
              <w:rPr>
                <w:rFonts w:eastAsiaTheme="minorEastAsia"/>
                <w:color w:val="000000"/>
                <w:lang w:eastAsia="en-AU"/>
              </w:rPr>
            </w:pPr>
            <w:r w:rsidRPr="00774D76">
              <w:rPr>
                <w:rFonts w:eastAsiaTheme="minorEastAsia"/>
                <w:color w:val="000000"/>
                <w:lang w:eastAsia="en-AU"/>
              </w:rPr>
              <w:t>Borrowings</w:t>
            </w:r>
          </w:p>
        </w:tc>
        <w:tc>
          <w:tcPr>
            <w:tcW w:w="702" w:type="dxa"/>
            <w:tcBorders>
              <w:top w:val="nil"/>
              <w:left w:val="nil"/>
              <w:bottom w:val="nil"/>
              <w:right w:val="nil"/>
            </w:tcBorders>
          </w:tcPr>
          <w:p w:rsidR="0070375D" w:rsidRPr="00774D76" w:rsidRDefault="0070375D" w:rsidP="00774D76">
            <w:pPr>
              <w:pStyle w:val="TableofFigures"/>
              <w:rPr>
                <w:rFonts w:eastAsiaTheme="minorEastAsia"/>
                <w:color w:val="000000"/>
                <w:szCs w:val="22"/>
                <w:lang w:eastAsia="en-AU"/>
              </w:rPr>
            </w:pPr>
            <w:r w:rsidRPr="00774D76">
              <w:rPr>
                <w:rFonts w:eastAsiaTheme="minorEastAsia"/>
                <w:color w:val="000000"/>
                <w:szCs w:val="22"/>
                <w:lang w:eastAsia="en-AU"/>
              </w:rPr>
              <w:t>22.4</w:t>
            </w:r>
          </w:p>
        </w:tc>
        <w:tc>
          <w:tcPr>
            <w:tcW w:w="738" w:type="dxa"/>
            <w:gridSpan w:val="2"/>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31.5</w:t>
            </w:r>
          </w:p>
        </w:tc>
        <w:tc>
          <w:tcPr>
            <w:tcW w:w="686"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34.8</w:t>
            </w:r>
          </w:p>
        </w:tc>
        <w:tc>
          <w:tcPr>
            <w:tcW w:w="798"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37.1</w:t>
            </w:r>
          </w:p>
        </w:tc>
        <w:tc>
          <w:tcPr>
            <w:tcW w:w="799"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36.8</w:t>
            </w:r>
          </w:p>
        </w:tc>
        <w:tc>
          <w:tcPr>
            <w:tcW w:w="799"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35.5</w:t>
            </w:r>
          </w:p>
        </w:tc>
      </w:tr>
      <w:tr w:rsidR="0070375D" w:rsidRPr="00774D76" w:rsidTr="00774D76">
        <w:tc>
          <w:tcPr>
            <w:tcW w:w="3254" w:type="dxa"/>
            <w:tcBorders>
              <w:top w:val="single" w:sz="6" w:space="0" w:color="auto"/>
              <w:left w:val="nil"/>
              <w:bottom w:val="single" w:sz="6" w:space="0" w:color="auto"/>
              <w:right w:val="nil"/>
            </w:tcBorders>
          </w:tcPr>
          <w:p w:rsidR="0070375D" w:rsidRPr="00774D76" w:rsidRDefault="0070375D" w:rsidP="00774D76">
            <w:pPr>
              <w:pStyle w:val="Tabletext"/>
              <w:rPr>
                <w:rFonts w:eastAsiaTheme="minorEastAsia"/>
                <w:b/>
                <w:bCs/>
                <w:color w:val="000000"/>
                <w:lang w:eastAsia="en-AU"/>
              </w:rPr>
            </w:pPr>
            <w:r w:rsidRPr="00774D76">
              <w:rPr>
                <w:rFonts w:eastAsiaTheme="minorEastAsia"/>
                <w:b/>
                <w:bCs/>
                <w:color w:val="000000"/>
                <w:lang w:eastAsia="en-AU"/>
              </w:rPr>
              <w:t>Total</w:t>
            </w:r>
          </w:p>
        </w:tc>
        <w:tc>
          <w:tcPr>
            <w:tcW w:w="702" w:type="dxa"/>
            <w:tcBorders>
              <w:top w:val="single" w:sz="6" w:space="0" w:color="auto"/>
              <w:left w:val="nil"/>
              <w:bottom w:val="single" w:sz="6" w:space="0" w:color="auto"/>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22.8</w:t>
            </w:r>
          </w:p>
        </w:tc>
        <w:tc>
          <w:tcPr>
            <w:tcW w:w="738" w:type="dxa"/>
            <w:gridSpan w:val="2"/>
            <w:tcBorders>
              <w:top w:val="single" w:sz="6" w:space="0" w:color="auto"/>
              <w:left w:val="nil"/>
              <w:bottom w:val="single" w:sz="6" w:space="0" w:color="auto"/>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31.8</w:t>
            </w:r>
          </w:p>
        </w:tc>
        <w:tc>
          <w:tcPr>
            <w:tcW w:w="686" w:type="dxa"/>
            <w:tcBorders>
              <w:top w:val="single" w:sz="6" w:space="0" w:color="auto"/>
              <w:left w:val="nil"/>
              <w:bottom w:val="single" w:sz="6" w:space="0" w:color="auto"/>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35.2</w:t>
            </w:r>
          </w:p>
        </w:tc>
        <w:tc>
          <w:tcPr>
            <w:tcW w:w="798" w:type="dxa"/>
            <w:tcBorders>
              <w:top w:val="single" w:sz="6" w:space="0" w:color="auto"/>
              <w:left w:val="nil"/>
              <w:bottom w:val="single" w:sz="6" w:space="0" w:color="auto"/>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37.5</w:t>
            </w:r>
          </w:p>
        </w:tc>
        <w:tc>
          <w:tcPr>
            <w:tcW w:w="799" w:type="dxa"/>
            <w:tcBorders>
              <w:top w:val="single" w:sz="6" w:space="0" w:color="auto"/>
              <w:left w:val="nil"/>
              <w:bottom w:val="single" w:sz="6" w:space="0" w:color="auto"/>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37.2</w:t>
            </w:r>
          </w:p>
        </w:tc>
        <w:tc>
          <w:tcPr>
            <w:tcW w:w="799" w:type="dxa"/>
            <w:tcBorders>
              <w:top w:val="single" w:sz="6" w:space="0" w:color="auto"/>
              <w:left w:val="nil"/>
              <w:bottom w:val="single" w:sz="6" w:space="0" w:color="auto"/>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35.9</w:t>
            </w:r>
          </w:p>
        </w:tc>
      </w:tr>
      <w:tr w:rsidR="0070375D" w:rsidRPr="00774D76" w:rsidTr="00774D76">
        <w:tc>
          <w:tcPr>
            <w:tcW w:w="3254" w:type="dxa"/>
            <w:tcBorders>
              <w:top w:val="nil"/>
              <w:left w:val="nil"/>
              <w:bottom w:val="nil"/>
              <w:right w:val="nil"/>
            </w:tcBorders>
          </w:tcPr>
          <w:p w:rsidR="0070375D" w:rsidRPr="00774D76" w:rsidRDefault="0070375D" w:rsidP="00774D76">
            <w:pPr>
              <w:pStyle w:val="Tabletext"/>
              <w:rPr>
                <w:rFonts w:eastAsiaTheme="minorEastAsia"/>
                <w:b/>
                <w:bCs/>
                <w:color w:val="000000"/>
                <w:vertAlign w:val="superscript"/>
                <w:lang w:eastAsia="en-AU"/>
              </w:rPr>
            </w:pPr>
            <w:r w:rsidRPr="00774D76">
              <w:rPr>
                <w:rFonts w:eastAsiaTheme="minorEastAsia"/>
                <w:b/>
                <w:bCs/>
                <w:color w:val="000000"/>
                <w:lang w:eastAsia="en-AU"/>
              </w:rPr>
              <w:t xml:space="preserve">Net debt </w:t>
            </w:r>
            <w:r w:rsidRPr="00774D76">
              <w:rPr>
                <w:rFonts w:eastAsiaTheme="minorEastAsia"/>
                <w:b/>
                <w:bCs/>
                <w:color w:val="000000"/>
                <w:vertAlign w:val="superscript"/>
                <w:lang w:eastAsia="en-AU"/>
              </w:rPr>
              <w:t>(a)</w:t>
            </w:r>
          </w:p>
        </w:tc>
        <w:tc>
          <w:tcPr>
            <w:tcW w:w="702" w:type="dxa"/>
            <w:tcBorders>
              <w:top w:val="nil"/>
              <w:left w:val="nil"/>
              <w:bottom w:val="nil"/>
              <w:right w:val="nil"/>
            </w:tcBorders>
          </w:tcPr>
          <w:p w:rsidR="0070375D" w:rsidRPr="00774D76" w:rsidRDefault="0070375D" w:rsidP="00774D76">
            <w:pPr>
              <w:pStyle w:val="TableofFigures"/>
              <w:rPr>
                <w:rFonts w:eastAsiaTheme="minorEastAsia"/>
                <w:color w:val="000000"/>
                <w:szCs w:val="22"/>
                <w:lang w:eastAsia="en-AU"/>
              </w:rPr>
            </w:pPr>
            <w:r w:rsidRPr="00774D76">
              <w:rPr>
                <w:rFonts w:eastAsiaTheme="minorEastAsia"/>
                <w:color w:val="000000"/>
                <w:szCs w:val="22"/>
                <w:lang w:eastAsia="en-AU"/>
              </w:rPr>
              <w:t>15.2</w:t>
            </w:r>
          </w:p>
        </w:tc>
        <w:tc>
          <w:tcPr>
            <w:tcW w:w="738" w:type="dxa"/>
            <w:gridSpan w:val="2"/>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19.8</w:t>
            </w:r>
          </w:p>
        </w:tc>
        <w:tc>
          <w:tcPr>
            <w:tcW w:w="686"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23.0</w:t>
            </w:r>
          </w:p>
        </w:tc>
        <w:tc>
          <w:tcPr>
            <w:tcW w:w="798"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25.1</w:t>
            </w:r>
          </w:p>
        </w:tc>
        <w:tc>
          <w:tcPr>
            <w:tcW w:w="799"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24.4</w:t>
            </w:r>
          </w:p>
        </w:tc>
        <w:tc>
          <w:tcPr>
            <w:tcW w:w="799"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22.7</w:t>
            </w:r>
          </w:p>
        </w:tc>
      </w:tr>
      <w:tr w:rsidR="0070375D" w:rsidRPr="00774D76" w:rsidTr="00774D76">
        <w:tc>
          <w:tcPr>
            <w:tcW w:w="3254" w:type="dxa"/>
            <w:tcBorders>
              <w:top w:val="nil"/>
              <w:left w:val="nil"/>
              <w:bottom w:val="single" w:sz="6" w:space="0" w:color="auto"/>
              <w:right w:val="nil"/>
            </w:tcBorders>
          </w:tcPr>
          <w:p w:rsidR="0070375D" w:rsidRPr="00774D76" w:rsidRDefault="0070375D" w:rsidP="00774D76">
            <w:pPr>
              <w:pStyle w:val="Tabletext"/>
              <w:rPr>
                <w:rFonts w:eastAsiaTheme="minorEastAsia"/>
                <w:color w:val="000000"/>
                <w:lang w:eastAsia="en-AU"/>
              </w:rPr>
            </w:pPr>
            <w:r w:rsidRPr="00774D76">
              <w:rPr>
                <w:rFonts w:eastAsiaTheme="minorEastAsia"/>
                <w:color w:val="000000"/>
                <w:lang w:eastAsia="en-AU"/>
              </w:rPr>
              <w:t>Superannuation liability</w:t>
            </w:r>
          </w:p>
        </w:tc>
        <w:tc>
          <w:tcPr>
            <w:tcW w:w="702"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32.6</w:t>
            </w:r>
          </w:p>
        </w:tc>
        <w:tc>
          <w:tcPr>
            <w:tcW w:w="738" w:type="dxa"/>
            <w:gridSpan w:val="2"/>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28.9</w:t>
            </w:r>
          </w:p>
        </w:tc>
        <w:tc>
          <w:tcPr>
            <w:tcW w:w="686"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28.7</w:t>
            </w:r>
          </w:p>
        </w:tc>
        <w:tc>
          <w:tcPr>
            <w:tcW w:w="798"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28.4</w:t>
            </w:r>
          </w:p>
        </w:tc>
        <w:tc>
          <w:tcPr>
            <w:tcW w:w="799"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28.1</w:t>
            </w:r>
          </w:p>
        </w:tc>
        <w:tc>
          <w:tcPr>
            <w:tcW w:w="799"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27.7</w:t>
            </w:r>
          </w:p>
        </w:tc>
      </w:tr>
      <w:tr w:rsidR="0070375D" w:rsidRPr="00774D76" w:rsidTr="00774D76">
        <w:tc>
          <w:tcPr>
            <w:tcW w:w="3254" w:type="dxa"/>
            <w:tcBorders>
              <w:top w:val="nil"/>
              <w:left w:val="nil"/>
              <w:bottom w:val="nil"/>
              <w:right w:val="nil"/>
            </w:tcBorders>
          </w:tcPr>
          <w:p w:rsidR="0070375D" w:rsidRPr="00774D76" w:rsidRDefault="0070375D" w:rsidP="00774D76">
            <w:pPr>
              <w:pStyle w:val="Tabletext"/>
              <w:rPr>
                <w:rFonts w:eastAsiaTheme="minorEastAsia"/>
                <w:b/>
                <w:bCs/>
                <w:color w:val="000000"/>
                <w:lang w:eastAsia="en-AU"/>
              </w:rPr>
            </w:pPr>
            <w:r w:rsidRPr="00774D76">
              <w:rPr>
                <w:rFonts w:eastAsiaTheme="minorEastAsia"/>
                <w:b/>
                <w:bCs/>
                <w:color w:val="000000"/>
                <w:lang w:eastAsia="en-AU"/>
              </w:rPr>
              <w:t>Net debt plus superannuation liability</w:t>
            </w:r>
          </w:p>
        </w:tc>
        <w:tc>
          <w:tcPr>
            <w:tcW w:w="702" w:type="dxa"/>
            <w:tcBorders>
              <w:top w:val="single" w:sz="6" w:space="0" w:color="auto"/>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47.8</w:t>
            </w:r>
          </w:p>
        </w:tc>
        <w:tc>
          <w:tcPr>
            <w:tcW w:w="738" w:type="dxa"/>
            <w:gridSpan w:val="2"/>
            <w:tcBorders>
              <w:top w:val="single" w:sz="6" w:space="0" w:color="auto"/>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48.7</w:t>
            </w:r>
          </w:p>
        </w:tc>
        <w:tc>
          <w:tcPr>
            <w:tcW w:w="686" w:type="dxa"/>
            <w:tcBorders>
              <w:top w:val="single" w:sz="6" w:space="0" w:color="auto"/>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51.6</w:t>
            </w:r>
          </w:p>
        </w:tc>
        <w:tc>
          <w:tcPr>
            <w:tcW w:w="798" w:type="dxa"/>
            <w:tcBorders>
              <w:top w:val="single" w:sz="6" w:space="0" w:color="auto"/>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53.5</w:t>
            </w:r>
          </w:p>
        </w:tc>
        <w:tc>
          <w:tcPr>
            <w:tcW w:w="799" w:type="dxa"/>
            <w:tcBorders>
              <w:top w:val="single" w:sz="6" w:space="0" w:color="auto"/>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52.5</w:t>
            </w:r>
          </w:p>
        </w:tc>
        <w:tc>
          <w:tcPr>
            <w:tcW w:w="799" w:type="dxa"/>
            <w:tcBorders>
              <w:top w:val="single" w:sz="6" w:space="0" w:color="auto"/>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50.4</w:t>
            </w:r>
          </w:p>
        </w:tc>
      </w:tr>
      <w:tr w:rsidR="0070375D" w:rsidRPr="00774D76" w:rsidTr="00774D76">
        <w:tc>
          <w:tcPr>
            <w:tcW w:w="3254" w:type="dxa"/>
            <w:tcBorders>
              <w:top w:val="nil"/>
              <w:left w:val="nil"/>
              <w:bottom w:val="nil"/>
              <w:right w:val="nil"/>
            </w:tcBorders>
          </w:tcPr>
          <w:p w:rsidR="0070375D" w:rsidRPr="00774D76" w:rsidRDefault="0070375D" w:rsidP="00774D76">
            <w:pPr>
              <w:pStyle w:val="Tabletext"/>
              <w:rPr>
                <w:rFonts w:eastAsiaTheme="minorEastAsia"/>
                <w:color w:val="000000"/>
                <w:vertAlign w:val="superscript"/>
                <w:lang w:eastAsia="en-AU"/>
              </w:rPr>
            </w:pPr>
            <w:r w:rsidRPr="00774D76">
              <w:rPr>
                <w:rFonts w:eastAsiaTheme="minorEastAsia"/>
                <w:color w:val="000000"/>
                <w:lang w:eastAsia="en-AU"/>
              </w:rPr>
              <w:t>Other liabilities (net)</w:t>
            </w:r>
            <w:r w:rsidRPr="00774D76">
              <w:rPr>
                <w:rFonts w:eastAsiaTheme="minorEastAsia"/>
                <w:color w:val="000000"/>
                <w:vertAlign w:val="superscript"/>
                <w:lang w:eastAsia="en-AU"/>
              </w:rPr>
              <w:t xml:space="preserve"> (b)</w:t>
            </w:r>
          </w:p>
        </w:tc>
        <w:tc>
          <w:tcPr>
            <w:tcW w:w="702"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7.2</w:t>
            </w:r>
          </w:p>
        </w:tc>
        <w:tc>
          <w:tcPr>
            <w:tcW w:w="738" w:type="dxa"/>
            <w:gridSpan w:val="2"/>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7.1</w:t>
            </w:r>
          </w:p>
        </w:tc>
        <w:tc>
          <w:tcPr>
            <w:tcW w:w="686"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7.2</w:t>
            </w:r>
          </w:p>
        </w:tc>
        <w:tc>
          <w:tcPr>
            <w:tcW w:w="798"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7.4</w:t>
            </w:r>
          </w:p>
        </w:tc>
        <w:tc>
          <w:tcPr>
            <w:tcW w:w="799"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7.5</w:t>
            </w:r>
          </w:p>
        </w:tc>
        <w:tc>
          <w:tcPr>
            <w:tcW w:w="799"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7.7</w:t>
            </w:r>
          </w:p>
        </w:tc>
      </w:tr>
      <w:tr w:rsidR="0070375D" w:rsidRPr="00774D76" w:rsidTr="00774D76">
        <w:tc>
          <w:tcPr>
            <w:tcW w:w="3254" w:type="dxa"/>
            <w:tcBorders>
              <w:top w:val="single" w:sz="6" w:space="0" w:color="auto"/>
              <w:left w:val="nil"/>
              <w:bottom w:val="single" w:sz="6" w:space="0" w:color="auto"/>
              <w:right w:val="nil"/>
            </w:tcBorders>
          </w:tcPr>
          <w:p w:rsidR="0070375D" w:rsidRPr="00774D76" w:rsidRDefault="0070375D" w:rsidP="00774D76">
            <w:pPr>
              <w:pStyle w:val="Tabletext"/>
              <w:rPr>
                <w:rFonts w:eastAsiaTheme="minorEastAsia"/>
                <w:b/>
                <w:bCs/>
                <w:color w:val="000000"/>
                <w:vertAlign w:val="superscript"/>
                <w:lang w:eastAsia="en-AU"/>
              </w:rPr>
            </w:pPr>
            <w:r w:rsidRPr="00774D76">
              <w:rPr>
                <w:rFonts w:eastAsiaTheme="minorEastAsia"/>
                <w:b/>
                <w:bCs/>
                <w:color w:val="000000"/>
                <w:lang w:eastAsia="en-AU"/>
              </w:rPr>
              <w:t xml:space="preserve">Net financial liabilities </w:t>
            </w:r>
            <w:r w:rsidRPr="00774D76">
              <w:rPr>
                <w:rFonts w:eastAsiaTheme="minorEastAsia"/>
                <w:b/>
                <w:bCs/>
                <w:color w:val="000000"/>
                <w:vertAlign w:val="superscript"/>
                <w:lang w:eastAsia="en-AU"/>
              </w:rPr>
              <w:t>(c)</w:t>
            </w:r>
          </w:p>
        </w:tc>
        <w:tc>
          <w:tcPr>
            <w:tcW w:w="702" w:type="dxa"/>
            <w:tcBorders>
              <w:top w:val="single" w:sz="6" w:space="0" w:color="auto"/>
              <w:left w:val="nil"/>
              <w:bottom w:val="single" w:sz="6" w:space="0" w:color="auto"/>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55.0</w:t>
            </w:r>
          </w:p>
        </w:tc>
        <w:tc>
          <w:tcPr>
            <w:tcW w:w="738" w:type="dxa"/>
            <w:gridSpan w:val="2"/>
            <w:tcBorders>
              <w:top w:val="single" w:sz="6" w:space="0" w:color="auto"/>
              <w:left w:val="nil"/>
              <w:bottom w:val="single" w:sz="6" w:space="0" w:color="auto"/>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55.8</w:t>
            </w:r>
          </w:p>
        </w:tc>
        <w:tc>
          <w:tcPr>
            <w:tcW w:w="686" w:type="dxa"/>
            <w:tcBorders>
              <w:top w:val="single" w:sz="6" w:space="0" w:color="auto"/>
              <w:left w:val="nil"/>
              <w:bottom w:val="single" w:sz="6" w:space="0" w:color="auto"/>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58.9</w:t>
            </w:r>
          </w:p>
        </w:tc>
        <w:tc>
          <w:tcPr>
            <w:tcW w:w="798" w:type="dxa"/>
            <w:tcBorders>
              <w:top w:val="single" w:sz="6" w:space="0" w:color="auto"/>
              <w:left w:val="nil"/>
              <w:bottom w:val="single" w:sz="6" w:space="0" w:color="auto"/>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60.8</w:t>
            </w:r>
          </w:p>
        </w:tc>
        <w:tc>
          <w:tcPr>
            <w:tcW w:w="799" w:type="dxa"/>
            <w:tcBorders>
              <w:top w:val="single" w:sz="6" w:space="0" w:color="auto"/>
              <w:left w:val="nil"/>
              <w:bottom w:val="single" w:sz="6" w:space="0" w:color="auto"/>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60.0</w:t>
            </w:r>
          </w:p>
        </w:tc>
        <w:tc>
          <w:tcPr>
            <w:tcW w:w="799" w:type="dxa"/>
            <w:tcBorders>
              <w:top w:val="single" w:sz="6" w:space="0" w:color="auto"/>
              <w:left w:val="nil"/>
              <w:bottom w:val="single" w:sz="6" w:space="0" w:color="auto"/>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58.1</w:t>
            </w:r>
          </w:p>
        </w:tc>
      </w:tr>
      <w:tr w:rsidR="0070375D" w:rsidRPr="00774D76" w:rsidTr="00774D76">
        <w:tc>
          <w:tcPr>
            <w:tcW w:w="3254" w:type="dxa"/>
            <w:tcBorders>
              <w:top w:val="nil"/>
              <w:left w:val="nil"/>
              <w:bottom w:val="nil"/>
              <w:right w:val="nil"/>
            </w:tcBorders>
          </w:tcPr>
          <w:p w:rsidR="0070375D" w:rsidRPr="00774D76" w:rsidRDefault="0070375D" w:rsidP="00774D76">
            <w:pPr>
              <w:pStyle w:val="Tabletext"/>
              <w:rPr>
                <w:rFonts w:eastAsiaTheme="minorEastAsia"/>
                <w:color w:val="000000"/>
                <w:lang w:eastAsia="en-AU"/>
              </w:rPr>
            </w:pPr>
            <w:r w:rsidRPr="00774D76">
              <w:rPr>
                <w:rFonts w:eastAsiaTheme="minorEastAsia"/>
                <w:color w:val="000000"/>
                <w:lang w:eastAsia="en-AU"/>
              </w:rPr>
              <w:t xml:space="preserve"> </w:t>
            </w:r>
          </w:p>
        </w:tc>
        <w:tc>
          <w:tcPr>
            <w:tcW w:w="1260" w:type="dxa"/>
            <w:gridSpan w:val="2"/>
            <w:tcBorders>
              <w:top w:val="nil"/>
              <w:left w:val="nil"/>
              <w:bottom w:val="nil"/>
              <w:right w:val="nil"/>
            </w:tcBorders>
          </w:tcPr>
          <w:p w:rsidR="0070375D" w:rsidRPr="00774D76" w:rsidRDefault="0070375D" w:rsidP="00774D76">
            <w:pPr>
              <w:pStyle w:val="million"/>
              <w:rPr>
                <w:rFonts w:eastAsiaTheme="minorEastAsia"/>
                <w:lang w:eastAsia="en-AU"/>
              </w:rPr>
            </w:pPr>
            <w:r w:rsidRPr="00774D76">
              <w:rPr>
                <w:rFonts w:eastAsiaTheme="minorEastAsia"/>
                <w:lang w:eastAsia="en-AU"/>
              </w:rPr>
              <w:t>(per cent)</w:t>
            </w:r>
          </w:p>
        </w:tc>
        <w:tc>
          <w:tcPr>
            <w:tcW w:w="180" w:type="dxa"/>
            <w:tcBorders>
              <w:top w:val="nil"/>
              <w:left w:val="nil"/>
              <w:bottom w:val="nil"/>
              <w:right w:val="nil"/>
            </w:tcBorders>
          </w:tcPr>
          <w:p w:rsidR="0070375D" w:rsidRPr="00774D76" w:rsidRDefault="0070375D" w:rsidP="00774D76">
            <w:pPr>
              <w:pStyle w:val="million"/>
              <w:rPr>
                <w:rFonts w:eastAsiaTheme="minorEastAsia"/>
                <w:lang w:eastAsia="en-AU"/>
              </w:rPr>
            </w:pPr>
            <w:r w:rsidRPr="00774D76">
              <w:rPr>
                <w:rFonts w:eastAsiaTheme="minorEastAsia"/>
                <w:lang w:eastAsia="en-AU"/>
              </w:rPr>
              <w:t xml:space="preserve"> </w:t>
            </w:r>
          </w:p>
        </w:tc>
        <w:tc>
          <w:tcPr>
            <w:tcW w:w="686"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w:t>
            </w:r>
          </w:p>
        </w:tc>
        <w:tc>
          <w:tcPr>
            <w:tcW w:w="798"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w:t>
            </w:r>
          </w:p>
        </w:tc>
        <w:tc>
          <w:tcPr>
            <w:tcW w:w="799" w:type="dxa"/>
            <w:tcBorders>
              <w:top w:val="nil"/>
              <w:left w:val="nil"/>
              <w:bottom w:val="nil"/>
              <w:right w:val="nil"/>
            </w:tcBorders>
          </w:tcPr>
          <w:p w:rsidR="0070375D" w:rsidRPr="00774D76" w:rsidRDefault="0070375D" w:rsidP="00774D76">
            <w:pPr>
              <w:pStyle w:val="TableofFigures"/>
              <w:rPr>
                <w:rFonts w:eastAsiaTheme="minorEastAsia"/>
                <w:color w:val="000000"/>
                <w:sz w:val="18"/>
                <w:lang w:eastAsia="en-AU"/>
              </w:rPr>
            </w:pPr>
            <w:r w:rsidRPr="00774D76">
              <w:rPr>
                <w:rFonts w:eastAsiaTheme="minorEastAsia"/>
                <w:color w:val="000000"/>
                <w:sz w:val="18"/>
                <w:lang w:eastAsia="en-AU"/>
              </w:rPr>
              <w:t xml:space="preserve"> </w:t>
            </w:r>
          </w:p>
        </w:tc>
        <w:tc>
          <w:tcPr>
            <w:tcW w:w="799" w:type="dxa"/>
            <w:tcBorders>
              <w:top w:val="nil"/>
              <w:left w:val="nil"/>
              <w:bottom w:val="nil"/>
              <w:right w:val="nil"/>
            </w:tcBorders>
          </w:tcPr>
          <w:p w:rsidR="0070375D" w:rsidRPr="00774D76" w:rsidRDefault="0070375D" w:rsidP="00774D76">
            <w:pPr>
              <w:pStyle w:val="TableofFigures"/>
              <w:rPr>
                <w:rFonts w:eastAsiaTheme="minorEastAsia"/>
                <w:color w:val="000000"/>
                <w:lang w:eastAsia="en-AU"/>
              </w:rPr>
            </w:pPr>
            <w:r w:rsidRPr="00774D76">
              <w:rPr>
                <w:rFonts w:eastAsiaTheme="minorEastAsia"/>
                <w:color w:val="000000"/>
                <w:lang w:eastAsia="en-AU"/>
              </w:rPr>
              <w:t xml:space="preserve"> </w:t>
            </w:r>
          </w:p>
        </w:tc>
      </w:tr>
      <w:tr w:rsidR="0070375D" w:rsidRPr="00774D76" w:rsidTr="00774D76">
        <w:tc>
          <w:tcPr>
            <w:tcW w:w="3254" w:type="dxa"/>
            <w:tcBorders>
              <w:top w:val="nil"/>
              <w:left w:val="nil"/>
              <w:bottom w:val="nil"/>
              <w:right w:val="nil"/>
            </w:tcBorders>
          </w:tcPr>
          <w:p w:rsidR="0070375D" w:rsidRPr="00774D76" w:rsidRDefault="0070375D" w:rsidP="00774D76">
            <w:pPr>
              <w:pStyle w:val="Tabletext"/>
              <w:rPr>
                <w:rFonts w:eastAsiaTheme="minorEastAsia"/>
                <w:b/>
                <w:bCs/>
                <w:color w:val="000000"/>
                <w:vertAlign w:val="superscript"/>
                <w:lang w:eastAsia="en-AU"/>
              </w:rPr>
            </w:pPr>
            <w:r w:rsidRPr="00774D76">
              <w:rPr>
                <w:rFonts w:eastAsiaTheme="minorEastAsia"/>
                <w:b/>
                <w:bCs/>
                <w:color w:val="000000"/>
                <w:lang w:eastAsia="en-AU"/>
              </w:rPr>
              <w:t xml:space="preserve">Net debt to GSP </w:t>
            </w:r>
            <w:r w:rsidRPr="00774D76">
              <w:rPr>
                <w:rFonts w:eastAsiaTheme="minorEastAsia"/>
                <w:b/>
                <w:bCs/>
                <w:color w:val="000000"/>
                <w:vertAlign w:val="superscript"/>
                <w:lang w:eastAsia="en-AU"/>
              </w:rPr>
              <w:t>(d)</w:t>
            </w:r>
          </w:p>
        </w:tc>
        <w:tc>
          <w:tcPr>
            <w:tcW w:w="702" w:type="dxa"/>
            <w:tcBorders>
              <w:top w:val="nil"/>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4.6</w:t>
            </w:r>
          </w:p>
        </w:tc>
        <w:tc>
          <w:tcPr>
            <w:tcW w:w="738" w:type="dxa"/>
            <w:gridSpan w:val="2"/>
            <w:tcBorders>
              <w:top w:val="nil"/>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5.8</w:t>
            </w:r>
          </w:p>
        </w:tc>
        <w:tc>
          <w:tcPr>
            <w:tcW w:w="686" w:type="dxa"/>
            <w:tcBorders>
              <w:top w:val="nil"/>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6.4</w:t>
            </w:r>
          </w:p>
        </w:tc>
        <w:tc>
          <w:tcPr>
            <w:tcW w:w="798" w:type="dxa"/>
            <w:tcBorders>
              <w:top w:val="nil"/>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6.6</w:t>
            </w:r>
          </w:p>
        </w:tc>
        <w:tc>
          <w:tcPr>
            <w:tcW w:w="799" w:type="dxa"/>
            <w:tcBorders>
              <w:top w:val="nil"/>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6.1</w:t>
            </w:r>
          </w:p>
        </w:tc>
        <w:tc>
          <w:tcPr>
            <w:tcW w:w="799" w:type="dxa"/>
            <w:tcBorders>
              <w:top w:val="nil"/>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5.4</w:t>
            </w:r>
          </w:p>
        </w:tc>
      </w:tr>
      <w:tr w:rsidR="0070375D" w:rsidRPr="00774D76" w:rsidTr="00774D76">
        <w:tc>
          <w:tcPr>
            <w:tcW w:w="3254" w:type="dxa"/>
            <w:tcBorders>
              <w:top w:val="nil"/>
              <w:left w:val="nil"/>
              <w:bottom w:val="nil"/>
              <w:right w:val="nil"/>
            </w:tcBorders>
          </w:tcPr>
          <w:p w:rsidR="0070375D" w:rsidRPr="00774D76" w:rsidRDefault="0070375D" w:rsidP="00774D76">
            <w:pPr>
              <w:pStyle w:val="Tabletext"/>
              <w:rPr>
                <w:rFonts w:eastAsiaTheme="minorEastAsia"/>
                <w:b/>
                <w:bCs/>
                <w:color w:val="000000"/>
                <w:vertAlign w:val="superscript"/>
                <w:lang w:eastAsia="en-AU"/>
              </w:rPr>
            </w:pPr>
            <w:r w:rsidRPr="00774D76">
              <w:rPr>
                <w:rFonts w:eastAsiaTheme="minorEastAsia"/>
                <w:b/>
                <w:bCs/>
                <w:color w:val="000000"/>
                <w:lang w:eastAsia="en-AU"/>
              </w:rPr>
              <w:t xml:space="preserve">Net debt plus superannuation liability to GSP </w:t>
            </w:r>
            <w:r w:rsidRPr="00774D76">
              <w:rPr>
                <w:rFonts w:eastAsiaTheme="minorEastAsia"/>
                <w:b/>
                <w:bCs/>
                <w:color w:val="000000"/>
                <w:vertAlign w:val="superscript"/>
                <w:lang w:eastAsia="en-AU"/>
              </w:rPr>
              <w:t>(d)</w:t>
            </w:r>
          </w:p>
        </w:tc>
        <w:tc>
          <w:tcPr>
            <w:tcW w:w="702" w:type="dxa"/>
            <w:tcBorders>
              <w:top w:val="nil"/>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14.5</w:t>
            </w:r>
          </w:p>
        </w:tc>
        <w:tc>
          <w:tcPr>
            <w:tcW w:w="738" w:type="dxa"/>
            <w:gridSpan w:val="2"/>
            <w:tcBorders>
              <w:top w:val="nil"/>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14.2</w:t>
            </w:r>
          </w:p>
        </w:tc>
        <w:tc>
          <w:tcPr>
            <w:tcW w:w="686" w:type="dxa"/>
            <w:tcBorders>
              <w:top w:val="nil"/>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14.3</w:t>
            </w:r>
          </w:p>
        </w:tc>
        <w:tc>
          <w:tcPr>
            <w:tcW w:w="798" w:type="dxa"/>
            <w:tcBorders>
              <w:top w:val="nil"/>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14.1</w:t>
            </w:r>
          </w:p>
        </w:tc>
        <w:tc>
          <w:tcPr>
            <w:tcW w:w="799" w:type="dxa"/>
            <w:tcBorders>
              <w:top w:val="nil"/>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13.1</w:t>
            </w:r>
          </w:p>
        </w:tc>
        <w:tc>
          <w:tcPr>
            <w:tcW w:w="799" w:type="dxa"/>
            <w:tcBorders>
              <w:top w:val="nil"/>
              <w:left w:val="nil"/>
              <w:bottom w:val="nil"/>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11.9</w:t>
            </w:r>
          </w:p>
        </w:tc>
      </w:tr>
      <w:tr w:rsidR="0070375D" w:rsidRPr="00774D76" w:rsidTr="00774D76">
        <w:tc>
          <w:tcPr>
            <w:tcW w:w="3254" w:type="dxa"/>
            <w:tcBorders>
              <w:top w:val="nil"/>
              <w:left w:val="nil"/>
              <w:bottom w:val="single" w:sz="12" w:space="0" w:color="auto"/>
              <w:right w:val="nil"/>
            </w:tcBorders>
          </w:tcPr>
          <w:p w:rsidR="0070375D" w:rsidRPr="00774D76" w:rsidRDefault="0070375D" w:rsidP="00774D76">
            <w:pPr>
              <w:pStyle w:val="Tabletext"/>
              <w:rPr>
                <w:rFonts w:eastAsiaTheme="minorEastAsia"/>
                <w:b/>
                <w:bCs/>
                <w:color w:val="000000"/>
                <w:vertAlign w:val="superscript"/>
                <w:lang w:eastAsia="en-AU"/>
              </w:rPr>
            </w:pPr>
            <w:r w:rsidRPr="00774D76">
              <w:rPr>
                <w:rFonts w:eastAsiaTheme="minorEastAsia"/>
                <w:b/>
                <w:bCs/>
                <w:color w:val="000000"/>
                <w:lang w:eastAsia="en-AU"/>
              </w:rPr>
              <w:t xml:space="preserve">Net financial liabilities to GSP </w:t>
            </w:r>
            <w:r w:rsidRPr="00774D76">
              <w:rPr>
                <w:rFonts w:eastAsiaTheme="minorEastAsia"/>
                <w:b/>
                <w:bCs/>
                <w:color w:val="000000"/>
                <w:vertAlign w:val="superscript"/>
                <w:lang w:eastAsia="en-AU"/>
              </w:rPr>
              <w:t>(d)</w:t>
            </w:r>
          </w:p>
        </w:tc>
        <w:tc>
          <w:tcPr>
            <w:tcW w:w="702" w:type="dxa"/>
            <w:tcBorders>
              <w:top w:val="nil"/>
              <w:left w:val="nil"/>
              <w:bottom w:val="single" w:sz="12" w:space="0" w:color="auto"/>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16.7</w:t>
            </w:r>
          </w:p>
        </w:tc>
        <w:tc>
          <w:tcPr>
            <w:tcW w:w="738" w:type="dxa"/>
            <w:gridSpan w:val="2"/>
            <w:tcBorders>
              <w:top w:val="nil"/>
              <w:left w:val="nil"/>
              <w:bottom w:val="single" w:sz="12" w:space="0" w:color="auto"/>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16.2</w:t>
            </w:r>
          </w:p>
        </w:tc>
        <w:tc>
          <w:tcPr>
            <w:tcW w:w="686" w:type="dxa"/>
            <w:tcBorders>
              <w:top w:val="nil"/>
              <w:left w:val="nil"/>
              <w:bottom w:val="single" w:sz="12" w:space="0" w:color="auto"/>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16.3</w:t>
            </w:r>
          </w:p>
        </w:tc>
        <w:tc>
          <w:tcPr>
            <w:tcW w:w="798" w:type="dxa"/>
            <w:tcBorders>
              <w:top w:val="nil"/>
              <w:left w:val="nil"/>
              <w:bottom w:val="single" w:sz="12" w:space="0" w:color="auto"/>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16.0</w:t>
            </w:r>
          </w:p>
        </w:tc>
        <w:tc>
          <w:tcPr>
            <w:tcW w:w="799" w:type="dxa"/>
            <w:tcBorders>
              <w:top w:val="nil"/>
              <w:left w:val="nil"/>
              <w:bottom w:val="single" w:sz="12" w:space="0" w:color="auto"/>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15.0</w:t>
            </w:r>
          </w:p>
        </w:tc>
        <w:tc>
          <w:tcPr>
            <w:tcW w:w="799" w:type="dxa"/>
            <w:tcBorders>
              <w:top w:val="nil"/>
              <w:left w:val="nil"/>
              <w:bottom w:val="single" w:sz="12" w:space="0" w:color="auto"/>
              <w:right w:val="nil"/>
            </w:tcBorders>
          </w:tcPr>
          <w:p w:rsidR="0070375D" w:rsidRPr="00774D76" w:rsidRDefault="0070375D" w:rsidP="00774D76">
            <w:pPr>
              <w:pStyle w:val="TableofFigures"/>
              <w:rPr>
                <w:rFonts w:eastAsiaTheme="minorEastAsia"/>
                <w:b/>
                <w:bCs/>
                <w:color w:val="000000"/>
                <w:lang w:eastAsia="en-AU"/>
              </w:rPr>
            </w:pPr>
            <w:r w:rsidRPr="00774D76">
              <w:rPr>
                <w:rFonts w:eastAsiaTheme="minorEastAsia"/>
                <w:b/>
                <w:bCs/>
                <w:color w:val="000000"/>
                <w:lang w:eastAsia="en-AU"/>
              </w:rPr>
              <w:t>13.8</w:t>
            </w:r>
          </w:p>
        </w:tc>
      </w:tr>
    </w:tbl>
    <w:p w:rsidR="0070375D" w:rsidRPr="00137B14" w:rsidRDefault="0070375D" w:rsidP="00C90CCD">
      <w:pPr>
        <w:pStyle w:val="Source"/>
      </w:pPr>
      <w:r w:rsidRPr="00137B14">
        <w:t>Source: Department of Treasury and Finance</w:t>
      </w:r>
    </w:p>
    <w:p w:rsidR="0070375D" w:rsidRPr="00137B14" w:rsidRDefault="0070375D" w:rsidP="00583CAC">
      <w:pPr>
        <w:pStyle w:val="Notes"/>
      </w:pPr>
      <w:r w:rsidRPr="00137B14">
        <w:t>Notes:</w:t>
      </w:r>
    </w:p>
    <w:p w:rsidR="0070375D" w:rsidRPr="00137B14" w:rsidRDefault="0070375D" w:rsidP="00583CAC">
      <w:pPr>
        <w:pStyle w:val="Notes"/>
      </w:pPr>
      <w:r w:rsidRPr="00137B14">
        <w:t>(a)</w:t>
      </w:r>
      <w:r w:rsidRPr="00137B14">
        <w:tab/>
        <w:t>Net debt is the sum of deposits held, advances received and borrowings less the sum of cash, deposits, advances paid, and investments, loans and placements.</w:t>
      </w:r>
    </w:p>
    <w:p w:rsidR="0070375D" w:rsidRPr="00137B14" w:rsidRDefault="0070375D" w:rsidP="00583CAC">
      <w:pPr>
        <w:pStyle w:val="Notes"/>
      </w:pPr>
      <w:r w:rsidRPr="00137B14">
        <w:t>(b)</w:t>
      </w:r>
      <w:r w:rsidRPr="00137B14">
        <w:tab/>
        <w:t>Includes other employee entitlements and provisions and other liabilities, less other non</w:t>
      </w:r>
      <w:r w:rsidR="00276239">
        <w:noBreakHyphen/>
      </w:r>
      <w:r w:rsidRPr="00137B14">
        <w:t>equity assets.</w:t>
      </w:r>
    </w:p>
    <w:p w:rsidR="0070375D" w:rsidRPr="00137B14" w:rsidRDefault="0070375D" w:rsidP="00583CAC">
      <w:pPr>
        <w:pStyle w:val="Notes"/>
      </w:pPr>
      <w:r w:rsidRPr="00137B14">
        <w:t>(c)</w:t>
      </w:r>
      <w:r w:rsidRPr="00137B14">
        <w:tab/>
        <w:t>Net financial liabilities is the sum of superannuation, borrowings and other liabilities less financial assets.</w:t>
      </w:r>
    </w:p>
    <w:p w:rsidR="0070375D" w:rsidRDefault="0070375D" w:rsidP="00583CAC">
      <w:pPr>
        <w:pStyle w:val="Notes"/>
      </w:pPr>
      <w:r w:rsidRPr="00137B14">
        <w:t>(d)</w:t>
      </w:r>
      <w:r w:rsidRPr="00137B14">
        <w:tab/>
        <w:t>Ratios to GSP may vary from publications year to year due to revisions to the ABS GSP data</w:t>
      </w:r>
      <w:r w:rsidRPr="0097436A">
        <w:rPr>
          <w:i w:val="0"/>
        </w:rPr>
        <w:t>.</w:t>
      </w:r>
      <w:bookmarkEnd w:id="53"/>
      <w:r w:rsidRPr="0097436A">
        <w:rPr>
          <w:i w:val="0"/>
        </w:rPr>
        <w:fldChar w:fldCharType="begin"/>
      </w:r>
      <w:r w:rsidRPr="0097436A">
        <w:rPr>
          <w:i w:val="0"/>
        </w:rPr>
        <w:instrText xml:space="preserve"> XE "Debt:Net debt" \r "BP2CH4Netdebt" </w:instrText>
      </w:r>
      <w:r w:rsidRPr="0097436A">
        <w:rPr>
          <w:i w:val="0"/>
        </w:rPr>
        <w:fldChar w:fldCharType="end"/>
      </w:r>
    </w:p>
    <w:p w:rsidR="0070375D" w:rsidRPr="00137B14" w:rsidRDefault="0070375D" w:rsidP="00583CAC">
      <w:pPr>
        <w:pStyle w:val="Notes"/>
      </w:pPr>
    </w:p>
    <w:p w:rsidR="0070375D" w:rsidRPr="00137B14" w:rsidRDefault="0070375D" w:rsidP="00583CAC">
      <w:pPr>
        <w:pStyle w:val="Heading2"/>
      </w:pPr>
      <w:r w:rsidRPr="00137B14">
        <w:t>Fiscal risks</w:t>
      </w:r>
    </w:p>
    <w:p w:rsidR="0070375D" w:rsidRPr="00137B14" w:rsidRDefault="0070375D" w:rsidP="00583CAC">
      <w:r w:rsidRPr="00137B14">
        <w:t>This section considers a number of known risks which, if realised, are likely to impact on the State</w:t>
      </w:r>
      <w:r w:rsidR="00276239">
        <w:t>’</w:t>
      </w:r>
      <w:r w:rsidRPr="00137B14">
        <w:t>s financial performance and budget outcomes.</w:t>
      </w:r>
    </w:p>
    <w:p w:rsidR="0070375D" w:rsidRPr="00137B14" w:rsidRDefault="0070375D" w:rsidP="00E23DD4">
      <w:pPr>
        <w:pStyle w:val="Heading3"/>
      </w:pPr>
      <w:bookmarkStart w:id="55" w:name="BP2CH4RevRisk"/>
      <w:r w:rsidRPr="00137B14">
        <w:lastRenderedPageBreak/>
        <w:t>Revenue risks</w:t>
      </w:r>
    </w:p>
    <w:bookmarkEnd w:id="54"/>
    <w:p w:rsidR="0070375D" w:rsidRPr="00B243CF" w:rsidRDefault="0070375D" w:rsidP="00FA6CF5">
      <w:pPr>
        <w:keepNext/>
        <w:spacing w:before="240"/>
        <w:outlineLvl w:val="3"/>
        <w:rPr>
          <w:rFonts w:ascii="Calibri" w:hAnsi="Calibri"/>
          <w:i/>
          <w:sz w:val="24"/>
          <w:szCs w:val="22"/>
        </w:rPr>
      </w:pPr>
      <w:r w:rsidRPr="00B243CF">
        <w:rPr>
          <w:rFonts w:ascii="Calibri" w:hAnsi="Calibri"/>
          <w:i/>
          <w:sz w:val="24"/>
          <w:szCs w:val="22"/>
        </w:rPr>
        <w:t>State taxes</w:t>
      </w:r>
    </w:p>
    <w:p w:rsidR="0070375D" w:rsidRPr="00910646" w:rsidRDefault="0070375D" w:rsidP="00FA6CF5">
      <w:r w:rsidRPr="00B243CF">
        <w:t xml:space="preserve">State tax forecasts are primarily based on an assumed or estimated relationship between taxation revenue and projected </w:t>
      </w:r>
      <w:r w:rsidRPr="00910646">
        <w:t>economic variables. As a result, the main source of risk to the taxation estimates</w:t>
      </w:r>
      <w:r>
        <w:t xml:space="preserve"> is</w:t>
      </w:r>
      <w:r w:rsidRPr="00910646">
        <w:t xml:space="preserve"> the economic environment.</w:t>
      </w:r>
    </w:p>
    <w:p w:rsidR="0070375D" w:rsidRPr="00910646" w:rsidRDefault="0070375D" w:rsidP="00FA6CF5">
      <w:r w:rsidRPr="00910646">
        <w:t xml:space="preserve">Changes in economic conditions from those projected will affect taxation revenue. For example, higher than expected economic activity or inflation will tend to lead to higher taxation revenue. Specific economic risks are presented in Chapter </w:t>
      </w:r>
      <w:r>
        <w:t xml:space="preserve">2 </w:t>
      </w:r>
      <w:r w:rsidRPr="00910646">
        <w:rPr>
          <w:i/>
        </w:rPr>
        <w:t>Economic</w:t>
      </w:r>
      <w:r>
        <w:rPr>
          <w:i/>
        </w:rPr>
        <w:t xml:space="preserve"> C</w:t>
      </w:r>
      <w:r w:rsidRPr="00910646">
        <w:rPr>
          <w:i/>
        </w:rPr>
        <w:t>ontext</w:t>
      </w:r>
      <w:r w:rsidRPr="00910646">
        <w:t xml:space="preserve"> and the fiscal implications of variations in economic parameters from forecast are considered in </w:t>
      </w:r>
      <w:r w:rsidRPr="00F20DBB">
        <w:t>A</w:t>
      </w:r>
      <w:r>
        <w:t>ppendix A</w:t>
      </w:r>
      <w:r w:rsidRPr="00F20DBB">
        <w:t xml:space="preserve"> </w:t>
      </w:r>
      <w:r w:rsidRPr="00F20DBB">
        <w:rPr>
          <w:i/>
        </w:rPr>
        <w:t>Sensitivity Analysis Table</w:t>
      </w:r>
      <w:r w:rsidRPr="00910646">
        <w:t>.</w:t>
      </w:r>
    </w:p>
    <w:p w:rsidR="0070375D" w:rsidRPr="00910646" w:rsidRDefault="0070375D" w:rsidP="00FA6CF5">
      <w:r w:rsidRPr="00910646">
        <w:t>There is also the risk of changes in the relationship between the economic variables and taxation revenue (such as between consumer spending and motor vehicle taxes, or between employment and payroll tax). Some state taxes, such as stamp duty on land transfers, are sourced from tax bases that are subject to volatility, and revenue from these sources may be subject to substantial annual variation.</w:t>
      </w:r>
    </w:p>
    <w:p w:rsidR="0070375D" w:rsidRPr="00910646" w:rsidRDefault="0070375D" w:rsidP="00FA6CF5">
      <w:pPr>
        <w:keepNext/>
        <w:spacing w:before="240"/>
        <w:outlineLvl w:val="3"/>
        <w:rPr>
          <w:rFonts w:ascii="Calibri" w:hAnsi="Calibri"/>
          <w:i/>
          <w:sz w:val="24"/>
          <w:szCs w:val="22"/>
        </w:rPr>
      </w:pPr>
      <w:r w:rsidRPr="00910646">
        <w:rPr>
          <w:rFonts w:ascii="Calibri" w:hAnsi="Calibri"/>
          <w:i/>
          <w:sz w:val="24"/>
          <w:szCs w:val="22"/>
        </w:rPr>
        <w:t>Commonwealth grants</w:t>
      </w:r>
    </w:p>
    <w:p w:rsidR="0070375D" w:rsidRDefault="0070375D" w:rsidP="00FA6CF5">
      <w:r w:rsidRPr="00910646">
        <w:t>The distribution of GST grants between states and territories is determined by the size of the GST national pool and each state or territory</w:t>
      </w:r>
      <w:r w:rsidR="00276239">
        <w:t>’</w:t>
      </w:r>
      <w:r w:rsidRPr="00910646">
        <w:t xml:space="preserve">s population share weighted by its GST relativities, as informed by recommendations of the Commonwealth Grants Commission (CGC). Any changes to national economic conditions will directly affect the GST </w:t>
      </w:r>
      <w:r>
        <w:t xml:space="preserve">national </w:t>
      </w:r>
      <w:r w:rsidRPr="00910646">
        <w:t>pool, while changes to the CGC</w:t>
      </w:r>
      <w:r w:rsidR="00276239">
        <w:t>’</w:t>
      </w:r>
      <w:r w:rsidRPr="00910646">
        <w:t>s methodology, changing fiscal circumstances of any state or territory or revisions to data used by the CGC could result in material changes in Victoria</w:t>
      </w:r>
      <w:r w:rsidR="00276239">
        <w:t>’</w:t>
      </w:r>
      <w:r w:rsidRPr="00910646">
        <w:t>s share of the pool. Revisions to historical data may be significant in the CGC</w:t>
      </w:r>
      <w:r w:rsidR="00276239">
        <w:t>’</w:t>
      </w:r>
      <w:r w:rsidRPr="00910646">
        <w:t xml:space="preserve">s </w:t>
      </w:r>
      <w:r w:rsidRPr="00910646">
        <w:rPr>
          <w:i/>
        </w:rPr>
        <w:t>2014 Update</w:t>
      </w:r>
      <w:r w:rsidRPr="00910646">
        <w:t xml:space="preserve"> as the Australian Bureau of Statistics continues to update its social and demographic statistics as a result of the 2011 Census.</w:t>
      </w:r>
    </w:p>
    <w:p w:rsidR="0070375D" w:rsidRDefault="0070375D" w:rsidP="004B53CA">
      <w:r w:rsidRPr="00787889">
        <w:t>The level of National Partnership and specific purpose payments funding received by Victoria is determined by the policies of the Commonwealth Government and funding arrangements agreed by the Council of Australian Governments. Some National Partnership funding is also subject to the State achieving certain performance benchmarks. Decisions of the Commonwealth Government can substantially alter the ongoing provision or phasing of payments under individual agreements, with significant revenue implications in a given financial period.</w:t>
      </w:r>
    </w:p>
    <w:p w:rsidR="0070375D" w:rsidRPr="00910646" w:rsidRDefault="0070375D" w:rsidP="00E92185">
      <w:pPr>
        <w:keepNext/>
        <w:spacing w:before="240"/>
        <w:outlineLvl w:val="3"/>
        <w:rPr>
          <w:rFonts w:ascii="Calibri" w:hAnsi="Calibri"/>
          <w:i/>
          <w:sz w:val="24"/>
          <w:szCs w:val="22"/>
        </w:rPr>
      </w:pPr>
      <w:r>
        <w:rPr>
          <w:rFonts w:ascii="Calibri" w:hAnsi="Calibri"/>
          <w:i/>
          <w:sz w:val="24"/>
          <w:szCs w:val="22"/>
        </w:rPr>
        <w:t>Public transport fares</w:t>
      </w:r>
    </w:p>
    <w:p w:rsidR="0070375D" w:rsidRPr="00787889" w:rsidRDefault="0070375D" w:rsidP="004B53CA">
      <w:r w:rsidRPr="00637216">
        <w:t>Revenue received from p</w:t>
      </w:r>
      <w:r>
        <w:t>ublic transport fares is used towards funding</w:t>
      </w:r>
      <w:r w:rsidRPr="00637216">
        <w:t xml:space="preserve"> contractual arrangements with public transport operators and </w:t>
      </w:r>
      <w:r>
        <w:t>other transport projects</w:t>
      </w:r>
      <w:r w:rsidRPr="00637216">
        <w:t>. There is a risk that public transport patronage and fare revenue may vary from projected levels with a resulting impact on the budget.</w:t>
      </w:r>
      <w:r>
        <w:fldChar w:fldCharType="begin"/>
      </w:r>
      <w:r>
        <w:instrText xml:space="preserve"> XE "</w:instrText>
      </w:r>
      <w:r w:rsidRPr="00957DCE">
        <w:instrText>Revenue:Risks</w:instrText>
      </w:r>
      <w:r>
        <w:instrText xml:space="preserve">" </w:instrText>
      </w:r>
      <w:r>
        <w:fldChar w:fldCharType="end"/>
      </w:r>
    </w:p>
    <w:bookmarkEnd w:id="55"/>
    <w:p w:rsidR="0070375D" w:rsidRPr="00787889" w:rsidRDefault="0070375D" w:rsidP="004B53CA">
      <w:pPr>
        <w:pStyle w:val="Heading3"/>
      </w:pPr>
      <w:r w:rsidRPr="00787889">
        <w:lastRenderedPageBreak/>
        <w:t>Expenditure risks</w:t>
      </w:r>
    </w:p>
    <w:p w:rsidR="0070375D" w:rsidRPr="00787889" w:rsidRDefault="0070375D" w:rsidP="004B53CA">
      <w:r w:rsidRPr="00787889">
        <w:t xml:space="preserve">Employee expenses are the largest expense incurred by the State. Major enterprise bargaining agreements are a significant driver of this expense. If the related costs above the guideline rate are not offset by genuine productivity gains, this will increase expenditure. </w:t>
      </w:r>
    </w:p>
    <w:p w:rsidR="0070375D" w:rsidRPr="00787889" w:rsidRDefault="0070375D" w:rsidP="004B53CA">
      <w:r w:rsidRPr="00787889">
        <w:t>Another key risk is growth in demand for government services which may exceed current projections, for example, as a result of higher population growth or expenditure in response to unforeseen events such as natural disasters, including bushfires and floods.</w:t>
      </w:r>
    </w:p>
    <w:p w:rsidR="0070375D" w:rsidRPr="00787889" w:rsidRDefault="0070375D" w:rsidP="004B53CA">
      <w:r w:rsidRPr="00787889">
        <w:t xml:space="preserve">The </w:t>
      </w:r>
      <w:r w:rsidRPr="00787889">
        <w:rPr>
          <w:i/>
        </w:rPr>
        <w:t>2013</w:t>
      </w:r>
      <w:r w:rsidR="00276239">
        <w:rPr>
          <w:i/>
        </w:rPr>
        <w:noBreakHyphen/>
      </w:r>
      <w:r w:rsidRPr="00787889">
        <w:rPr>
          <w:i/>
        </w:rPr>
        <w:t xml:space="preserve">14 Budget </w:t>
      </w:r>
      <w:r w:rsidRPr="00787889">
        <w:t>includes a contingency provision to mitigate the impact of expenditure risks which may be realised during the budget year or over the forward estimates period. The contingency provision also includes a general allowance for likely growth in Victoria</w:t>
      </w:r>
      <w:r w:rsidR="00276239">
        <w:t>’</w:t>
      </w:r>
      <w:r w:rsidRPr="00787889">
        <w:t xml:space="preserve">s population, and consequent derived demand for government services. Realised expenditure risks will affect total expenditure and the annual budget position to the extent they exceed the contingency provision factored into the estimates. The aggregate level of operating contingency provision is shown in Note 12 of </w:t>
      </w:r>
      <w:r w:rsidRPr="00563F91">
        <w:t>Budget Paper</w:t>
      </w:r>
      <w:r>
        <w:t xml:space="preserve"> No. </w:t>
      </w:r>
      <w:r w:rsidRPr="00563F91">
        <w:t xml:space="preserve">5, Chapter 1 </w:t>
      </w:r>
      <w:r w:rsidRPr="00563F91">
        <w:rPr>
          <w:i/>
        </w:rPr>
        <w:t xml:space="preserve">Estimated financial statements </w:t>
      </w:r>
      <w:r>
        <w:rPr>
          <w:i/>
        </w:rPr>
        <w:t>for the general government sector</w:t>
      </w:r>
      <w:r>
        <w:t>.</w:t>
      </w:r>
    </w:p>
    <w:p w:rsidR="0070375D" w:rsidRPr="00787889" w:rsidRDefault="0070375D" w:rsidP="00F27881">
      <w:r w:rsidRPr="00787889">
        <w:t>The forward estimates also include an unallocated capital provision to provide capacity for future asset investment requirements. Given the size and complexity of the capital program, there are likely to be variations in actual costs (compared with budgets) for individual asset investment projects. However, the budget and forward estimates assume that capital cost pressures are managed within existing financial estimates. Management of capital cost pressures may occur by:</w:t>
      </w:r>
    </w:p>
    <w:p w:rsidR="0070375D" w:rsidRPr="00787889" w:rsidRDefault="0070375D" w:rsidP="00F27881">
      <w:pPr>
        <w:pStyle w:val="BulletText"/>
      </w:pPr>
      <w:r w:rsidRPr="00096A4C">
        <w:t>reallocating</w:t>
      </w:r>
      <w:r w:rsidRPr="00787889">
        <w:t xml:space="preserve"> existing departmental resources within departments</w:t>
      </w:r>
      <w:r w:rsidR="00276239">
        <w:t>’</w:t>
      </w:r>
      <w:r w:rsidRPr="00787889">
        <w:t xml:space="preserve"> global capital budgets (reflecting the likelihood that cost overruns on some projects will be offset by cost underruns in other areas); or</w:t>
      </w:r>
    </w:p>
    <w:p w:rsidR="0070375D" w:rsidRPr="00787889" w:rsidRDefault="0070375D" w:rsidP="004B53CA">
      <w:pPr>
        <w:pStyle w:val="BulletText"/>
      </w:pPr>
      <w:r w:rsidRPr="00787889">
        <w:t>re</w:t>
      </w:r>
      <w:r w:rsidR="00276239">
        <w:noBreakHyphen/>
      </w:r>
      <w:r w:rsidRPr="00787889">
        <w:t>scoping projects to fit within funding parameters; or</w:t>
      </w:r>
    </w:p>
    <w:p w:rsidR="0070375D" w:rsidRPr="00787889" w:rsidRDefault="0070375D" w:rsidP="004B53CA">
      <w:pPr>
        <w:pStyle w:val="BulletText"/>
      </w:pPr>
      <w:r w:rsidRPr="00787889">
        <w:t>funding projects from the unallocated capital funding set aside in the forward estimates.</w:t>
      </w:r>
    </w:p>
    <w:p w:rsidR="0070375D" w:rsidRPr="00787889" w:rsidRDefault="0070375D" w:rsidP="00F27881">
      <w:pPr>
        <w:pStyle w:val="Heading2"/>
      </w:pPr>
      <w:r w:rsidRPr="00787889">
        <w:t xml:space="preserve">Specific </w:t>
      </w:r>
      <w:r w:rsidRPr="00F27881">
        <w:t>fiscal</w:t>
      </w:r>
      <w:r w:rsidRPr="00787889">
        <w:t xml:space="preserve"> risks</w:t>
      </w:r>
    </w:p>
    <w:p w:rsidR="0070375D" w:rsidRPr="00D32D80" w:rsidRDefault="0070375D" w:rsidP="00F27881">
      <w:pPr>
        <w:pStyle w:val="Heading3"/>
      </w:pPr>
      <w:r w:rsidRPr="00D32D80">
        <w:t xml:space="preserve">Review of funding for schooling </w:t>
      </w:r>
    </w:p>
    <w:p w:rsidR="0070375D" w:rsidRPr="00D32D80" w:rsidRDefault="0070375D" w:rsidP="00F27881">
      <w:pPr>
        <w:rPr>
          <w:lang w:eastAsia="en-AU"/>
        </w:rPr>
      </w:pPr>
      <w:r w:rsidRPr="00D32D80">
        <w:rPr>
          <w:lang w:eastAsia="en-AU"/>
        </w:rPr>
        <w:t>The Commonwealth Government has responded to its review of school funding (the Gonski Report). It is proposing a national school funding approach based on a national per student funding level (a national resource standard) and additional funding for disadvantaged students. To facilitate this reform, the Commonwealth has proposed an injection of funding for schools of $14.5</w:t>
      </w:r>
      <w:r>
        <w:rPr>
          <w:lang w:eastAsia="en-AU"/>
        </w:rPr>
        <w:t> billion</w:t>
      </w:r>
      <w:r w:rsidRPr="00D32D80">
        <w:rPr>
          <w:lang w:eastAsia="en-AU"/>
        </w:rPr>
        <w:t xml:space="preserve"> over the next six years with costs being shared between the Commonwealth and</w:t>
      </w:r>
      <w:r>
        <w:rPr>
          <w:lang w:eastAsia="en-AU"/>
        </w:rPr>
        <w:t xml:space="preserve"> the states. </w:t>
      </w:r>
      <w:r w:rsidRPr="00D32D80">
        <w:rPr>
          <w:lang w:eastAsia="en-AU"/>
        </w:rPr>
        <w:t>Victorian schools would receive $4</w:t>
      </w:r>
      <w:r>
        <w:rPr>
          <w:lang w:eastAsia="en-AU"/>
        </w:rPr>
        <w:t> billion</w:t>
      </w:r>
      <w:r w:rsidRPr="00D32D80">
        <w:rPr>
          <w:lang w:eastAsia="en-AU"/>
        </w:rPr>
        <w:t xml:space="preserve"> of this amount. </w:t>
      </w:r>
    </w:p>
    <w:p w:rsidR="0070375D" w:rsidRDefault="0070375D">
      <w:pPr>
        <w:spacing w:after="0"/>
        <w:rPr>
          <w:lang w:eastAsia="en-AU"/>
        </w:rPr>
      </w:pPr>
      <w:r>
        <w:rPr>
          <w:lang w:eastAsia="en-AU"/>
        </w:rPr>
        <w:br w:type="page"/>
      </w:r>
    </w:p>
    <w:p w:rsidR="0070375D" w:rsidRPr="00D32D80" w:rsidRDefault="0070375D" w:rsidP="00F27881">
      <w:r w:rsidRPr="00D32D80">
        <w:rPr>
          <w:lang w:eastAsia="en-AU"/>
        </w:rPr>
        <w:lastRenderedPageBreak/>
        <w:t>The Commonwealth Government has introduced legislation into parliament to enshrine principles for the yet</w:t>
      </w:r>
      <w:r w:rsidR="00276239">
        <w:rPr>
          <w:lang w:eastAsia="en-AU"/>
        </w:rPr>
        <w:noBreakHyphen/>
      </w:r>
      <w:r w:rsidRPr="00D32D80">
        <w:rPr>
          <w:lang w:eastAsia="en-AU"/>
        </w:rPr>
        <w:t>to</w:t>
      </w:r>
      <w:r w:rsidR="00276239">
        <w:rPr>
          <w:lang w:eastAsia="en-AU"/>
        </w:rPr>
        <w:noBreakHyphen/>
      </w:r>
      <w:r w:rsidRPr="00D32D80">
        <w:rPr>
          <w:lang w:eastAsia="en-AU"/>
        </w:rPr>
        <w:t>be negotiated school funding model, and set a deadline for completion of negotiations of 30 June 2013. Negotiations on school funding arrangements pose significant financial risks for states as the majority funders of schooling.</w:t>
      </w:r>
    </w:p>
    <w:p w:rsidR="0070375D" w:rsidRPr="00787889" w:rsidRDefault="0070375D" w:rsidP="00F27881">
      <w:pPr>
        <w:pStyle w:val="Heading3"/>
      </w:pPr>
      <w:r w:rsidRPr="00787889">
        <w:t>National Disability Insurance Scheme</w:t>
      </w:r>
    </w:p>
    <w:p w:rsidR="0070375D" w:rsidRPr="00787889" w:rsidRDefault="0070375D" w:rsidP="004B53CA">
      <w:r w:rsidRPr="00787889">
        <w:t>The Commonwealth Government has committed to introducing a National Disability Insurance Scheme (NDIS) to support p</w:t>
      </w:r>
      <w:r>
        <w:t xml:space="preserve">eople living with a disability. </w:t>
      </w:r>
      <w:r w:rsidRPr="00787889">
        <w:t xml:space="preserve">It is proposing that the states provide some of the additional funding required for the full NDIS implementation, contrary to </w:t>
      </w:r>
      <w:r>
        <w:t xml:space="preserve">the </w:t>
      </w:r>
      <w:r w:rsidRPr="00787889">
        <w:t>recommend</w:t>
      </w:r>
      <w:r>
        <w:t xml:space="preserve">ations of </w:t>
      </w:r>
      <w:r w:rsidRPr="00787889">
        <w:t xml:space="preserve">the Productivity Commission. </w:t>
      </w:r>
      <w:r w:rsidR="002C5F0D">
        <w:t>Discussions between the states and Commonwealth are continuing regarding appropriate funding arrangements.</w:t>
      </w:r>
    </w:p>
    <w:p w:rsidR="0070375D" w:rsidRPr="00787889" w:rsidRDefault="0070375D" w:rsidP="004B53CA">
      <w:pPr>
        <w:pStyle w:val="Heading3"/>
      </w:pPr>
      <w:r w:rsidRPr="00787889">
        <w:t>National Injury Insurance Scheme</w:t>
      </w:r>
    </w:p>
    <w:p w:rsidR="0070375D" w:rsidRPr="00787889" w:rsidRDefault="0070375D" w:rsidP="004B53CA">
      <w:r w:rsidRPr="00787889">
        <w:t>The Commonwealth Government expects Victoria to fund the total cost of a National Injury Insurance Scheme, to provide support to people who suffer catastrophic injuries. If fully implemented, the Productivity Commission estimated that the National Injury Insurance Scheme could cost Victoria around an additional $145</w:t>
      </w:r>
      <w:r>
        <w:t> million</w:t>
      </w:r>
      <w:r w:rsidRPr="00787889">
        <w:t xml:space="preserve"> each year (in 2010</w:t>
      </w:r>
      <w:r w:rsidR="00276239">
        <w:noBreakHyphen/>
      </w:r>
      <w:r w:rsidRPr="00787889">
        <w:t>11 dollars).</w:t>
      </w:r>
    </w:p>
    <w:p w:rsidR="0070375D" w:rsidRPr="00787889" w:rsidRDefault="0070375D" w:rsidP="004B53CA">
      <w:pPr>
        <w:pStyle w:val="Heading3"/>
      </w:pPr>
      <w:r w:rsidRPr="00787889">
        <w:t>Superannuation contributions</w:t>
      </w:r>
    </w:p>
    <w:p w:rsidR="0070375D" w:rsidRDefault="0070375D" w:rsidP="00E23DD4">
      <w:r w:rsidRPr="00787889">
        <w:t>In March 2012, the Commonwealth Government amended its Superannuation Guarantee (SG) legislation to provide for a series of increases in the rate of compulsory employer contributions. The SG rate will increase from the current rate of 9</w:t>
      </w:r>
      <w:r>
        <w:t> per cent</w:t>
      </w:r>
      <w:r w:rsidRPr="00787889">
        <w:t xml:space="preserve"> to 9.25</w:t>
      </w:r>
      <w:r>
        <w:t> per cent</w:t>
      </w:r>
      <w:r w:rsidRPr="00787889">
        <w:t xml:space="preserve"> from 1 July 2013. A series of further increases will see the SG rate reach 12</w:t>
      </w:r>
      <w:r>
        <w:t> per cent</w:t>
      </w:r>
      <w:r w:rsidRPr="00787889">
        <w:t xml:space="preserve"> from 1 July 2019. </w:t>
      </w:r>
      <w:r>
        <w:t>The Public Sector Workplace Relations Policies (2012) stipulated that in complying with wages policy, all agreed wage outcomes need to take into account employer superannuation guarantee contributions.</w:t>
      </w:r>
    </w:p>
    <w:p w:rsidR="0070375D" w:rsidRPr="00787889" w:rsidRDefault="0070375D" w:rsidP="00E23DD4">
      <w:pPr>
        <w:pStyle w:val="Heading3"/>
      </w:pPr>
      <w:r w:rsidRPr="00787889">
        <w:t>Social and community services sector pay equity case</w:t>
      </w:r>
    </w:p>
    <w:p w:rsidR="0070375D" w:rsidRPr="00787889" w:rsidRDefault="0070375D" w:rsidP="004B53CA">
      <w:r w:rsidRPr="00787889">
        <w:t>Fair Work Australia handed down its decision in the social and community sector equal remuneration case on 1 February 2012. The Victorian Government has committed to fund its share of the wage increase, to the value of $200</w:t>
      </w:r>
      <w:r>
        <w:t> million</w:t>
      </w:r>
      <w:r w:rsidRPr="00787889">
        <w:t>. Supplementation for 2012</w:t>
      </w:r>
      <w:r w:rsidR="00276239">
        <w:noBreakHyphen/>
      </w:r>
      <w:r w:rsidRPr="00787889">
        <w:t xml:space="preserve">13 </w:t>
      </w:r>
      <w:r>
        <w:t>and 2013</w:t>
      </w:r>
      <w:r w:rsidR="00276239">
        <w:noBreakHyphen/>
      </w:r>
      <w:r>
        <w:t xml:space="preserve">14 is being </w:t>
      </w:r>
      <w:r w:rsidRPr="00787889">
        <w:t>provided to affected non</w:t>
      </w:r>
      <w:r w:rsidR="00276239">
        <w:noBreakHyphen/>
      </w:r>
      <w:r>
        <w:t>government organisations</w:t>
      </w:r>
      <w:r w:rsidRPr="00787889">
        <w:t xml:space="preserve"> enabling them to pay their staff in accordance with t</w:t>
      </w:r>
      <w:r>
        <w:t>he Fair Work Australia decision</w:t>
      </w:r>
      <w:r w:rsidRPr="00787889">
        <w:t>.</w:t>
      </w:r>
    </w:p>
    <w:p w:rsidR="0070375D" w:rsidRDefault="0070375D" w:rsidP="004B53CA">
      <w:r w:rsidRPr="00787889">
        <w:t>The Victorian Government is continuing discussions with the Commonwealth Government regarding the Commonwealth</w:t>
      </w:r>
      <w:r w:rsidR="00276239">
        <w:t>’</w:t>
      </w:r>
      <w:r w:rsidRPr="00787889">
        <w:t>s offer.</w:t>
      </w:r>
    </w:p>
    <w:p w:rsidR="0070375D" w:rsidRDefault="0070375D" w:rsidP="004B53CA"/>
    <w:p w:rsidR="0070375D" w:rsidRDefault="0070375D">
      <w:pPr>
        <w:spacing w:after="0"/>
      </w:pPr>
      <w:r>
        <w:br w:type="page"/>
      </w:r>
    </w:p>
    <w:p w:rsidR="0070375D" w:rsidRDefault="0070375D" w:rsidP="00B84E78">
      <w:pPr>
        <w:spacing w:after="0"/>
      </w:pPr>
    </w:p>
    <w:p w:rsidR="0070375D" w:rsidRDefault="0070375D" w:rsidP="00497606"/>
    <w:p w:rsidR="0070375D" w:rsidRDefault="0070375D" w:rsidP="009B7F27">
      <w:pPr>
        <w:sectPr w:rsidR="0070375D" w:rsidSect="004816CA">
          <w:footerReference w:type="even" r:id="rId38"/>
          <w:footerReference w:type="default" r:id="rId39"/>
          <w:type w:val="oddPage"/>
          <w:pgSz w:w="9979" w:h="14170" w:code="34"/>
          <w:pgMar w:top="1138" w:right="1138" w:bottom="1138" w:left="1138" w:header="720" w:footer="720" w:gutter="0"/>
          <w:cols w:space="708"/>
          <w:docGrid w:linePitch="360"/>
        </w:sectPr>
      </w:pPr>
    </w:p>
    <w:p w:rsidR="0070375D" w:rsidRDefault="0070375D" w:rsidP="00E151EA">
      <w:pPr>
        <w:pStyle w:val="ChapterHeading"/>
      </w:pPr>
      <w:bookmarkStart w:id="56" w:name="_Toc355372030"/>
      <w:r>
        <w:lastRenderedPageBreak/>
        <w:t>Chapter 5 – Position and outlook of the broader public sector</w:t>
      </w:r>
      <w:bookmarkEnd w:id="56"/>
    </w:p>
    <w:p w:rsidR="0070375D" w:rsidRPr="003449F7" w:rsidRDefault="0070375D" w:rsidP="003449F7">
      <w:pPr>
        <w:pStyle w:val="HighlightBoxBullet"/>
      </w:pPr>
      <w:bookmarkStart w:id="57" w:name="BP2Ch5NonFinPub"/>
      <w:r>
        <w:t>The non</w:t>
      </w:r>
      <w:r w:rsidR="00276239">
        <w:noBreakHyphen/>
      </w:r>
      <w:r w:rsidRPr="003449F7">
        <w:t>financial public sector (NFPS) is projected to generate improving operating results across the budget and forward estimates period, returning to operating surplus by 2015</w:t>
      </w:r>
      <w:r w:rsidR="00276239">
        <w:noBreakHyphen/>
      </w:r>
      <w:r w:rsidRPr="003449F7">
        <w:t>16, driven by improved performances from the general government and public non</w:t>
      </w:r>
      <w:r w:rsidR="00276239">
        <w:noBreakHyphen/>
      </w:r>
      <w:r w:rsidRPr="003449F7">
        <w:t>financial corporation</w:t>
      </w:r>
      <w:r>
        <w:t>s</w:t>
      </w:r>
      <w:r w:rsidRPr="003449F7">
        <w:t xml:space="preserve"> (PNFC) sectors.</w:t>
      </w:r>
    </w:p>
    <w:p w:rsidR="0070375D" w:rsidRDefault="0070375D" w:rsidP="00C964E7">
      <w:pPr>
        <w:pStyle w:val="HighlightBoxBullet"/>
      </w:pPr>
      <w:r>
        <w:t>The NFPS capital expenditure requirements are expected to be funded from operating cash flow surpluses, rather than debt by 2015</w:t>
      </w:r>
      <w:r w:rsidR="00276239">
        <w:noBreakHyphen/>
      </w:r>
      <w:r>
        <w:t xml:space="preserve">16. This will eliminate the need for new </w:t>
      </w:r>
      <w:r w:rsidRPr="003449F7">
        <w:t>borrowings across the sector enabling</w:t>
      </w:r>
      <w:r>
        <w:t xml:space="preserve"> debt to remain at sustainable levels.</w:t>
      </w:r>
    </w:p>
    <w:p w:rsidR="0070375D" w:rsidRDefault="0070375D" w:rsidP="00C964E7">
      <w:pPr>
        <w:pStyle w:val="HighlightBoxBullet"/>
      </w:pPr>
      <w:r>
        <w:t>NFPS net debt is projected to peak at 11.1 per cent of gross state product (GSP) in 2014</w:t>
      </w:r>
      <w:r w:rsidR="00276239">
        <w:noBreakHyphen/>
      </w:r>
      <w:r>
        <w:t>15, before falling to 9.</w:t>
      </w:r>
      <w:r w:rsidRPr="007A480F">
        <w:t>6</w:t>
      </w:r>
      <w:r>
        <w:t> per cent in 2016</w:t>
      </w:r>
      <w:r w:rsidR="00276239">
        <w:noBreakHyphen/>
      </w:r>
      <w:r>
        <w:t>17.</w:t>
      </w:r>
    </w:p>
    <w:p w:rsidR="0070375D" w:rsidRDefault="0070375D" w:rsidP="00C964E7">
      <w:pPr>
        <w:pStyle w:val="HighlightBoxBullet"/>
      </w:pPr>
      <w:r>
        <w:t>The public financial corporations (PFC) sector is expected to generate a substantial net surplus in 2012</w:t>
      </w:r>
      <w:r w:rsidR="00276239">
        <w:noBreakHyphen/>
      </w:r>
      <w:r>
        <w:t>13, largely due to improved conditions in financial markets. From 2013</w:t>
      </w:r>
      <w:r w:rsidR="00276239">
        <w:noBreakHyphen/>
      </w:r>
      <w:r>
        <w:t>14 onwards, the PFC sector is expected to generate strong and growing surpluses driven by profits generated by the State</w:t>
      </w:r>
      <w:r w:rsidR="00276239">
        <w:t>’</w:t>
      </w:r>
      <w:r>
        <w:t xml:space="preserve">s insurance agencies. </w:t>
      </w:r>
    </w:p>
    <w:p w:rsidR="0070375D" w:rsidRDefault="0070375D" w:rsidP="00972B54">
      <w:r>
        <w:t>This chapter provides an overview of the activities of the broader public sector, encompassing:</w:t>
      </w:r>
    </w:p>
    <w:p w:rsidR="0070375D" w:rsidRDefault="0070375D" w:rsidP="00972B54">
      <w:pPr>
        <w:pStyle w:val="BulletText"/>
      </w:pPr>
      <w:r>
        <w:t xml:space="preserve">the NFPS, which consolidates the general government sector and the PNFC sector. The general government sector is discussed in Chapter 4 </w:t>
      </w:r>
      <w:r w:rsidRPr="00E14213">
        <w:rPr>
          <w:i/>
        </w:rPr>
        <w:t>Budget position and outlook</w:t>
      </w:r>
      <w:r>
        <w:t>. The PNFC sector comprises a wide range of entities that provide services while meeting commercial principles. The largest PNFCs provide water, housing, transport and port services; and</w:t>
      </w:r>
    </w:p>
    <w:p w:rsidR="0070375D" w:rsidRDefault="0070375D" w:rsidP="00AE6713">
      <w:pPr>
        <w:pStyle w:val="BulletText"/>
      </w:pPr>
      <w:r>
        <w:t xml:space="preserve">the State of Victoria, which consolidates the NFPS and the PFC sectors. PFCs can be </w:t>
      </w:r>
      <w:r w:rsidRPr="00AE6713">
        <w:t>categorised</w:t>
      </w:r>
      <w:r>
        <w:t xml:space="preserve"> into two broad types: those that provide services to the general public and businesses (such as the Victorian WorkCover Authority and Transport Accident Commission), and those that provide financial services, predominantly to other government entities (such as the Victorian Funds Management Corporation and Treasury Corporation of Victoria).</w:t>
      </w:r>
    </w:p>
    <w:p w:rsidR="0070375D" w:rsidRDefault="0070375D">
      <w:pPr>
        <w:spacing w:after="0"/>
        <w:rPr>
          <w:rFonts w:ascii="Calibri" w:hAnsi="Calibri"/>
          <w:b/>
          <w:caps/>
          <w:sz w:val="26"/>
          <w:szCs w:val="22"/>
        </w:rPr>
      </w:pPr>
      <w:r>
        <w:br w:type="page"/>
      </w:r>
    </w:p>
    <w:p w:rsidR="0070375D" w:rsidRDefault="0070375D" w:rsidP="00D66C70">
      <w:pPr>
        <w:pStyle w:val="Heading1"/>
      </w:pPr>
      <w:bookmarkStart w:id="58" w:name="_Toc355372031"/>
      <w:r w:rsidRPr="004816CA">
        <w:lastRenderedPageBreak/>
        <w:t>Summary</w:t>
      </w:r>
      <w:r>
        <w:t xml:space="preserve"> operating results – non</w:t>
      </w:r>
      <w:r w:rsidR="00276239">
        <w:noBreakHyphen/>
      </w:r>
      <w:r>
        <w:t>financial public sector</w:t>
      </w:r>
      <w:bookmarkEnd w:id="58"/>
    </w:p>
    <w:p w:rsidR="0070375D" w:rsidRDefault="0070375D" w:rsidP="000F7709">
      <w:pPr>
        <w:pStyle w:val="Chartheading"/>
      </w:pPr>
      <w:r>
        <w:t>Table 5.1:</w:t>
      </w:r>
      <w:r>
        <w:tab/>
        <w:t>Summary operating statement for the non</w:t>
      </w:r>
      <w:r w:rsidR="00276239">
        <w:noBreakHyphen/>
      </w:r>
      <w:r>
        <w:t>financial public sector</w:t>
      </w:r>
      <w:r w:rsidRPr="000F7709">
        <w:rPr>
          <w:vertAlign w:val="superscript"/>
        </w:rPr>
        <w:t>(a)</w:t>
      </w:r>
      <w:r w:rsidRPr="00FC5BEE">
        <w:rPr>
          <w:vertAlign w:val="superscript"/>
        </w:rPr>
        <w:t xml:space="preserve"> </w:t>
      </w:r>
      <w:r>
        <w:rPr>
          <w:vertAlign w:val="superscript"/>
        </w:rPr>
        <w:t>(b</w:t>
      </w:r>
      <w:r w:rsidRPr="000F7709">
        <w:rPr>
          <w:vertAlign w:val="superscript"/>
        </w:rPr>
        <w:t>)</w:t>
      </w:r>
    </w:p>
    <w:p w:rsidR="0070375D" w:rsidRPr="00761CB2" w:rsidRDefault="0070375D" w:rsidP="00761CB2">
      <w:pPr>
        <w:pStyle w:val="million"/>
      </w:pPr>
      <w:r w:rsidRPr="00D66C70">
        <w:t>($</w:t>
      </w: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444"/>
        <w:gridCol w:w="18"/>
        <w:gridCol w:w="162"/>
        <w:gridCol w:w="198"/>
        <w:gridCol w:w="660"/>
        <w:gridCol w:w="859"/>
        <w:gridCol w:w="859"/>
        <w:gridCol w:w="858"/>
        <w:gridCol w:w="859"/>
        <w:gridCol w:w="859"/>
      </w:tblGrid>
      <w:tr w:rsidR="0070375D" w:rsidRPr="00761CB2" w:rsidTr="00761CB2">
        <w:tc>
          <w:tcPr>
            <w:tcW w:w="2624" w:type="dxa"/>
            <w:gridSpan w:val="3"/>
            <w:tcBorders>
              <w:top w:val="single" w:sz="4" w:space="0" w:color="auto"/>
              <w:left w:val="single" w:sz="4" w:space="0" w:color="auto"/>
              <w:bottom w:val="nil"/>
              <w:right w:val="nil"/>
            </w:tcBorders>
            <w:shd w:val="clear" w:color="auto" w:fill="000000"/>
          </w:tcPr>
          <w:p w:rsidR="0070375D" w:rsidRPr="00761CB2" w:rsidRDefault="0070375D" w:rsidP="00761CB2">
            <w:pPr>
              <w:pStyle w:val="Tabletext"/>
              <w:rPr>
                <w:lang w:eastAsia="en-AU"/>
              </w:rPr>
            </w:pPr>
            <w:r w:rsidRPr="00761CB2">
              <w:rPr>
                <w:lang w:eastAsia="en-AU"/>
              </w:rPr>
              <w:t xml:space="preserve">       </w:t>
            </w:r>
          </w:p>
        </w:tc>
        <w:tc>
          <w:tcPr>
            <w:tcW w:w="858" w:type="dxa"/>
            <w:gridSpan w:val="2"/>
            <w:tcBorders>
              <w:top w:val="single" w:sz="4" w:space="0" w:color="auto"/>
              <w:left w:val="nil"/>
              <w:bottom w:val="nil"/>
              <w:right w:val="nil"/>
            </w:tcBorders>
            <w:shd w:val="clear" w:color="auto" w:fill="000000"/>
          </w:tcPr>
          <w:p w:rsidR="0070375D" w:rsidRPr="00761CB2" w:rsidRDefault="0070375D" w:rsidP="00761CB2">
            <w:pPr>
              <w:pStyle w:val="Tabletextheading"/>
              <w:rPr>
                <w:lang w:eastAsia="en-AU"/>
              </w:rPr>
            </w:pPr>
            <w:r w:rsidRPr="00761CB2">
              <w:rPr>
                <w:lang w:eastAsia="en-AU"/>
              </w:rPr>
              <w:t>2011</w:t>
            </w:r>
            <w:r w:rsidR="00276239">
              <w:rPr>
                <w:lang w:eastAsia="en-AU"/>
              </w:rPr>
              <w:noBreakHyphen/>
            </w:r>
            <w:r w:rsidRPr="00761CB2">
              <w:rPr>
                <w:lang w:eastAsia="en-AU"/>
              </w:rPr>
              <w:t>12</w:t>
            </w:r>
          </w:p>
        </w:tc>
        <w:tc>
          <w:tcPr>
            <w:tcW w:w="859" w:type="dxa"/>
            <w:tcBorders>
              <w:top w:val="single" w:sz="4" w:space="0" w:color="auto"/>
              <w:left w:val="nil"/>
              <w:bottom w:val="nil"/>
              <w:right w:val="nil"/>
            </w:tcBorders>
            <w:shd w:val="clear" w:color="auto" w:fill="000000"/>
          </w:tcPr>
          <w:p w:rsidR="0070375D" w:rsidRPr="00761CB2" w:rsidRDefault="0070375D" w:rsidP="00761CB2">
            <w:pPr>
              <w:pStyle w:val="Tabletextheading"/>
              <w:rPr>
                <w:lang w:eastAsia="en-AU"/>
              </w:rPr>
            </w:pPr>
            <w:r w:rsidRPr="00761CB2">
              <w:rPr>
                <w:lang w:eastAsia="en-AU"/>
              </w:rPr>
              <w:t>2012</w:t>
            </w:r>
            <w:r w:rsidR="00276239">
              <w:rPr>
                <w:lang w:eastAsia="en-AU"/>
              </w:rPr>
              <w:noBreakHyphen/>
            </w:r>
            <w:r w:rsidRPr="00761CB2">
              <w:rPr>
                <w:lang w:eastAsia="en-AU"/>
              </w:rPr>
              <w:t>13</w:t>
            </w:r>
          </w:p>
        </w:tc>
        <w:tc>
          <w:tcPr>
            <w:tcW w:w="859" w:type="dxa"/>
            <w:tcBorders>
              <w:top w:val="single" w:sz="4" w:space="0" w:color="auto"/>
              <w:left w:val="nil"/>
              <w:bottom w:val="nil"/>
              <w:right w:val="nil"/>
            </w:tcBorders>
            <w:shd w:val="clear" w:color="auto" w:fill="000000"/>
          </w:tcPr>
          <w:p w:rsidR="0070375D" w:rsidRPr="00761CB2" w:rsidRDefault="0070375D" w:rsidP="00761CB2">
            <w:pPr>
              <w:pStyle w:val="Tabletextheading"/>
              <w:rPr>
                <w:lang w:eastAsia="en-AU"/>
              </w:rPr>
            </w:pPr>
            <w:r w:rsidRPr="00761CB2">
              <w:rPr>
                <w:lang w:eastAsia="en-AU"/>
              </w:rPr>
              <w:t>2013</w:t>
            </w:r>
            <w:r w:rsidR="00276239">
              <w:rPr>
                <w:lang w:eastAsia="en-AU"/>
              </w:rPr>
              <w:noBreakHyphen/>
            </w:r>
            <w:r w:rsidRPr="00761CB2">
              <w:rPr>
                <w:lang w:eastAsia="en-AU"/>
              </w:rPr>
              <w:t>14</w:t>
            </w:r>
          </w:p>
        </w:tc>
        <w:tc>
          <w:tcPr>
            <w:tcW w:w="858" w:type="dxa"/>
            <w:tcBorders>
              <w:top w:val="single" w:sz="4" w:space="0" w:color="auto"/>
              <w:left w:val="nil"/>
              <w:bottom w:val="nil"/>
              <w:right w:val="nil"/>
            </w:tcBorders>
            <w:shd w:val="clear" w:color="auto" w:fill="000000"/>
          </w:tcPr>
          <w:p w:rsidR="0070375D" w:rsidRPr="00761CB2" w:rsidRDefault="0070375D" w:rsidP="00761CB2">
            <w:pPr>
              <w:pStyle w:val="Tabletextheading"/>
              <w:rPr>
                <w:lang w:eastAsia="en-AU"/>
              </w:rPr>
            </w:pPr>
            <w:r w:rsidRPr="00761CB2">
              <w:rPr>
                <w:lang w:eastAsia="en-AU"/>
              </w:rPr>
              <w:t>2014</w:t>
            </w:r>
            <w:r w:rsidR="00276239">
              <w:rPr>
                <w:lang w:eastAsia="en-AU"/>
              </w:rPr>
              <w:noBreakHyphen/>
            </w:r>
            <w:r w:rsidRPr="00761CB2">
              <w:rPr>
                <w:lang w:eastAsia="en-AU"/>
              </w:rPr>
              <w:t>15</w:t>
            </w:r>
          </w:p>
        </w:tc>
        <w:tc>
          <w:tcPr>
            <w:tcW w:w="859" w:type="dxa"/>
            <w:tcBorders>
              <w:top w:val="single" w:sz="4" w:space="0" w:color="auto"/>
              <w:left w:val="nil"/>
              <w:bottom w:val="nil"/>
              <w:right w:val="nil"/>
            </w:tcBorders>
            <w:shd w:val="clear" w:color="auto" w:fill="000000"/>
          </w:tcPr>
          <w:p w:rsidR="0070375D" w:rsidRPr="00761CB2" w:rsidRDefault="0070375D" w:rsidP="00761CB2">
            <w:pPr>
              <w:pStyle w:val="Tabletextheading"/>
              <w:rPr>
                <w:lang w:eastAsia="en-AU"/>
              </w:rPr>
            </w:pPr>
            <w:r w:rsidRPr="00761CB2">
              <w:rPr>
                <w:lang w:eastAsia="en-AU"/>
              </w:rPr>
              <w:t>2015</w:t>
            </w:r>
            <w:r w:rsidR="00276239">
              <w:rPr>
                <w:lang w:eastAsia="en-AU"/>
              </w:rPr>
              <w:noBreakHyphen/>
            </w:r>
            <w:r w:rsidRPr="00761CB2">
              <w:rPr>
                <w:lang w:eastAsia="en-AU"/>
              </w:rPr>
              <w:t>16</w:t>
            </w:r>
          </w:p>
        </w:tc>
        <w:tc>
          <w:tcPr>
            <w:tcW w:w="859" w:type="dxa"/>
            <w:tcBorders>
              <w:top w:val="single" w:sz="4" w:space="0" w:color="auto"/>
              <w:left w:val="nil"/>
              <w:bottom w:val="nil"/>
              <w:right w:val="single" w:sz="4" w:space="0" w:color="auto"/>
            </w:tcBorders>
            <w:shd w:val="clear" w:color="auto" w:fill="000000"/>
          </w:tcPr>
          <w:p w:rsidR="0070375D" w:rsidRPr="00761CB2" w:rsidRDefault="0070375D" w:rsidP="00761CB2">
            <w:pPr>
              <w:pStyle w:val="Tabletextheading"/>
              <w:rPr>
                <w:lang w:eastAsia="en-AU"/>
              </w:rPr>
            </w:pPr>
            <w:r w:rsidRPr="00761CB2">
              <w:rPr>
                <w:lang w:eastAsia="en-AU"/>
              </w:rPr>
              <w:t>2016</w:t>
            </w:r>
            <w:r w:rsidR="00276239">
              <w:rPr>
                <w:lang w:eastAsia="en-AU"/>
              </w:rPr>
              <w:noBreakHyphen/>
            </w:r>
            <w:r w:rsidRPr="00761CB2">
              <w:rPr>
                <w:lang w:eastAsia="en-AU"/>
              </w:rPr>
              <w:t>17</w:t>
            </w:r>
          </w:p>
        </w:tc>
      </w:tr>
      <w:tr w:rsidR="0070375D" w:rsidRPr="00761CB2" w:rsidTr="00761CB2">
        <w:tc>
          <w:tcPr>
            <w:tcW w:w="2624" w:type="dxa"/>
            <w:gridSpan w:val="3"/>
            <w:tcBorders>
              <w:top w:val="nil"/>
              <w:left w:val="single" w:sz="4" w:space="0" w:color="auto"/>
              <w:bottom w:val="single" w:sz="4" w:space="0" w:color="auto"/>
              <w:right w:val="nil"/>
            </w:tcBorders>
            <w:shd w:val="clear" w:color="auto" w:fill="000000"/>
          </w:tcPr>
          <w:p w:rsidR="0070375D" w:rsidRPr="00761CB2" w:rsidRDefault="0070375D" w:rsidP="00761CB2">
            <w:pPr>
              <w:pStyle w:val="Tabletext"/>
              <w:rPr>
                <w:lang w:eastAsia="en-AU"/>
              </w:rPr>
            </w:pPr>
            <w:r w:rsidRPr="00761CB2">
              <w:rPr>
                <w:lang w:eastAsia="en-AU"/>
              </w:rPr>
              <w:t xml:space="preserve">          </w:t>
            </w:r>
          </w:p>
        </w:tc>
        <w:tc>
          <w:tcPr>
            <w:tcW w:w="858" w:type="dxa"/>
            <w:gridSpan w:val="2"/>
            <w:tcBorders>
              <w:top w:val="nil"/>
              <w:left w:val="nil"/>
              <w:bottom w:val="single" w:sz="4" w:space="0" w:color="auto"/>
              <w:right w:val="nil"/>
            </w:tcBorders>
            <w:shd w:val="clear" w:color="auto" w:fill="000000"/>
          </w:tcPr>
          <w:p w:rsidR="0070375D" w:rsidRPr="00761CB2" w:rsidRDefault="0070375D" w:rsidP="00761CB2">
            <w:pPr>
              <w:pStyle w:val="Tabletextheading"/>
              <w:rPr>
                <w:lang w:eastAsia="en-AU"/>
              </w:rPr>
            </w:pPr>
            <w:r w:rsidRPr="00761CB2">
              <w:rPr>
                <w:lang w:eastAsia="en-AU"/>
              </w:rPr>
              <w:t>Actual</w:t>
            </w:r>
          </w:p>
        </w:tc>
        <w:tc>
          <w:tcPr>
            <w:tcW w:w="859" w:type="dxa"/>
            <w:tcBorders>
              <w:top w:val="nil"/>
              <w:left w:val="nil"/>
              <w:bottom w:val="single" w:sz="4" w:space="0" w:color="auto"/>
              <w:right w:val="nil"/>
            </w:tcBorders>
            <w:shd w:val="clear" w:color="auto" w:fill="000000"/>
          </w:tcPr>
          <w:p w:rsidR="0070375D" w:rsidRPr="00761CB2" w:rsidRDefault="0070375D" w:rsidP="00761CB2">
            <w:pPr>
              <w:pStyle w:val="Tabletextheading"/>
              <w:rPr>
                <w:lang w:eastAsia="en-AU"/>
              </w:rPr>
            </w:pPr>
            <w:r w:rsidRPr="00761CB2">
              <w:rPr>
                <w:lang w:eastAsia="en-AU"/>
              </w:rPr>
              <w:t>Revised</w:t>
            </w:r>
          </w:p>
        </w:tc>
        <w:tc>
          <w:tcPr>
            <w:tcW w:w="859" w:type="dxa"/>
            <w:tcBorders>
              <w:top w:val="nil"/>
              <w:left w:val="nil"/>
              <w:bottom w:val="single" w:sz="4" w:space="0" w:color="auto"/>
              <w:right w:val="nil"/>
            </w:tcBorders>
            <w:shd w:val="clear" w:color="auto" w:fill="000000"/>
          </w:tcPr>
          <w:p w:rsidR="0070375D" w:rsidRPr="00761CB2" w:rsidRDefault="0070375D" w:rsidP="00761CB2">
            <w:pPr>
              <w:pStyle w:val="Tabletextheading"/>
              <w:rPr>
                <w:lang w:eastAsia="en-AU"/>
              </w:rPr>
            </w:pPr>
            <w:r w:rsidRPr="00761CB2">
              <w:rPr>
                <w:lang w:eastAsia="en-AU"/>
              </w:rPr>
              <w:t>Budget</w:t>
            </w:r>
          </w:p>
        </w:tc>
        <w:tc>
          <w:tcPr>
            <w:tcW w:w="858" w:type="dxa"/>
            <w:tcBorders>
              <w:top w:val="nil"/>
              <w:left w:val="nil"/>
              <w:bottom w:val="single" w:sz="4" w:space="0" w:color="auto"/>
              <w:right w:val="nil"/>
            </w:tcBorders>
            <w:shd w:val="clear" w:color="auto" w:fill="000000"/>
          </w:tcPr>
          <w:p w:rsidR="0070375D" w:rsidRPr="00761CB2" w:rsidRDefault="0070375D" w:rsidP="00761CB2">
            <w:pPr>
              <w:pStyle w:val="Tabletextheading"/>
              <w:rPr>
                <w:lang w:eastAsia="en-AU"/>
              </w:rPr>
            </w:pPr>
            <w:r w:rsidRPr="00761CB2">
              <w:rPr>
                <w:lang w:eastAsia="en-AU"/>
              </w:rPr>
              <w:t>Estimate</w:t>
            </w:r>
          </w:p>
        </w:tc>
        <w:tc>
          <w:tcPr>
            <w:tcW w:w="859" w:type="dxa"/>
            <w:tcBorders>
              <w:top w:val="nil"/>
              <w:left w:val="nil"/>
              <w:bottom w:val="single" w:sz="4" w:space="0" w:color="auto"/>
              <w:right w:val="nil"/>
            </w:tcBorders>
            <w:shd w:val="clear" w:color="auto" w:fill="000000"/>
          </w:tcPr>
          <w:p w:rsidR="0070375D" w:rsidRPr="00761CB2" w:rsidRDefault="0070375D" w:rsidP="00761CB2">
            <w:pPr>
              <w:pStyle w:val="Tabletextheading"/>
              <w:rPr>
                <w:lang w:eastAsia="en-AU"/>
              </w:rPr>
            </w:pPr>
            <w:r w:rsidRPr="00761CB2">
              <w:rPr>
                <w:lang w:eastAsia="en-AU"/>
              </w:rPr>
              <w:t>Estimate</w:t>
            </w:r>
          </w:p>
        </w:tc>
        <w:tc>
          <w:tcPr>
            <w:tcW w:w="859" w:type="dxa"/>
            <w:tcBorders>
              <w:top w:val="nil"/>
              <w:left w:val="nil"/>
              <w:bottom w:val="single" w:sz="4" w:space="0" w:color="auto"/>
              <w:right w:val="single" w:sz="4" w:space="0" w:color="auto"/>
            </w:tcBorders>
            <w:shd w:val="clear" w:color="auto" w:fill="000000"/>
          </w:tcPr>
          <w:p w:rsidR="0070375D" w:rsidRPr="00761CB2" w:rsidRDefault="0070375D" w:rsidP="00761CB2">
            <w:pPr>
              <w:pStyle w:val="Tabletextheading"/>
              <w:rPr>
                <w:lang w:eastAsia="en-AU"/>
              </w:rPr>
            </w:pPr>
            <w:r w:rsidRPr="00761CB2">
              <w:rPr>
                <w:lang w:eastAsia="en-AU"/>
              </w:rPr>
              <w:t>Estimate</w:t>
            </w:r>
          </w:p>
        </w:tc>
      </w:tr>
      <w:tr w:rsidR="0070375D" w:rsidRPr="00761CB2" w:rsidTr="00761CB2">
        <w:tc>
          <w:tcPr>
            <w:tcW w:w="2624" w:type="dxa"/>
            <w:gridSpan w:val="3"/>
            <w:tcBorders>
              <w:top w:val="single" w:sz="4" w:space="0" w:color="auto"/>
              <w:left w:val="nil"/>
              <w:bottom w:val="nil"/>
              <w:right w:val="nil"/>
            </w:tcBorders>
          </w:tcPr>
          <w:p w:rsidR="0070375D" w:rsidRPr="00761CB2" w:rsidRDefault="0070375D" w:rsidP="00761CB2">
            <w:pPr>
              <w:pStyle w:val="Tabletext"/>
              <w:rPr>
                <w:b/>
                <w:bCs/>
                <w:color w:val="000000"/>
                <w:lang w:eastAsia="en-AU"/>
              </w:rPr>
            </w:pPr>
            <w:r w:rsidRPr="00761CB2">
              <w:rPr>
                <w:b/>
                <w:bCs/>
                <w:color w:val="000000"/>
                <w:lang w:eastAsia="en-AU"/>
              </w:rPr>
              <w:t>Revenue</w:t>
            </w:r>
          </w:p>
        </w:tc>
        <w:tc>
          <w:tcPr>
            <w:tcW w:w="858" w:type="dxa"/>
            <w:gridSpan w:val="2"/>
            <w:tcBorders>
              <w:top w:val="single" w:sz="4" w:space="0" w:color="auto"/>
              <w:left w:val="nil"/>
              <w:bottom w:val="nil"/>
              <w:right w:val="nil"/>
            </w:tcBorders>
          </w:tcPr>
          <w:p w:rsidR="0070375D" w:rsidRPr="00761CB2" w:rsidRDefault="0070375D" w:rsidP="00761CB2">
            <w:pPr>
              <w:pStyle w:val="TableofFigures"/>
              <w:rPr>
                <w:color w:val="000000"/>
                <w:lang w:eastAsia="en-AU"/>
              </w:rPr>
            </w:pPr>
          </w:p>
        </w:tc>
        <w:tc>
          <w:tcPr>
            <w:tcW w:w="859" w:type="dxa"/>
            <w:tcBorders>
              <w:top w:val="single" w:sz="4" w:space="0" w:color="auto"/>
              <w:left w:val="nil"/>
              <w:bottom w:val="nil"/>
              <w:right w:val="nil"/>
            </w:tcBorders>
          </w:tcPr>
          <w:p w:rsidR="0070375D" w:rsidRPr="00761CB2" w:rsidRDefault="0070375D" w:rsidP="00761CB2">
            <w:pPr>
              <w:pStyle w:val="TableofFigures"/>
              <w:rPr>
                <w:color w:val="000000"/>
                <w:lang w:eastAsia="en-AU"/>
              </w:rPr>
            </w:pPr>
          </w:p>
        </w:tc>
        <w:tc>
          <w:tcPr>
            <w:tcW w:w="859" w:type="dxa"/>
            <w:tcBorders>
              <w:top w:val="single" w:sz="4" w:space="0" w:color="auto"/>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 xml:space="preserve">        </w:t>
            </w:r>
          </w:p>
        </w:tc>
        <w:tc>
          <w:tcPr>
            <w:tcW w:w="858" w:type="dxa"/>
            <w:tcBorders>
              <w:top w:val="single" w:sz="4" w:space="0" w:color="auto"/>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 xml:space="preserve">        </w:t>
            </w:r>
          </w:p>
        </w:tc>
        <w:tc>
          <w:tcPr>
            <w:tcW w:w="859" w:type="dxa"/>
            <w:tcBorders>
              <w:top w:val="single" w:sz="4" w:space="0" w:color="auto"/>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 xml:space="preserve">        </w:t>
            </w:r>
          </w:p>
        </w:tc>
        <w:tc>
          <w:tcPr>
            <w:tcW w:w="859" w:type="dxa"/>
            <w:tcBorders>
              <w:top w:val="single" w:sz="4" w:space="0" w:color="auto"/>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 xml:space="preserve">       </w:t>
            </w:r>
          </w:p>
        </w:tc>
      </w:tr>
      <w:tr w:rsidR="0070375D" w:rsidRPr="00761CB2" w:rsidTr="00761CB2">
        <w:tc>
          <w:tcPr>
            <w:tcW w:w="2624" w:type="dxa"/>
            <w:gridSpan w:val="3"/>
            <w:tcBorders>
              <w:top w:val="nil"/>
              <w:left w:val="nil"/>
              <w:bottom w:val="nil"/>
              <w:right w:val="nil"/>
            </w:tcBorders>
          </w:tcPr>
          <w:p w:rsidR="0070375D" w:rsidRPr="00761CB2" w:rsidRDefault="0070375D" w:rsidP="00761CB2">
            <w:pPr>
              <w:pStyle w:val="Tabletext"/>
              <w:rPr>
                <w:color w:val="000000"/>
                <w:lang w:eastAsia="en-AU"/>
              </w:rPr>
            </w:pPr>
            <w:r w:rsidRPr="00761CB2">
              <w:rPr>
                <w:color w:val="000000"/>
                <w:lang w:eastAsia="en-AU"/>
              </w:rPr>
              <w:t>Taxation revenue</w:t>
            </w:r>
          </w:p>
        </w:tc>
        <w:tc>
          <w:tcPr>
            <w:tcW w:w="858" w:type="dxa"/>
            <w:gridSpan w:val="2"/>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14 789.5</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15 298.6</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16 050.3</w:t>
            </w:r>
          </w:p>
        </w:tc>
        <w:tc>
          <w:tcPr>
            <w:tcW w:w="858"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17 066.0</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17 802.8</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18 730.9</w:t>
            </w:r>
          </w:p>
        </w:tc>
      </w:tr>
      <w:tr w:rsidR="0070375D" w:rsidRPr="00761CB2" w:rsidTr="00761CB2">
        <w:tc>
          <w:tcPr>
            <w:tcW w:w="2624" w:type="dxa"/>
            <w:gridSpan w:val="3"/>
            <w:tcBorders>
              <w:top w:val="nil"/>
              <w:left w:val="nil"/>
              <w:bottom w:val="nil"/>
              <w:right w:val="nil"/>
            </w:tcBorders>
          </w:tcPr>
          <w:p w:rsidR="0070375D" w:rsidRPr="00761CB2" w:rsidRDefault="0070375D" w:rsidP="00761CB2">
            <w:pPr>
              <w:pStyle w:val="Tabletext"/>
              <w:rPr>
                <w:color w:val="000000"/>
                <w:vertAlign w:val="superscript"/>
                <w:lang w:eastAsia="en-AU"/>
              </w:rPr>
            </w:pPr>
            <w:r w:rsidRPr="00761CB2">
              <w:rPr>
                <w:color w:val="000000"/>
                <w:lang w:eastAsia="en-AU"/>
              </w:rPr>
              <w:t xml:space="preserve">Dividends, TER and interest </w:t>
            </w:r>
            <w:r w:rsidRPr="00761CB2">
              <w:rPr>
                <w:color w:val="000000"/>
                <w:vertAlign w:val="superscript"/>
                <w:lang w:eastAsia="en-AU"/>
              </w:rPr>
              <w:t>(c)</w:t>
            </w:r>
          </w:p>
        </w:tc>
        <w:tc>
          <w:tcPr>
            <w:tcW w:w="858" w:type="dxa"/>
            <w:gridSpan w:val="2"/>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 xml:space="preserve"> 985.1</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 xml:space="preserve"> 942.2</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 xml:space="preserve"> 787.7</w:t>
            </w:r>
          </w:p>
        </w:tc>
        <w:tc>
          <w:tcPr>
            <w:tcW w:w="858"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 xml:space="preserve"> 805.2</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 xml:space="preserve"> 839.4</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 xml:space="preserve"> 869.8</w:t>
            </w:r>
          </w:p>
        </w:tc>
      </w:tr>
      <w:tr w:rsidR="0070375D" w:rsidRPr="00761CB2" w:rsidTr="00761CB2">
        <w:tc>
          <w:tcPr>
            <w:tcW w:w="2624" w:type="dxa"/>
            <w:gridSpan w:val="3"/>
            <w:tcBorders>
              <w:top w:val="nil"/>
              <w:left w:val="nil"/>
              <w:bottom w:val="nil"/>
              <w:right w:val="nil"/>
            </w:tcBorders>
          </w:tcPr>
          <w:p w:rsidR="0070375D" w:rsidRPr="00761CB2" w:rsidRDefault="0070375D" w:rsidP="00761CB2">
            <w:pPr>
              <w:pStyle w:val="Tabletext"/>
              <w:rPr>
                <w:color w:val="000000"/>
                <w:lang w:eastAsia="en-AU"/>
              </w:rPr>
            </w:pPr>
            <w:r w:rsidRPr="00761CB2">
              <w:rPr>
                <w:color w:val="000000"/>
                <w:lang w:eastAsia="en-AU"/>
              </w:rPr>
              <w:t>Sales of goods and services</w:t>
            </w:r>
          </w:p>
        </w:tc>
        <w:tc>
          <w:tcPr>
            <w:tcW w:w="858" w:type="dxa"/>
            <w:gridSpan w:val="2"/>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9 626.9</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9 985.4</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11 226.7</w:t>
            </w:r>
          </w:p>
        </w:tc>
        <w:tc>
          <w:tcPr>
            <w:tcW w:w="858"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11 603.7</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12 062.6</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12 390.0</w:t>
            </w:r>
          </w:p>
        </w:tc>
      </w:tr>
      <w:tr w:rsidR="0070375D" w:rsidRPr="00761CB2" w:rsidTr="00761CB2">
        <w:tc>
          <w:tcPr>
            <w:tcW w:w="2624" w:type="dxa"/>
            <w:gridSpan w:val="3"/>
            <w:tcBorders>
              <w:top w:val="nil"/>
              <w:left w:val="nil"/>
              <w:bottom w:val="nil"/>
              <w:right w:val="nil"/>
            </w:tcBorders>
          </w:tcPr>
          <w:p w:rsidR="0070375D" w:rsidRPr="00761CB2" w:rsidRDefault="0070375D" w:rsidP="00761CB2">
            <w:pPr>
              <w:pStyle w:val="Tabletext"/>
              <w:rPr>
                <w:color w:val="000000"/>
                <w:lang w:eastAsia="en-AU"/>
              </w:rPr>
            </w:pPr>
            <w:r w:rsidRPr="00761CB2">
              <w:rPr>
                <w:color w:val="000000"/>
                <w:lang w:eastAsia="en-AU"/>
              </w:rPr>
              <w:t>Grants</w:t>
            </w:r>
          </w:p>
        </w:tc>
        <w:tc>
          <w:tcPr>
            <w:tcW w:w="858" w:type="dxa"/>
            <w:gridSpan w:val="2"/>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22 559.4</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21 688.7</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23 290.6</w:t>
            </w:r>
          </w:p>
        </w:tc>
        <w:tc>
          <w:tcPr>
            <w:tcW w:w="858"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23 896.6</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25 168.2</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26 202.9</w:t>
            </w:r>
          </w:p>
        </w:tc>
      </w:tr>
      <w:tr w:rsidR="0070375D" w:rsidRPr="00761CB2" w:rsidTr="00761CB2">
        <w:tc>
          <w:tcPr>
            <w:tcW w:w="2624" w:type="dxa"/>
            <w:gridSpan w:val="3"/>
            <w:tcBorders>
              <w:top w:val="nil"/>
              <w:left w:val="nil"/>
              <w:bottom w:val="nil"/>
              <w:right w:val="nil"/>
            </w:tcBorders>
          </w:tcPr>
          <w:p w:rsidR="0070375D" w:rsidRPr="00761CB2" w:rsidRDefault="0070375D" w:rsidP="00761CB2">
            <w:pPr>
              <w:pStyle w:val="Tabletext"/>
              <w:rPr>
                <w:color w:val="000000"/>
                <w:lang w:eastAsia="en-AU"/>
              </w:rPr>
            </w:pPr>
            <w:r w:rsidRPr="00761CB2">
              <w:rPr>
                <w:color w:val="000000"/>
                <w:lang w:eastAsia="en-AU"/>
              </w:rPr>
              <w:t>Other revenue</w:t>
            </w:r>
          </w:p>
        </w:tc>
        <w:tc>
          <w:tcPr>
            <w:tcW w:w="858" w:type="dxa"/>
            <w:gridSpan w:val="2"/>
            <w:tcBorders>
              <w:top w:val="nil"/>
              <w:left w:val="nil"/>
              <w:bottom w:val="single" w:sz="6" w:space="0" w:color="auto"/>
              <w:right w:val="nil"/>
            </w:tcBorders>
          </w:tcPr>
          <w:p w:rsidR="0070375D" w:rsidRPr="00761CB2" w:rsidRDefault="0070375D" w:rsidP="00761CB2">
            <w:pPr>
              <w:pStyle w:val="TableofFigures"/>
              <w:rPr>
                <w:color w:val="000000"/>
                <w:lang w:eastAsia="en-AU"/>
              </w:rPr>
            </w:pPr>
            <w:r w:rsidRPr="00761CB2">
              <w:rPr>
                <w:color w:val="000000"/>
                <w:lang w:eastAsia="en-AU"/>
              </w:rPr>
              <w:t>2 788.2</w:t>
            </w:r>
          </w:p>
        </w:tc>
        <w:tc>
          <w:tcPr>
            <w:tcW w:w="859" w:type="dxa"/>
            <w:tcBorders>
              <w:top w:val="nil"/>
              <w:left w:val="nil"/>
              <w:bottom w:val="single" w:sz="6" w:space="0" w:color="auto"/>
              <w:right w:val="nil"/>
            </w:tcBorders>
          </w:tcPr>
          <w:p w:rsidR="0070375D" w:rsidRPr="00761CB2" w:rsidRDefault="0070375D" w:rsidP="00761CB2">
            <w:pPr>
              <w:pStyle w:val="TableofFigures"/>
              <w:rPr>
                <w:color w:val="000000"/>
                <w:lang w:eastAsia="en-AU"/>
              </w:rPr>
            </w:pPr>
            <w:r w:rsidRPr="00761CB2">
              <w:rPr>
                <w:color w:val="000000"/>
                <w:lang w:eastAsia="en-AU"/>
              </w:rPr>
              <w:t>2 350.8</w:t>
            </w:r>
          </w:p>
        </w:tc>
        <w:tc>
          <w:tcPr>
            <w:tcW w:w="859" w:type="dxa"/>
            <w:tcBorders>
              <w:top w:val="nil"/>
              <w:left w:val="nil"/>
              <w:bottom w:val="single" w:sz="6" w:space="0" w:color="auto"/>
              <w:right w:val="nil"/>
            </w:tcBorders>
          </w:tcPr>
          <w:p w:rsidR="0070375D" w:rsidRPr="00761CB2" w:rsidRDefault="0070375D" w:rsidP="00761CB2">
            <w:pPr>
              <w:pStyle w:val="TableofFigures"/>
              <w:rPr>
                <w:color w:val="000000"/>
                <w:lang w:eastAsia="en-AU"/>
              </w:rPr>
            </w:pPr>
            <w:r w:rsidRPr="00761CB2">
              <w:rPr>
                <w:color w:val="000000"/>
                <w:lang w:eastAsia="en-AU"/>
              </w:rPr>
              <w:t>2 485.6</w:t>
            </w:r>
          </w:p>
        </w:tc>
        <w:tc>
          <w:tcPr>
            <w:tcW w:w="858" w:type="dxa"/>
            <w:tcBorders>
              <w:top w:val="nil"/>
              <w:left w:val="nil"/>
              <w:bottom w:val="single" w:sz="6" w:space="0" w:color="auto"/>
              <w:right w:val="nil"/>
            </w:tcBorders>
          </w:tcPr>
          <w:p w:rsidR="0070375D" w:rsidRPr="00761CB2" w:rsidRDefault="0070375D" w:rsidP="00761CB2">
            <w:pPr>
              <w:pStyle w:val="TableofFigures"/>
              <w:rPr>
                <w:color w:val="000000"/>
                <w:lang w:eastAsia="en-AU"/>
              </w:rPr>
            </w:pPr>
            <w:r w:rsidRPr="00761CB2">
              <w:rPr>
                <w:color w:val="000000"/>
                <w:lang w:eastAsia="en-AU"/>
              </w:rPr>
              <w:t>2 348.7</w:t>
            </w:r>
          </w:p>
        </w:tc>
        <w:tc>
          <w:tcPr>
            <w:tcW w:w="859" w:type="dxa"/>
            <w:tcBorders>
              <w:top w:val="nil"/>
              <w:left w:val="nil"/>
              <w:bottom w:val="single" w:sz="6" w:space="0" w:color="auto"/>
              <w:right w:val="nil"/>
            </w:tcBorders>
          </w:tcPr>
          <w:p w:rsidR="0070375D" w:rsidRPr="00761CB2" w:rsidRDefault="0070375D" w:rsidP="00761CB2">
            <w:pPr>
              <w:pStyle w:val="TableofFigures"/>
              <w:rPr>
                <w:color w:val="000000"/>
                <w:lang w:eastAsia="en-AU"/>
              </w:rPr>
            </w:pPr>
            <w:r w:rsidRPr="00761CB2">
              <w:rPr>
                <w:color w:val="000000"/>
                <w:lang w:eastAsia="en-AU"/>
              </w:rPr>
              <w:t>2 424.2</w:t>
            </w:r>
          </w:p>
        </w:tc>
        <w:tc>
          <w:tcPr>
            <w:tcW w:w="859" w:type="dxa"/>
            <w:tcBorders>
              <w:top w:val="nil"/>
              <w:left w:val="nil"/>
              <w:bottom w:val="single" w:sz="6" w:space="0" w:color="auto"/>
              <w:right w:val="nil"/>
            </w:tcBorders>
          </w:tcPr>
          <w:p w:rsidR="0070375D" w:rsidRPr="00761CB2" w:rsidRDefault="0070375D" w:rsidP="00761CB2">
            <w:pPr>
              <w:pStyle w:val="TableofFigures"/>
              <w:rPr>
                <w:color w:val="000000"/>
                <w:lang w:eastAsia="en-AU"/>
              </w:rPr>
            </w:pPr>
            <w:r w:rsidRPr="00761CB2">
              <w:rPr>
                <w:color w:val="000000"/>
                <w:lang w:eastAsia="en-AU"/>
              </w:rPr>
              <w:t>2 473.6</w:t>
            </w:r>
          </w:p>
        </w:tc>
      </w:tr>
      <w:tr w:rsidR="0070375D" w:rsidRPr="00761CB2" w:rsidTr="00761CB2">
        <w:tc>
          <w:tcPr>
            <w:tcW w:w="2624" w:type="dxa"/>
            <w:gridSpan w:val="3"/>
            <w:tcBorders>
              <w:top w:val="single" w:sz="6" w:space="0" w:color="auto"/>
              <w:left w:val="nil"/>
              <w:bottom w:val="nil"/>
              <w:right w:val="nil"/>
            </w:tcBorders>
          </w:tcPr>
          <w:p w:rsidR="0070375D" w:rsidRPr="00761CB2" w:rsidRDefault="0070375D" w:rsidP="00761CB2">
            <w:pPr>
              <w:pStyle w:val="Tabletext"/>
              <w:rPr>
                <w:b/>
                <w:bCs/>
                <w:color w:val="000000"/>
                <w:lang w:eastAsia="en-AU"/>
              </w:rPr>
            </w:pPr>
            <w:r w:rsidRPr="00761CB2">
              <w:rPr>
                <w:b/>
                <w:bCs/>
                <w:color w:val="000000"/>
                <w:lang w:eastAsia="en-AU"/>
              </w:rPr>
              <w:t>Total revenue</w:t>
            </w:r>
          </w:p>
        </w:tc>
        <w:tc>
          <w:tcPr>
            <w:tcW w:w="858" w:type="dxa"/>
            <w:gridSpan w:val="2"/>
            <w:tcBorders>
              <w:top w:val="nil"/>
              <w:left w:val="nil"/>
              <w:bottom w:val="nil"/>
              <w:right w:val="nil"/>
            </w:tcBorders>
          </w:tcPr>
          <w:p w:rsidR="0070375D" w:rsidRPr="00761CB2" w:rsidRDefault="0070375D" w:rsidP="00761CB2">
            <w:pPr>
              <w:pStyle w:val="TableofFigures"/>
              <w:rPr>
                <w:b/>
                <w:bCs/>
                <w:color w:val="000000"/>
                <w:lang w:eastAsia="en-AU"/>
              </w:rPr>
            </w:pPr>
            <w:r w:rsidRPr="00761CB2">
              <w:rPr>
                <w:b/>
                <w:bCs/>
                <w:color w:val="000000"/>
                <w:lang w:eastAsia="en-AU"/>
              </w:rPr>
              <w:t>50 749.1</w:t>
            </w:r>
          </w:p>
        </w:tc>
        <w:tc>
          <w:tcPr>
            <w:tcW w:w="859" w:type="dxa"/>
            <w:tcBorders>
              <w:top w:val="nil"/>
              <w:left w:val="nil"/>
              <w:bottom w:val="nil"/>
              <w:right w:val="nil"/>
            </w:tcBorders>
          </w:tcPr>
          <w:p w:rsidR="0070375D" w:rsidRPr="00761CB2" w:rsidRDefault="0070375D" w:rsidP="00761CB2">
            <w:pPr>
              <w:pStyle w:val="TableofFigures"/>
              <w:rPr>
                <w:b/>
                <w:bCs/>
                <w:color w:val="000000"/>
                <w:lang w:eastAsia="en-AU"/>
              </w:rPr>
            </w:pPr>
            <w:r w:rsidRPr="00761CB2">
              <w:rPr>
                <w:b/>
                <w:bCs/>
                <w:color w:val="000000"/>
                <w:lang w:eastAsia="en-AU"/>
              </w:rPr>
              <w:t>50 265.7</w:t>
            </w:r>
          </w:p>
        </w:tc>
        <w:tc>
          <w:tcPr>
            <w:tcW w:w="859" w:type="dxa"/>
            <w:tcBorders>
              <w:top w:val="nil"/>
              <w:left w:val="nil"/>
              <w:bottom w:val="nil"/>
              <w:right w:val="nil"/>
            </w:tcBorders>
          </w:tcPr>
          <w:p w:rsidR="0070375D" w:rsidRPr="00761CB2" w:rsidRDefault="0070375D" w:rsidP="00761CB2">
            <w:pPr>
              <w:pStyle w:val="TableofFigures"/>
              <w:rPr>
                <w:b/>
                <w:bCs/>
                <w:color w:val="000000"/>
                <w:lang w:eastAsia="en-AU"/>
              </w:rPr>
            </w:pPr>
            <w:r w:rsidRPr="00761CB2">
              <w:rPr>
                <w:b/>
                <w:bCs/>
                <w:color w:val="000000"/>
                <w:lang w:eastAsia="en-AU"/>
              </w:rPr>
              <w:t>53 841.0</w:t>
            </w:r>
          </w:p>
        </w:tc>
        <w:tc>
          <w:tcPr>
            <w:tcW w:w="858" w:type="dxa"/>
            <w:tcBorders>
              <w:top w:val="nil"/>
              <w:left w:val="nil"/>
              <w:bottom w:val="nil"/>
              <w:right w:val="nil"/>
            </w:tcBorders>
          </w:tcPr>
          <w:p w:rsidR="0070375D" w:rsidRPr="00761CB2" w:rsidRDefault="0070375D" w:rsidP="00761CB2">
            <w:pPr>
              <w:pStyle w:val="TableofFigures"/>
              <w:rPr>
                <w:b/>
                <w:bCs/>
                <w:color w:val="000000"/>
                <w:lang w:eastAsia="en-AU"/>
              </w:rPr>
            </w:pPr>
            <w:r w:rsidRPr="00761CB2">
              <w:rPr>
                <w:b/>
                <w:bCs/>
                <w:color w:val="000000"/>
                <w:lang w:eastAsia="en-AU"/>
              </w:rPr>
              <w:t>55 720.2</w:t>
            </w:r>
          </w:p>
        </w:tc>
        <w:tc>
          <w:tcPr>
            <w:tcW w:w="859" w:type="dxa"/>
            <w:tcBorders>
              <w:top w:val="nil"/>
              <w:left w:val="nil"/>
              <w:bottom w:val="nil"/>
              <w:right w:val="nil"/>
            </w:tcBorders>
          </w:tcPr>
          <w:p w:rsidR="0070375D" w:rsidRPr="00761CB2" w:rsidRDefault="0070375D" w:rsidP="00761CB2">
            <w:pPr>
              <w:pStyle w:val="TableofFigures"/>
              <w:rPr>
                <w:b/>
                <w:bCs/>
                <w:color w:val="000000"/>
                <w:lang w:eastAsia="en-AU"/>
              </w:rPr>
            </w:pPr>
            <w:r w:rsidRPr="00761CB2">
              <w:rPr>
                <w:b/>
                <w:bCs/>
                <w:color w:val="000000"/>
                <w:lang w:eastAsia="en-AU"/>
              </w:rPr>
              <w:t>58 297.3</w:t>
            </w:r>
          </w:p>
        </w:tc>
        <w:tc>
          <w:tcPr>
            <w:tcW w:w="859" w:type="dxa"/>
            <w:tcBorders>
              <w:top w:val="nil"/>
              <w:left w:val="nil"/>
              <w:bottom w:val="nil"/>
              <w:right w:val="nil"/>
            </w:tcBorders>
          </w:tcPr>
          <w:p w:rsidR="0070375D" w:rsidRPr="00761CB2" w:rsidRDefault="0070375D" w:rsidP="00761CB2">
            <w:pPr>
              <w:pStyle w:val="TableofFigures"/>
              <w:rPr>
                <w:b/>
                <w:bCs/>
                <w:color w:val="000000"/>
                <w:lang w:eastAsia="en-AU"/>
              </w:rPr>
            </w:pPr>
            <w:r w:rsidRPr="00761CB2">
              <w:rPr>
                <w:b/>
                <w:bCs/>
                <w:color w:val="000000"/>
                <w:lang w:eastAsia="en-AU"/>
              </w:rPr>
              <w:t>60 667.2</w:t>
            </w:r>
          </w:p>
        </w:tc>
      </w:tr>
      <w:tr w:rsidR="0070375D" w:rsidRPr="00761CB2" w:rsidTr="00761CB2">
        <w:tc>
          <w:tcPr>
            <w:tcW w:w="2624" w:type="dxa"/>
            <w:gridSpan w:val="3"/>
            <w:tcBorders>
              <w:top w:val="nil"/>
              <w:left w:val="nil"/>
              <w:bottom w:val="nil"/>
              <w:right w:val="nil"/>
            </w:tcBorders>
          </w:tcPr>
          <w:p w:rsidR="0070375D" w:rsidRPr="00761CB2" w:rsidRDefault="0070375D" w:rsidP="00761CB2">
            <w:pPr>
              <w:pStyle w:val="Tabletext"/>
              <w:rPr>
                <w:color w:val="000000"/>
                <w:lang w:eastAsia="en-AU"/>
              </w:rPr>
            </w:pPr>
            <w:r w:rsidRPr="00761CB2">
              <w:rPr>
                <w:color w:val="000000"/>
                <w:lang w:eastAsia="en-AU"/>
              </w:rPr>
              <w:t>% change</w:t>
            </w:r>
          </w:p>
        </w:tc>
        <w:tc>
          <w:tcPr>
            <w:tcW w:w="858" w:type="dxa"/>
            <w:gridSpan w:val="2"/>
            <w:tcBorders>
              <w:top w:val="nil"/>
              <w:left w:val="nil"/>
              <w:bottom w:val="nil"/>
              <w:right w:val="nil"/>
            </w:tcBorders>
          </w:tcPr>
          <w:p w:rsidR="0070375D" w:rsidRPr="00761CB2" w:rsidRDefault="0070375D" w:rsidP="00761CB2">
            <w:pPr>
              <w:pStyle w:val="TableofFigures"/>
              <w:rPr>
                <w:rFonts w:cs="Calibri"/>
                <w:color w:val="000000"/>
                <w:lang w:eastAsia="en-AU"/>
              </w:rPr>
            </w:pPr>
            <w:r w:rsidRPr="00761CB2">
              <w:rPr>
                <w:color w:val="000000"/>
                <w:lang w:eastAsia="en-AU"/>
              </w:rPr>
              <w:t>2.4</w:t>
            </w:r>
          </w:p>
        </w:tc>
        <w:tc>
          <w:tcPr>
            <w:tcW w:w="859" w:type="dxa"/>
            <w:tcBorders>
              <w:top w:val="nil"/>
              <w:left w:val="nil"/>
              <w:bottom w:val="nil"/>
              <w:right w:val="nil"/>
            </w:tcBorders>
          </w:tcPr>
          <w:p w:rsidR="0070375D" w:rsidRPr="00761CB2" w:rsidRDefault="00276239" w:rsidP="00761CB2">
            <w:pPr>
              <w:pStyle w:val="TableofFigures"/>
              <w:rPr>
                <w:color w:val="000000"/>
                <w:lang w:eastAsia="en-AU"/>
              </w:rPr>
            </w:pPr>
            <w:r>
              <w:rPr>
                <w:color w:val="000000"/>
                <w:lang w:eastAsia="en-AU"/>
              </w:rPr>
              <w:noBreakHyphen/>
            </w:r>
            <w:r w:rsidR="0070375D" w:rsidRPr="00761CB2">
              <w:rPr>
                <w:color w:val="000000"/>
                <w:lang w:eastAsia="en-AU"/>
              </w:rPr>
              <w:t>1.0</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7.1</w:t>
            </w:r>
          </w:p>
        </w:tc>
        <w:tc>
          <w:tcPr>
            <w:tcW w:w="858"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3.5</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4.6</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4.1</w:t>
            </w:r>
          </w:p>
        </w:tc>
      </w:tr>
      <w:tr w:rsidR="0070375D" w:rsidRPr="00761CB2" w:rsidTr="00761CB2">
        <w:tc>
          <w:tcPr>
            <w:tcW w:w="2624" w:type="dxa"/>
            <w:gridSpan w:val="3"/>
            <w:tcBorders>
              <w:top w:val="nil"/>
              <w:left w:val="nil"/>
              <w:bottom w:val="nil"/>
              <w:right w:val="nil"/>
            </w:tcBorders>
          </w:tcPr>
          <w:p w:rsidR="0070375D" w:rsidRPr="00761CB2" w:rsidRDefault="0070375D" w:rsidP="00761CB2">
            <w:pPr>
              <w:pStyle w:val="Tabletext"/>
              <w:rPr>
                <w:b/>
                <w:bCs/>
                <w:color w:val="000000"/>
                <w:lang w:eastAsia="en-AU"/>
              </w:rPr>
            </w:pPr>
            <w:r w:rsidRPr="00761CB2">
              <w:rPr>
                <w:b/>
                <w:bCs/>
                <w:color w:val="000000"/>
                <w:lang w:eastAsia="en-AU"/>
              </w:rPr>
              <w:t>Expenses</w:t>
            </w:r>
          </w:p>
        </w:tc>
        <w:tc>
          <w:tcPr>
            <w:tcW w:w="858" w:type="dxa"/>
            <w:gridSpan w:val="2"/>
            <w:tcBorders>
              <w:top w:val="nil"/>
              <w:left w:val="nil"/>
              <w:bottom w:val="nil"/>
              <w:right w:val="nil"/>
            </w:tcBorders>
          </w:tcPr>
          <w:p w:rsidR="0070375D" w:rsidRPr="00761CB2" w:rsidRDefault="0070375D" w:rsidP="00761CB2">
            <w:pPr>
              <w:pStyle w:val="TableofFigures"/>
              <w:rPr>
                <w:color w:val="000000"/>
                <w:lang w:eastAsia="en-AU"/>
              </w:rPr>
            </w:pP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p>
        </w:tc>
        <w:tc>
          <w:tcPr>
            <w:tcW w:w="858" w:type="dxa"/>
            <w:tcBorders>
              <w:top w:val="nil"/>
              <w:left w:val="nil"/>
              <w:bottom w:val="nil"/>
              <w:right w:val="nil"/>
            </w:tcBorders>
          </w:tcPr>
          <w:p w:rsidR="0070375D" w:rsidRPr="00761CB2" w:rsidRDefault="0070375D" w:rsidP="00761CB2">
            <w:pPr>
              <w:pStyle w:val="TableofFigures"/>
              <w:rPr>
                <w:color w:val="000000"/>
                <w:lang w:eastAsia="en-AU"/>
              </w:rPr>
            </w:pP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p>
        </w:tc>
      </w:tr>
      <w:tr w:rsidR="0070375D" w:rsidRPr="00761CB2" w:rsidTr="00761CB2">
        <w:tc>
          <w:tcPr>
            <w:tcW w:w="2624" w:type="dxa"/>
            <w:gridSpan w:val="3"/>
            <w:tcBorders>
              <w:top w:val="nil"/>
              <w:left w:val="nil"/>
              <w:bottom w:val="nil"/>
              <w:right w:val="nil"/>
            </w:tcBorders>
          </w:tcPr>
          <w:p w:rsidR="0070375D" w:rsidRPr="00761CB2" w:rsidRDefault="0070375D" w:rsidP="00761CB2">
            <w:pPr>
              <w:pStyle w:val="Tabletext"/>
              <w:rPr>
                <w:color w:val="000000"/>
                <w:lang w:eastAsia="en-AU"/>
              </w:rPr>
            </w:pPr>
            <w:r w:rsidRPr="00761CB2">
              <w:rPr>
                <w:color w:val="000000"/>
                <w:lang w:eastAsia="en-AU"/>
              </w:rPr>
              <w:t>Employee expenses</w:t>
            </w:r>
          </w:p>
        </w:tc>
        <w:tc>
          <w:tcPr>
            <w:tcW w:w="858" w:type="dxa"/>
            <w:gridSpan w:val="2"/>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18 058.4</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18 533.1</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18 948.1</w:t>
            </w:r>
          </w:p>
        </w:tc>
        <w:tc>
          <w:tcPr>
            <w:tcW w:w="858"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19 702.5</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20 363.7</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20 959.3</w:t>
            </w:r>
          </w:p>
        </w:tc>
      </w:tr>
      <w:tr w:rsidR="0070375D" w:rsidRPr="00761CB2" w:rsidTr="00761CB2">
        <w:tc>
          <w:tcPr>
            <w:tcW w:w="2624" w:type="dxa"/>
            <w:gridSpan w:val="3"/>
            <w:tcBorders>
              <w:top w:val="nil"/>
              <w:left w:val="nil"/>
              <w:bottom w:val="nil"/>
              <w:right w:val="nil"/>
            </w:tcBorders>
          </w:tcPr>
          <w:p w:rsidR="0070375D" w:rsidRPr="00761CB2" w:rsidRDefault="0070375D" w:rsidP="00761CB2">
            <w:pPr>
              <w:pStyle w:val="Tabletext"/>
              <w:rPr>
                <w:color w:val="000000"/>
                <w:vertAlign w:val="superscript"/>
                <w:lang w:eastAsia="en-AU"/>
              </w:rPr>
            </w:pPr>
            <w:r w:rsidRPr="00761CB2">
              <w:rPr>
                <w:color w:val="000000"/>
                <w:lang w:eastAsia="en-AU"/>
              </w:rPr>
              <w:t xml:space="preserve">Superannuation </w:t>
            </w:r>
            <w:r w:rsidRPr="00761CB2">
              <w:rPr>
                <w:color w:val="000000"/>
                <w:vertAlign w:val="superscript"/>
                <w:lang w:eastAsia="en-AU"/>
              </w:rPr>
              <w:t>(d)</w:t>
            </w:r>
          </w:p>
        </w:tc>
        <w:tc>
          <w:tcPr>
            <w:tcW w:w="858" w:type="dxa"/>
            <w:gridSpan w:val="2"/>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2 744.3</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2 454.4</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3 117.2</w:t>
            </w:r>
          </w:p>
        </w:tc>
        <w:tc>
          <w:tcPr>
            <w:tcW w:w="858"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3 124.0</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3 140.3</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3 143.5</w:t>
            </w:r>
          </w:p>
        </w:tc>
      </w:tr>
      <w:tr w:rsidR="0070375D" w:rsidRPr="00761CB2" w:rsidTr="00761CB2">
        <w:tc>
          <w:tcPr>
            <w:tcW w:w="2624" w:type="dxa"/>
            <w:gridSpan w:val="3"/>
            <w:tcBorders>
              <w:top w:val="nil"/>
              <w:left w:val="nil"/>
              <w:bottom w:val="nil"/>
              <w:right w:val="nil"/>
            </w:tcBorders>
          </w:tcPr>
          <w:p w:rsidR="0070375D" w:rsidRPr="00761CB2" w:rsidRDefault="0070375D" w:rsidP="00761CB2">
            <w:pPr>
              <w:pStyle w:val="Tabletext"/>
              <w:rPr>
                <w:color w:val="000000"/>
                <w:lang w:eastAsia="en-AU"/>
              </w:rPr>
            </w:pPr>
            <w:r w:rsidRPr="00761CB2">
              <w:rPr>
                <w:color w:val="000000"/>
                <w:lang w:eastAsia="en-AU"/>
              </w:rPr>
              <w:t xml:space="preserve">Depreciation </w:t>
            </w:r>
          </w:p>
        </w:tc>
        <w:tc>
          <w:tcPr>
            <w:tcW w:w="858" w:type="dxa"/>
            <w:gridSpan w:val="2"/>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3 842.6</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4 152.2</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4 397.0</w:t>
            </w:r>
          </w:p>
        </w:tc>
        <w:tc>
          <w:tcPr>
            <w:tcW w:w="858"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4 619.4</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4 889.0</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5 088.8</w:t>
            </w:r>
          </w:p>
        </w:tc>
      </w:tr>
      <w:tr w:rsidR="0070375D" w:rsidRPr="00761CB2" w:rsidTr="00761CB2">
        <w:tc>
          <w:tcPr>
            <w:tcW w:w="2624" w:type="dxa"/>
            <w:gridSpan w:val="3"/>
            <w:tcBorders>
              <w:top w:val="nil"/>
              <w:left w:val="nil"/>
              <w:bottom w:val="nil"/>
              <w:right w:val="nil"/>
            </w:tcBorders>
          </w:tcPr>
          <w:p w:rsidR="0070375D" w:rsidRPr="00761CB2" w:rsidRDefault="0070375D" w:rsidP="00761CB2">
            <w:pPr>
              <w:pStyle w:val="Tabletext"/>
              <w:rPr>
                <w:color w:val="000000"/>
                <w:lang w:eastAsia="en-AU"/>
              </w:rPr>
            </w:pPr>
            <w:r w:rsidRPr="00761CB2">
              <w:rPr>
                <w:color w:val="000000"/>
                <w:lang w:eastAsia="en-AU"/>
              </w:rPr>
              <w:t>Interest expense</w:t>
            </w:r>
          </w:p>
        </w:tc>
        <w:tc>
          <w:tcPr>
            <w:tcW w:w="858" w:type="dxa"/>
            <w:gridSpan w:val="2"/>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1 928.0</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2 428.7</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2 940.4</w:t>
            </w:r>
          </w:p>
        </w:tc>
        <w:tc>
          <w:tcPr>
            <w:tcW w:w="858"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3 128.9</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3 171.3</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3 216.1</w:t>
            </w:r>
          </w:p>
        </w:tc>
      </w:tr>
      <w:tr w:rsidR="0070375D" w:rsidRPr="00761CB2" w:rsidTr="00761CB2">
        <w:tc>
          <w:tcPr>
            <w:tcW w:w="2624" w:type="dxa"/>
            <w:gridSpan w:val="3"/>
            <w:tcBorders>
              <w:top w:val="nil"/>
              <w:left w:val="nil"/>
              <w:bottom w:val="nil"/>
              <w:right w:val="nil"/>
            </w:tcBorders>
          </w:tcPr>
          <w:p w:rsidR="0070375D" w:rsidRPr="00761CB2" w:rsidRDefault="0070375D" w:rsidP="00761CB2">
            <w:pPr>
              <w:pStyle w:val="Tabletext"/>
              <w:rPr>
                <w:color w:val="000000"/>
                <w:lang w:eastAsia="en-AU"/>
              </w:rPr>
            </w:pPr>
            <w:r w:rsidRPr="00761CB2">
              <w:rPr>
                <w:color w:val="000000"/>
                <w:lang w:eastAsia="en-AU"/>
              </w:rPr>
              <w:t>Other operating expenses</w:t>
            </w:r>
          </w:p>
        </w:tc>
        <w:tc>
          <w:tcPr>
            <w:tcW w:w="858" w:type="dxa"/>
            <w:gridSpan w:val="2"/>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18 408.9</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19 009.9</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19 476.0</w:t>
            </w:r>
          </w:p>
        </w:tc>
        <w:tc>
          <w:tcPr>
            <w:tcW w:w="858"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19 766.0</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19 789.8</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20 354.2</w:t>
            </w:r>
          </w:p>
        </w:tc>
      </w:tr>
      <w:tr w:rsidR="0070375D" w:rsidRPr="00761CB2" w:rsidTr="00761CB2">
        <w:tc>
          <w:tcPr>
            <w:tcW w:w="2624" w:type="dxa"/>
            <w:gridSpan w:val="3"/>
            <w:tcBorders>
              <w:top w:val="nil"/>
              <w:left w:val="nil"/>
              <w:bottom w:val="nil"/>
              <w:right w:val="nil"/>
            </w:tcBorders>
          </w:tcPr>
          <w:p w:rsidR="0070375D" w:rsidRPr="00761CB2" w:rsidRDefault="0070375D" w:rsidP="00761CB2">
            <w:pPr>
              <w:pStyle w:val="Tabletext"/>
              <w:rPr>
                <w:color w:val="000000"/>
                <w:lang w:eastAsia="en-AU"/>
              </w:rPr>
            </w:pPr>
            <w:r w:rsidRPr="00761CB2">
              <w:rPr>
                <w:color w:val="000000"/>
                <w:lang w:eastAsia="en-AU"/>
              </w:rPr>
              <w:t>Grants and other transfers</w:t>
            </w:r>
          </w:p>
        </w:tc>
        <w:tc>
          <w:tcPr>
            <w:tcW w:w="858" w:type="dxa"/>
            <w:gridSpan w:val="2"/>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5 721.0</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5 124.2</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5 268.7</w:t>
            </w:r>
          </w:p>
        </w:tc>
        <w:tc>
          <w:tcPr>
            <w:tcW w:w="858"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5 449.3</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5 659.3</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5 904.2</w:t>
            </w:r>
          </w:p>
        </w:tc>
      </w:tr>
      <w:tr w:rsidR="0070375D" w:rsidRPr="00761CB2" w:rsidTr="00761CB2">
        <w:tc>
          <w:tcPr>
            <w:tcW w:w="2624" w:type="dxa"/>
            <w:gridSpan w:val="3"/>
            <w:tcBorders>
              <w:top w:val="single" w:sz="6" w:space="0" w:color="auto"/>
              <w:left w:val="nil"/>
              <w:bottom w:val="nil"/>
              <w:right w:val="nil"/>
            </w:tcBorders>
          </w:tcPr>
          <w:p w:rsidR="0070375D" w:rsidRPr="00761CB2" w:rsidRDefault="0070375D" w:rsidP="00761CB2">
            <w:pPr>
              <w:pStyle w:val="Tabletext"/>
              <w:rPr>
                <w:b/>
                <w:bCs/>
                <w:color w:val="000000"/>
                <w:lang w:eastAsia="en-AU"/>
              </w:rPr>
            </w:pPr>
            <w:r w:rsidRPr="00761CB2">
              <w:rPr>
                <w:b/>
                <w:bCs/>
                <w:color w:val="000000"/>
                <w:lang w:eastAsia="en-AU"/>
              </w:rPr>
              <w:t>Total expenses</w:t>
            </w:r>
          </w:p>
        </w:tc>
        <w:tc>
          <w:tcPr>
            <w:tcW w:w="858" w:type="dxa"/>
            <w:gridSpan w:val="2"/>
            <w:tcBorders>
              <w:top w:val="single" w:sz="6" w:space="0" w:color="auto"/>
              <w:left w:val="nil"/>
              <w:bottom w:val="nil"/>
              <w:right w:val="nil"/>
            </w:tcBorders>
          </w:tcPr>
          <w:p w:rsidR="0070375D" w:rsidRPr="00761CB2" w:rsidRDefault="0070375D" w:rsidP="00761CB2">
            <w:pPr>
              <w:pStyle w:val="TableofFigures"/>
              <w:rPr>
                <w:b/>
                <w:bCs/>
                <w:color w:val="000000"/>
                <w:lang w:eastAsia="en-AU"/>
              </w:rPr>
            </w:pPr>
            <w:r w:rsidRPr="00761CB2">
              <w:rPr>
                <w:b/>
                <w:bCs/>
                <w:color w:val="000000"/>
                <w:lang w:eastAsia="en-AU"/>
              </w:rPr>
              <w:t>50 703.3</w:t>
            </w:r>
          </w:p>
        </w:tc>
        <w:tc>
          <w:tcPr>
            <w:tcW w:w="859" w:type="dxa"/>
            <w:tcBorders>
              <w:top w:val="single" w:sz="6" w:space="0" w:color="auto"/>
              <w:left w:val="nil"/>
              <w:bottom w:val="nil"/>
              <w:right w:val="nil"/>
            </w:tcBorders>
          </w:tcPr>
          <w:p w:rsidR="0070375D" w:rsidRPr="00761CB2" w:rsidRDefault="0070375D" w:rsidP="00761CB2">
            <w:pPr>
              <w:pStyle w:val="TableofFigures"/>
              <w:rPr>
                <w:b/>
                <w:bCs/>
                <w:color w:val="000000"/>
                <w:lang w:eastAsia="en-AU"/>
              </w:rPr>
            </w:pPr>
            <w:r w:rsidRPr="00761CB2">
              <w:rPr>
                <w:b/>
                <w:bCs/>
                <w:color w:val="000000"/>
                <w:lang w:eastAsia="en-AU"/>
              </w:rPr>
              <w:t>51 702.4</w:t>
            </w:r>
          </w:p>
        </w:tc>
        <w:tc>
          <w:tcPr>
            <w:tcW w:w="859" w:type="dxa"/>
            <w:tcBorders>
              <w:top w:val="single" w:sz="6" w:space="0" w:color="auto"/>
              <w:left w:val="nil"/>
              <w:bottom w:val="nil"/>
              <w:right w:val="nil"/>
            </w:tcBorders>
          </w:tcPr>
          <w:p w:rsidR="0070375D" w:rsidRPr="00761CB2" w:rsidRDefault="0070375D" w:rsidP="00761CB2">
            <w:pPr>
              <w:pStyle w:val="TableofFigures"/>
              <w:rPr>
                <w:b/>
                <w:bCs/>
                <w:color w:val="000000"/>
                <w:lang w:eastAsia="en-AU"/>
              </w:rPr>
            </w:pPr>
            <w:r w:rsidRPr="00761CB2">
              <w:rPr>
                <w:b/>
                <w:bCs/>
                <w:color w:val="000000"/>
                <w:lang w:eastAsia="en-AU"/>
              </w:rPr>
              <w:t>54 147.3</w:t>
            </w:r>
          </w:p>
        </w:tc>
        <w:tc>
          <w:tcPr>
            <w:tcW w:w="858" w:type="dxa"/>
            <w:tcBorders>
              <w:top w:val="single" w:sz="6" w:space="0" w:color="auto"/>
              <w:left w:val="nil"/>
              <w:bottom w:val="nil"/>
              <w:right w:val="nil"/>
            </w:tcBorders>
          </w:tcPr>
          <w:p w:rsidR="0070375D" w:rsidRPr="00761CB2" w:rsidRDefault="0070375D" w:rsidP="00761CB2">
            <w:pPr>
              <w:pStyle w:val="TableofFigures"/>
              <w:rPr>
                <w:b/>
                <w:bCs/>
                <w:color w:val="000000"/>
                <w:lang w:eastAsia="en-AU"/>
              </w:rPr>
            </w:pPr>
            <w:r w:rsidRPr="00761CB2">
              <w:rPr>
                <w:b/>
                <w:bCs/>
                <w:color w:val="000000"/>
                <w:lang w:eastAsia="en-AU"/>
              </w:rPr>
              <w:t>55 790.2</w:t>
            </w:r>
          </w:p>
        </w:tc>
        <w:tc>
          <w:tcPr>
            <w:tcW w:w="859" w:type="dxa"/>
            <w:tcBorders>
              <w:top w:val="single" w:sz="6" w:space="0" w:color="auto"/>
              <w:left w:val="nil"/>
              <w:bottom w:val="nil"/>
              <w:right w:val="nil"/>
            </w:tcBorders>
          </w:tcPr>
          <w:p w:rsidR="0070375D" w:rsidRPr="00761CB2" w:rsidRDefault="0070375D" w:rsidP="00761CB2">
            <w:pPr>
              <w:pStyle w:val="TableofFigures"/>
              <w:rPr>
                <w:b/>
                <w:bCs/>
                <w:color w:val="000000"/>
                <w:lang w:eastAsia="en-AU"/>
              </w:rPr>
            </w:pPr>
            <w:r w:rsidRPr="00761CB2">
              <w:rPr>
                <w:b/>
                <w:bCs/>
                <w:color w:val="000000"/>
                <w:lang w:eastAsia="en-AU"/>
              </w:rPr>
              <w:t>57 013.4</w:t>
            </w:r>
          </w:p>
        </w:tc>
        <w:tc>
          <w:tcPr>
            <w:tcW w:w="859" w:type="dxa"/>
            <w:tcBorders>
              <w:top w:val="single" w:sz="6" w:space="0" w:color="auto"/>
              <w:left w:val="nil"/>
              <w:bottom w:val="nil"/>
              <w:right w:val="nil"/>
            </w:tcBorders>
          </w:tcPr>
          <w:p w:rsidR="0070375D" w:rsidRPr="00761CB2" w:rsidRDefault="0070375D" w:rsidP="00761CB2">
            <w:pPr>
              <w:pStyle w:val="TableofFigures"/>
              <w:rPr>
                <w:b/>
                <w:bCs/>
                <w:color w:val="000000"/>
                <w:lang w:eastAsia="en-AU"/>
              </w:rPr>
            </w:pPr>
            <w:r w:rsidRPr="00761CB2">
              <w:rPr>
                <w:b/>
                <w:bCs/>
                <w:color w:val="000000"/>
                <w:lang w:eastAsia="en-AU"/>
              </w:rPr>
              <w:t>58 666.2</w:t>
            </w:r>
          </w:p>
        </w:tc>
      </w:tr>
      <w:tr w:rsidR="0070375D" w:rsidRPr="00761CB2" w:rsidTr="00761CB2">
        <w:tc>
          <w:tcPr>
            <w:tcW w:w="2624" w:type="dxa"/>
            <w:gridSpan w:val="3"/>
            <w:tcBorders>
              <w:top w:val="nil"/>
              <w:left w:val="nil"/>
              <w:bottom w:val="nil"/>
              <w:right w:val="nil"/>
            </w:tcBorders>
          </w:tcPr>
          <w:p w:rsidR="0070375D" w:rsidRPr="00761CB2" w:rsidRDefault="0070375D" w:rsidP="00761CB2">
            <w:pPr>
              <w:pStyle w:val="Tabletext"/>
              <w:rPr>
                <w:rFonts w:cs="Calibri"/>
                <w:color w:val="000000"/>
                <w:vertAlign w:val="superscript"/>
                <w:lang w:eastAsia="en-AU"/>
              </w:rPr>
            </w:pPr>
            <w:r w:rsidRPr="00761CB2">
              <w:rPr>
                <w:color w:val="000000"/>
                <w:lang w:eastAsia="en-AU"/>
              </w:rPr>
              <w:t xml:space="preserve">% change </w:t>
            </w:r>
            <w:r w:rsidRPr="00761CB2">
              <w:rPr>
                <w:rFonts w:cs="Calibri"/>
                <w:color w:val="000000"/>
                <w:vertAlign w:val="superscript"/>
                <w:lang w:eastAsia="en-AU"/>
              </w:rPr>
              <w:t>(e)</w:t>
            </w:r>
          </w:p>
        </w:tc>
        <w:tc>
          <w:tcPr>
            <w:tcW w:w="858" w:type="dxa"/>
            <w:gridSpan w:val="2"/>
            <w:tcBorders>
              <w:top w:val="nil"/>
              <w:left w:val="nil"/>
              <w:bottom w:val="nil"/>
              <w:right w:val="nil"/>
            </w:tcBorders>
          </w:tcPr>
          <w:p w:rsidR="0070375D" w:rsidRPr="00761CB2" w:rsidRDefault="0070375D" w:rsidP="00761CB2">
            <w:pPr>
              <w:pStyle w:val="TableofFigures"/>
              <w:rPr>
                <w:rFonts w:cs="Calibri"/>
                <w:color w:val="000000"/>
                <w:lang w:eastAsia="en-AU"/>
              </w:rPr>
            </w:pPr>
            <w:r w:rsidRPr="00761CB2">
              <w:rPr>
                <w:color w:val="000000"/>
                <w:lang w:eastAsia="en-AU"/>
              </w:rPr>
              <w:t>3.2</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2.0</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3.6</w:t>
            </w:r>
          </w:p>
        </w:tc>
        <w:tc>
          <w:tcPr>
            <w:tcW w:w="858"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3.0</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2.2</w:t>
            </w:r>
          </w:p>
        </w:tc>
        <w:tc>
          <w:tcPr>
            <w:tcW w:w="859" w:type="dxa"/>
            <w:tcBorders>
              <w:top w:val="nil"/>
              <w:left w:val="nil"/>
              <w:bottom w:val="nil"/>
              <w:right w:val="nil"/>
            </w:tcBorders>
          </w:tcPr>
          <w:p w:rsidR="0070375D" w:rsidRPr="00761CB2" w:rsidRDefault="0070375D" w:rsidP="00761CB2">
            <w:pPr>
              <w:pStyle w:val="TableofFigures"/>
              <w:rPr>
                <w:color w:val="000000"/>
                <w:lang w:eastAsia="en-AU"/>
              </w:rPr>
            </w:pPr>
            <w:r w:rsidRPr="00761CB2">
              <w:rPr>
                <w:color w:val="000000"/>
                <w:lang w:eastAsia="en-AU"/>
              </w:rPr>
              <w:t>2.9</w:t>
            </w:r>
          </w:p>
        </w:tc>
      </w:tr>
      <w:tr w:rsidR="0070375D" w:rsidRPr="00761CB2" w:rsidTr="00761CB2">
        <w:tc>
          <w:tcPr>
            <w:tcW w:w="2624" w:type="dxa"/>
            <w:gridSpan w:val="3"/>
            <w:tcBorders>
              <w:top w:val="single" w:sz="6" w:space="0" w:color="auto"/>
              <w:left w:val="nil"/>
              <w:bottom w:val="single" w:sz="6" w:space="0" w:color="auto"/>
              <w:right w:val="nil"/>
            </w:tcBorders>
          </w:tcPr>
          <w:p w:rsidR="0070375D" w:rsidRPr="00761CB2" w:rsidRDefault="0070375D" w:rsidP="00761CB2">
            <w:pPr>
              <w:pStyle w:val="Tabletext"/>
              <w:rPr>
                <w:b/>
                <w:bCs/>
                <w:color w:val="000000"/>
                <w:lang w:eastAsia="en-AU"/>
              </w:rPr>
            </w:pPr>
            <w:r w:rsidRPr="00761CB2">
              <w:rPr>
                <w:b/>
                <w:bCs/>
                <w:color w:val="000000"/>
                <w:lang w:eastAsia="en-AU"/>
              </w:rPr>
              <w:t>Net result from transactions – net operating balance</w:t>
            </w:r>
          </w:p>
        </w:tc>
        <w:tc>
          <w:tcPr>
            <w:tcW w:w="858" w:type="dxa"/>
            <w:gridSpan w:val="2"/>
            <w:tcBorders>
              <w:top w:val="single" w:sz="6" w:space="0" w:color="auto"/>
              <w:left w:val="nil"/>
              <w:bottom w:val="single" w:sz="6" w:space="0" w:color="auto"/>
              <w:right w:val="nil"/>
            </w:tcBorders>
          </w:tcPr>
          <w:p w:rsidR="0070375D" w:rsidRPr="00761CB2" w:rsidRDefault="0070375D" w:rsidP="00761CB2">
            <w:pPr>
              <w:pStyle w:val="TableofFigures"/>
              <w:rPr>
                <w:b/>
                <w:bCs/>
                <w:color w:val="000000"/>
                <w:lang w:eastAsia="en-AU"/>
              </w:rPr>
            </w:pPr>
            <w:r w:rsidRPr="00761CB2">
              <w:rPr>
                <w:b/>
                <w:bCs/>
                <w:color w:val="000000"/>
                <w:lang w:eastAsia="en-AU"/>
              </w:rPr>
              <w:t xml:space="preserve"> 45.8</w:t>
            </w:r>
          </w:p>
        </w:tc>
        <w:tc>
          <w:tcPr>
            <w:tcW w:w="859" w:type="dxa"/>
            <w:tcBorders>
              <w:top w:val="single" w:sz="6" w:space="0" w:color="auto"/>
              <w:left w:val="nil"/>
              <w:bottom w:val="single" w:sz="6" w:space="0" w:color="auto"/>
              <w:right w:val="nil"/>
            </w:tcBorders>
          </w:tcPr>
          <w:p w:rsidR="0070375D" w:rsidRPr="00761CB2" w:rsidRDefault="0070375D" w:rsidP="00761CB2">
            <w:pPr>
              <w:pStyle w:val="TableofFigures"/>
              <w:rPr>
                <w:b/>
                <w:bCs/>
                <w:color w:val="000000"/>
                <w:lang w:eastAsia="en-AU"/>
              </w:rPr>
            </w:pPr>
            <w:r w:rsidRPr="00761CB2">
              <w:rPr>
                <w:b/>
                <w:bCs/>
                <w:color w:val="000000"/>
                <w:lang w:eastAsia="en-AU"/>
              </w:rPr>
              <w:t>(1 436.7)</w:t>
            </w:r>
          </w:p>
        </w:tc>
        <w:tc>
          <w:tcPr>
            <w:tcW w:w="859" w:type="dxa"/>
            <w:tcBorders>
              <w:top w:val="single" w:sz="6" w:space="0" w:color="auto"/>
              <w:left w:val="nil"/>
              <w:bottom w:val="single" w:sz="6" w:space="0" w:color="auto"/>
              <w:right w:val="nil"/>
            </w:tcBorders>
          </w:tcPr>
          <w:p w:rsidR="0070375D" w:rsidRPr="00761CB2" w:rsidRDefault="002714D4" w:rsidP="00761CB2">
            <w:pPr>
              <w:pStyle w:val="TableofFigures"/>
              <w:rPr>
                <w:b/>
                <w:bCs/>
                <w:color w:val="000000"/>
                <w:lang w:eastAsia="en-AU"/>
              </w:rPr>
            </w:pPr>
            <w:r>
              <w:rPr>
                <w:b/>
                <w:bCs/>
                <w:color w:val="000000"/>
                <w:lang w:eastAsia="en-AU"/>
              </w:rPr>
              <w:t>(</w:t>
            </w:r>
            <w:r w:rsidR="0070375D" w:rsidRPr="00761CB2">
              <w:rPr>
                <w:b/>
                <w:bCs/>
                <w:color w:val="000000"/>
                <w:lang w:eastAsia="en-AU"/>
              </w:rPr>
              <w:t>306.3)</w:t>
            </w:r>
          </w:p>
        </w:tc>
        <w:tc>
          <w:tcPr>
            <w:tcW w:w="858" w:type="dxa"/>
            <w:tcBorders>
              <w:top w:val="single" w:sz="6" w:space="0" w:color="auto"/>
              <w:left w:val="nil"/>
              <w:bottom w:val="single" w:sz="6" w:space="0" w:color="auto"/>
              <w:right w:val="nil"/>
            </w:tcBorders>
          </w:tcPr>
          <w:p w:rsidR="0070375D" w:rsidRPr="00761CB2" w:rsidRDefault="002714D4" w:rsidP="00761CB2">
            <w:pPr>
              <w:pStyle w:val="TableofFigures"/>
              <w:rPr>
                <w:b/>
                <w:bCs/>
                <w:color w:val="000000"/>
                <w:lang w:eastAsia="en-AU"/>
              </w:rPr>
            </w:pPr>
            <w:r>
              <w:rPr>
                <w:b/>
                <w:bCs/>
                <w:color w:val="000000"/>
                <w:lang w:eastAsia="en-AU"/>
              </w:rPr>
              <w:t>(</w:t>
            </w:r>
            <w:r w:rsidR="0070375D" w:rsidRPr="00761CB2">
              <w:rPr>
                <w:b/>
                <w:bCs/>
                <w:color w:val="000000"/>
                <w:lang w:eastAsia="en-AU"/>
              </w:rPr>
              <w:t>70.0)</w:t>
            </w:r>
          </w:p>
        </w:tc>
        <w:tc>
          <w:tcPr>
            <w:tcW w:w="859" w:type="dxa"/>
            <w:tcBorders>
              <w:top w:val="single" w:sz="6" w:space="0" w:color="auto"/>
              <w:left w:val="nil"/>
              <w:bottom w:val="single" w:sz="6" w:space="0" w:color="auto"/>
              <w:right w:val="nil"/>
            </w:tcBorders>
          </w:tcPr>
          <w:p w:rsidR="0070375D" w:rsidRPr="00761CB2" w:rsidRDefault="0070375D" w:rsidP="00761CB2">
            <w:pPr>
              <w:pStyle w:val="TableofFigures"/>
              <w:rPr>
                <w:b/>
                <w:bCs/>
                <w:color w:val="000000"/>
                <w:lang w:eastAsia="en-AU"/>
              </w:rPr>
            </w:pPr>
            <w:r w:rsidRPr="00761CB2">
              <w:rPr>
                <w:b/>
                <w:bCs/>
                <w:color w:val="000000"/>
                <w:lang w:eastAsia="en-AU"/>
              </w:rPr>
              <w:t>1 283.8</w:t>
            </w:r>
          </w:p>
        </w:tc>
        <w:tc>
          <w:tcPr>
            <w:tcW w:w="859" w:type="dxa"/>
            <w:tcBorders>
              <w:top w:val="single" w:sz="6" w:space="0" w:color="auto"/>
              <w:left w:val="nil"/>
              <w:bottom w:val="single" w:sz="6" w:space="0" w:color="auto"/>
              <w:right w:val="nil"/>
            </w:tcBorders>
          </w:tcPr>
          <w:p w:rsidR="0070375D" w:rsidRPr="00761CB2" w:rsidRDefault="0070375D" w:rsidP="00761CB2">
            <w:pPr>
              <w:pStyle w:val="TableofFigures"/>
              <w:rPr>
                <w:b/>
                <w:bCs/>
                <w:color w:val="000000"/>
                <w:lang w:eastAsia="en-AU"/>
              </w:rPr>
            </w:pPr>
            <w:r w:rsidRPr="00761CB2">
              <w:rPr>
                <w:b/>
                <w:bCs/>
                <w:color w:val="000000"/>
                <w:lang w:eastAsia="en-AU"/>
              </w:rPr>
              <w:t>2 001.0</w:t>
            </w:r>
          </w:p>
        </w:tc>
      </w:tr>
      <w:tr w:rsidR="0070375D" w:rsidRPr="00761CB2" w:rsidTr="00761CB2">
        <w:tc>
          <w:tcPr>
            <w:tcW w:w="2462" w:type="dxa"/>
            <w:gridSpan w:val="2"/>
            <w:tcBorders>
              <w:top w:val="single" w:sz="6" w:space="0" w:color="auto"/>
              <w:left w:val="nil"/>
              <w:bottom w:val="single" w:sz="6" w:space="0" w:color="auto"/>
              <w:right w:val="nil"/>
            </w:tcBorders>
          </w:tcPr>
          <w:p w:rsidR="0070375D" w:rsidRPr="00761CB2" w:rsidRDefault="0070375D" w:rsidP="00761CB2">
            <w:pPr>
              <w:pStyle w:val="Tabletext"/>
              <w:rPr>
                <w:b/>
                <w:bCs/>
                <w:color w:val="000000"/>
                <w:lang w:eastAsia="en-AU"/>
              </w:rPr>
            </w:pPr>
            <w:r w:rsidRPr="00761CB2">
              <w:rPr>
                <w:b/>
                <w:bCs/>
                <w:color w:val="000000"/>
                <w:lang w:eastAsia="en-AU"/>
              </w:rPr>
              <w:t>Total other economic flows included in net result</w:t>
            </w:r>
          </w:p>
        </w:tc>
        <w:tc>
          <w:tcPr>
            <w:tcW w:w="1020" w:type="dxa"/>
            <w:gridSpan w:val="3"/>
            <w:tcBorders>
              <w:top w:val="single" w:sz="6" w:space="0" w:color="auto"/>
              <w:left w:val="nil"/>
              <w:bottom w:val="single" w:sz="6" w:space="0" w:color="auto"/>
              <w:right w:val="nil"/>
            </w:tcBorders>
          </w:tcPr>
          <w:p w:rsidR="0070375D" w:rsidRPr="00761CB2" w:rsidRDefault="0070375D" w:rsidP="00761CB2">
            <w:pPr>
              <w:pStyle w:val="TableofFigures"/>
              <w:rPr>
                <w:b/>
                <w:bCs/>
                <w:color w:val="000000"/>
                <w:lang w:eastAsia="en-AU"/>
              </w:rPr>
            </w:pPr>
            <w:r w:rsidRPr="00761CB2">
              <w:rPr>
                <w:b/>
                <w:bCs/>
                <w:color w:val="000000"/>
                <w:lang w:eastAsia="en-AU"/>
              </w:rPr>
              <w:t>(10 464.4)</w:t>
            </w:r>
          </w:p>
        </w:tc>
        <w:tc>
          <w:tcPr>
            <w:tcW w:w="859" w:type="dxa"/>
            <w:tcBorders>
              <w:top w:val="single" w:sz="6" w:space="0" w:color="auto"/>
              <w:left w:val="nil"/>
              <w:bottom w:val="single" w:sz="6" w:space="0" w:color="auto"/>
              <w:right w:val="nil"/>
            </w:tcBorders>
          </w:tcPr>
          <w:p w:rsidR="0070375D" w:rsidRPr="00761CB2" w:rsidRDefault="0070375D" w:rsidP="00761CB2">
            <w:pPr>
              <w:pStyle w:val="TableofFigures"/>
              <w:rPr>
                <w:b/>
                <w:bCs/>
                <w:color w:val="000000"/>
                <w:lang w:eastAsia="en-AU"/>
              </w:rPr>
            </w:pPr>
            <w:r w:rsidRPr="00761CB2">
              <w:rPr>
                <w:b/>
                <w:bCs/>
                <w:color w:val="000000"/>
                <w:lang w:eastAsia="en-AU"/>
              </w:rPr>
              <w:t>3 179.0</w:t>
            </w:r>
          </w:p>
        </w:tc>
        <w:tc>
          <w:tcPr>
            <w:tcW w:w="859" w:type="dxa"/>
            <w:tcBorders>
              <w:top w:val="single" w:sz="6" w:space="0" w:color="auto"/>
              <w:left w:val="nil"/>
              <w:bottom w:val="single" w:sz="6" w:space="0" w:color="auto"/>
              <w:right w:val="nil"/>
            </w:tcBorders>
          </w:tcPr>
          <w:p w:rsidR="0070375D" w:rsidRPr="00761CB2" w:rsidRDefault="002714D4" w:rsidP="00761CB2">
            <w:pPr>
              <w:pStyle w:val="TableofFigures"/>
              <w:rPr>
                <w:b/>
                <w:bCs/>
                <w:color w:val="000000"/>
                <w:lang w:eastAsia="en-AU"/>
              </w:rPr>
            </w:pPr>
            <w:r>
              <w:rPr>
                <w:b/>
                <w:bCs/>
                <w:color w:val="000000"/>
                <w:lang w:eastAsia="en-AU"/>
              </w:rPr>
              <w:t>(</w:t>
            </w:r>
            <w:r w:rsidR="0070375D" w:rsidRPr="00761CB2">
              <w:rPr>
                <w:b/>
                <w:bCs/>
                <w:color w:val="000000"/>
                <w:lang w:eastAsia="en-AU"/>
              </w:rPr>
              <w:t>298.5)</w:t>
            </w:r>
          </w:p>
        </w:tc>
        <w:tc>
          <w:tcPr>
            <w:tcW w:w="858" w:type="dxa"/>
            <w:tcBorders>
              <w:top w:val="single" w:sz="6" w:space="0" w:color="auto"/>
              <w:left w:val="nil"/>
              <w:bottom w:val="single" w:sz="6" w:space="0" w:color="auto"/>
              <w:right w:val="nil"/>
            </w:tcBorders>
          </w:tcPr>
          <w:p w:rsidR="0070375D" w:rsidRPr="00761CB2" w:rsidRDefault="002714D4" w:rsidP="00761CB2">
            <w:pPr>
              <w:pStyle w:val="TableofFigures"/>
              <w:rPr>
                <w:b/>
                <w:bCs/>
                <w:color w:val="000000"/>
                <w:lang w:eastAsia="en-AU"/>
              </w:rPr>
            </w:pPr>
            <w:r>
              <w:rPr>
                <w:b/>
                <w:bCs/>
                <w:color w:val="000000"/>
                <w:lang w:eastAsia="en-AU"/>
              </w:rPr>
              <w:t>(</w:t>
            </w:r>
            <w:r w:rsidR="0070375D" w:rsidRPr="00761CB2">
              <w:rPr>
                <w:b/>
                <w:bCs/>
                <w:color w:val="000000"/>
                <w:lang w:eastAsia="en-AU"/>
              </w:rPr>
              <w:t>324.8)</w:t>
            </w:r>
          </w:p>
        </w:tc>
        <w:tc>
          <w:tcPr>
            <w:tcW w:w="859" w:type="dxa"/>
            <w:tcBorders>
              <w:top w:val="single" w:sz="6" w:space="0" w:color="auto"/>
              <w:left w:val="nil"/>
              <w:bottom w:val="single" w:sz="6" w:space="0" w:color="auto"/>
              <w:right w:val="nil"/>
            </w:tcBorders>
          </w:tcPr>
          <w:p w:rsidR="0070375D" w:rsidRPr="00761CB2" w:rsidRDefault="002714D4" w:rsidP="00761CB2">
            <w:pPr>
              <w:pStyle w:val="TableofFigures"/>
              <w:rPr>
                <w:b/>
                <w:bCs/>
                <w:color w:val="000000"/>
                <w:lang w:eastAsia="en-AU"/>
              </w:rPr>
            </w:pPr>
            <w:r>
              <w:rPr>
                <w:b/>
                <w:bCs/>
                <w:color w:val="000000"/>
                <w:lang w:eastAsia="en-AU"/>
              </w:rPr>
              <w:t>(</w:t>
            </w:r>
            <w:r w:rsidR="0070375D" w:rsidRPr="00761CB2">
              <w:rPr>
                <w:b/>
                <w:bCs/>
                <w:color w:val="000000"/>
                <w:lang w:eastAsia="en-AU"/>
              </w:rPr>
              <w:t>371.4)</w:t>
            </w:r>
          </w:p>
        </w:tc>
        <w:tc>
          <w:tcPr>
            <w:tcW w:w="859" w:type="dxa"/>
            <w:tcBorders>
              <w:top w:val="single" w:sz="6" w:space="0" w:color="auto"/>
              <w:left w:val="nil"/>
              <w:bottom w:val="single" w:sz="6" w:space="0" w:color="auto"/>
              <w:right w:val="nil"/>
            </w:tcBorders>
          </w:tcPr>
          <w:p w:rsidR="0070375D" w:rsidRPr="00761CB2" w:rsidRDefault="002714D4" w:rsidP="00761CB2">
            <w:pPr>
              <w:pStyle w:val="TableofFigures"/>
              <w:rPr>
                <w:b/>
                <w:bCs/>
                <w:color w:val="000000"/>
                <w:lang w:eastAsia="en-AU"/>
              </w:rPr>
            </w:pPr>
            <w:r>
              <w:rPr>
                <w:b/>
                <w:bCs/>
                <w:color w:val="000000"/>
                <w:lang w:eastAsia="en-AU"/>
              </w:rPr>
              <w:t>(</w:t>
            </w:r>
            <w:r w:rsidR="0070375D" w:rsidRPr="00761CB2">
              <w:rPr>
                <w:b/>
                <w:bCs/>
                <w:color w:val="000000"/>
                <w:lang w:eastAsia="en-AU"/>
              </w:rPr>
              <w:t>389.4)</w:t>
            </w:r>
          </w:p>
        </w:tc>
      </w:tr>
      <w:tr w:rsidR="0070375D" w:rsidRPr="00761CB2" w:rsidTr="00761CB2">
        <w:tc>
          <w:tcPr>
            <w:tcW w:w="2444" w:type="dxa"/>
            <w:tcBorders>
              <w:top w:val="single" w:sz="6" w:space="0" w:color="auto"/>
              <w:left w:val="nil"/>
              <w:bottom w:val="single" w:sz="12" w:space="0" w:color="auto"/>
              <w:right w:val="nil"/>
            </w:tcBorders>
          </w:tcPr>
          <w:p w:rsidR="0070375D" w:rsidRPr="00761CB2" w:rsidRDefault="0070375D" w:rsidP="00761CB2">
            <w:pPr>
              <w:pStyle w:val="Tabletext"/>
              <w:rPr>
                <w:b/>
                <w:bCs/>
                <w:color w:val="000000"/>
                <w:lang w:eastAsia="en-AU"/>
              </w:rPr>
            </w:pPr>
            <w:r w:rsidRPr="00761CB2">
              <w:rPr>
                <w:b/>
                <w:bCs/>
                <w:color w:val="000000"/>
                <w:lang w:eastAsia="en-AU"/>
              </w:rPr>
              <w:t>Net result</w:t>
            </w:r>
          </w:p>
        </w:tc>
        <w:tc>
          <w:tcPr>
            <w:tcW w:w="1038" w:type="dxa"/>
            <w:gridSpan w:val="4"/>
            <w:tcBorders>
              <w:top w:val="single" w:sz="6" w:space="0" w:color="auto"/>
              <w:left w:val="nil"/>
              <w:bottom w:val="single" w:sz="12" w:space="0" w:color="auto"/>
              <w:right w:val="nil"/>
            </w:tcBorders>
          </w:tcPr>
          <w:p w:rsidR="0070375D" w:rsidRPr="00761CB2" w:rsidRDefault="0070375D" w:rsidP="00761CB2">
            <w:pPr>
              <w:pStyle w:val="TableofFigures"/>
              <w:rPr>
                <w:b/>
                <w:bCs/>
                <w:color w:val="000000"/>
                <w:lang w:eastAsia="en-AU"/>
              </w:rPr>
            </w:pPr>
            <w:r w:rsidRPr="00761CB2">
              <w:rPr>
                <w:b/>
                <w:bCs/>
                <w:color w:val="000000"/>
                <w:lang w:eastAsia="en-AU"/>
              </w:rPr>
              <w:t>(10 418.6)</w:t>
            </w:r>
          </w:p>
        </w:tc>
        <w:tc>
          <w:tcPr>
            <w:tcW w:w="859" w:type="dxa"/>
            <w:tcBorders>
              <w:top w:val="single" w:sz="6" w:space="0" w:color="auto"/>
              <w:left w:val="nil"/>
              <w:bottom w:val="single" w:sz="12" w:space="0" w:color="auto"/>
              <w:right w:val="nil"/>
            </w:tcBorders>
          </w:tcPr>
          <w:p w:rsidR="0070375D" w:rsidRPr="00761CB2" w:rsidRDefault="0070375D" w:rsidP="00761CB2">
            <w:pPr>
              <w:pStyle w:val="TableofFigures"/>
              <w:rPr>
                <w:b/>
                <w:bCs/>
                <w:color w:val="000000"/>
                <w:lang w:eastAsia="en-AU"/>
              </w:rPr>
            </w:pPr>
            <w:r w:rsidRPr="00761CB2">
              <w:rPr>
                <w:b/>
                <w:bCs/>
                <w:color w:val="000000"/>
                <w:lang w:eastAsia="en-AU"/>
              </w:rPr>
              <w:t>1 742.3</w:t>
            </w:r>
          </w:p>
        </w:tc>
        <w:tc>
          <w:tcPr>
            <w:tcW w:w="859" w:type="dxa"/>
            <w:tcBorders>
              <w:top w:val="single" w:sz="6" w:space="0" w:color="auto"/>
              <w:left w:val="nil"/>
              <w:bottom w:val="single" w:sz="12" w:space="0" w:color="auto"/>
              <w:right w:val="nil"/>
            </w:tcBorders>
          </w:tcPr>
          <w:p w:rsidR="0070375D" w:rsidRPr="00761CB2" w:rsidRDefault="002714D4" w:rsidP="00761CB2">
            <w:pPr>
              <w:pStyle w:val="TableofFigures"/>
              <w:rPr>
                <w:b/>
                <w:bCs/>
                <w:color w:val="000000"/>
                <w:lang w:eastAsia="en-AU"/>
              </w:rPr>
            </w:pPr>
            <w:r>
              <w:rPr>
                <w:b/>
                <w:bCs/>
                <w:color w:val="000000"/>
                <w:lang w:eastAsia="en-AU"/>
              </w:rPr>
              <w:t>(</w:t>
            </w:r>
            <w:r w:rsidR="0070375D" w:rsidRPr="00761CB2">
              <w:rPr>
                <w:b/>
                <w:bCs/>
                <w:color w:val="000000"/>
                <w:lang w:eastAsia="en-AU"/>
              </w:rPr>
              <w:t>604.8)</w:t>
            </w:r>
          </w:p>
        </w:tc>
        <w:tc>
          <w:tcPr>
            <w:tcW w:w="858" w:type="dxa"/>
            <w:tcBorders>
              <w:top w:val="single" w:sz="6" w:space="0" w:color="auto"/>
              <w:left w:val="nil"/>
              <w:bottom w:val="single" w:sz="12" w:space="0" w:color="auto"/>
              <w:right w:val="nil"/>
            </w:tcBorders>
          </w:tcPr>
          <w:p w:rsidR="0070375D" w:rsidRPr="00761CB2" w:rsidRDefault="002714D4" w:rsidP="00761CB2">
            <w:pPr>
              <w:pStyle w:val="TableofFigures"/>
              <w:rPr>
                <w:b/>
                <w:bCs/>
                <w:color w:val="000000"/>
                <w:lang w:eastAsia="en-AU"/>
              </w:rPr>
            </w:pPr>
            <w:r>
              <w:rPr>
                <w:b/>
                <w:bCs/>
                <w:color w:val="000000"/>
                <w:lang w:eastAsia="en-AU"/>
              </w:rPr>
              <w:t>(</w:t>
            </w:r>
            <w:r w:rsidR="0070375D" w:rsidRPr="00761CB2">
              <w:rPr>
                <w:b/>
                <w:bCs/>
                <w:color w:val="000000"/>
                <w:lang w:eastAsia="en-AU"/>
              </w:rPr>
              <w:t>394.7)</w:t>
            </w:r>
          </w:p>
        </w:tc>
        <w:tc>
          <w:tcPr>
            <w:tcW w:w="859" w:type="dxa"/>
            <w:tcBorders>
              <w:top w:val="single" w:sz="6" w:space="0" w:color="auto"/>
              <w:left w:val="nil"/>
              <w:bottom w:val="single" w:sz="12" w:space="0" w:color="auto"/>
              <w:right w:val="nil"/>
            </w:tcBorders>
          </w:tcPr>
          <w:p w:rsidR="0070375D" w:rsidRPr="00761CB2" w:rsidRDefault="0070375D" w:rsidP="00761CB2">
            <w:pPr>
              <w:pStyle w:val="TableofFigures"/>
              <w:rPr>
                <w:b/>
                <w:bCs/>
                <w:color w:val="000000"/>
                <w:lang w:eastAsia="en-AU"/>
              </w:rPr>
            </w:pPr>
            <w:r w:rsidRPr="00761CB2">
              <w:rPr>
                <w:b/>
                <w:bCs/>
                <w:color w:val="000000"/>
                <w:lang w:eastAsia="en-AU"/>
              </w:rPr>
              <w:t xml:space="preserve"> 912.4</w:t>
            </w:r>
          </w:p>
        </w:tc>
        <w:tc>
          <w:tcPr>
            <w:tcW w:w="859" w:type="dxa"/>
            <w:tcBorders>
              <w:top w:val="single" w:sz="6" w:space="0" w:color="auto"/>
              <w:left w:val="nil"/>
              <w:bottom w:val="single" w:sz="12" w:space="0" w:color="auto"/>
              <w:right w:val="nil"/>
            </w:tcBorders>
          </w:tcPr>
          <w:p w:rsidR="0070375D" w:rsidRPr="00761CB2" w:rsidRDefault="0070375D" w:rsidP="00761CB2">
            <w:pPr>
              <w:pStyle w:val="TableofFigures"/>
              <w:rPr>
                <w:b/>
                <w:bCs/>
                <w:color w:val="000000"/>
                <w:lang w:eastAsia="en-AU"/>
              </w:rPr>
            </w:pPr>
            <w:r w:rsidRPr="00761CB2">
              <w:rPr>
                <w:b/>
                <w:bCs/>
                <w:color w:val="000000"/>
                <w:lang w:eastAsia="en-AU"/>
              </w:rPr>
              <w:t>1 611.6</w:t>
            </w:r>
          </w:p>
        </w:tc>
      </w:tr>
      <w:tr w:rsidR="0070375D" w:rsidRPr="00761CB2" w:rsidTr="00761CB2">
        <w:tc>
          <w:tcPr>
            <w:tcW w:w="2822" w:type="dxa"/>
            <w:gridSpan w:val="4"/>
            <w:tcBorders>
              <w:top w:val="nil"/>
              <w:left w:val="nil"/>
              <w:bottom w:val="single" w:sz="12" w:space="0" w:color="auto"/>
              <w:right w:val="nil"/>
            </w:tcBorders>
          </w:tcPr>
          <w:p w:rsidR="0070375D" w:rsidRPr="00761CB2" w:rsidRDefault="0070375D" w:rsidP="00761CB2">
            <w:pPr>
              <w:pStyle w:val="Tabletext"/>
              <w:rPr>
                <w:rFonts w:cs="Calibri"/>
                <w:color w:val="000000"/>
                <w:lang w:eastAsia="en-AU"/>
              </w:rPr>
            </w:pPr>
            <w:r w:rsidRPr="00761CB2">
              <w:rPr>
                <w:color w:val="000000"/>
                <w:lang w:eastAsia="en-AU"/>
              </w:rPr>
              <w:t xml:space="preserve">Expected return on superannuation assets taken to other comprehensive income and not included in the net result </w:t>
            </w:r>
            <w:r w:rsidRPr="00761CB2">
              <w:rPr>
                <w:rFonts w:cs="Calibri"/>
                <w:color w:val="000000"/>
                <w:lang w:eastAsia="en-AU"/>
              </w:rPr>
              <w:t>from transactions</w:t>
            </w:r>
          </w:p>
        </w:tc>
        <w:tc>
          <w:tcPr>
            <w:tcW w:w="660" w:type="dxa"/>
            <w:tcBorders>
              <w:top w:val="single" w:sz="6" w:space="0" w:color="auto"/>
              <w:left w:val="nil"/>
              <w:bottom w:val="single" w:sz="12" w:space="0" w:color="auto"/>
              <w:right w:val="nil"/>
            </w:tcBorders>
          </w:tcPr>
          <w:p w:rsidR="0070375D" w:rsidRPr="00761CB2" w:rsidRDefault="0070375D" w:rsidP="00761CB2">
            <w:pPr>
              <w:pStyle w:val="TableofFigures"/>
              <w:rPr>
                <w:b/>
                <w:bCs/>
                <w:color w:val="000000"/>
                <w:lang w:eastAsia="en-AU"/>
              </w:rPr>
            </w:pPr>
            <w:r w:rsidRPr="00761CB2">
              <w:rPr>
                <w:b/>
                <w:bCs/>
                <w:color w:val="000000"/>
                <w:lang w:eastAsia="en-AU"/>
              </w:rPr>
              <w:t>..</w:t>
            </w:r>
          </w:p>
        </w:tc>
        <w:tc>
          <w:tcPr>
            <w:tcW w:w="859" w:type="dxa"/>
            <w:tcBorders>
              <w:top w:val="single" w:sz="6" w:space="0" w:color="auto"/>
              <w:left w:val="nil"/>
              <w:bottom w:val="single" w:sz="12" w:space="0" w:color="auto"/>
              <w:right w:val="nil"/>
            </w:tcBorders>
          </w:tcPr>
          <w:p w:rsidR="0070375D" w:rsidRPr="00761CB2" w:rsidRDefault="0070375D" w:rsidP="00761CB2">
            <w:pPr>
              <w:pStyle w:val="TableofFigures"/>
              <w:rPr>
                <w:b/>
                <w:bCs/>
                <w:color w:val="000000"/>
                <w:lang w:eastAsia="en-AU"/>
              </w:rPr>
            </w:pPr>
            <w:r w:rsidRPr="00761CB2">
              <w:rPr>
                <w:b/>
                <w:bCs/>
                <w:color w:val="000000"/>
                <w:lang w:eastAsia="en-AU"/>
              </w:rPr>
              <w:t>..</w:t>
            </w:r>
          </w:p>
        </w:tc>
        <w:tc>
          <w:tcPr>
            <w:tcW w:w="859" w:type="dxa"/>
            <w:tcBorders>
              <w:top w:val="single" w:sz="6" w:space="0" w:color="auto"/>
              <w:left w:val="nil"/>
              <w:bottom w:val="single" w:sz="12" w:space="0" w:color="auto"/>
              <w:right w:val="nil"/>
            </w:tcBorders>
          </w:tcPr>
          <w:p w:rsidR="0070375D" w:rsidRPr="00761CB2" w:rsidRDefault="0070375D" w:rsidP="00761CB2">
            <w:pPr>
              <w:pStyle w:val="TableofFigures"/>
              <w:rPr>
                <w:b/>
                <w:bCs/>
                <w:color w:val="000000"/>
                <w:lang w:eastAsia="en-AU"/>
              </w:rPr>
            </w:pPr>
            <w:r w:rsidRPr="00761CB2">
              <w:rPr>
                <w:b/>
                <w:bCs/>
                <w:color w:val="000000"/>
                <w:lang w:eastAsia="en-AU"/>
              </w:rPr>
              <w:t xml:space="preserve"> 593.2</w:t>
            </w:r>
          </w:p>
        </w:tc>
        <w:tc>
          <w:tcPr>
            <w:tcW w:w="858" w:type="dxa"/>
            <w:tcBorders>
              <w:top w:val="single" w:sz="6" w:space="0" w:color="auto"/>
              <w:left w:val="nil"/>
              <w:bottom w:val="single" w:sz="12" w:space="0" w:color="auto"/>
              <w:right w:val="nil"/>
            </w:tcBorders>
          </w:tcPr>
          <w:p w:rsidR="0070375D" w:rsidRPr="00761CB2" w:rsidRDefault="0070375D" w:rsidP="00761CB2">
            <w:pPr>
              <w:pStyle w:val="TableofFigures"/>
              <w:rPr>
                <w:b/>
                <w:bCs/>
                <w:color w:val="000000"/>
                <w:lang w:eastAsia="en-AU"/>
              </w:rPr>
            </w:pPr>
            <w:r w:rsidRPr="00761CB2">
              <w:rPr>
                <w:b/>
                <w:bCs/>
                <w:color w:val="000000"/>
                <w:lang w:eastAsia="en-AU"/>
              </w:rPr>
              <w:t xml:space="preserve"> 606.8</w:t>
            </w:r>
          </w:p>
        </w:tc>
        <w:tc>
          <w:tcPr>
            <w:tcW w:w="859" w:type="dxa"/>
            <w:tcBorders>
              <w:top w:val="single" w:sz="6" w:space="0" w:color="auto"/>
              <w:left w:val="nil"/>
              <w:bottom w:val="single" w:sz="12" w:space="0" w:color="auto"/>
              <w:right w:val="nil"/>
            </w:tcBorders>
          </w:tcPr>
          <w:p w:rsidR="0070375D" w:rsidRPr="00761CB2" w:rsidRDefault="0070375D" w:rsidP="00761CB2">
            <w:pPr>
              <w:pStyle w:val="TableofFigures"/>
              <w:rPr>
                <w:b/>
                <w:bCs/>
                <w:color w:val="000000"/>
                <w:lang w:eastAsia="en-AU"/>
              </w:rPr>
            </w:pPr>
            <w:r w:rsidRPr="00761CB2">
              <w:rPr>
                <w:b/>
                <w:bCs/>
                <w:color w:val="000000"/>
                <w:lang w:eastAsia="en-AU"/>
              </w:rPr>
              <w:t xml:space="preserve"> 617.3</w:t>
            </w:r>
          </w:p>
        </w:tc>
        <w:tc>
          <w:tcPr>
            <w:tcW w:w="859" w:type="dxa"/>
            <w:tcBorders>
              <w:top w:val="single" w:sz="6" w:space="0" w:color="auto"/>
              <w:left w:val="nil"/>
              <w:bottom w:val="single" w:sz="12" w:space="0" w:color="auto"/>
              <w:right w:val="nil"/>
            </w:tcBorders>
          </w:tcPr>
          <w:p w:rsidR="0070375D" w:rsidRPr="00761CB2" w:rsidRDefault="0070375D" w:rsidP="00761CB2">
            <w:pPr>
              <w:pStyle w:val="TableofFigures"/>
              <w:rPr>
                <w:b/>
                <w:bCs/>
                <w:color w:val="000000"/>
                <w:lang w:eastAsia="en-AU"/>
              </w:rPr>
            </w:pPr>
            <w:r w:rsidRPr="00761CB2">
              <w:rPr>
                <w:b/>
                <w:bCs/>
                <w:color w:val="000000"/>
                <w:lang w:eastAsia="en-AU"/>
              </w:rPr>
              <w:t xml:space="preserve"> 626.4</w:t>
            </w:r>
          </w:p>
        </w:tc>
      </w:tr>
      <w:tr w:rsidR="0070375D" w:rsidRPr="00761CB2" w:rsidTr="00761CB2">
        <w:tc>
          <w:tcPr>
            <w:tcW w:w="2624" w:type="dxa"/>
            <w:gridSpan w:val="3"/>
            <w:tcBorders>
              <w:top w:val="single" w:sz="12" w:space="0" w:color="auto"/>
              <w:left w:val="nil"/>
              <w:bottom w:val="single" w:sz="12" w:space="0" w:color="auto"/>
              <w:right w:val="nil"/>
            </w:tcBorders>
          </w:tcPr>
          <w:p w:rsidR="0070375D" w:rsidRPr="00761CB2" w:rsidRDefault="0070375D" w:rsidP="00761CB2">
            <w:pPr>
              <w:pStyle w:val="Tabletext"/>
              <w:rPr>
                <w:b/>
                <w:bCs/>
                <w:color w:val="000000"/>
                <w:vertAlign w:val="superscript"/>
                <w:lang w:eastAsia="en-AU"/>
              </w:rPr>
            </w:pPr>
            <w:r w:rsidRPr="00761CB2">
              <w:rPr>
                <w:b/>
                <w:bCs/>
                <w:color w:val="000000"/>
                <w:lang w:eastAsia="en-AU"/>
              </w:rPr>
              <w:t xml:space="preserve">Government fiscal result </w:t>
            </w:r>
            <w:r w:rsidRPr="00761CB2">
              <w:rPr>
                <w:b/>
                <w:bCs/>
                <w:color w:val="000000"/>
                <w:vertAlign w:val="superscript"/>
                <w:lang w:eastAsia="en-AU"/>
              </w:rPr>
              <w:t>(f)</w:t>
            </w:r>
          </w:p>
        </w:tc>
        <w:tc>
          <w:tcPr>
            <w:tcW w:w="858" w:type="dxa"/>
            <w:gridSpan w:val="2"/>
            <w:tcBorders>
              <w:top w:val="single" w:sz="12" w:space="0" w:color="auto"/>
              <w:left w:val="nil"/>
              <w:bottom w:val="single" w:sz="12" w:space="0" w:color="auto"/>
              <w:right w:val="nil"/>
            </w:tcBorders>
          </w:tcPr>
          <w:p w:rsidR="0070375D" w:rsidRPr="00761CB2" w:rsidRDefault="0070375D" w:rsidP="00761CB2">
            <w:pPr>
              <w:pStyle w:val="TableofFigures"/>
              <w:rPr>
                <w:b/>
                <w:bCs/>
                <w:color w:val="000000"/>
                <w:lang w:eastAsia="en-AU"/>
              </w:rPr>
            </w:pPr>
            <w:r w:rsidRPr="00761CB2">
              <w:rPr>
                <w:b/>
                <w:bCs/>
                <w:color w:val="000000"/>
                <w:lang w:eastAsia="en-AU"/>
              </w:rPr>
              <w:t xml:space="preserve"> 45.8</w:t>
            </w:r>
          </w:p>
        </w:tc>
        <w:tc>
          <w:tcPr>
            <w:tcW w:w="859" w:type="dxa"/>
            <w:tcBorders>
              <w:top w:val="single" w:sz="12" w:space="0" w:color="auto"/>
              <w:left w:val="nil"/>
              <w:bottom w:val="single" w:sz="12" w:space="0" w:color="auto"/>
              <w:right w:val="nil"/>
            </w:tcBorders>
          </w:tcPr>
          <w:p w:rsidR="0070375D" w:rsidRPr="00761CB2" w:rsidRDefault="0070375D" w:rsidP="00761CB2">
            <w:pPr>
              <w:pStyle w:val="TableofFigures"/>
              <w:rPr>
                <w:b/>
                <w:bCs/>
                <w:color w:val="000000"/>
                <w:lang w:eastAsia="en-AU"/>
              </w:rPr>
            </w:pPr>
            <w:r w:rsidRPr="00761CB2">
              <w:rPr>
                <w:b/>
                <w:bCs/>
                <w:color w:val="000000"/>
                <w:lang w:eastAsia="en-AU"/>
              </w:rPr>
              <w:t>(1 436.7)</w:t>
            </w:r>
          </w:p>
        </w:tc>
        <w:tc>
          <w:tcPr>
            <w:tcW w:w="859" w:type="dxa"/>
            <w:tcBorders>
              <w:top w:val="single" w:sz="12" w:space="0" w:color="auto"/>
              <w:left w:val="nil"/>
              <w:bottom w:val="single" w:sz="12" w:space="0" w:color="auto"/>
              <w:right w:val="nil"/>
            </w:tcBorders>
          </w:tcPr>
          <w:p w:rsidR="0070375D" w:rsidRPr="00761CB2" w:rsidRDefault="0070375D" w:rsidP="00761CB2">
            <w:pPr>
              <w:pStyle w:val="TableofFigures"/>
              <w:rPr>
                <w:b/>
                <w:bCs/>
                <w:color w:val="000000"/>
                <w:lang w:eastAsia="en-AU"/>
              </w:rPr>
            </w:pPr>
            <w:r w:rsidRPr="00761CB2">
              <w:rPr>
                <w:b/>
                <w:bCs/>
                <w:color w:val="000000"/>
                <w:lang w:eastAsia="en-AU"/>
              </w:rPr>
              <w:t xml:space="preserve"> 286.8</w:t>
            </w:r>
          </w:p>
        </w:tc>
        <w:tc>
          <w:tcPr>
            <w:tcW w:w="858" w:type="dxa"/>
            <w:tcBorders>
              <w:top w:val="single" w:sz="12" w:space="0" w:color="auto"/>
              <w:left w:val="nil"/>
              <w:bottom w:val="single" w:sz="12" w:space="0" w:color="auto"/>
              <w:right w:val="nil"/>
            </w:tcBorders>
          </w:tcPr>
          <w:p w:rsidR="0070375D" w:rsidRPr="00761CB2" w:rsidRDefault="0070375D" w:rsidP="00761CB2">
            <w:pPr>
              <w:pStyle w:val="TableofFigures"/>
              <w:rPr>
                <w:b/>
                <w:bCs/>
                <w:color w:val="000000"/>
                <w:lang w:eastAsia="en-AU"/>
              </w:rPr>
            </w:pPr>
            <w:r w:rsidRPr="00761CB2">
              <w:rPr>
                <w:b/>
                <w:bCs/>
                <w:color w:val="000000"/>
                <w:lang w:eastAsia="en-AU"/>
              </w:rPr>
              <w:t xml:space="preserve"> 536.8</w:t>
            </w:r>
          </w:p>
        </w:tc>
        <w:tc>
          <w:tcPr>
            <w:tcW w:w="859" w:type="dxa"/>
            <w:tcBorders>
              <w:top w:val="single" w:sz="12" w:space="0" w:color="auto"/>
              <w:left w:val="nil"/>
              <w:bottom w:val="single" w:sz="12" w:space="0" w:color="auto"/>
              <w:right w:val="nil"/>
            </w:tcBorders>
          </w:tcPr>
          <w:p w:rsidR="0070375D" w:rsidRPr="00761CB2" w:rsidRDefault="0070375D" w:rsidP="00761CB2">
            <w:pPr>
              <w:pStyle w:val="TableofFigures"/>
              <w:rPr>
                <w:b/>
                <w:bCs/>
                <w:color w:val="000000"/>
                <w:lang w:eastAsia="en-AU"/>
              </w:rPr>
            </w:pPr>
            <w:r w:rsidRPr="00761CB2">
              <w:rPr>
                <w:b/>
                <w:bCs/>
                <w:color w:val="000000"/>
                <w:lang w:eastAsia="en-AU"/>
              </w:rPr>
              <w:t>1 901.2</w:t>
            </w:r>
          </w:p>
        </w:tc>
        <w:tc>
          <w:tcPr>
            <w:tcW w:w="859" w:type="dxa"/>
            <w:tcBorders>
              <w:top w:val="single" w:sz="12" w:space="0" w:color="auto"/>
              <w:left w:val="nil"/>
              <w:bottom w:val="single" w:sz="12" w:space="0" w:color="auto"/>
              <w:right w:val="nil"/>
            </w:tcBorders>
          </w:tcPr>
          <w:p w:rsidR="0070375D" w:rsidRPr="00761CB2" w:rsidRDefault="0070375D" w:rsidP="00761CB2">
            <w:pPr>
              <w:pStyle w:val="TableofFigures"/>
              <w:rPr>
                <w:b/>
                <w:bCs/>
                <w:color w:val="000000"/>
                <w:lang w:eastAsia="en-AU"/>
              </w:rPr>
            </w:pPr>
            <w:r w:rsidRPr="00761CB2">
              <w:rPr>
                <w:b/>
                <w:bCs/>
                <w:color w:val="000000"/>
                <w:lang w:eastAsia="en-AU"/>
              </w:rPr>
              <w:t>2 627.4</w:t>
            </w:r>
          </w:p>
        </w:tc>
      </w:tr>
    </w:tbl>
    <w:p w:rsidR="0070375D" w:rsidRDefault="0070375D" w:rsidP="00EC1C6E">
      <w:pPr>
        <w:pStyle w:val="Source"/>
      </w:pPr>
      <w:r>
        <w:t>Source: Department of Treasury and Finance</w:t>
      </w:r>
    </w:p>
    <w:p w:rsidR="0070375D" w:rsidRDefault="0070375D" w:rsidP="000F7709">
      <w:pPr>
        <w:pStyle w:val="Notes"/>
      </w:pPr>
      <w:r>
        <w:t>Notes:</w:t>
      </w:r>
    </w:p>
    <w:p w:rsidR="0070375D" w:rsidRDefault="0070375D" w:rsidP="000F7709">
      <w:pPr>
        <w:pStyle w:val="Notes"/>
      </w:pPr>
      <w:r>
        <w:t>(a)</w:t>
      </w:r>
      <w:r>
        <w:tab/>
        <w:t>This is a summary operating statement. The comprehensive operating statement i</w:t>
      </w:r>
      <w:r w:rsidR="00AE1BAD">
        <w:t>s presented in Budget Paper No. </w:t>
      </w:r>
      <w:r>
        <w:t xml:space="preserve">5 </w:t>
      </w:r>
      <w:r w:rsidRPr="003B61B0">
        <w:rPr>
          <w:i w:val="0"/>
        </w:rPr>
        <w:t>Statement of Finances</w:t>
      </w:r>
      <w:r>
        <w:t>.</w:t>
      </w:r>
    </w:p>
    <w:p w:rsidR="0070375D" w:rsidRDefault="0070375D" w:rsidP="000F7709">
      <w:pPr>
        <w:pStyle w:val="Notes"/>
      </w:pPr>
      <w:r>
        <w:t>(b)</w:t>
      </w:r>
      <w:r>
        <w:tab/>
        <w:t>Figures for 2011</w:t>
      </w:r>
      <w:r w:rsidR="00276239">
        <w:noBreakHyphen/>
      </w:r>
      <w:r>
        <w:t>12 and 2012</w:t>
      </w:r>
      <w:r w:rsidR="00276239">
        <w:noBreakHyphen/>
      </w:r>
      <w:r>
        <w:t xml:space="preserve">13 are prepared under accounting standards relevant at the time, which do not take into account the changes to the revised AASB 119 </w:t>
      </w:r>
      <w:r w:rsidRPr="001F7132">
        <w:rPr>
          <w:i w:val="0"/>
        </w:rPr>
        <w:t>Employee Benefits</w:t>
      </w:r>
      <w:r>
        <w:rPr>
          <w:i w:val="0"/>
        </w:rPr>
        <w:fldChar w:fldCharType="begin"/>
      </w:r>
      <w:r>
        <w:instrText xml:space="preserve"> XE "</w:instrText>
      </w:r>
      <w:r w:rsidRPr="008C461E">
        <w:instrText>AASB</w:instrText>
      </w:r>
      <w:r w:rsidR="00AE1BAD">
        <w:instrText> </w:instrText>
      </w:r>
      <w:r w:rsidRPr="008C461E">
        <w:instrText xml:space="preserve">119 </w:instrText>
      </w:r>
      <w:r w:rsidRPr="00AE1BAD">
        <w:instrText>Employee Benefits</w:instrText>
      </w:r>
      <w:r>
        <w:instrText xml:space="preserve">" </w:instrText>
      </w:r>
      <w:r>
        <w:rPr>
          <w:i w:val="0"/>
        </w:rPr>
        <w:fldChar w:fldCharType="end"/>
      </w:r>
      <w:r>
        <w:t>.</w:t>
      </w:r>
    </w:p>
    <w:p w:rsidR="0070375D" w:rsidRDefault="0070375D" w:rsidP="007C6A7E">
      <w:pPr>
        <w:pStyle w:val="Notes"/>
      </w:pPr>
      <w:r>
        <w:t>(c)</w:t>
      </w:r>
      <w:r>
        <w:tab/>
        <w:t xml:space="preserve">Comprises </w:t>
      </w:r>
      <w:r w:rsidRPr="007C6A7E">
        <w:t>dividends</w:t>
      </w:r>
      <w:r>
        <w:t>, income tax and rate equivalent revenue and interest.</w:t>
      </w:r>
    </w:p>
    <w:p w:rsidR="0070375D" w:rsidRDefault="0070375D" w:rsidP="000F7709">
      <w:pPr>
        <w:pStyle w:val="Notes"/>
      </w:pPr>
      <w:r>
        <w:t>(d)</w:t>
      </w:r>
      <w:r>
        <w:tab/>
        <w:t>Comprises superannuation interest expense and other superannuation expenses.</w:t>
      </w:r>
    </w:p>
    <w:p w:rsidR="0070375D" w:rsidRPr="00C1722C" w:rsidRDefault="0070375D" w:rsidP="00FC5BEE">
      <w:pPr>
        <w:pStyle w:val="Notes"/>
      </w:pPr>
      <w:r w:rsidRPr="00C1722C">
        <w:t>(</w:t>
      </w:r>
      <w:r>
        <w:t>e</w:t>
      </w:r>
      <w:r w:rsidRPr="00C1722C">
        <w:t>)</w:t>
      </w:r>
      <w:r w:rsidRPr="00C1722C">
        <w:tab/>
      </w:r>
      <w:r>
        <w:t>The estimated expense growth from 2013</w:t>
      </w:r>
      <w:r w:rsidR="00276239">
        <w:noBreakHyphen/>
      </w:r>
      <w:r>
        <w:t>14 is derived by excluding the impact of the revised AASB</w:t>
      </w:r>
      <w:r w:rsidR="00AE1BAD">
        <w:t> </w:t>
      </w:r>
      <w:r>
        <w:t xml:space="preserve">119 </w:t>
      </w:r>
      <w:r w:rsidRPr="00C32A30">
        <w:rPr>
          <w:i w:val="0"/>
        </w:rPr>
        <w:t>Employee Benefits</w:t>
      </w:r>
      <w:r w:rsidRPr="00C1722C">
        <w:t>.</w:t>
      </w:r>
    </w:p>
    <w:p w:rsidR="0070375D" w:rsidRPr="005D2331" w:rsidRDefault="0070375D" w:rsidP="00FC5BEE">
      <w:pPr>
        <w:pStyle w:val="Notes"/>
      </w:pPr>
      <w:r>
        <w:t>(f)</w:t>
      </w:r>
      <w:r>
        <w:tab/>
        <w:t>E</w:t>
      </w:r>
      <w:r w:rsidRPr="00817FFE">
        <w:t xml:space="preserve">quals </w:t>
      </w:r>
      <w:r>
        <w:t xml:space="preserve">to </w:t>
      </w:r>
      <w:r w:rsidRPr="00817FFE">
        <w:t xml:space="preserve">the net result from transactions after excluding the impact of the revised AASB 119 </w:t>
      </w:r>
      <w:r w:rsidRPr="00C32A30">
        <w:rPr>
          <w:i w:val="0"/>
        </w:rPr>
        <w:t>Employee Benefits</w:t>
      </w:r>
      <w:r>
        <w:t>, which applies from 2013</w:t>
      </w:r>
      <w:r w:rsidR="00276239">
        <w:noBreakHyphen/>
      </w:r>
      <w:r>
        <w:t>14</w:t>
      </w:r>
      <w:r w:rsidRPr="00C1722C">
        <w:t>.</w:t>
      </w:r>
      <w:r>
        <w:t xml:space="preserve"> </w:t>
      </w:r>
    </w:p>
    <w:p w:rsidR="0070375D" w:rsidRDefault="0070375D">
      <w:pPr>
        <w:spacing w:after="0"/>
      </w:pPr>
      <w:r>
        <w:br w:type="page"/>
      </w:r>
    </w:p>
    <w:p w:rsidR="0070375D" w:rsidRPr="004C5412" w:rsidRDefault="0070375D" w:rsidP="00E34FF6">
      <w:r w:rsidRPr="00456EBC">
        <w:lastRenderedPageBreak/>
        <w:t>The NFPS is forecast to record a net deficit from trans</w:t>
      </w:r>
      <w:r>
        <w:t>actions of $1.4 billion in 2012</w:t>
      </w:r>
      <w:r w:rsidR="00276239">
        <w:noBreakHyphen/>
      </w:r>
      <w:r w:rsidRPr="00456EBC">
        <w:t>13, improving over the forward estimates period to a net surplus from transactions of $</w:t>
      </w:r>
      <w:r>
        <w:t>2.0 billion</w:t>
      </w:r>
      <w:r w:rsidRPr="00456EBC">
        <w:t xml:space="preserve"> by 2016</w:t>
      </w:r>
      <w:r w:rsidR="00276239">
        <w:noBreakHyphen/>
      </w:r>
      <w:r w:rsidRPr="00456EBC">
        <w:t>17. This results in an average surplus of $</w:t>
      </w:r>
      <w:r>
        <w:t>720 million</w:t>
      </w:r>
      <w:r w:rsidRPr="00456EBC">
        <w:t xml:space="preserve"> over the budget and forward estimate years. </w:t>
      </w:r>
      <w:r>
        <w:t>Chart 5.1 shows that this result is driven by</w:t>
      </w:r>
      <w:r w:rsidRPr="00456EBC">
        <w:t xml:space="preserve"> an average surplus from transactions of $1.</w:t>
      </w:r>
      <w:r>
        <w:t>3 billion</w:t>
      </w:r>
      <w:r w:rsidRPr="00456EBC">
        <w:t xml:space="preserve"> within the general government sector, </w:t>
      </w:r>
      <w:r>
        <w:t>offset by</w:t>
      </w:r>
      <w:r w:rsidRPr="00456EBC">
        <w:t xml:space="preserve"> an average deficit of $334</w:t>
      </w:r>
      <w:r>
        <w:t> million</w:t>
      </w:r>
      <w:r w:rsidRPr="00456EBC">
        <w:t xml:space="preserve"> for the PNFC sector (discussed below).</w:t>
      </w:r>
    </w:p>
    <w:p w:rsidR="0070375D" w:rsidRDefault="0070375D" w:rsidP="000703CC">
      <w:pPr>
        <w:pStyle w:val="Chartheading"/>
      </w:pPr>
      <w:r w:rsidRPr="00563839">
        <w:t>Chart 5.1:</w:t>
      </w:r>
      <w:r w:rsidRPr="00563839">
        <w:tab/>
        <w:t xml:space="preserve">Components of the NFPS </w:t>
      </w:r>
      <w:r>
        <w:t>net operating result from transactions</w:t>
      </w:r>
    </w:p>
    <w:p w:rsidR="0070375D" w:rsidRDefault="00315427" w:rsidP="00D835B8">
      <w:pPr>
        <w:pStyle w:val="Chartpara"/>
      </w:pPr>
      <w:r>
        <w:pict>
          <v:shape id="_x0000_i1040" type="#_x0000_t75" style="width:379.5pt;height:216.75pt">
            <v:imagedata r:id="rId40" o:title=""/>
          </v:shape>
        </w:pict>
      </w:r>
    </w:p>
    <w:p w:rsidR="0070375D" w:rsidRDefault="0070375D" w:rsidP="005D03AF">
      <w:pPr>
        <w:pStyle w:val="Source"/>
      </w:pPr>
      <w:r>
        <w:t>Source: Department of Treasury and Finance</w:t>
      </w:r>
    </w:p>
    <w:p w:rsidR="0070375D" w:rsidRDefault="0070375D" w:rsidP="005E274A">
      <w:pPr>
        <w:pStyle w:val="Notes"/>
      </w:pPr>
      <w:r>
        <w:t>Note:</w:t>
      </w:r>
    </w:p>
    <w:p w:rsidR="0070375D" w:rsidRDefault="0070375D" w:rsidP="005E274A">
      <w:pPr>
        <w:pStyle w:val="Notes"/>
      </w:pPr>
      <w:r>
        <w:t>(a)</w:t>
      </w:r>
      <w:r>
        <w:tab/>
        <w:t xml:space="preserve">Eliminations include transactions between the sectors, including dividends paid from PNFCs to </w:t>
      </w:r>
      <w:r w:rsidRPr="005E274A">
        <w:t>the general government sector.</w:t>
      </w:r>
      <w:r>
        <w:t xml:space="preserve"> </w:t>
      </w:r>
      <w:r>
        <w:fldChar w:fldCharType="begin"/>
      </w:r>
      <w:r>
        <w:instrText xml:space="preserve"> XE "</w:instrText>
      </w:r>
      <w:r w:rsidRPr="009E53A6">
        <w:instrText>Non</w:instrText>
      </w:r>
      <w:r>
        <w:noBreakHyphen/>
      </w:r>
      <w:r w:rsidRPr="009E53A6">
        <w:instrText>financial public sector</w:instrText>
      </w:r>
      <w:r>
        <w:instrText xml:space="preserve">" \r "BP2Ch5NonFinPub" </w:instrText>
      </w:r>
      <w:r>
        <w:fldChar w:fldCharType="end"/>
      </w:r>
    </w:p>
    <w:p w:rsidR="0070375D" w:rsidRDefault="0070375D" w:rsidP="00476148"/>
    <w:p w:rsidR="0070375D" w:rsidRPr="002D4333" w:rsidRDefault="0070375D" w:rsidP="00476148">
      <w:bookmarkStart w:id="59" w:name="BP2Ch5PubNonFinCorp"/>
      <w:bookmarkEnd w:id="57"/>
      <w:r>
        <w:t>The PNFC sector is forecast to record a net deficit from transactions of $598 million in 2012</w:t>
      </w:r>
      <w:r w:rsidR="00276239">
        <w:noBreakHyphen/>
      </w:r>
      <w:r>
        <w:t xml:space="preserve">13, before recovering over the budget and forward </w:t>
      </w:r>
      <w:r w:rsidRPr="002D4333">
        <w:t>estimates. The following trends within the sector are driving the forecast results:</w:t>
      </w:r>
    </w:p>
    <w:p w:rsidR="0070375D" w:rsidRPr="003A3745" w:rsidRDefault="0070375D" w:rsidP="007C6A7E">
      <w:pPr>
        <w:pStyle w:val="BulletText"/>
      </w:pPr>
      <w:r w:rsidRPr="002D4333">
        <w:t xml:space="preserve">improvement in the metropolitan water sector across the forward estimates </w:t>
      </w:r>
      <w:r w:rsidR="002C5F0D">
        <w:t>for</w:t>
      </w:r>
      <w:r w:rsidRPr="002D4333">
        <w:t xml:space="preserve"> Melbourne Water Corporation and the metropolitan water retailers</w:t>
      </w:r>
      <w:r>
        <w:t>. This represents a recovery from the 2012</w:t>
      </w:r>
      <w:r w:rsidR="00276239">
        <w:noBreakHyphen/>
      </w:r>
      <w:r>
        <w:t xml:space="preserve">13 performance, which was adversely impacted by a </w:t>
      </w:r>
      <w:r w:rsidRPr="007C6A7E">
        <w:t>price</w:t>
      </w:r>
      <w:r>
        <w:t xml:space="preserve"> freeze and refunds to customers of desalination plant costs recovered early. As the desalination plant was not operational until 2012</w:t>
      </w:r>
      <w:r w:rsidR="00276239">
        <w:noBreakHyphen/>
      </w:r>
      <w:r>
        <w:t xml:space="preserve">13, water customers were compensated through refunds applied by the </w:t>
      </w:r>
      <w:r w:rsidRPr="003A3745">
        <w:t>metropolitan water retailers in 2012</w:t>
      </w:r>
      <w:r w:rsidR="00276239">
        <w:noBreakHyphen/>
      </w:r>
      <w:r>
        <w:t>13;</w:t>
      </w:r>
      <w:r w:rsidRPr="003A3745">
        <w:t xml:space="preserve"> </w:t>
      </w:r>
    </w:p>
    <w:p w:rsidR="0070375D" w:rsidRPr="003A3745" w:rsidRDefault="0070375D" w:rsidP="008606E7">
      <w:pPr>
        <w:pStyle w:val="BulletText"/>
      </w:pPr>
      <w:r>
        <w:br w:type="page"/>
      </w:r>
      <w:r w:rsidRPr="003A3745">
        <w:lastRenderedPageBreak/>
        <w:t>an improved operating performance by Places Victoria over the forward estimates in line with operational efficiencies associated with current restructuring. Improvements in the housing market are also expected to bolster revenues, especially from 2014</w:t>
      </w:r>
      <w:r w:rsidR="00276239">
        <w:noBreakHyphen/>
      </w:r>
      <w:r w:rsidRPr="003A3745">
        <w:t>15;</w:t>
      </w:r>
    </w:p>
    <w:p w:rsidR="0070375D" w:rsidRPr="00A87DE3" w:rsidRDefault="0070375D" w:rsidP="008606E7">
      <w:pPr>
        <w:pStyle w:val="BulletText"/>
      </w:pPr>
      <w:r w:rsidRPr="003A3745">
        <w:t>the nature of VicTrack</w:t>
      </w:r>
      <w:r w:rsidR="00276239">
        <w:t>’</w:t>
      </w:r>
      <w:r w:rsidRPr="003A3745">
        <w:t>s underlying funding arrangements. VicTrack has forecast substantial deficits across the forward estimates period. A substantial proportion of VicTrack</w:t>
      </w:r>
      <w:r w:rsidR="00276239">
        <w:t>’</w:t>
      </w:r>
      <w:r w:rsidRPr="003A3745">
        <w:t>s revenue is grants from the general government sector. The grants are sufficient to allow VicTrack to maintain a cash operating surplus, but</w:t>
      </w:r>
      <w:r>
        <w:t xml:space="preserve"> are insufficient to fully cover depreciation, resulting in operating losses; and</w:t>
      </w:r>
    </w:p>
    <w:p w:rsidR="0070375D" w:rsidRPr="000C3E06" w:rsidRDefault="0070375D" w:rsidP="002B0B34">
      <w:pPr>
        <w:pStyle w:val="BulletText"/>
      </w:pPr>
      <w:r>
        <w:t xml:space="preserve">projected </w:t>
      </w:r>
      <w:r w:rsidRPr="000C3E06">
        <w:t xml:space="preserve">deficits </w:t>
      </w:r>
      <w:r>
        <w:t xml:space="preserve">within </w:t>
      </w:r>
      <w:r w:rsidRPr="000C3E06">
        <w:t xml:space="preserve">the Director of Housing across the forward estimates period. </w:t>
      </w:r>
      <w:r>
        <w:t xml:space="preserve">This is </w:t>
      </w:r>
      <w:r w:rsidRPr="00317BB6">
        <w:t>due to the impact of its current rental operating model which has relatively fixed revenue streams and escalating costs associated with managing a large and ageing asset portfolio</w:t>
      </w:r>
      <w:r w:rsidRPr="000C3E06">
        <w:t>.</w:t>
      </w:r>
    </w:p>
    <w:p w:rsidR="0070375D" w:rsidRDefault="0070375D" w:rsidP="00CE4671">
      <w:r>
        <w:t>The net result from transactions for the PNFC sector in 2012</w:t>
      </w:r>
      <w:r w:rsidR="00276239">
        <w:noBreakHyphen/>
      </w:r>
      <w:r>
        <w:t xml:space="preserve">13 has not changed significantly since the </w:t>
      </w:r>
      <w:r w:rsidRPr="00C767B0">
        <w:rPr>
          <w:i/>
        </w:rPr>
        <w:t>2012</w:t>
      </w:r>
      <w:r w:rsidR="00276239">
        <w:rPr>
          <w:i/>
        </w:rPr>
        <w:noBreakHyphen/>
      </w:r>
      <w:r w:rsidRPr="00C767B0">
        <w:rPr>
          <w:i/>
        </w:rPr>
        <w:t>13 Budget Update</w:t>
      </w:r>
      <w:r>
        <w:t>, however the deficits across the forward estimate years are now forecast to be higher, as a result of:</w:t>
      </w:r>
    </w:p>
    <w:p w:rsidR="0070375D" w:rsidRPr="003A3745" w:rsidRDefault="0070375D" w:rsidP="00CE4671">
      <w:pPr>
        <w:pStyle w:val="BulletText"/>
      </w:pPr>
      <w:r>
        <w:t xml:space="preserve">higher </w:t>
      </w:r>
      <w:r w:rsidRPr="003A3745">
        <w:t xml:space="preserve">depreciation charges for VicTrack following asset revaluations and the transfer of assets to VicTrack from entities within the general government sector; </w:t>
      </w:r>
    </w:p>
    <w:p w:rsidR="0070375D" w:rsidRPr="003A3745" w:rsidRDefault="0070375D" w:rsidP="008606E7">
      <w:pPr>
        <w:pStyle w:val="BulletText"/>
      </w:pPr>
      <w:r w:rsidRPr="003A3745">
        <w:t xml:space="preserve">a less rapid improvement in the operating performance of Places Victoria is forecast due to a protracted period of weak activity in the housing market </w:t>
      </w:r>
      <w:r>
        <w:t>in 2012</w:t>
      </w:r>
      <w:r w:rsidR="00276239">
        <w:noBreakHyphen/>
      </w:r>
      <w:r>
        <w:t>13 and 2013</w:t>
      </w:r>
      <w:r w:rsidR="00276239">
        <w:noBreakHyphen/>
      </w:r>
      <w:r>
        <w:t xml:space="preserve">14 </w:t>
      </w:r>
      <w:r w:rsidRPr="003A3745">
        <w:t xml:space="preserve">and </w:t>
      </w:r>
      <w:r>
        <w:t xml:space="preserve">subsequent to that </w:t>
      </w:r>
      <w:r w:rsidRPr="003A3745">
        <w:t xml:space="preserve">a more modest rate of recovery now forecast for that market; </w:t>
      </w:r>
    </w:p>
    <w:p w:rsidR="0070375D" w:rsidRPr="00270FAE" w:rsidRDefault="0070375D" w:rsidP="00270FAE">
      <w:pPr>
        <w:pStyle w:val="BulletText"/>
      </w:pPr>
      <w:r w:rsidRPr="00270FAE">
        <w:t>a change in the funding mix from operating to capital grants and increases in grants to the not for profit sector for the Director of Housing, and</w:t>
      </w:r>
    </w:p>
    <w:p w:rsidR="0070375D" w:rsidRPr="003A3745" w:rsidRDefault="0070375D" w:rsidP="00CE4671">
      <w:pPr>
        <w:pStyle w:val="BulletText"/>
      </w:pPr>
      <w:r w:rsidRPr="003A3745">
        <w:t>reclassification for certain entities of movements in deferred income tax assets and deferred income tax liabilities as revaluations (other economic flows) rather than as an adjustment to income tax expense.</w:t>
      </w:r>
    </w:p>
    <w:p w:rsidR="0070375D" w:rsidRPr="003A3745" w:rsidRDefault="0070375D" w:rsidP="00CE4671">
      <w:r w:rsidRPr="003A3745">
        <w:t>In spite of the above, the PNFC sector is forecast to remain in a strong and sustainable position, as evidenced by the improving operating cash flow surpluses, which are projected to average $1.6</w:t>
      </w:r>
      <w:r>
        <w:t> billion</w:t>
      </w:r>
      <w:r w:rsidRPr="003A3745">
        <w:t xml:space="preserve"> a year across the budget and forward estimates period.</w:t>
      </w:r>
      <w:r>
        <w:t xml:space="preserve"> </w:t>
      </w:r>
      <w:r>
        <w:fldChar w:fldCharType="begin"/>
      </w:r>
      <w:r>
        <w:instrText xml:space="preserve"> XE "</w:instrText>
      </w:r>
      <w:r w:rsidRPr="009E53A6">
        <w:instrText>Public non</w:instrText>
      </w:r>
      <w:r>
        <w:noBreakHyphen/>
      </w:r>
      <w:r w:rsidRPr="009E53A6">
        <w:instrText>financial corporations</w:instrText>
      </w:r>
      <w:r>
        <w:instrText xml:space="preserve">" \r "BP2Ch5PubNonFinCorp" </w:instrText>
      </w:r>
      <w:r>
        <w:fldChar w:fldCharType="end"/>
      </w:r>
      <w:r w:rsidRPr="003A3745">
        <w:t xml:space="preserve"> </w:t>
      </w:r>
      <w:bookmarkEnd w:id="59"/>
      <w:r w:rsidRPr="003A3745">
        <w:t xml:space="preserve"> </w:t>
      </w:r>
    </w:p>
    <w:p w:rsidR="0070375D" w:rsidRPr="003A3745" w:rsidRDefault="0070375D" w:rsidP="00D66C70">
      <w:pPr>
        <w:pStyle w:val="Heading1"/>
      </w:pPr>
      <w:r>
        <w:br w:type="page"/>
      </w:r>
      <w:bookmarkStart w:id="60" w:name="_Toc355372032"/>
      <w:r w:rsidRPr="004816CA">
        <w:lastRenderedPageBreak/>
        <w:t>Application</w:t>
      </w:r>
      <w:r w:rsidRPr="003A3745">
        <w:t xml:space="preserve"> of cash resources</w:t>
      </w:r>
      <w:bookmarkEnd w:id="60"/>
    </w:p>
    <w:p w:rsidR="0070375D" w:rsidRPr="00C601EF" w:rsidRDefault="0070375D" w:rsidP="00C601EF">
      <w:r w:rsidRPr="003A3745">
        <w:t>Table 5.2 below shows that the</w:t>
      </w:r>
      <w:r>
        <w:t xml:space="preserve"> NFPS is forecast to generate operating cash flow surpluses averaging $5.4 billion a year across the budget and forward estimates period. These surpluses are estimated to fund 83 per cent of the State</w:t>
      </w:r>
      <w:r w:rsidR="00276239">
        <w:t>’</w:t>
      </w:r>
      <w:r>
        <w:t>s infrastructure spending during this period and to fully fund infrastructure from 2015</w:t>
      </w:r>
      <w:r w:rsidR="00276239">
        <w:noBreakHyphen/>
      </w:r>
      <w:r>
        <w:t xml:space="preserve">16. </w:t>
      </w:r>
    </w:p>
    <w:p w:rsidR="0070375D" w:rsidRDefault="0070375D" w:rsidP="000F7709">
      <w:pPr>
        <w:pStyle w:val="Tableheading"/>
      </w:pPr>
      <w:r>
        <w:t>Table 5.2:</w:t>
      </w:r>
      <w:r>
        <w:tab/>
      </w:r>
      <w:r w:rsidRPr="000F7709">
        <w:t xml:space="preserve">Application of cash resources for the </w:t>
      </w:r>
      <w:r>
        <w:t>non</w:t>
      </w:r>
      <w:r w:rsidR="00276239">
        <w:noBreakHyphen/>
      </w:r>
      <w:r>
        <w:t xml:space="preserve">financial public sector </w:t>
      </w:r>
    </w:p>
    <w:p w:rsidR="0070375D" w:rsidRPr="003D0372" w:rsidRDefault="0070375D" w:rsidP="003D0372">
      <w:pPr>
        <w:pStyle w:val="million"/>
        <w:rPr>
          <w:rFonts w:ascii="Times New Roman" w:hAnsi="Times New Roman"/>
          <w:sz w:val="20"/>
          <w:lang w:eastAsia="en-AU"/>
        </w:rPr>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420"/>
        <w:gridCol w:w="195"/>
        <w:gridCol w:w="591"/>
        <w:gridCol w:w="106"/>
        <w:gridCol w:w="955"/>
        <w:gridCol w:w="830"/>
        <w:gridCol w:w="893"/>
        <w:gridCol w:w="893"/>
        <w:gridCol w:w="893"/>
      </w:tblGrid>
      <w:tr w:rsidR="0070375D" w:rsidRPr="003D0372" w:rsidTr="003D0372">
        <w:tc>
          <w:tcPr>
            <w:tcW w:w="2420" w:type="dxa"/>
            <w:tcBorders>
              <w:top w:val="single" w:sz="4" w:space="0" w:color="auto"/>
              <w:left w:val="single" w:sz="4" w:space="0" w:color="auto"/>
              <w:bottom w:val="nil"/>
              <w:right w:val="nil"/>
            </w:tcBorders>
            <w:shd w:val="clear" w:color="auto" w:fill="000000"/>
          </w:tcPr>
          <w:p w:rsidR="0070375D" w:rsidRPr="003D0372" w:rsidRDefault="0070375D" w:rsidP="003D0372">
            <w:pPr>
              <w:pStyle w:val="Tabletext"/>
              <w:rPr>
                <w:lang w:eastAsia="en-AU"/>
              </w:rPr>
            </w:pPr>
            <w:r w:rsidRPr="003D0372">
              <w:rPr>
                <w:lang w:eastAsia="en-AU"/>
              </w:rPr>
              <w:t xml:space="preserve">       </w:t>
            </w:r>
          </w:p>
        </w:tc>
        <w:tc>
          <w:tcPr>
            <w:tcW w:w="892" w:type="dxa"/>
            <w:gridSpan w:val="3"/>
            <w:tcBorders>
              <w:top w:val="single" w:sz="4" w:space="0" w:color="auto"/>
              <w:left w:val="nil"/>
              <w:bottom w:val="nil"/>
              <w:right w:val="nil"/>
            </w:tcBorders>
            <w:shd w:val="clear" w:color="auto" w:fill="000000"/>
          </w:tcPr>
          <w:p w:rsidR="0070375D" w:rsidRPr="003D0372" w:rsidRDefault="0070375D" w:rsidP="003D0372">
            <w:pPr>
              <w:pStyle w:val="Tabletextheading"/>
              <w:rPr>
                <w:lang w:eastAsia="en-AU"/>
              </w:rPr>
            </w:pPr>
            <w:r w:rsidRPr="003D0372">
              <w:rPr>
                <w:lang w:eastAsia="en-AU"/>
              </w:rPr>
              <w:t>2011</w:t>
            </w:r>
            <w:r w:rsidR="00276239">
              <w:rPr>
                <w:lang w:eastAsia="en-AU"/>
              </w:rPr>
              <w:noBreakHyphen/>
            </w:r>
            <w:r w:rsidRPr="003D0372">
              <w:rPr>
                <w:lang w:eastAsia="en-AU"/>
              </w:rPr>
              <w:t>12</w:t>
            </w:r>
          </w:p>
        </w:tc>
        <w:tc>
          <w:tcPr>
            <w:tcW w:w="955" w:type="dxa"/>
            <w:tcBorders>
              <w:top w:val="single" w:sz="4" w:space="0" w:color="auto"/>
              <w:left w:val="nil"/>
              <w:bottom w:val="nil"/>
              <w:right w:val="nil"/>
            </w:tcBorders>
            <w:shd w:val="clear" w:color="auto" w:fill="000000"/>
          </w:tcPr>
          <w:p w:rsidR="0070375D" w:rsidRPr="003D0372" w:rsidRDefault="0070375D" w:rsidP="003D0372">
            <w:pPr>
              <w:pStyle w:val="Tabletextheading"/>
              <w:rPr>
                <w:lang w:eastAsia="en-AU"/>
              </w:rPr>
            </w:pPr>
            <w:r w:rsidRPr="003D0372">
              <w:rPr>
                <w:lang w:eastAsia="en-AU"/>
              </w:rPr>
              <w:t>2012</w:t>
            </w:r>
            <w:r w:rsidR="00276239">
              <w:rPr>
                <w:lang w:eastAsia="en-AU"/>
              </w:rPr>
              <w:noBreakHyphen/>
            </w:r>
            <w:r w:rsidRPr="003D0372">
              <w:rPr>
                <w:lang w:eastAsia="en-AU"/>
              </w:rPr>
              <w:t>13</w:t>
            </w:r>
          </w:p>
        </w:tc>
        <w:tc>
          <w:tcPr>
            <w:tcW w:w="830" w:type="dxa"/>
            <w:tcBorders>
              <w:top w:val="single" w:sz="4" w:space="0" w:color="auto"/>
              <w:left w:val="nil"/>
              <w:bottom w:val="nil"/>
              <w:right w:val="nil"/>
            </w:tcBorders>
            <w:shd w:val="clear" w:color="auto" w:fill="000000"/>
          </w:tcPr>
          <w:p w:rsidR="0070375D" w:rsidRPr="003D0372" w:rsidRDefault="0070375D" w:rsidP="003D0372">
            <w:pPr>
              <w:pStyle w:val="Tabletextheading"/>
              <w:rPr>
                <w:lang w:eastAsia="en-AU"/>
              </w:rPr>
            </w:pPr>
            <w:r w:rsidRPr="003D0372">
              <w:rPr>
                <w:lang w:eastAsia="en-AU"/>
              </w:rPr>
              <w:t>2013</w:t>
            </w:r>
            <w:r w:rsidR="00276239">
              <w:rPr>
                <w:lang w:eastAsia="en-AU"/>
              </w:rPr>
              <w:noBreakHyphen/>
            </w:r>
            <w:r w:rsidRPr="003D0372">
              <w:rPr>
                <w:lang w:eastAsia="en-AU"/>
              </w:rPr>
              <w:t>14</w:t>
            </w:r>
          </w:p>
        </w:tc>
        <w:tc>
          <w:tcPr>
            <w:tcW w:w="893" w:type="dxa"/>
            <w:tcBorders>
              <w:top w:val="single" w:sz="4" w:space="0" w:color="auto"/>
              <w:left w:val="nil"/>
              <w:bottom w:val="nil"/>
              <w:right w:val="nil"/>
            </w:tcBorders>
            <w:shd w:val="clear" w:color="auto" w:fill="000000"/>
          </w:tcPr>
          <w:p w:rsidR="0070375D" w:rsidRPr="003D0372" w:rsidRDefault="0070375D" w:rsidP="003D0372">
            <w:pPr>
              <w:pStyle w:val="Tabletextheading"/>
              <w:rPr>
                <w:lang w:eastAsia="en-AU"/>
              </w:rPr>
            </w:pPr>
            <w:r w:rsidRPr="003D0372">
              <w:rPr>
                <w:lang w:eastAsia="en-AU"/>
              </w:rPr>
              <w:t>2014</w:t>
            </w:r>
            <w:r w:rsidR="00276239">
              <w:rPr>
                <w:lang w:eastAsia="en-AU"/>
              </w:rPr>
              <w:noBreakHyphen/>
            </w:r>
            <w:r w:rsidRPr="003D0372">
              <w:rPr>
                <w:lang w:eastAsia="en-AU"/>
              </w:rPr>
              <w:t>15</w:t>
            </w:r>
          </w:p>
        </w:tc>
        <w:tc>
          <w:tcPr>
            <w:tcW w:w="893" w:type="dxa"/>
            <w:tcBorders>
              <w:top w:val="single" w:sz="4" w:space="0" w:color="auto"/>
              <w:left w:val="nil"/>
              <w:bottom w:val="nil"/>
              <w:right w:val="nil"/>
            </w:tcBorders>
            <w:shd w:val="clear" w:color="auto" w:fill="000000"/>
          </w:tcPr>
          <w:p w:rsidR="0070375D" w:rsidRPr="003D0372" w:rsidRDefault="0070375D" w:rsidP="003D0372">
            <w:pPr>
              <w:pStyle w:val="Tabletextheading"/>
              <w:rPr>
                <w:lang w:eastAsia="en-AU"/>
              </w:rPr>
            </w:pPr>
            <w:r w:rsidRPr="003D0372">
              <w:rPr>
                <w:lang w:eastAsia="en-AU"/>
              </w:rPr>
              <w:t>2015</w:t>
            </w:r>
            <w:r w:rsidR="00276239">
              <w:rPr>
                <w:lang w:eastAsia="en-AU"/>
              </w:rPr>
              <w:noBreakHyphen/>
            </w:r>
            <w:r w:rsidRPr="003D0372">
              <w:rPr>
                <w:lang w:eastAsia="en-AU"/>
              </w:rPr>
              <w:t>16</w:t>
            </w:r>
          </w:p>
        </w:tc>
        <w:tc>
          <w:tcPr>
            <w:tcW w:w="893" w:type="dxa"/>
            <w:tcBorders>
              <w:top w:val="single" w:sz="4" w:space="0" w:color="auto"/>
              <w:left w:val="nil"/>
              <w:bottom w:val="nil"/>
              <w:right w:val="single" w:sz="4" w:space="0" w:color="auto"/>
            </w:tcBorders>
            <w:shd w:val="clear" w:color="auto" w:fill="000000"/>
          </w:tcPr>
          <w:p w:rsidR="0070375D" w:rsidRPr="003D0372" w:rsidRDefault="0070375D" w:rsidP="003D0372">
            <w:pPr>
              <w:pStyle w:val="Tabletextheading"/>
              <w:rPr>
                <w:lang w:eastAsia="en-AU"/>
              </w:rPr>
            </w:pPr>
            <w:r w:rsidRPr="003D0372">
              <w:rPr>
                <w:lang w:eastAsia="en-AU"/>
              </w:rPr>
              <w:t>2016</w:t>
            </w:r>
            <w:r w:rsidR="00276239">
              <w:rPr>
                <w:lang w:eastAsia="en-AU"/>
              </w:rPr>
              <w:noBreakHyphen/>
            </w:r>
            <w:r w:rsidRPr="003D0372">
              <w:rPr>
                <w:lang w:eastAsia="en-AU"/>
              </w:rPr>
              <w:t>17</w:t>
            </w:r>
          </w:p>
        </w:tc>
      </w:tr>
      <w:tr w:rsidR="0070375D" w:rsidRPr="003D0372" w:rsidTr="003D0372">
        <w:tc>
          <w:tcPr>
            <w:tcW w:w="2420" w:type="dxa"/>
            <w:tcBorders>
              <w:top w:val="nil"/>
              <w:left w:val="single" w:sz="4" w:space="0" w:color="auto"/>
              <w:bottom w:val="single" w:sz="4" w:space="0" w:color="auto"/>
              <w:right w:val="nil"/>
            </w:tcBorders>
            <w:shd w:val="clear" w:color="auto" w:fill="000000"/>
          </w:tcPr>
          <w:p w:rsidR="0070375D" w:rsidRPr="003D0372" w:rsidRDefault="0070375D" w:rsidP="003D0372">
            <w:pPr>
              <w:pStyle w:val="Tabletext"/>
              <w:rPr>
                <w:lang w:eastAsia="en-AU"/>
              </w:rPr>
            </w:pPr>
            <w:r w:rsidRPr="003D0372">
              <w:rPr>
                <w:lang w:eastAsia="en-AU"/>
              </w:rPr>
              <w:t xml:space="preserve">          </w:t>
            </w:r>
          </w:p>
        </w:tc>
        <w:tc>
          <w:tcPr>
            <w:tcW w:w="892" w:type="dxa"/>
            <w:gridSpan w:val="3"/>
            <w:tcBorders>
              <w:top w:val="nil"/>
              <w:left w:val="nil"/>
              <w:bottom w:val="single" w:sz="4" w:space="0" w:color="auto"/>
              <w:right w:val="nil"/>
            </w:tcBorders>
            <w:shd w:val="clear" w:color="auto" w:fill="000000"/>
          </w:tcPr>
          <w:p w:rsidR="0070375D" w:rsidRPr="003D0372" w:rsidRDefault="0070375D" w:rsidP="003D0372">
            <w:pPr>
              <w:pStyle w:val="Tabletextheading"/>
              <w:rPr>
                <w:lang w:eastAsia="en-AU"/>
              </w:rPr>
            </w:pPr>
            <w:r w:rsidRPr="003D0372">
              <w:rPr>
                <w:lang w:eastAsia="en-AU"/>
              </w:rPr>
              <w:t>Actual</w:t>
            </w:r>
          </w:p>
        </w:tc>
        <w:tc>
          <w:tcPr>
            <w:tcW w:w="955" w:type="dxa"/>
            <w:tcBorders>
              <w:top w:val="nil"/>
              <w:left w:val="nil"/>
              <w:bottom w:val="single" w:sz="4" w:space="0" w:color="auto"/>
              <w:right w:val="nil"/>
            </w:tcBorders>
            <w:shd w:val="clear" w:color="auto" w:fill="000000"/>
          </w:tcPr>
          <w:p w:rsidR="0070375D" w:rsidRPr="003D0372" w:rsidRDefault="0070375D" w:rsidP="003D0372">
            <w:pPr>
              <w:pStyle w:val="Tabletextheading"/>
              <w:rPr>
                <w:lang w:eastAsia="en-AU"/>
              </w:rPr>
            </w:pPr>
            <w:r w:rsidRPr="003D0372">
              <w:rPr>
                <w:lang w:eastAsia="en-AU"/>
              </w:rPr>
              <w:t>Revised</w:t>
            </w:r>
          </w:p>
        </w:tc>
        <w:tc>
          <w:tcPr>
            <w:tcW w:w="830" w:type="dxa"/>
            <w:tcBorders>
              <w:top w:val="nil"/>
              <w:left w:val="nil"/>
              <w:bottom w:val="single" w:sz="4" w:space="0" w:color="auto"/>
              <w:right w:val="nil"/>
            </w:tcBorders>
            <w:shd w:val="clear" w:color="auto" w:fill="000000"/>
          </w:tcPr>
          <w:p w:rsidR="0070375D" w:rsidRPr="003D0372" w:rsidRDefault="0070375D" w:rsidP="003D0372">
            <w:pPr>
              <w:pStyle w:val="Tabletextheading"/>
              <w:rPr>
                <w:lang w:eastAsia="en-AU"/>
              </w:rPr>
            </w:pPr>
            <w:r w:rsidRPr="003D0372">
              <w:rPr>
                <w:lang w:eastAsia="en-AU"/>
              </w:rPr>
              <w:t>Budget</w:t>
            </w:r>
          </w:p>
        </w:tc>
        <w:tc>
          <w:tcPr>
            <w:tcW w:w="893" w:type="dxa"/>
            <w:tcBorders>
              <w:top w:val="nil"/>
              <w:left w:val="nil"/>
              <w:bottom w:val="single" w:sz="4" w:space="0" w:color="auto"/>
              <w:right w:val="nil"/>
            </w:tcBorders>
            <w:shd w:val="clear" w:color="auto" w:fill="000000"/>
          </w:tcPr>
          <w:p w:rsidR="0070375D" w:rsidRPr="003D0372" w:rsidRDefault="0070375D" w:rsidP="003D0372">
            <w:pPr>
              <w:pStyle w:val="Tabletextheading"/>
              <w:rPr>
                <w:lang w:eastAsia="en-AU"/>
              </w:rPr>
            </w:pPr>
            <w:r w:rsidRPr="003D0372">
              <w:rPr>
                <w:lang w:eastAsia="en-AU"/>
              </w:rPr>
              <w:t>Estimate</w:t>
            </w:r>
          </w:p>
        </w:tc>
        <w:tc>
          <w:tcPr>
            <w:tcW w:w="893" w:type="dxa"/>
            <w:tcBorders>
              <w:top w:val="nil"/>
              <w:left w:val="nil"/>
              <w:bottom w:val="single" w:sz="4" w:space="0" w:color="auto"/>
              <w:right w:val="nil"/>
            </w:tcBorders>
            <w:shd w:val="clear" w:color="auto" w:fill="000000"/>
          </w:tcPr>
          <w:p w:rsidR="0070375D" w:rsidRPr="003D0372" w:rsidRDefault="0070375D" w:rsidP="003D0372">
            <w:pPr>
              <w:pStyle w:val="Tabletextheading"/>
              <w:rPr>
                <w:lang w:eastAsia="en-AU"/>
              </w:rPr>
            </w:pPr>
            <w:r w:rsidRPr="003D0372">
              <w:rPr>
                <w:lang w:eastAsia="en-AU"/>
              </w:rPr>
              <w:t>Estimate</w:t>
            </w:r>
          </w:p>
        </w:tc>
        <w:tc>
          <w:tcPr>
            <w:tcW w:w="893" w:type="dxa"/>
            <w:tcBorders>
              <w:top w:val="nil"/>
              <w:left w:val="nil"/>
              <w:bottom w:val="single" w:sz="4" w:space="0" w:color="auto"/>
              <w:right w:val="single" w:sz="4" w:space="0" w:color="auto"/>
            </w:tcBorders>
            <w:shd w:val="clear" w:color="auto" w:fill="000000"/>
          </w:tcPr>
          <w:p w:rsidR="0070375D" w:rsidRPr="003D0372" w:rsidRDefault="0070375D" w:rsidP="003D0372">
            <w:pPr>
              <w:pStyle w:val="Tabletextheading"/>
              <w:rPr>
                <w:lang w:eastAsia="en-AU"/>
              </w:rPr>
            </w:pPr>
            <w:r w:rsidRPr="003D0372">
              <w:rPr>
                <w:lang w:eastAsia="en-AU"/>
              </w:rPr>
              <w:t>Estimate</w:t>
            </w:r>
          </w:p>
        </w:tc>
      </w:tr>
      <w:tr w:rsidR="0070375D" w:rsidRPr="003D0372" w:rsidTr="003D0372">
        <w:tc>
          <w:tcPr>
            <w:tcW w:w="2615" w:type="dxa"/>
            <w:gridSpan w:val="2"/>
            <w:tcBorders>
              <w:top w:val="single" w:sz="4" w:space="0" w:color="auto"/>
              <w:left w:val="nil"/>
              <w:right w:val="nil"/>
            </w:tcBorders>
          </w:tcPr>
          <w:p w:rsidR="0070375D" w:rsidRPr="003D0372" w:rsidRDefault="0070375D" w:rsidP="003D0372">
            <w:pPr>
              <w:pStyle w:val="Tabletext"/>
              <w:rPr>
                <w:b/>
                <w:bCs/>
                <w:color w:val="000000"/>
                <w:lang w:eastAsia="en-AU"/>
              </w:rPr>
            </w:pPr>
            <w:r w:rsidRPr="003D0372">
              <w:rPr>
                <w:b/>
                <w:bCs/>
                <w:color w:val="000000"/>
                <w:lang w:eastAsia="en-AU"/>
              </w:rPr>
              <w:t xml:space="preserve">Net result from transactions </w:t>
            </w:r>
          </w:p>
        </w:tc>
        <w:tc>
          <w:tcPr>
            <w:tcW w:w="697" w:type="dxa"/>
            <w:gridSpan w:val="2"/>
            <w:tcBorders>
              <w:top w:val="single" w:sz="4" w:space="0" w:color="auto"/>
              <w:left w:val="nil"/>
              <w:bottom w:val="nil"/>
              <w:right w:val="nil"/>
            </w:tcBorders>
          </w:tcPr>
          <w:p w:rsidR="0070375D" w:rsidRPr="003D0372" w:rsidRDefault="0070375D" w:rsidP="003D0372">
            <w:pPr>
              <w:pStyle w:val="TableofFigures"/>
              <w:rPr>
                <w:b/>
                <w:bCs/>
                <w:color w:val="000000"/>
                <w:lang w:eastAsia="en-AU"/>
              </w:rPr>
            </w:pPr>
            <w:r w:rsidRPr="003D0372">
              <w:rPr>
                <w:b/>
                <w:bCs/>
                <w:color w:val="000000"/>
                <w:lang w:eastAsia="en-AU"/>
              </w:rPr>
              <w:t xml:space="preserve"> 45.8</w:t>
            </w:r>
          </w:p>
        </w:tc>
        <w:tc>
          <w:tcPr>
            <w:tcW w:w="955" w:type="dxa"/>
            <w:tcBorders>
              <w:top w:val="single" w:sz="4" w:space="0" w:color="auto"/>
              <w:left w:val="nil"/>
              <w:bottom w:val="nil"/>
              <w:right w:val="nil"/>
            </w:tcBorders>
          </w:tcPr>
          <w:p w:rsidR="0070375D" w:rsidRPr="003D0372" w:rsidRDefault="0070375D" w:rsidP="003D0372">
            <w:pPr>
              <w:pStyle w:val="TableofFigures"/>
              <w:rPr>
                <w:rFonts w:cs="Calibri"/>
                <w:b/>
                <w:bCs/>
                <w:color w:val="000000"/>
                <w:lang w:eastAsia="en-AU"/>
              </w:rPr>
            </w:pPr>
            <w:r w:rsidRPr="003D0372">
              <w:rPr>
                <w:b/>
                <w:bCs/>
                <w:color w:val="000000"/>
                <w:lang w:eastAsia="en-AU"/>
              </w:rPr>
              <w:t>(1 436.7</w:t>
            </w:r>
            <w:r w:rsidRPr="003D0372">
              <w:rPr>
                <w:rFonts w:cs="Calibri"/>
                <w:b/>
                <w:bCs/>
                <w:color w:val="000000"/>
                <w:lang w:eastAsia="en-AU"/>
              </w:rPr>
              <w:t>)</w:t>
            </w:r>
          </w:p>
        </w:tc>
        <w:tc>
          <w:tcPr>
            <w:tcW w:w="830" w:type="dxa"/>
            <w:tcBorders>
              <w:top w:val="single" w:sz="4" w:space="0" w:color="auto"/>
              <w:left w:val="nil"/>
              <w:bottom w:val="nil"/>
              <w:right w:val="nil"/>
            </w:tcBorders>
          </w:tcPr>
          <w:p w:rsidR="0070375D" w:rsidRPr="003D0372" w:rsidRDefault="002714D4" w:rsidP="003D0372">
            <w:pPr>
              <w:pStyle w:val="TableofFigures"/>
              <w:rPr>
                <w:b/>
                <w:bCs/>
                <w:color w:val="000000"/>
                <w:lang w:eastAsia="en-AU"/>
              </w:rPr>
            </w:pPr>
            <w:r>
              <w:rPr>
                <w:b/>
                <w:bCs/>
                <w:color w:val="000000"/>
                <w:lang w:eastAsia="en-AU"/>
              </w:rPr>
              <w:t>(</w:t>
            </w:r>
            <w:r w:rsidR="0070375D" w:rsidRPr="003D0372">
              <w:rPr>
                <w:b/>
                <w:bCs/>
                <w:color w:val="000000"/>
                <w:lang w:eastAsia="en-AU"/>
              </w:rPr>
              <w:t>306.3)</w:t>
            </w:r>
          </w:p>
        </w:tc>
        <w:tc>
          <w:tcPr>
            <w:tcW w:w="893" w:type="dxa"/>
            <w:tcBorders>
              <w:top w:val="single" w:sz="4" w:space="0" w:color="auto"/>
              <w:left w:val="nil"/>
              <w:bottom w:val="nil"/>
              <w:right w:val="nil"/>
            </w:tcBorders>
          </w:tcPr>
          <w:p w:rsidR="0070375D" w:rsidRPr="003D0372" w:rsidRDefault="002714D4" w:rsidP="003D0372">
            <w:pPr>
              <w:pStyle w:val="TableofFigures"/>
              <w:rPr>
                <w:b/>
                <w:bCs/>
                <w:color w:val="000000"/>
                <w:lang w:eastAsia="en-AU"/>
              </w:rPr>
            </w:pPr>
            <w:r>
              <w:rPr>
                <w:b/>
                <w:bCs/>
                <w:color w:val="000000"/>
                <w:lang w:eastAsia="en-AU"/>
              </w:rPr>
              <w:t>(</w:t>
            </w:r>
            <w:r w:rsidR="0070375D" w:rsidRPr="003D0372">
              <w:rPr>
                <w:b/>
                <w:bCs/>
                <w:color w:val="000000"/>
                <w:lang w:eastAsia="en-AU"/>
              </w:rPr>
              <w:t>70.0)</w:t>
            </w:r>
          </w:p>
        </w:tc>
        <w:tc>
          <w:tcPr>
            <w:tcW w:w="893" w:type="dxa"/>
            <w:tcBorders>
              <w:top w:val="single" w:sz="4" w:space="0" w:color="auto"/>
              <w:left w:val="nil"/>
              <w:bottom w:val="nil"/>
              <w:right w:val="nil"/>
            </w:tcBorders>
          </w:tcPr>
          <w:p w:rsidR="0070375D" w:rsidRPr="003D0372" w:rsidRDefault="0070375D" w:rsidP="003D0372">
            <w:pPr>
              <w:pStyle w:val="TableofFigures"/>
              <w:rPr>
                <w:b/>
                <w:bCs/>
                <w:color w:val="000000"/>
                <w:lang w:eastAsia="en-AU"/>
              </w:rPr>
            </w:pPr>
            <w:r w:rsidRPr="003D0372">
              <w:rPr>
                <w:b/>
                <w:bCs/>
                <w:color w:val="000000"/>
                <w:lang w:eastAsia="en-AU"/>
              </w:rPr>
              <w:t>1 283.8</w:t>
            </w:r>
          </w:p>
        </w:tc>
        <w:tc>
          <w:tcPr>
            <w:tcW w:w="893" w:type="dxa"/>
            <w:tcBorders>
              <w:top w:val="single" w:sz="4" w:space="0" w:color="auto"/>
              <w:left w:val="nil"/>
              <w:bottom w:val="nil"/>
              <w:right w:val="nil"/>
            </w:tcBorders>
          </w:tcPr>
          <w:p w:rsidR="0070375D" w:rsidRPr="003D0372" w:rsidRDefault="0070375D" w:rsidP="003D0372">
            <w:pPr>
              <w:pStyle w:val="TableofFigures"/>
              <w:rPr>
                <w:rFonts w:cs="Calibri"/>
                <w:b/>
                <w:bCs/>
                <w:color w:val="000000"/>
                <w:lang w:eastAsia="en-AU"/>
              </w:rPr>
            </w:pPr>
            <w:r w:rsidRPr="003D0372">
              <w:rPr>
                <w:b/>
                <w:bCs/>
                <w:color w:val="000000"/>
                <w:lang w:eastAsia="en-AU"/>
              </w:rPr>
              <w:t xml:space="preserve">2 </w:t>
            </w:r>
            <w:r w:rsidRPr="003D0372">
              <w:rPr>
                <w:rFonts w:cs="Calibri"/>
                <w:b/>
                <w:bCs/>
                <w:color w:val="000000"/>
                <w:lang w:eastAsia="en-AU"/>
              </w:rPr>
              <w:t>001.0</w:t>
            </w:r>
          </w:p>
        </w:tc>
      </w:tr>
      <w:tr w:rsidR="0070375D" w:rsidRPr="003D0372" w:rsidTr="003D0372">
        <w:tc>
          <w:tcPr>
            <w:tcW w:w="2420" w:type="dxa"/>
            <w:tcBorders>
              <w:top w:val="nil"/>
              <w:left w:val="nil"/>
              <w:bottom w:val="single" w:sz="6" w:space="0" w:color="auto"/>
              <w:right w:val="nil"/>
            </w:tcBorders>
          </w:tcPr>
          <w:p w:rsidR="0070375D" w:rsidRPr="003D0372" w:rsidRDefault="0070375D" w:rsidP="003D0372">
            <w:pPr>
              <w:pStyle w:val="Tabletext"/>
              <w:rPr>
                <w:color w:val="000000"/>
                <w:vertAlign w:val="superscript"/>
                <w:lang w:eastAsia="en-AU"/>
              </w:rPr>
            </w:pPr>
            <w:r w:rsidRPr="003D0372">
              <w:rPr>
                <w:color w:val="000000"/>
                <w:lang w:eastAsia="en-AU"/>
              </w:rPr>
              <w:t>Add back: Non</w:t>
            </w:r>
            <w:r w:rsidR="00276239">
              <w:rPr>
                <w:color w:val="000000"/>
                <w:lang w:eastAsia="en-AU"/>
              </w:rPr>
              <w:noBreakHyphen/>
            </w:r>
            <w:r w:rsidRPr="003D0372">
              <w:rPr>
                <w:color w:val="000000"/>
                <w:lang w:eastAsia="en-AU"/>
              </w:rPr>
              <w:t xml:space="preserve">cash income and expenses (net) </w:t>
            </w:r>
            <w:r w:rsidRPr="003D0372">
              <w:rPr>
                <w:color w:val="000000"/>
                <w:vertAlign w:val="superscript"/>
                <w:lang w:eastAsia="en-AU"/>
              </w:rPr>
              <w:t>(a)</w:t>
            </w:r>
          </w:p>
        </w:tc>
        <w:tc>
          <w:tcPr>
            <w:tcW w:w="892" w:type="dxa"/>
            <w:gridSpan w:val="3"/>
            <w:tcBorders>
              <w:top w:val="nil"/>
              <w:left w:val="nil"/>
              <w:bottom w:val="nil"/>
              <w:right w:val="nil"/>
            </w:tcBorders>
          </w:tcPr>
          <w:p w:rsidR="0070375D" w:rsidRPr="003D0372" w:rsidRDefault="0070375D" w:rsidP="003D0372">
            <w:pPr>
              <w:pStyle w:val="TableofFigures"/>
              <w:rPr>
                <w:rFonts w:cs="Calibri"/>
                <w:color w:val="000000"/>
                <w:lang w:eastAsia="en-AU"/>
              </w:rPr>
            </w:pPr>
            <w:r w:rsidRPr="003D0372">
              <w:rPr>
                <w:color w:val="000000"/>
                <w:lang w:eastAsia="en-AU"/>
              </w:rPr>
              <w:t xml:space="preserve">3 </w:t>
            </w:r>
            <w:r w:rsidRPr="003D0372">
              <w:rPr>
                <w:rFonts w:cs="Calibri"/>
                <w:color w:val="000000"/>
                <w:lang w:eastAsia="en-AU"/>
              </w:rPr>
              <w:t>796.6</w:t>
            </w:r>
          </w:p>
        </w:tc>
        <w:tc>
          <w:tcPr>
            <w:tcW w:w="955" w:type="dxa"/>
            <w:tcBorders>
              <w:top w:val="nil"/>
              <w:left w:val="nil"/>
              <w:bottom w:val="nil"/>
              <w:right w:val="nil"/>
            </w:tcBorders>
          </w:tcPr>
          <w:p w:rsidR="0070375D" w:rsidRPr="003D0372" w:rsidRDefault="0070375D" w:rsidP="003D0372">
            <w:pPr>
              <w:pStyle w:val="TableofFigures"/>
              <w:rPr>
                <w:rFonts w:cs="Calibri"/>
                <w:color w:val="000000"/>
                <w:lang w:eastAsia="en-AU"/>
              </w:rPr>
            </w:pPr>
            <w:r w:rsidRPr="003D0372">
              <w:rPr>
                <w:color w:val="000000"/>
                <w:lang w:eastAsia="en-AU"/>
              </w:rPr>
              <w:t xml:space="preserve">3 </w:t>
            </w:r>
            <w:r w:rsidRPr="003D0372">
              <w:rPr>
                <w:rFonts w:cs="Calibri"/>
                <w:color w:val="000000"/>
                <w:lang w:eastAsia="en-AU"/>
              </w:rPr>
              <w:t>153.4</w:t>
            </w:r>
          </w:p>
        </w:tc>
        <w:tc>
          <w:tcPr>
            <w:tcW w:w="830" w:type="dxa"/>
            <w:tcBorders>
              <w:top w:val="nil"/>
              <w:left w:val="nil"/>
              <w:bottom w:val="nil"/>
              <w:right w:val="nil"/>
            </w:tcBorders>
          </w:tcPr>
          <w:p w:rsidR="0070375D" w:rsidRPr="003D0372" w:rsidRDefault="0070375D" w:rsidP="003D0372">
            <w:pPr>
              <w:pStyle w:val="TableofFigures"/>
              <w:rPr>
                <w:rFonts w:cs="Calibri"/>
                <w:color w:val="000000"/>
                <w:lang w:eastAsia="en-AU"/>
              </w:rPr>
            </w:pPr>
            <w:r w:rsidRPr="003D0372">
              <w:rPr>
                <w:color w:val="000000"/>
                <w:lang w:eastAsia="en-AU"/>
              </w:rPr>
              <w:t xml:space="preserve">4 </w:t>
            </w:r>
            <w:r w:rsidRPr="003D0372">
              <w:rPr>
                <w:rFonts w:cs="Calibri"/>
                <w:color w:val="000000"/>
                <w:lang w:eastAsia="en-AU"/>
              </w:rPr>
              <w:t>285.5</w:t>
            </w:r>
          </w:p>
        </w:tc>
        <w:tc>
          <w:tcPr>
            <w:tcW w:w="893" w:type="dxa"/>
            <w:tcBorders>
              <w:top w:val="nil"/>
              <w:left w:val="nil"/>
              <w:bottom w:val="nil"/>
              <w:right w:val="nil"/>
            </w:tcBorders>
          </w:tcPr>
          <w:p w:rsidR="0070375D" w:rsidRPr="003D0372" w:rsidRDefault="0070375D" w:rsidP="003D0372">
            <w:pPr>
              <w:pStyle w:val="TableofFigures"/>
              <w:rPr>
                <w:rFonts w:cs="Calibri"/>
                <w:color w:val="000000"/>
                <w:lang w:eastAsia="en-AU"/>
              </w:rPr>
            </w:pPr>
            <w:r w:rsidRPr="003D0372">
              <w:rPr>
                <w:color w:val="000000"/>
                <w:lang w:eastAsia="en-AU"/>
              </w:rPr>
              <w:t xml:space="preserve">4 </w:t>
            </w:r>
            <w:r w:rsidRPr="003D0372">
              <w:rPr>
                <w:rFonts w:cs="Calibri"/>
                <w:color w:val="000000"/>
                <w:lang w:eastAsia="en-AU"/>
              </w:rPr>
              <w:t>562.6</w:t>
            </w:r>
          </w:p>
        </w:tc>
        <w:tc>
          <w:tcPr>
            <w:tcW w:w="893" w:type="dxa"/>
            <w:tcBorders>
              <w:top w:val="nil"/>
              <w:left w:val="nil"/>
              <w:bottom w:val="nil"/>
              <w:right w:val="nil"/>
            </w:tcBorders>
          </w:tcPr>
          <w:p w:rsidR="0070375D" w:rsidRPr="003D0372" w:rsidRDefault="0070375D" w:rsidP="003D0372">
            <w:pPr>
              <w:pStyle w:val="TableofFigures"/>
              <w:rPr>
                <w:rFonts w:cs="Calibri"/>
                <w:color w:val="000000"/>
                <w:lang w:eastAsia="en-AU"/>
              </w:rPr>
            </w:pPr>
            <w:r w:rsidRPr="003D0372">
              <w:rPr>
                <w:color w:val="000000"/>
                <w:lang w:eastAsia="en-AU"/>
              </w:rPr>
              <w:t xml:space="preserve">4 </w:t>
            </w:r>
            <w:r w:rsidRPr="003D0372">
              <w:rPr>
                <w:rFonts w:cs="Calibri"/>
                <w:color w:val="000000"/>
                <w:lang w:eastAsia="en-AU"/>
              </w:rPr>
              <w:t>831.2</w:t>
            </w:r>
          </w:p>
        </w:tc>
        <w:tc>
          <w:tcPr>
            <w:tcW w:w="893" w:type="dxa"/>
            <w:tcBorders>
              <w:top w:val="nil"/>
              <w:left w:val="nil"/>
              <w:bottom w:val="nil"/>
              <w:right w:val="nil"/>
            </w:tcBorders>
          </w:tcPr>
          <w:p w:rsidR="0070375D" w:rsidRPr="003D0372" w:rsidRDefault="0070375D" w:rsidP="003D0372">
            <w:pPr>
              <w:pStyle w:val="TableofFigures"/>
              <w:rPr>
                <w:rFonts w:cs="Calibri"/>
                <w:color w:val="000000"/>
                <w:lang w:eastAsia="en-AU"/>
              </w:rPr>
            </w:pPr>
            <w:r w:rsidRPr="003D0372">
              <w:rPr>
                <w:color w:val="000000"/>
                <w:lang w:eastAsia="en-AU"/>
              </w:rPr>
              <w:t xml:space="preserve">4 </w:t>
            </w:r>
            <w:r w:rsidRPr="003D0372">
              <w:rPr>
                <w:rFonts w:cs="Calibri"/>
                <w:color w:val="000000"/>
                <w:lang w:eastAsia="en-AU"/>
              </w:rPr>
              <w:t>887.5</w:t>
            </w:r>
          </w:p>
        </w:tc>
      </w:tr>
      <w:tr w:rsidR="0070375D" w:rsidRPr="003D0372" w:rsidTr="003D0372">
        <w:tc>
          <w:tcPr>
            <w:tcW w:w="2420" w:type="dxa"/>
            <w:tcBorders>
              <w:top w:val="single" w:sz="6" w:space="0" w:color="auto"/>
              <w:left w:val="nil"/>
              <w:bottom w:val="nil"/>
              <w:right w:val="nil"/>
            </w:tcBorders>
          </w:tcPr>
          <w:p w:rsidR="0070375D" w:rsidRPr="003D0372" w:rsidRDefault="0070375D" w:rsidP="003D0372">
            <w:pPr>
              <w:pStyle w:val="Tabletext"/>
              <w:rPr>
                <w:b/>
                <w:bCs/>
                <w:color w:val="000000"/>
                <w:lang w:eastAsia="en-AU"/>
              </w:rPr>
            </w:pPr>
            <w:r w:rsidRPr="003D0372">
              <w:rPr>
                <w:b/>
                <w:bCs/>
                <w:color w:val="000000"/>
                <w:lang w:eastAsia="en-AU"/>
              </w:rPr>
              <w:t>Net cash flows from operating activities</w:t>
            </w:r>
          </w:p>
        </w:tc>
        <w:tc>
          <w:tcPr>
            <w:tcW w:w="892" w:type="dxa"/>
            <w:gridSpan w:val="3"/>
            <w:tcBorders>
              <w:top w:val="single" w:sz="6" w:space="0" w:color="auto"/>
              <w:left w:val="nil"/>
              <w:bottom w:val="nil"/>
              <w:right w:val="nil"/>
            </w:tcBorders>
          </w:tcPr>
          <w:p w:rsidR="0070375D" w:rsidRPr="003D0372" w:rsidRDefault="0070375D" w:rsidP="003D0372">
            <w:pPr>
              <w:pStyle w:val="TableofFigures"/>
              <w:rPr>
                <w:rFonts w:cs="Calibri"/>
                <w:b/>
                <w:bCs/>
                <w:color w:val="000000"/>
                <w:lang w:eastAsia="en-AU"/>
              </w:rPr>
            </w:pPr>
            <w:r w:rsidRPr="003D0372">
              <w:rPr>
                <w:b/>
                <w:bCs/>
                <w:color w:val="000000"/>
                <w:lang w:eastAsia="en-AU"/>
              </w:rPr>
              <w:t xml:space="preserve">3 </w:t>
            </w:r>
            <w:r w:rsidRPr="003D0372">
              <w:rPr>
                <w:rFonts w:cs="Calibri"/>
                <w:b/>
                <w:bCs/>
                <w:color w:val="000000"/>
                <w:lang w:eastAsia="en-AU"/>
              </w:rPr>
              <w:t>842.4</w:t>
            </w:r>
          </w:p>
        </w:tc>
        <w:tc>
          <w:tcPr>
            <w:tcW w:w="955" w:type="dxa"/>
            <w:tcBorders>
              <w:top w:val="single" w:sz="6" w:space="0" w:color="auto"/>
              <w:left w:val="nil"/>
              <w:bottom w:val="nil"/>
              <w:right w:val="nil"/>
            </w:tcBorders>
          </w:tcPr>
          <w:p w:rsidR="0070375D" w:rsidRPr="003D0372" w:rsidRDefault="0070375D" w:rsidP="003D0372">
            <w:pPr>
              <w:pStyle w:val="TableofFigures"/>
              <w:rPr>
                <w:rFonts w:cs="Calibri"/>
                <w:b/>
                <w:bCs/>
                <w:color w:val="000000"/>
                <w:lang w:eastAsia="en-AU"/>
              </w:rPr>
            </w:pPr>
            <w:r w:rsidRPr="003D0372">
              <w:rPr>
                <w:b/>
                <w:bCs/>
                <w:color w:val="000000"/>
                <w:lang w:eastAsia="en-AU"/>
              </w:rPr>
              <w:t xml:space="preserve">1 </w:t>
            </w:r>
            <w:r w:rsidRPr="003D0372">
              <w:rPr>
                <w:rFonts w:cs="Calibri"/>
                <w:b/>
                <w:bCs/>
                <w:color w:val="000000"/>
                <w:lang w:eastAsia="en-AU"/>
              </w:rPr>
              <w:t>716.6</w:t>
            </w:r>
          </w:p>
        </w:tc>
        <w:tc>
          <w:tcPr>
            <w:tcW w:w="830" w:type="dxa"/>
            <w:tcBorders>
              <w:top w:val="single" w:sz="6" w:space="0" w:color="auto"/>
              <w:left w:val="nil"/>
              <w:bottom w:val="nil"/>
              <w:right w:val="nil"/>
            </w:tcBorders>
          </w:tcPr>
          <w:p w:rsidR="0070375D" w:rsidRPr="003D0372" w:rsidRDefault="0070375D" w:rsidP="003D0372">
            <w:pPr>
              <w:pStyle w:val="TableofFigures"/>
              <w:rPr>
                <w:rFonts w:cs="Calibri"/>
                <w:b/>
                <w:bCs/>
                <w:color w:val="000000"/>
                <w:lang w:eastAsia="en-AU"/>
              </w:rPr>
            </w:pPr>
            <w:r w:rsidRPr="003D0372">
              <w:rPr>
                <w:b/>
                <w:bCs/>
                <w:color w:val="000000"/>
                <w:lang w:eastAsia="en-AU"/>
              </w:rPr>
              <w:t xml:space="preserve">3 </w:t>
            </w:r>
            <w:r w:rsidRPr="003D0372">
              <w:rPr>
                <w:rFonts w:cs="Calibri"/>
                <w:b/>
                <w:bCs/>
                <w:color w:val="000000"/>
                <w:lang w:eastAsia="en-AU"/>
              </w:rPr>
              <w:t>979.1</w:t>
            </w:r>
          </w:p>
        </w:tc>
        <w:tc>
          <w:tcPr>
            <w:tcW w:w="893" w:type="dxa"/>
            <w:tcBorders>
              <w:top w:val="single" w:sz="6" w:space="0" w:color="auto"/>
              <w:left w:val="nil"/>
              <w:bottom w:val="nil"/>
              <w:right w:val="nil"/>
            </w:tcBorders>
          </w:tcPr>
          <w:p w:rsidR="0070375D" w:rsidRPr="003D0372" w:rsidRDefault="0070375D" w:rsidP="003D0372">
            <w:pPr>
              <w:pStyle w:val="TableofFigures"/>
              <w:rPr>
                <w:b/>
                <w:bCs/>
                <w:color w:val="000000"/>
                <w:lang w:eastAsia="en-AU"/>
              </w:rPr>
            </w:pPr>
            <w:r w:rsidRPr="003D0372">
              <w:rPr>
                <w:b/>
                <w:bCs/>
                <w:color w:val="000000"/>
                <w:lang w:eastAsia="en-AU"/>
              </w:rPr>
              <w:t>4 492.7</w:t>
            </w:r>
          </w:p>
        </w:tc>
        <w:tc>
          <w:tcPr>
            <w:tcW w:w="893" w:type="dxa"/>
            <w:tcBorders>
              <w:top w:val="single" w:sz="6" w:space="0" w:color="auto"/>
              <w:left w:val="nil"/>
              <w:bottom w:val="nil"/>
              <w:right w:val="nil"/>
            </w:tcBorders>
          </w:tcPr>
          <w:p w:rsidR="0070375D" w:rsidRPr="003D0372" w:rsidRDefault="0070375D" w:rsidP="003D0372">
            <w:pPr>
              <w:pStyle w:val="TableofFigures"/>
              <w:rPr>
                <w:rFonts w:cs="Calibri"/>
                <w:b/>
                <w:bCs/>
                <w:color w:val="000000"/>
                <w:lang w:eastAsia="en-AU"/>
              </w:rPr>
            </w:pPr>
            <w:r w:rsidRPr="003D0372">
              <w:rPr>
                <w:b/>
                <w:bCs/>
                <w:color w:val="000000"/>
                <w:lang w:eastAsia="en-AU"/>
              </w:rPr>
              <w:t xml:space="preserve">6 </w:t>
            </w:r>
            <w:r w:rsidRPr="003D0372">
              <w:rPr>
                <w:rFonts w:cs="Calibri"/>
                <w:b/>
                <w:bCs/>
                <w:color w:val="000000"/>
                <w:lang w:eastAsia="en-AU"/>
              </w:rPr>
              <w:t>115.0</w:t>
            </w:r>
          </w:p>
        </w:tc>
        <w:tc>
          <w:tcPr>
            <w:tcW w:w="893" w:type="dxa"/>
            <w:tcBorders>
              <w:top w:val="single" w:sz="6" w:space="0" w:color="auto"/>
              <w:left w:val="nil"/>
              <w:bottom w:val="nil"/>
              <w:right w:val="nil"/>
            </w:tcBorders>
          </w:tcPr>
          <w:p w:rsidR="0070375D" w:rsidRPr="003D0372" w:rsidRDefault="0070375D" w:rsidP="003D0372">
            <w:pPr>
              <w:pStyle w:val="TableofFigures"/>
              <w:rPr>
                <w:rFonts w:cs="Calibri"/>
                <w:b/>
                <w:bCs/>
                <w:color w:val="000000"/>
                <w:lang w:eastAsia="en-AU"/>
              </w:rPr>
            </w:pPr>
            <w:r w:rsidRPr="003D0372">
              <w:rPr>
                <w:b/>
                <w:bCs/>
                <w:color w:val="000000"/>
                <w:lang w:eastAsia="en-AU"/>
              </w:rPr>
              <w:t xml:space="preserve">6 </w:t>
            </w:r>
            <w:r w:rsidRPr="003D0372">
              <w:rPr>
                <w:rFonts w:cs="Calibri"/>
                <w:b/>
                <w:bCs/>
                <w:color w:val="000000"/>
                <w:lang w:eastAsia="en-AU"/>
              </w:rPr>
              <w:t>888.5</w:t>
            </w:r>
          </w:p>
        </w:tc>
      </w:tr>
      <w:tr w:rsidR="0070375D" w:rsidRPr="003D0372" w:rsidTr="003D0372">
        <w:tc>
          <w:tcPr>
            <w:tcW w:w="2420" w:type="dxa"/>
            <w:tcBorders>
              <w:top w:val="nil"/>
              <w:left w:val="nil"/>
              <w:bottom w:val="nil"/>
              <w:right w:val="nil"/>
            </w:tcBorders>
          </w:tcPr>
          <w:p w:rsidR="0070375D" w:rsidRPr="003D0372" w:rsidRDefault="0070375D" w:rsidP="003D0372">
            <w:pPr>
              <w:pStyle w:val="Tabletext"/>
              <w:rPr>
                <w:color w:val="000000"/>
                <w:lang w:eastAsia="en-AU"/>
              </w:rPr>
            </w:pPr>
            <w:r w:rsidRPr="003D0372">
              <w:rPr>
                <w:color w:val="000000"/>
                <w:lang w:eastAsia="en-AU"/>
              </w:rPr>
              <w:t>Less:</w:t>
            </w:r>
          </w:p>
        </w:tc>
        <w:tc>
          <w:tcPr>
            <w:tcW w:w="892" w:type="dxa"/>
            <w:gridSpan w:val="3"/>
            <w:tcBorders>
              <w:top w:val="nil"/>
              <w:left w:val="nil"/>
              <w:bottom w:val="nil"/>
              <w:right w:val="nil"/>
            </w:tcBorders>
          </w:tcPr>
          <w:p w:rsidR="0070375D" w:rsidRPr="003D0372" w:rsidRDefault="0070375D" w:rsidP="003D0372">
            <w:pPr>
              <w:pStyle w:val="TableofFigures"/>
              <w:rPr>
                <w:color w:val="000000"/>
                <w:lang w:eastAsia="en-AU"/>
              </w:rPr>
            </w:pPr>
          </w:p>
        </w:tc>
        <w:tc>
          <w:tcPr>
            <w:tcW w:w="955" w:type="dxa"/>
            <w:tcBorders>
              <w:top w:val="nil"/>
              <w:left w:val="nil"/>
              <w:bottom w:val="nil"/>
              <w:right w:val="nil"/>
            </w:tcBorders>
          </w:tcPr>
          <w:p w:rsidR="0070375D" w:rsidRPr="003D0372" w:rsidRDefault="0070375D" w:rsidP="003D0372">
            <w:pPr>
              <w:pStyle w:val="TableofFigures"/>
              <w:rPr>
                <w:color w:val="000000"/>
                <w:lang w:eastAsia="en-AU"/>
              </w:rPr>
            </w:pPr>
          </w:p>
        </w:tc>
        <w:tc>
          <w:tcPr>
            <w:tcW w:w="830" w:type="dxa"/>
            <w:tcBorders>
              <w:top w:val="nil"/>
              <w:left w:val="nil"/>
              <w:bottom w:val="nil"/>
              <w:right w:val="nil"/>
            </w:tcBorders>
          </w:tcPr>
          <w:p w:rsidR="0070375D" w:rsidRPr="003D0372" w:rsidRDefault="0070375D" w:rsidP="003D0372">
            <w:pPr>
              <w:pStyle w:val="TableofFigures"/>
              <w:rPr>
                <w:color w:val="000000"/>
                <w:lang w:eastAsia="en-AU"/>
              </w:rPr>
            </w:pPr>
          </w:p>
        </w:tc>
        <w:tc>
          <w:tcPr>
            <w:tcW w:w="893" w:type="dxa"/>
            <w:tcBorders>
              <w:top w:val="nil"/>
              <w:left w:val="nil"/>
              <w:bottom w:val="nil"/>
              <w:right w:val="nil"/>
            </w:tcBorders>
          </w:tcPr>
          <w:p w:rsidR="0070375D" w:rsidRPr="003D0372" w:rsidRDefault="0070375D" w:rsidP="003D0372">
            <w:pPr>
              <w:pStyle w:val="TableofFigures"/>
              <w:rPr>
                <w:color w:val="000000"/>
                <w:lang w:eastAsia="en-AU"/>
              </w:rPr>
            </w:pPr>
          </w:p>
        </w:tc>
        <w:tc>
          <w:tcPr>
            <w:tcW w:w="893" w:type="dxa"/>
            <w:tcBorders>
              <w:top w:val="nil"/>
              <w:left w:val="nil"/>
              <w:bottom w:val="nil"/>
              <w:right w:val="nil"/>
            </w:tcBorders>
          </w:tcPr>
          <w:p w:rsidR="0070375D" w:rsidRPr="003D0372" w:rsidRDefault="0070375D" w:rsidP="003D0372">
            <w:pPr>
              <w:pStyle w:val="TableofFigures"/>
              <w:rPr>
                <w:color w:val="000000"/>
                <w:lang w:eastAsia="en-AU"/>
              </w:rPr>
            </w:pPr>
          </w:p>
        </w:tc>
        <w:tc>
          <w:tcPr>
            <w:tcW w:w="893" w:type="dxa"/>
            <w:tcBorders>
              <w:top w:val="nil"/>
              <w:left w:val="nil"/>
              <w:bottom w:val="nil"/>
              <w:right w:val="nil"/>
            </w:tcBorders>
          </w:tcPr>
          <w:p w:rsidR="0070375D" w:rsidRPr="003D0372" w:rsidRDefault="0070375D" w:rsidP="003D0372">
            <w:pPr>
              <w:pStyle w:val="TableofFigures"/>
              <w:rPr>
                <w:color w:val="000000"/>
                <w:lang w:eastAsia="en-AU"/>
              </w:rPr>
            </w:pPr>
          </w:p>
        </w:tc>
      </w:tr>
      <w:tr w:rsidR="0070375D" w:rsidRPr="003D0372" w:rsidTr="003D0372">
        <w:tc>
          <w:tcPr>
            <w:tcW w:w="3206" w:type="dxa"/>
            <w:gridSpan w:val="3"/>
            <w:tcBorders>
              <w:top w:val="nil"/>
              <w:left w:val="nil"/>
              <w:bottom w:val="nil"/>
              <w:right w:val="nil"/>
            </w:tcBorders>
          </w:tcPr>
          <w:p w:rsidR="0070375D" w:rsidRPr="003D0372" w:rsidRDefault="0070375D" w:rsidP="003D0372">
            <w:pPr>
              <w:pStyle w:val="Tabletext"/>
              <w:rPr>
                <w:b/>
                <w:bCs/>
                <w:color w:val="000000"/>
                <w:lang w:eastAsia="en-AU"/>
              </w:rPr>
            </w:pPr>
            <w:r w:rsidRPr="003D0372">
              <w:rPr>
                <w:b/>
                <w:bCs/>
                <w:color w:val="000000"/>
                <w:lang w:eastAsia="en-AU"/>
              </w:rPr>
              <w:t>Net investment in fixed assets</w:t>
            </w:r>
          </w:p>
        </w:tc>
        <w:tc>
          <w:tcPr>
            <w:tcW w:w="106" w:type="dxa"/>
            <w:tcBorders>
              <w:top w:val="nil"/>
              <w:left w:val="nil"/>
              <w:bottom w:val="nil"/>
              <w:right w:val="nil"/>
            </w:tcBorders>
          </w:tcPr>
          <w:p w:rsidR="0070375D" w:rsidRPr="003D0372" w:rsidRDefault="0070375D" w:rsidP="003D0372">
            <w:pPr>
              <w:pStyle w:val="TableofFigures"/>
              <w:rPr>
                <w:b/>
                <w:bCs/>
                <w:color w:val="000000"/>
                <w:lang w:eastAsia="en-AU"/>
              </w:rPr>
            </w:pPr>
          </w:p>
        </w:tc>
        <w:tc>
          <w:tcPr>
            <w:tcW w:w="955" w:type="dxa"/>
            <w:tcBorders>
              <w:top w:val="nil"/>
              <w:left w:val="nil"/>
              <w:bottom w:val="nil"/>
              <w:right w:val="nil"/>
            </w:tcBorders>
          </w:tcPr>
          <w:p w:rsidR="0070375D" w:rsidRPr="003D0372" w:rsidRDefault="0070375D" w:rsidP="003D0372">
            <w:pPr>
              <w:pStyle w:val="TableofFigures"/>
              <w:rPr>
                <w:b/>
                <w:bCs/>
                <w:color w:val="000000"/>
                <w:lang w:eastAsia="en-AU"/>
              </w:rPr>
            </w:pPr>
          </w:p>
        </w:tc>
        <w:tc>
          <w:tcPr>
            <w:tcW w:w="830" w:type="dxa"/>
            <w:tcBorders>
              <w:top w:val="nil"/>
              <w:left w:val="nil"/>
              <w:bottom w:val="nil"/>
              <w:right w:val="nil"/>
            </w:tcBorders>
          </w:tcPr>
          <w:p w:rsidR="0070375D" w:rsidRPr="003D0372" w:rsidRDefault="0070375D" w:rsidP="003D0372">
            <w:pPr>
              <w:pStyle w:val="TableofFigures"/>
              <w:rPr>
                <w:b/>
                <w:bCs/>
                <w:color w:val="000000"/>
                <w:lang w:eastAsia="en-AU"/>
              </w:rPr>
            </w:pPr>
          </w:p>
        </w:tc>
        <w:tc>
          <w:tcPr>
            <w:tcW w:w="893" w:type="dxa"/>
            <w:tcBorders>
              <w:top w:val="nil"/>
              <w:left w:val="nil"/>
              <w:bottom w:val="nil"/>
              <w:right w:val="nil"/>
            </w:tcBorders>
          </w:tcPr>
          <w:p w:rsidR="0070375D" w:rsidRPr="003D0372" w:rsidRDefault="0070375D" w:rsidP="003D0372">
            <w:pPr>
              <w:pStyle w:val="TableofFigures"/>
              <w:rPr>
                <w:b/>
                <w:bCs/>
                <w:color w:val="000000"/>
                <w:lang w:eastAsia="en-AU"/>
              </w:rPr>
            </w:pPr>
          </w:p>
        </w:tc>
        <w:tc>
          <w:tcPr>
            <w:tcW w:w="893" w:type="dxa"/>
            <w:tcBorders>
              <w:top w:val="nil"/>
              <w:left w:val="nil"/>
              <w:bottom w:val="nil"/>
              <w:right w:val="nil"/>
            </w:tcBorders>
          </w:tcPr>
          <w:p w:rsidR="0070375D" w:rsidRPr="003D0372" w:rsidRDefault="0070375D" w:rsidP="003D0372">
            <w:pPr>
              <w:pStyle w:val="TableofFigures"/>
              <w:rPr>
                <w:b/>
                <w:bCs/>
                <w:color w:val="000000"/>
                <w:lang w:eastAsia="en-AU"/>
              </w:rPr>
            </w:pPr>
          </w:p>
        </w:tc>
        <w:tc>
          <w:tcPr>
            <w:tcW w:w="893" w:type="dxa"/>
            <w:tcBorders>
              <w:top w:val="nil"/>
              <w:left w:val="nil"/>
              <w:bottom w:val="nil"/>
              <w:right w:val="nil"/>
            </w:tcBorders>
          </w:tcPr>
          <w:p w:rsidR="0070375D" w:rsidRPr="003D0372" w:rsidRDefault="0070375D" w:rsidP="003D0372">
            <w:pPr>
              <w:pStyle w:val="TableofFigures"/>
              <w:rPr>
                <w:b/>
                <w:bCs/>
                <w:color w:val="000000"/>
                <w:lang w:eastAsia="en-AU"/>
              </w:rPr>
            </w:pPr>
          </w:p>
        </w:tc>
      </w:tr>
      <w:tr w:rsidR="0070375D" w:rsidRPr="003D0372" w:rsidTr="003D0372">
        <w:tc>
          <w:tcPr>
            <w:tcW w:w="2420" w:type="dxa"/>
            <w:tcBorders>
              <w:top w:val="nil"/>
              <w:left w:val="nil"/>
              <w:bottom w:val="nil"/>
              <w:right w:val="nil"/>
            </w:tcBorders>
          </w:tcPr>
          <w:p w:rsidR="0070375D" w:rsidRPr="003D0372" w:rsidRDefault="0070375D" w:rsidP="003D0372">
            <w:pPr>
              <w:pStyle w:val="Tabletext"/>
              <w:rPr>
                <w:color w:val="000000"/>
                <w:lang w:eastAsia="en-AU"/>
              </w:rPr>
            </w:pPr>
            <w:r w:rsidRPr="003D0372">
              <w:rPr>
                <w:color w:val="000000"/>
                <w:lang w:eastAsia="en-AU"/>
              </w:rPr>
              <w:t>Expenditure on approved projects</w:t>
            </w:r>
          </w:p>
        </w:tc>
        <w:tc>
          <w:tcPr>
            <w:tcW w:w="892" w:type="dxa"/>
            <w:gridSpan w:val="3"/>
            <w:tcBorders>
              <w:top w:val="nil"/>
              <w:left w:val="nil"/>
              <w:bottom w:val="nil"/>
              <w:right w:val="nil"/>
            </w:tcBorders>
          </w:tcPr>
          <w:p w:rsidR="0070375D" w:rsidRPr="003D0372" w:rsidRDefault="0070375D" w:rsidP="003D0372">
            <w:pPr>
              <w:pStyle w:val="TableofFigures"/>
              <w:rPr>
                <w:rFonts w:cs="Calibri"/>
                <w:color w:val="000000"/>
                <w:lang w:eastAsia="en-AU"/>
              </w:rPr>
            </w:pPr>
            <w:r w:rsidRPr="003D0372">
              <w:rPr>
                <w:color w:val="000000"/>
                <w:lang w:eastAsia="en-AU"/>
              </w:rPr>
              <w:t xml:space="preserve">7 </w:t>
            </w:r>
            <w:r w:rsidRPr="003D0372">
              <w:rPr>
                <w:rFonts w:cs="Calibri"/>
                <w:color w:val="000000"/>
                <w:lang w:eastAsia="en-AU"/>
              </w:rPr>
              <w:t>376.5</w:t>
            </w:r>
          </w:p>
        </w:tc>
        <w:tc>
          <w:tcPr>
            <w:tcW w:w="955" w:type="dxa"/>
            <w:tcBorders>
              <w:top w:val="nil"/>
              <w:left w:val="nil"/>
              <w:bottom w:val="nil"/>
              <w:right w:val="nil"/>
            </w:tcBorders>
          </w:tcPr>
          <w:p w:rsidR="0070375D" w:rsidRPr="003D0372" w:rsidRDefault="0070375D" w:rsidP="003D0372">
            <w:pPr>
              <w:pStyle w:val="TableofFigures"/>
              <w:rPr>
                <w:rFonts w:cs="Calibri"/>
                <w:color w:val="000000"/>
                <w:lang w:eastAsia="en-AU"/>
              </w:rPr>
            </w:pPr>
            <w:r w:rsidRPr="003D0372">
              <w:rPr>
                <w:color w:val="000000"/>
                <w:lang w:eastAsia="en-AU"/>
              </w:rPr>
              <w:t xml:space="preserve">7 </w:t>
            </w:r>
            <w:r w:rsidRPr="003D0372">
              <w:rPr>
                <w:rFonts w:cs="Calibri"/>
                <w:color w:val="000000"/>
                <w:lang w:eastAsia="en-AU"/>
              </w:rPr>
              <w:t>356.9</w:t>
            </w:r>
          </w:p>
        </w:tc>
        <w:tc>
          <w:tcPr>
            <w:tcW w:w="830" w:type="dxa"/>
            <w:tcBorders>
              <w:top w:val="nil"/>
              <w:left w:val="nil"/>
              <w:bottom w:val="nil"/>
              <w:right w:val="nil"/>
            </w:tcBorders>
          </w:tcPr>
          <w:p w:rsidR="0070375D" w:rsidRPr="003D0372" w:rsidRDefault="0070375D" w:rsidP="003D0372">
            <w:pPr>
              <w:pStyle w:val="TableofFigures"/>
              <w:rPr>
                <w:rFonts w:cs="Calibri"/>
                <w:color w:val="000000"/>
                <w:lang w:eastAsia="en-AU"/>
              </w:rPr>
            </w:pPr>
            <w:r w:rsidRPr="003D0372">
              <w:rPr>
                <w:color w:val="000000"/>
                <w:lang w:eastAsia="en-AU"/>
              </w:rPr>
              <w:t xml:space="preserve">8 </w:t>
            </w:r>
            <w:r w:rsidRPr="003D0372">
              <w:rPr>
                <w:rFonts w:cs="Calibri"/>
                <w:color w:val="000000"/>
                <w:lang w:eastAsia="en-AU"/>
              </w:rPr>
              <w:t>565.7</w:t>
            </w:r>
          </w:p>
        </w:tc>
        <w:tc>
          <w:tcPr>
            <w:tcW w:w="893" w:type="dxa"/>
            <w:tcBorders>
              <w:top w:val="nil"/>
              <w:left w:val="nil"/>
              <w:bottom w:val="nil"/>
              <w:right w:val="nil"/>
            </w:tcBorders>
          </w:tcPr>
          <w:p w:rsidR="0070375D" w:rsidRPr="003D0372" w:rsidRDefault="0070375D" w:rsidP="003D0372">
            <w:pPr>
              <w:pStyle w:val="TableofFigures"/>
              <w:rPr>
                <w:rFonts w:cs="Calibri"/>
                <w:color w:val="000000"/>
                <w:lang w:eastAsia="en-AU"/>
              </w:rPr>
            </w:pPr>
            <w:r w:rsidRPr="003D0372">
              <w:rPr>
                <w:color w:val="000000"/>
                <w:lang w:eastAsia="en-AU"/>
              </w:rPr>
              <w:t xml:space="preserve">7 </w:t>
            </w:r>
            <w:r w:rsidRPr="003D0372">
              <w:rPr>
                <w:rFonts w:cs="Calibri"/>
                <w:color w:val="000000"/>
                <w:lang w:eastAsia="en-AU"/>
              </w:rPr>
              <w:t>761.9</w:t>
            </w:r>
          </w:p>
        </w:tc>
        <w:tc>
          <w:tcPr>
            <w:tcW w:w="893" w:type="dxa"/>
            <w:tcBorders>
              <w:top w:val="nil"/>
              <w:left w:val="nil"/>
              <w:bottom w:val="nil"/>
              <w:right w:val="nil"/>
            </w:tcBorders>
          </w:tcPr>
          <w:p w:rsidR="0070375D" w:rsidRPr="003D0372" w:rsidRDefault="0070375D" w:rsidP="003D0372">
            <w:pPr>
              <w:pStyle w:val="TableofFigures"/>
              <w:rPr>
                <w:rFonts w:cs="Calibri"/>
                <w:color w:val="000000"/>
                <w:lang w:eastAsia="en-AU"/>
              </w:rPr>
            </w:pPr>
            <w:r w:rsidRPr="003D0372">
              <w:rPr>
                <w:color w:val="000000"/>
                <w:lang w:eastAsia="en-AU"/>
              </w:rPr>
              <w:t xml:space="preserve">5 </w:t>
            </w:r>
            <w:r w:rsidRPr="003D0372">
              <w:rPr>
                <w:rFonts w:cs="Calibri"/>
                <w:color w:val="000000"/>
                <w:lang w:eastAsia="en-AU"/>
              </w:rPr>
              <w:t>129.6</w:t>
            </w:r>
          </w:p>
        </w:tc>
        <w:tc>
          <w:tcPr>
            <w:tcW w:w="893" w:type="dxa"/>
            <w:tcBorders>
              <w:top w:val="nil"/>
              <w:left w:val="nil"/>
              <w:bottom w:val="nil"/>
              <w:right w:val="nil"/>
            </w:tcBorders>
          </w:tcPr>
          <w:p w:rsidR="0070375D" w:rsidRPr="003D0372" w:rsidRDefault="0070375D" w:rsidP="003D0372">
            <w:pPr>
              <w:pStyle w:val="TableofFigures"/>
              <w:rPr>
                <w:rFonts w:cs="Calibri"/>
                <w:color w:val="000000"/>
                <w:lang w:eastAsia="en-AU"/>
              </w:rPr>
            </w:pPr>
            <w:r w:rsidRPr="003D0372">
              <w:rPr>
                <w:color w:val="000000"/>
                <w:lang w:eastAsia="en-AU"/>
              </w:rPr>
              <w:t xml:space="preserve">5 </w:t>
            </w:r>
            <w:r w:rsidRPr="003D0372">
              <w:rPr>
                <w:rFonts w:cs="Calibri"/>
                <w:color w:val="000000"/>
                <w:lang w:eastAsia="en-AU"/>
              </w:rPr>
              <w:t>143.0</w:t>
            </w:r>
          </w:p>
        </w:tc>
      </w:tr>
      <w:tr w:rsidR="0070375D" w:rsidRPr="003D0372" w:rsidTr="00041FD9">
        <w:tc>
          <w:tcPr>
            <w:tcW w:w="2420" w:type="dxa"/>
            <w:tcBorders>
              <w:top w:val="nil"/>
              <w:left w:val="nil"/>
              <w:bottom w:val="nil"/>
              <w:right w:val="nil"/>
            </w:tcBorders>
            <w:shd w:val="clear" w:color="auto" w:fill="auto"/>
          </w:tcPr>
          <w:p w:rsidR="0070375D" w:rsidRPr="00283CA1" w:rsidRDefault="0070375D" w:rsidP="003D0372">
            <w:pPr>
              <w:pStyle w:val="Tabletext"/>
              <w:rPr>
                <w:color w:val="000000"/>
                <w:vertAlign w:val="superscript"/>
                <w:lang w:eastAsia="en-AU"/>
              </w:rPr>
            </w:pPr>
            <w:r w:rsidRPr="00283CA1">
              <w:rPr>
                <w:color w:val="000000"/>
                <w:lang w:eastAsia="en-AU"/>
              </w:rPr>
              <w:t xml:space="preserve">Capital provision approved but not yet allocated </w:t>
            </w:r>
            <w:r w:rsidRPr="00283CA1">
              <w:rPr>
                <w:color w:val="000000"/>
                <w:vertAlign w:val="superscript"/>
                <w:lang w:eastAsia="en-AU"/>
              </w:rPr>
              <w:t>(b)</w:t>
            </w:r>
          </w:p>
        </w:tc>
        <w:tc>
          <w:tcPr>
            <w:tcW w:w="892" w:type="dxa"/>
            <w:gridSpan w:val="3"/>
            <w:tcBorders>
              <w:top w:val="nil"/>
              <w:left w:val="nil"/>
              <w:bottom w:val="nil"/>
              <w:right w:val="nil"/>
            </w:tcBorders>
            <w:shd w:val="clear" w:color="auto" w:fill="auto"/>
          </w:tcPr>
          <w:p w:rsidR="0070375D" w:rsidRPr="00283CA1" w:rsidRDefault="0070375D" w:rsidP="003D0372">
            <w:pPr>
              <w:pStyle w:val="TableofFigures"/>
              <w:rPr>
                <w:color w:val="000000"/>
                <w:lang w:eastAsia="en-AU"/>
              </w:rPr>
            </w:pPr>
            <w:r w:rsidRPr="00283CA1">
              <w:rPr>
                <w:color w:val="000000"/>
                <w:lang w:eastAsia="en-AU"/>
              </w:rPr>
              <w:t>..</w:t>
            </w:r>
          </w:p>
        </w:tc>
        <w:tc>
          <w:tcPr>
            <w:tcW w:w="955" w:type="dxa"/>
            <w:tcBorders>
              <w:top w:val="nil"/>
              <w:left w:val="nil"/>
              <w:bottom w:val="nil"/>
              <w:right w:val="nil"/>
            </w:tcBorders>
            <w:shd w:val="clear" w:color="auto" w:fill="auto"/>
          </w:tcPr>
          <w:p w:rsidR="0070375D" w:rsidRPr="00283CA1" w:rsidRDefault="0070375D" w:rsidP="003D0372">
            <w:pPr>
              <w:pStyle w:val="TableofFigures"/>
              <w:rPr>
                <w:color w:val="000000"/>
                <w:lang w:eastAsia="en-AU"/>
              </w:rPr>
            </w:pPr>
            <w:r w:rsidRPr="00283CA1">
              <w:rPr>
                <w:color w:val="000000"/>
                <w:lang w:eastAsia="en-AU"/>
              </w:rPr>
              <w:t>..</w:t>
            </w:r>
          </w:p>
        </w:tc>
        <w:tc>
          <w:tcPr>
            <w:tcW w:w="830" w:type="dxa"/>
            <w:tcBorders>
              <w:top w:val="nil"/>
              <w:left w:val="nil"/>
              <w:bottom w:val="nil"/>
              <w:right w:val="nil"/>
            </w:tcBorders>
            <w:shd w:val="clear" w:color="auto" w:fill="auto"/>
          </w:tcPr>
          <w:p w:rsidR="0070375D" w:rsidRPr="00283CA1" w:rsidRDefault="0070375D" w:rsidP="003D0372">
            <w:pPr>
              <w:pStyle w:val="TableofFigures"/>
              <w:rPr>
                <w:color w:val="000000"/>
                <w:lang w:eastAsia="en-AU"/>
              </w:rPr>
            </w:pPr>
            <w:r w:rsidRPr="00283CA1">
              <w:rPr>
                <w:color w:val="000000"/>
                <w:lang w:eastAsia="en-AU"/>
              </w:rPr>
              <w:t>..</w:t>
            </w:r>
          </w:p>
        </w:tc>
        <w:tc>
          <w:tcPr>
            <w:tcW w:w="893" w:type="dxa"/>
            <w:tcBorders>
              <w:top w:val="nil"/>
              <w:left w:val="nil"/>
              <w:bottom w:val="nil"/>
              <w:right w:val="nil"/>
            </w:tcBorders>
            <w:shd w:val="clear" w:color="auto" w:fill="auto"/>
          </w:tcPr>
          <w:p w:rsidR="0070375D" w:rsidRPr="00283CA1" w:rsidRDefault="0070375D" w:rsidP="003D0372">
            <w:pPr>
              <w:pStyle w:val="TableofFigures"/>
              <w:rPr>
                <w:color w:val="000000"/>
                <w:lang w:eastAsia="en-AU"/>
              </w:rPr>
            </w:pPr>
            <w:r w:rsidRPr="00283CA1">
              <w:rPr>
                <w:color w:val="000000"/>
                <w:lang w:eastAsia="en-AU"/>
              </w:rPr>
              <w:t xml:space="preserve"> 225.6</w:t>
            </w:r>
          </w:p>
        </w:tc>
        <w:tc>
          <w:tcPr>
            <w:tcW w:w="893" w:type="dxa"/>
            <w:tcBorders>
              <w:top w:val="nil"/>
              <w:left w:val="nil"/>
              <w:bottom w:val="nil"/>
              <w:right w:val="nil"/>
            </w:tcBorders>
            <w:shd w:val="clear" w:color="auto" w:fill="auto"/>
          </w:tcPr>
          <w:p w:rsidR="0070375D" w:rsidRPr="00283CA1" w:rsidRDefault="0070375D" w:rsidP="003D0372">
            <w:pPr>
              <w:pStyle w:val="TableofFigures"/>
              <w:rPr>
                <w:color w:val="000000"/>
                <w:lang w:eastAsia="en-AU"/>
              </w:rPr>
            </w:pPr>
            <w:r w:rsidRPr="00283CA1">
              <w:rPr>
                <w:color w:val="000000"/>
                <w:lang w:eastAsia="en-AU"/>
              </w:rPr>
              <w:t xml:space="preserve"> 504.2</w:t>
            </w:r>
          </w:p>
        </w:tc>
        <w:tc>
          <w:tcPr>
            <w:tcW w:w="893" w:type="dxa"/>
            <w:tcBorders>
              <w:top w:val="nil"/>
              <w:left w:val="nil"/>
              <w:bottom w:val="nil"/>
              <w:right w:val="nil"/>
            </w:tcBorders>
            <w:shd w:val="clear" w:color="auto" w:fill="auto"/>
          </w:tcPr>
          <w:p w:rsidR="0070375D" w:rsidRPr="003D0372" w:rsidRDefault="0070375D" w:rsidP="003D0372">
            <w:pPr>
              <w:pStyle w:val="TableofFigures"/>
              <w:rPr>
                <w:color w:val="000000"/>
                <w:lang w:eastAsia="en-AU"/>
              </w:rPr>
            </w:pPr>
            <w:r w:rsidRPr="00283CA1">
              <w:rPr>
                <w:color w:val="000000"/>
                <w:lang w:eastAsia="en-AU"/>
              </w:rPr>
              <w:t xml:space="preserve"> 818.1</w:t>
            </w:r>
          </w:p>
        </w:tc>
      </w:tr>
      <w:tr w:rsidR="0070375D" w:rsidRPr="003D0372" w:rsidTr="003D0372">
        <w:tc>
          <w:tcPr>
            <w:tcW w:w="2420" w:type="dxa"/>
            <w:tcBorders>
              <w:top w:val="nil"/>
              <w:left w:val="nil"/>
              <w:bottom w:val="nil"/>
              <w:right w:val="nil"/>
            </w:tcBorders>
          </w:tcPr>
          <w:p w:rsidR="0070375D" w:rsidRPr="003D0372" w:rsidRDefault="0070375D" w:rsidP="003D0372">
            <w:pPr>
              <w:pStyle w:val="Tabletext"/>
              <w:rPr>
                <w:color w:val="000000"/>
                <w:lang w:eastAsia="en-AU"/>
              </w:rPr>
            </w:pPr>
            <w:r w:rsidRPr="003D0372">
              <w:rPr>
                <w:color w:val="000000"/>
                <w:lang w:eastAsia="en-AU"/>
              </w:rPr>
              <w:t>Proceeds from asset sales</w:t>
            </w:r>
          </w:p>
        </w:tc>
        <w:tc>
          <w:tcPr>
            <w:tcW w:w="892" w:type="dxa"/>
            <w:gridSpan w:val="3"/>
            <w:tcBorders>
              <w:top w:val="nil"/>
              <w:left w:val="nil"/>
              <w:bottom w:val="single" w:sz="6" w:space="0" w:color="auto"/>
              <w:right w:val="nil"/>
            </w:tcBorders>
          </w:tcPr>
          <w:p w:rsidR="0070375D" w:rsidRPr="003D0372" w:rsidRDefault="002714D4" w:rsidP="003D0372">
            <w:pPr>
              <w:pStyle w:val="TableofFigures"/>
              <w:rPr>
                <w:rFonts w:cs="Calibri"/>
                <w:color w:val="000000"/>
                <w:lang w:eastAsia="en-AU"/>
              </w:rPr>
            </w:pPr>
            <w:r>
              <w:rPr>
                <w:color w:val="000000"/>
                <w:lang w:eastAsia="en-AU"/>
              </w:rPr>
              <w:t>(</w:t>
            </w:r>
            <w:r w:rsidR="0070375D" w:rsidRPr="003D0372">
              <w:rPr>
                <w:color w:val="000000"/>
                <w:lang w:eastAsia="en-AU"/>
              </w:rPr>
              <w:t>289.3</w:t>
            </w:r>
            <w:r w:rsidR="0070375D" w:rsidRPr="003D0372">
              <w:rPr>
                <w:rFonts w:cs="Calibri"/>
                <w:color w:val="000000"/>
                <w:lang w:eastAsia="en-AU"/>
              </w:rPr>
              <w:t>)</w:t>
            </w:r>
          </w:p>
        </w:tc>
        <w:tc>
          <w:tcPr>
            <w:tcW w:w="955" w:type="dxa"/>
            <w:tcBorders>
              <w:top w:val="nil"/>
              <w:left w:val="nil"/>
              <w:bottom w:val="single" w:sz="6" w:space="0" w:color="auto"/>
              <w:right w:val="nil"/>
            </w:tcBorders>
          </w:tcPr>
          <w:p w:rsidR="0070375D" w:rsidRPr="003D0372" w:rsidRDefault="002714D4" w:rsidP="003D0372">
            <w:pPr>
              <w:pStyle w:val="TableofFigures"/>
              <w:rPr>
                <w:rFonts w:cs="Calibri"/>
                <w:color w:val="000000"/>
                <w:lang w:eastAsia="en-AU"/>
              </w:rPr>
            </w:pPr>
            <w:r>
              <w:rPr>
                <w:color w:val="000000"/>
                <w:lang w:eastAsia="en-AU"/>
              </w:rPr>
              <w:t>(</w:t>
            </w:r>
            <w:r w:rsidR="0070375D" w:rsidRPr="003D0372">
              <w:rPr>
                <w:color w:val="000000"/>
                <w:lang w:eastAsia="en-AU"/>
              </w:rPr>
              <w:t>508.6</w:t>
            </w:r>
            <w:r w:rsidR="0070375D" w:rsidRPr="003D0372">
              <w:rPr>
                <w:rFonts w:cs="Calibri"/>
                <w:color w:val="000000"/>
                <w:lang w:eastAsia="en-AU"/>
              </w:rPr>
              <w:t>)</w:t>
            </w:r>
          </w:p>
        </w:tc>
        <w:tc>
          <w:tcPr>
            <w:tcW w:w="830" w:type="dxa"/>
            <w:tcBorders>
              <w:top w:val="nil"/>
              <w:left w:val="nil"/>
              <w:bottom w:val="single" w:sz="6" w:space="0" w:color="auto"/>
              <w:right w:val="nil"/>
            </w:tcBorders>
          </w:tcPr>
          <w:p w:rsidR="0070375D" w:rsidRPr="003D0372" w:rsidRDefault="002714D4" w:rsidP="003D0372">
            <w:pPr>
              <w:pStyle w:val="TableofFigures"/>
              <w:rPr>
                <w:rFonts w:cs="Calibri"/>
                <w:color w:val="000000"/>
                <w:lang w:eastAsia="en-AU"/>
              </w:rPr>
            </w:pPr>
            <w:r>
              <w:rPr>
                <w:color w:val="000000"/>
                <w:lang w:eastAsia="en-AU"/>
              </w:rPr>
              <w:t>(</w:t>
            </w:r>
            <w:r w:rsidR="0070375D" w:rsidRPr="003D0372">
              <w:rPr>
                <w:color w:val="000000"/>
                <w:lang w:eastAsia="en-AU"/>
              </w:rPr>
              <w:t>525.9</w:t>
            </w:r>
            <w:r w:rsidR="0070375D" w:rsidRPr="003D0372">
              <w:rPr>
                <w:rFonts w:cs="Calibri"/>
                <w:color w:val="000000"/>
                <w:lang w:eastAsia="en-AU"/>
              </w:rPr>
              <w:t>)</w:t>
            </w:r>
          </w:p>
        </w:tc>
        <w:tc>
          <w:tcPr>
            <w:tcW w:w="893" w:type="dxa"/>
            <w:tcBorders>
              <w:top w:val="nil"/>
              <w:left w:val="nil"/>
              <w:bottom w:val="single" w:sz="6" w:space="0" w:color="auto"/>
              <w:right w:val="nil"/>
            </w:tcBorders>
          </w:tcPr>
          <w:p w:rsidR="0070375D" w:rsidRPr="003D0372" w:rsidRDefault="002714D4" w:rsidP="003D0372">
            <w:pPr>
              <w:pStyle w:val="TableofFigures"/>
              <w:rPr>
                <w:rFonts w:cs="Calibri"/>
                <w:color w:val="000000"/>
                <w:lang w:eastAsia="en-AU"/>
              </w:rPr>
            </w:pPr>
            <w:r>
              <w:rPr>
                <w:color w:val="000000"/>
                <w:lang w:eastAsia="en-AU"/>
              </w:rPr>
              <w:t>(</w:t>
            </w:r>
            <w:r w:rsidR="0070375D" w:rsidRPr="003D0372">
              <w:rPr>
                <w:color w:val="000000"/>
                <w:lang w:eastAsia="en-AU"/>
              </w:rPr>
              <w:t>553.9</w:t>
            </w:r>
            <w:r w:rsidR="0070375D" w:rsidRPr="003D0372">
              <w:rPr>
                <w:rFonts w:cs="Calibri"/>
                <w:color w:val="000000"/>
                <w:lang w:eastAsia="en-AU"/>
              </w:rPr>
              <w:t>)</w:t>
            </w:r>
          </w:p>
        </w:tc>
        <w:tc>
          <w:tcPr>
            <w:tcW w:w="893" w:type="dxa"/>
            <w:tcBorders>
              <w:top w:val="nil"/>
              <w:left w:val="nil"/>
              <w:bottom w:val="single" w:sz="6" w:space="0" w:color="auto"/>
              <w:right w:val="nil"/>
            </w:tcBorders>
          </w:tcPr>
          <w:p w:rsidR="0070375D" w:rsidRPr="003D0372" w:rsidRDefault="002714D4" w:rsidP="003D0372">
            <w:pPr>
              <w:pStyle w:val="TableofFigures"/>
              <w:rPr>
                <w:rFonts w:cs="Calibri"/>
                <w:color w:val="000000"/>
                <w:lang w:eastAsia="en-AU"/>
              </w:rPr>
            </w:pPr>
            <w:r>
              <w:rPr>
                <w:color w:val="000000"/>
                <w:lang w:eastAsia="en-AU"/>
              </w:rPr>
              <w:t>(</w:t>
            </w:r>
            <w:r w:rsidR="0070375D" w:rsidRPr="003D0372">
              <w:rPr>
                <w:color w:val="000000"/>
                <w:lang w:eastAsia="en-AU"/>
              </w:rPr>
              <w:t>591.1</w:t>
            </w:r>
            <w:r w:rsidR="0070375D" w:rsidRPr="003D0372">
              <w:rPr>
                <w:rFonts w:cs="Calibri"/>
                <w:color w:val="000000"/>
                <w:lang w:eastAsia="en-AU"/>
              </w:rPr>
              <w:t>)</w:t>
            </w:r>
          </w:p>
        </w:tc>
        <w:tc>
          <w:tcPr>
            <w:tcW w:w="893" w:type="dxa"/>
            <w:tcBorders>
              <w:top w:val="nil"/>
              <w:left w:val="nil"/>
              <w:bottom w:val="single" w:sz="6" w:space="0" w:color="auto"/>
              <w:right w:val="nil"/>
            </w:tcBorders>
          </w:tcPr>
          <w:p w:rsidR="0070375D" w:rsidRPr="003D0372" w:rsidRDefault="002714D4" w:rsidP="003D0372">
            <w:pPr>
              <w:pStyle w:val="TableofFigures"/>
              <w:rPr>
                <w:rFonts w:cs="Calibri"/>
                <w:color w:val="000000"/>
                <w:lang w:eastAsia="en-AU"/>
              </w:rPr>
            </w:pPr>
            <w:r>
              <w:rPr>
                <w:color w:val="000000"/>
                <w:lang w:eastAsia="en-AU"/>
              </w:rPr>
              <w:t>(</w:t>
            </w:r>
            <w:r w:rsidR="0070375D" w:rsidRPr="003D0372">
              <w:rPr>
                <w:color w:val="000000"/>
                <w:lang w:eastAsia="en-AU"/>
              </w:rPr>
              <w:t>510.9</w:t>
            </w:r>
            <w:r w:rsidR="0070375D" w:rsidRPr="003D0372">
              <w:rPr>
                <w:rFonts w:cs="Calibri"/>
                <w:color w:val="000000"/>
                <w:lang w:eastAsia="en-AU"/>
              </w:rPr>
              <w:t>)</w:t>
            </w:r>
          </w:p>
        </w:tc>
      </w:tr>
      <w:tr w:rsidR="0070375D" w:rsidRPr="003D0372" w:rsidTr="003D0372">
        <w:tc>
          <w:tcPr>
            <w:tcW w:w="2420" w:type="dxa"/>
            <w:tcBorders>
              <w:top w:val="single" w:sz="6" w:space="0" w:color="auto"/>
              <w:left w:val="nil"/>
              <w:bottom w:val="nil"/>
              <w:right w:val="nil"/>
            </w:tcBorders>
          </w:tcPr>
          <w:p w:rsidR="0070375D" w:rsidRPr="003D0372" w:rsidRDefault="0070375D" w:rsidP="003D0372">
            <w:pPr>
              <w:pStyle w:val="Tabletext"/>
              <w:rPr>
                <w:b/>
                <w:bCs/>
                <w:color w:val="000000"/>
                <w:lang w:eastAsia="en-AU"/>
              </w:rPr>
            </w:pPr>
            <w:r w:rsidRPr="003D0372">
              <w:rPr>
                <w:b/>
                <w:bCs/>
                <w:color w:val="000000"/>
                <w:lang w:eastAsia="en-AU"/>
              </w:rPr>
              <w:t>Total net investment in fixed assets</w:t>
            </w:r>
          </w:p>
        </w:tc>
        <w:tc>
          <w:tcPr>
            <w:tcW w:w="892" w:type="dxa"/>
            <w:gridSpan w:val="3"/>
            <w:tcBorders>
              <w:top w:val="nil"/>
              <w:left w:val="nil"/>
              <w:bottom w:val="nil"/>
              <w:right w:val="nil"/>
            </w:tcBorders>
          </w:tcPr>
          <w:p w:rsidR="0070375D" w:rsidRPr="003D0372" w:rsidRDefault="0070375D" w:rsidP="003D0372">
            <w:pPr>
              <w:pStyle w:val="TableofFigures"/>
              <w:rPr>
                <w:rFonts w:cs="Calibri"/>
                <w:b/>
                <w:bCs/>
                <w:color w:val="000000"/>
                <w:lang w:eastAsia="en-AU"/>
              </w:rPr>
            </w:pPr>
            <w:r w:rsidRPr="003D0372">
              <w:rPr>
                <w:b/>
                <w:bCs/>
                <w:color w:val="000000"/>
                <w:lang w:eastAsia="en-AU"/>
              </w:rPr>
              <w:t xml:space="preserve">7 </w:t>
            </w:r>
            <w:r w:rsidRPr="003D0372">
              <w:rPr>
                <w:rFonts w:cs="Calibri"/>
                <w:b/>
                <w:bCs/>
                <w:color w:val="000000"/>
                <w:lang w:eastAsia="en-AU"/>
              </w:rPr>
              <w:t>087.1</w:t>
            </w:r>
          </w:p>
        </w:tc>
        <w:tc>
          <w:tcPr>
            <w:tcW w:w="955" w:type="dxa"/>
            <w:tcBorders>
              <w:top w:val="nil"/>
              <w:left w:val="nil"/>
              <w:bottom w:val="nil"/>
              <w:right w:val="nil"/>
            </w:tcBorders>
          </w:tcPr>
          <w:p w:rsidR="0070375D" w:rsidRPr="003D0372" w:rsidRDefault="0070375D" w:rsidP="003D0372">
            <w:pPr>
              <w:pStyle w:val="TableofFigures"/>
              <w:rPr>
                <w:rFonts w:cs="Calibri"/>
                <w:b/>
                <w:bCs/>
                <w:color w:val="000000"/>
                <w:lang w:eastAsia="en-AU"/>
              </w:rPr>
            </w:pPr>
            <w:r w:rsidRPr="003D0372">
              <w:rPr>
                <w:b/>
                <w:bCs/>
                <w:color w:val="000000"/>
                <w:lang w:eastAsia="en-AU"/>
              </w:rPr>
              <w:t xml:space="preserve">6 </w:t>
            </w:r>
            <w:r w:rsidRPr="003D0372">
              <w:rPr>
                <w:rFonts w:cs="Calibri"/>
                <w:b/>
                <w:bCs/>
                <w:color w:val="000000"/>
                <w:lang w:eastAsia="en-AU"/>
              </w:rPr>
              <w:t>848.2</w:t>
            </w:r>
          </w:p>
        </w:tc>
        <w:tc>
          <w:tcPr>
            <w:tcW w:w="830" w:type="dxa"/>
            <w:tcBorders>
              <w:top w:val="nil"/>
              <w:left w:val="nil"/>
              <w:bottom w:val="nil"/>
              <w:right w:val="nil"/>
            </w:tcBorders>
          </w:tcPr>
          <w:p w:rsidR="0070375D" w:rsidRPr="003D0372" w:rsidRDefault="0070375D" w:rsidP="003D0372">
            <w:pPr>
              <w:pStyle w:val="TableofFigures"/>
              <w:rPr>
                <w:rFonts w:cs="Calibri"/>
                <w:b/>
                <w:bCs/>
                <w:color w:val="000000"/>
                <w:lang w:eastAsia="en-AU"/>
              </w:rPr>
            </w:pPr>
            <w:r w:rsidRPr="003D0372">
              <w:rPr>
                <w:b/>
                <w:bCs/>
                <w:color w:val="000000"/>
                <w:lang w:eastAsia="en-AU"/>
              </w:rPr>
              <w:t xml:space="preserve">8 </w:t>
            </w:r>
            <w:r w:rsidRPr="003D0372">
              <w:rPr>
                <w:rFonts w:cs="Calibri"/>
                <w:b/>
                <w:bCs/>
                <w:color w:val="000000"/>
                <w:lang w:eastAsia="en-AU"/>
              </w:rPr>
              <w:t>039.8</w:t>
            </w:r>
          </w:p>
        </w:tc>
        <w:tc>
          <w:tcPr>
            <w:tcW w:w="893" w:type="dxa"/>
            <w:tcBorders>
              <w:top w:val="nil"/>
              <w:left w:val="nil"/>
              <w:bottom w:val="nil"/>
              <w:right w:val="nil"/>
            </w:tcBorders>
          </w:tcPr>
          <w:p w:rsidR="0070375D" w:rsidRPr="003D0372" w:rsidRDefault="0070375D" w:rsidP="003D0372">
            <w:pPr>
              <w:pStyle w:val="TableofFigures"/>
              <w:rPr>
                <w:rFonts w:cs="Calibri"/>
                <w:b/>
                <w:bCs/>
                <w:color w:val="000000"/>
                <w:lang w:eastAsia="en-AU"/>
              </w:rPr>
            </w:pPr>
            <w:r w:rsidRPr="003D0372">
              <w:rPr>
                <w:b/>
                <w:bCs/>
                <w:color w:val="000000"/>
                <w:lang w:eastAsia="en-AU"/>
              </w:rPr>
              <w:t xml:space="preserve">7 </w:t>
            </w:r>
            <w:r w:rsidRPr="003D0372">
              <w:rPr>
                <w:rFonts w:cs="Calibri"/>
                <w:b/>
                <w:bCs/>
                <w:color w:val="000000"/>
                <w:lang w:eastAsia="en-AU"/>
              </w:rPr>
              <w:t>433.6</w:t>
            </w:r>
          </w:p>
        </w:tc>
        <w:tc>
          <w:tcPr>
            <w:tcW w:w="893" w:type="dxa"/>
            <w:tcBorders>
              <w:top w:val="nil"/>
              <w:left w:val="nil"/>
              <w:bottom w:val="nil"/>
              <w:right w:val="nil"/>
            </w:tcBorders>
          </w:tcPr>
          <w:p w:rsidR="0070375D" w:rsidRPr="003D0372" w:rsidRDefault="0070375D" w:rsidP="003D0372">
            <w:pPr>
              <w:pStyle w:val="TableofFigures"/>
              <w:rPr>
                <w:rFonts w:cs="Calibri"/>
                <w:b/>
                <w:bCs/>
                <w:color w:val="000000"/>
                <w:lang w:eastAsia="en-AU"/>
              </w:rPr>
            </w:pPr>
            <w:r w:rsidRPr="003D0372">
              <w:rPr>
                <w:b/>
                <w:bCs/>
                <w:color w:val="000000"/>
                <w:lang w:eastAsia="en-AU"/>
              </w:rPr>
              <w:t xml:space="preserve">5 </w:t>
            </w:r>
            <w:r w:rsidRPr="003D0372">
              <w:rPr>
                <w:rFonts w:cs="Calibri"/>
                <w:b/>
                <w:bCs/>
                <w:color w:val="000000"/>
                <w:lang w:eastAsia="en-AU"/>
              </w:rPr>
              <w:t>042.7</w:t>
            </w:r>
          </w:p>
        </w:tc>
        <w:tc>
          <w:tcPr>
            <w:tcW w:w="893" w:type="dxa"/>
            <w:tcBorders>
              <w:top w:val="nil"/>
              <w:left w:val="nil"/>
              <w:bottom w:val="nil"/>
              <w:right w:val="nil"/>
            </w:tcBorders>
          </w:tcPr>
          <w:p w:rsidR="0070375D" w:rsidRPr="003D0372" w:rsidRDefault="0070375D" w:rsidP="003D0372">
            <w:pPr>
              <w:pStyle w:val="TableofFigures"/>
              <w:rPr>
                <w:rFonts w:cs="Calibri"/>
                <w:b/>
                <w:bCs/>
                <w:color w:val="000000"/>
                <w:lang w:eastAsia="en-AU"/>
              </w:rPr>
            </w:pPr>
            <w:r w:rsidRPr="003D0372">
              <w:rPr>
                <w:b/>
                <w:bCs/>
                <w:color w:val="000000"/>
                <w:lang w:eastAsia="en-AU"/>
              </w:rPr>
              <w:t xml:space="preserve">5 </w:t>
            </w:r>
            <w:r w:rsidRPr="003D0372">
              <w:rPr>
                <w:rFonts w:cs="Calibri"/>
                <w:b/>
                <w:bCs/>
                <w:color w:val="000000"/>
                <w:lang w:eastAsia="en-AU"/>
              </w:rPr>
              <w:t>450.2</w:t>
            </w:r>
          </w:p>
        </w:tc>
      </w:tr>
      <w:tr w:rsidR="0070375D" w:rsidRPr="003D0372" w:rsidTr="003D0372">
        <w:tc>
          <w:tcPr>
            <w:tcW w:w="2420" w:type="dxa"/>
            <w:tcBorders>
              <w:top w:val="nil"/>
              <w:left w:val="nil"/>
              <w:bottom w:val="nil"/>
              <w:right w:val="nil"/>
            </w:tcBorders>
          </w:tcPr>
          <w:p w:rsidR="0070375D" w:rsidRPr="003D0372" w:rsidRDefault="0070375D" w:rsidP="003D0372">
            <w:pPr>
              <w:pStyle w:val="Tabletext"/>
              <w:rPr>
                <w:color w:val="000000"/>
                <w:vertAlign w:val="superscript"/>
                <w:lang w:eastAsia="en-AU"/>
              </w:rPr>
            </w:pPr>
            <w:r w:rsidRPr="003D0372">
              <w:rPr>
                <w:color w:val="000000"/>
                <w:lang w:eastAsia="en-AU"/>
              </w:rPr>
              <w:t xml:space="preserve">Finance leases </w:t>
            </w:r>
            <w:r w:rsidRPr="003D0372">
              <w:rPr>
                <w:color w:val="000000"/>
                <w:vertAlign w:val="superscript"/>
                <w:lang w:eastAsia="en-AU"/>
              </w:rPr>
              <w:t>(c)</w:t>
            </w:r>
          </w:p>
        </w:tc>
        <w:tc>
          <w:tcPr>
            <w:tcW w:w="892" w:type="dxa"/>
            <w:gridSpan w:val="3"/>
            <w:tcBorders>
              <w:top w:val="nil"/>
              <w:left w:val="nil"/>
              <w:bottom w:val="nil"/>
              <w:right w:val="nil"/>
            </w:tcBorders>
          </w:tcPr>
          <w:p w:rsidR="0070375D" w:rsidRPr="003D0372" w:rsidRDefault="0070375D" w:rsidP="003D0372">
            <w:pPr>
              <w:pStyle w:val="TableofFigures"/>
              <w:rPr>
                <w:color w:val="000000"/>
                <w:lang w:eastAsia="en-AU"/>
              </w:rPr>
            </w:pPr>
            <w:r w:rsidRPr="003D0372">
              <w:rPr>
                <w:color w:val="000000"/>
                <w:lang w:eastAsia="en-AU"/>
              </w:rPr>
              <w:t xml:space="preserve"> 917.1</w:t>
            </w:r>
          </w:p>
        </w:tc>
        <w:tc>
          <w:tcPr>
            <w:tcW w:w="955" w:type="dxa"/>
            <w:tcBorders>
              <w:top w:val="nil"/>
              <w:left w:val="nil"/>
              <w:bottom w:val="nil"/>
              <w:right w:val="nil"/>
            </w:tcBorders>
          </w:tcPr>
          <w:p w:rsidR="0070375D" w:rsidRPr="003D0372" w:rsidRDefault="0070375D" w:rsidP="003D0372">
            <w:pPr>
              <w:pStyle w:val="TableofFigures"/>
              <w:rPr>
                <w:rFonts w:cs="Calibri"/>
                <w:color w:val="000000"/>
                <w:lang w:eastAsia="en-AU"/>
              </w:rPr>
            </w:pPr>
            <w:r w:rsidRPr="003D0372">
              <w:rPr>
                <w:color w:val="000000"/>
                <w:lang w:eastAsia="en-AU"/>
              </w:rPr>
              <w:t xml:space="preserve">5 </w:t>
            </w:r>
            <w:r w:rsidRPr="003D0372">
              <w:rPr>
                <w:rFonts w:cs="Calibri"/>
                <w:color w:val="000000"/>
                <w:lang w:eastAsia="en-AU"/>
              </w:rPr>
              <w:t>371.4</w:t>
            </w:r>
          </w:p>
        </w:tc>
        <w:tc>
          <w:tcPr>
            <w:tcW w:w="830" w:type="dxa"/>
            <w:tcBorders>
              <w:top w:val="nil"/>
              <w:left w:val="nil"/>
              <w:bottom w:val="nil"/>
              <w:right w:val="nil"/>
            </w:tcBorders>
          </w:tcPr>
          <w:p w:rsidR="0070375D" w:rsidRPr="003D0372" w:rsidRDefault="0070375D" w:rsidP="003D0372">
            <w:pPr>
              <w:pStyle w:val="TableofFigures"/>
              <w:rPr>
                <w:color w:val="000000"/>
                <w:lang w:eastAsia="en-AU"/>
              </w:rPr>
            </w:pPr>
            <w:r w:rsidRPr="003D0372">
              <w:rPr>
                <w:color w:val="000000"/>
                <w:lang w:eastAsia="en-AU"/>
              </w:rPr>
              <w:t>..</w:t>
            </w:r>
          </w:p>
        </w:tc>
        <w:tc>
          <w:tcPr>
            <w:tcW w:w="893" w:type="dxa"/>
            <w:tcBorders>
              <w:top w:val="nil"/>
              <w:left w:val="nil"/>
              <w:bottom w:val="nil"/>
              <w:right w:val="nil"/>
            </w:tcBorders>
          </w:tcPr>
          <w:p w:rsidR="0070375D" w:rsidRPr="003D0372" w:rsidRDefault="0070375D" w:rsidP="003D0372">
            <w:pPr>
              <w:pStyle w:val="TableofFigures"/>
              <w:rPr>
                <w:color w:val="000000"/>
                <w:lang w:eastAsia="en-AU"/>
              </w:rPr>
            </w:pPr>
            <w:r w:rsidRPr="003D0372">
              <w:rPr>
                <w:color w:val="000000"/>
                <w:lang w:eastAsia="en-AU"/>
              </w:rPr>
              <w:t>..</w:t>
            </w:r>
          </w:p>
        </w:tc>
        <w:tc>
          <w:tcPr>
            <w:tcW w:w="893" w:type="dxa"/>
            <w:tcBorders>
              <w:top w:val="nil"/>
              <w:left w:val="nil"/>
              <w:bottom w:val="nil"/>
              <w:right w:val="nil"/>
            </w:tcBorders>
          </w:tcPr>
          <w:p w:rsidR="0070375D" w:rsidRPr="003D0372" w:rsidRDefault="0070375D" w:rsidP="003D0372">
            <w:pPr>
              <w:pStyle w:val="TableofFigures"/>
              <w:rPr>
                <w:rFonts w:cs="Calibri"/>
                <w:color w:val="000000"/>
                <w:lang w:eastAsia="en-AU"/>
              </w:rPr>
            </w:pPr>
            <w:r w:rsidRPr="003D0372">
              <w:rPr>
                <w:color w:val="000000"/>
                <w:lang w:eastAsia="en-AU"/>
              </w:rPr>
              <w:t xml:space="preserve">1 </w:t>
            </w:r>
            <w:r w:rsidRPr="003D0372">
              <w:rPr>
                <w:rFonts w:cs="Calibri"/>
                <w:color w:val="000000"/>
                <w:lang w:eastAsia="en-AU"/>
              </w:rPr>
              <w:t>050.4</w:t>
            </w:r>
          </w:p>
        </w:tc>
        <w:tc>
          <w:tcPr>
            <w:tcW w:w="893" w:type="dxa"/>
            <w:tcBorders>
              <w:top w:val="nil"/>
              <w:left w:val="nil"/>
              <w:bottom w:val="nil"/>
              <w:right w:val="nil"/>
            </w:tcBorders>
          </w:tcPr>
          <w:p w:rsidR="0070375D" w:rsidRPr="003D0372" w:rsidRDefault="0070375D" w:rsidP="003D0372">
            <w:pPr>
              <w:pStyle w:val="TableofFigures"/>
              <w:rPr>
                <w:color w:val="000000"/>
                <w:lang w:eastAsia="en-AU"/>
              </w:rPr>
            </w:pPr>
            <w:r w:rsidRPr="003D0372">
              <w:rPr>
                <w:color w:val="000000"/>
                <w:lang w:eastAsia="en-AU"/>
              </w:rPr>
              <w:t>..</w:t>
            </w:r>
          </w:p>
        </w:tc>
      </w:tr>
      <w:tr w:rsidR="0070375D" w:rsidRPr="003D0372" w:rsidTr="003D0372">
        <w:tc>
          <w:tcPr>
            <w:tcW w:w="2420" w:type="dxa"/>
            <w:tcBorders>
              <w:top w:val="nil"/>
              <w:left w:val="nil"/>
              <w:bottom w:val="nil"/>
              <w:right w:val="nil"/>
            </w:tcBorders>
          </w:tcPr>
          <w:p w:rsidR="0070375D" w:rsidRPr="003D0372" w:rsidRDefault="0070375D" w:rsidP="003D0372">
            <w:pPr>
              <w:pStyle w:val="Tabletext"/>
              <w:rPr>
                <w:color w:val="000000"/>
                <w:lang w:eastAsia="en-AU"/>
              </w:rPr>
            </w:pPr>
            <w:r w:rsidRPr="003D0372">
              <w:rPr>
                <w:color w:val="000000"/>
                <w:lang w:eastAsia="en-AU"/>
              </w:rPr>
              <w:t>Other investment activities (net)</w:t>
            </w:r>
          </w:p>
        </w:tc>
        <w:tc>
          <w:tcPr>
            <w:tcW w:w="892" w:type="dxa"/>
            <w:gridSpan w:val="3"/>
            <w:tcBorders>
              <w:top w:val="nil"/>
              <w:left w:val="nil"/>
              <w:bottom w:val="nil"/>
              <w:right w:val="nil"/>
            </w:tcBorders>
          </w:tcPr>
          <w:p w:rsidR="0070375D" w:rsidRPr="003D0372" w:rsidRDefault="0070375D" w:rsidP="003D0372">
            <w:pPr>
              <w:pStyle w:val="TableofFigures"/>
              <w:rPr>
                <w:color w:val="000000"/>
                <w:lang w:eastAsia="en-AU"/>
              </w:rPr>
            </w:pPr>
            <w:r w:rsidRPr="003D0372">
              <w:rPr>
                <w:color w:val="000000"/>
                <w:lang w:eastAsia="en-AU"/>
              </w:rPr>
              <w:t xml:space="preserve"> 726.7</w:t>
            </w:r>
          </w:p>
        </w:tc>
        <w:tc>
          <w:tcPr>
            <w:tcW w:w="955" w:type="dxa"/>
            <w:tcBorders>
              <w:top w:val="nil"/>
              <w:left w:val="nil"/>
              <w:bottom w:val="nil"/>
              <w:right w:val="nil"/>
            </w:tcBorders>
          </w:tcPr>
          <w:p w:rsidR="0070375D" w:rsidRPr="003D0372" w:rsidRDefault="0070375D" w:rsidP="003D0372">
            <w:pPr>
              <w:pStyle w:val="TableofFigures"/>
              <w:rPr>
                <w:color w:val="000000"/>
                <w:lang w:eastAsia="en-AU"/>
              </w:rPr>
            </w:pPr>
            <w:r w:rsidRPr="003D0372">
              <w:rPr>
                <w:color w:val="000000"/>
                <w:lang w:eastAsia="en-AU"/>
              </w:rPr>
              <w:t xml:space="preserve"> 18.5</w:t>
            </w:r>
          </w:p>
        </w:tc>
        <w:tc>
          <w:tcPr>
            <w:tcW w:w="830" w:type="dxa"/>
            <w:tcBorders>
              <w:top w:val="nil"/>
              <w:left w:val="nil"/>
              <w:bottom w:val="nil"/>
              <w:right w:val="nil"/>
            </w:tcBorders>
          </w:tcPr>
          <w:p w:rsidR="0070375D" w:rsidRPr="003D0372" w:rsidRDefault="002714D4" w:rsidP="003D0372">
            <w:pPr>
              <w:pStyle w:val="TableofFigures"/>
              <w:rPr>
                <w:color w:val="000000"/>
                <w:lang w:eastAsia="en-AU"/>
              </w:rPr>
            </w:pPr>
            <w:r>
              <w:rPr>
                <w:color w:val="000000"/>
                <w:lang w:eastAsia="en-AU"/>
              </w:rPr>
              <w:t>(</w:t>
            </w:r>
            <w:r w:rsidR="0070375D" w:rsidRPr="003D0372">
              <w:rPr>
                <w:color w:val="000000"/>
                <w:lang w:eastAsia="en-AU"/>
              </w:rPr>
              <w:t>1.1)</w:t>
            </w:r>
          </w:p>
        </w:tc>
        <w:tc>
          <w:tcPr>
            <w:tcW w:w="893" w:type="dxa"/>
            <w:tcBorders>
              <w:top w:val="nil"/>
              <w:left w:val="nil"/>
              <w:bottom w:val="nil"/>
              <w:right w:val="nil"/>
            </w:tcBorders>
          </w:tcPr>
          <w:p w:rsidR="0070375D" w:rsidRPr="003D0372" w:rsidRDefault="0070375D" w:rsidP="003D0372">
            <w:pPr>
              <w:pStyle w:val="TableofFigures"/>
              <w:rPr>
                <w:color w:val="000000"/>
                <w:lang w:eastAsia="en-AU"/>
              </w:rPr>
            </w:pPr>
            <w:r w:rsidRPr="003D0372">
              <w:rPr>
                <w:color w:val="000000"/>
                <w:lang w:eastAsia="en-AU"/>
              </w:rPr>
              <w:t xml:space="preserve"> 1.9</w:t>
            </w:r>
          </w:p>
        </w:tc>
        <w:tc>
          <w:tcPr>
            <w:tcW w:w="893" w:type="dxa"/>
            <w:tcBorders>
              <w:top w:val="nil"/>
              <w:left w:val="nil"/>
              <w:bottom w:val="nil"/>
              <w:right w:val="nil"/>
            </w:tcBorders>
          </w:tcPr>
          <w:p w:rsidR="0070375D" w:rsidRPr="003D0372" w:rsidRDefault="0070375D" w:rsidP="003D0372">
            <w:pPr>
              <w:pStyle w:val="TableofFigures"/>
              <w:rPr>
                <w:color w:val="000000"/>
                <w:lang w:eastAsia="en-AU"/>
              </w:rPr>
            </w:pPr>
            <w:r w:rsidRPr="003D0372">
              <w:rPr>
                <w:color w:val="000000"/>
                <w:lang w:eastAsia="en-AU"/>
              </w:rPr>
              <w:t xml:space="preserve"> 5.6</w:t>
            </w:r>
          </w:p>
        </w:tc>
        <w:tc>
          <w:tcPr>
            <w:tcW w:w="893" w:type="dxa"/>
            <w:tcBorders>
              <w:top w:val="nil"/>
              <w:left w:val="nil"/>
              <w:bottom w:val="nil"/>
              <w:right w:val="nil"/>
            </w:tcBorders>
          </w:tcPr>
          <w:p w:rsidR="0070375D" w:rsidRPr="003D0372" w:rsidRDefault="0070375D" w:rsidP="003D0372">
            <w:pPr>
              <w:pStyle w:val="TableofFigures"/>
              <w:rPr>
                <w:color w:val="000000"/>
                <w:lang w:eastAsia="en-AU"/>
              </w:rPr>
            </w:pPr>
            <w:r w:rsidRPr="003D0372">
              <w:rPr>
                <w:color w:val="000000"/>
                <w:lang w:eastAsia="en-AU"/>
              </w:rPr>
              <w:t xml:space="preserve"> 4.5</w:t>
            </w:r>
          </w:p>
        </w:tc>
      </w:tr>
      <w:tr w:rsidR="0070375D" w:rsidRPr="003D0372" w:rsidTr="003D0372">
        <w:tc>
          <w:tcPr>
            <w:tcW w:w="2420" w:type="dxa"/>
            <w:tcBorders>
              <w:top w:val="single" w:sz="6" w:space="0" w:color="auto"/>
              <w:left w:val="nil"/>
              <w:bottom w:val="single" w:sz="12" w:space="0" w:color="auto"/>
              <w:right w:val="nil"/>
            </w:tcBorders>
          </w:tcPr>
          <w:p w:rsidR="0070375D" w:rsidRPr="003D0372" w:rsidRDefault="0070375D" w:rsidP="003D0372">
            <w:pPr>
              <w:pStyle w:val="Tabletext"/>
              <w:rPr>
                <w:b/>
                <w:bCs/>
                <w:color w:val="000000"/>
                <w:lang w:eastAsia="en-AU"/>
              </w:rPr>
            </w:pPr>
            <w:r w:rsidRPr="003D0372">
              <w:rPr>
                <w:b/>
                <w:bCs/>
                <w:color w:val="000000"/>
                <w:lang w:eastAsia="en-AU"/>
              </w:rPr>
              <w:t>Decrease/(increase) in net debt</w:t>
            </w:r>
          </w:p>
        </w:tc>
        <w:tc>
          <w:tcPr>
            <w:tcW w:w="892" w:type="dxa"/>
            <w:gridSpan w:val="3"/>
            <w:tcBorders>
              <w:top w:val="single" w:sz="6" w:space="0" w:color="auto"/>
              <w:left w:val="nil"/>
              <w:bottom w:val="single" w:sz="12" w:space="0" w:color="auto"/>
              <w:right w:val="nil"/>
            </w:tcBorders>
          </w:tcPr>
          <w:p w:rsidR="0070375D" w:rsidRPr="003D0372" w:rsidRDefault="0070375D" w:rsidP="003D0372">
            <w:pPr>
              <w:pStyle w:val="TableofFigures"/>
              <w:rPr>
                <w:rFonts w:cs="Calibri"/>
                <w:b/>
                <w:bCs/>
                <w:color w:val="000000"/>
                <w:lang w:eastAsia="en-AU"/>
              </w:rPr>
            </w:pPr>
            <w:r w:rsidRPr="003D0372">
              <w:rPr>
                <w:b/>
                <w:bCs/>
                <w:color w:val="000000"/>
                <w:lang w:eastAsia="en-AU"/>
              </w:rPr>
              <w:t>(4 888.5</w:t>
            </w:r>
            <w:r w:rsidRPr="003D0372">
              <w:rPr>
                <w:rFonts w:cs="Calibri"/>
                <w:b/>
                <w:bCs/>
                <w:color w:val="000000"/>
                <w:lang w:eastAsia="en-AU"/>
              </w:rPr>
              <w:t>)</w:t>
            </w:r>
          </w:p>
        </w:tc>
        <w:tc>
          <w:tcPr>
            <w:tcW w:w="955" w:type="dxa"/>
            <w:tcBorders>
              <w:top w:val="single" w:sz="6" w:space="0" w:color="auto"/>
              <w:left w:val="nil"/>
              <w:bottom w:val="single" w:sz="12" w:space="0" w:color="auto"/>
              <w:right w:val="nil"/>
            </w:tcBorders>
          </w:tcPr>
          <w:p w:rsidR="0070375D" w:rsidRPr="003D0372" w:rsidRDefault="0070375D" w:rsidP="003D0372">
            <w:pPr>
              <w:pStyle w:val="TableofFigures"/>
              <w:rPr>
                <w:rFonts w:cs="Calibri"/>
                <w:b/>
                <w:bCs/>
                <w:color w:val="000000"/>
                <w:lang w:eastAsia="en-AU"/>
              </w:rPr>
            </w:pPr>
            <w:r w:rsidRPr="003D0372">
              <w:rPr>
                <w:b/>
                <w:bCs/>
                <w:color w:val="000000"/>
                <w:lang w:eastAsia="en-AU"/>
              </w:rPr>
              <w:t>(10 521.5</w:t>
            </w:r>
            <w:r w:rsidRPr="003D0372">
              <w:rPr>
                <w:rFonts w:cs="Calibri"/>
                <w:b/>
                <w:bCs/>
                <w:color w:val="000000"/>
                <w:lang w:eastAsia="en-AU"/>
              </w:rPr>
              <w:t>)</w:t>
            </w:r>
          </w:p>
        </w:tc>
        <w:tc>
          <w:tcPr>
            <w:tcW w:w="830" w:type="dxa"/>
            <w:tcBorders>
              <w:top w:val="single" w:sz="6" w:space="0" w:color="auto"/>
              <w:left w:val="nil"/>
              <w:bottom w:val="single" w:sz="12" w:space="0" w:color="auto"/>
              <w:right w:val="nil"/>
            </w:tcBorders>
          </w:tcPr>
          <w:p w:rsidR="0070375D" w:rsidRPr="003D0372" w:rsidRDefault="0070375D" w:rsidP="003D0372">
            <w:pPr>
              <w:pStyle w:val="TableofFigures"/>
              <w:rPr>
                <w:rFonts w:cs="Calibri"/>
                <w:b/>
                <w:bCs/>
                <w:color w:val="000000"/>
                <w:lang w:eastAsia="en-AU"/>
              </w:rPr>
            </w:pPr>
            <w:r w:rsidRPr="003D0372">
              <w:rPr>
                <w:b/>
                <w:bCs/>
                <w:color w:val="000000"/>
                <w:lang w:eastAsia="en-AU"/>
              </w:rPr>
              <w:t>(4 059.5</w:t>
            </w:r>
            <w:r w:rsidRPr="003D0372">
              <w:rPr>
                <w:rFonts w:cs="Calibri"/>
                <w:b/>
                <w:bCs/>
                <w:color w:val="000000"/>
                <w:lang w:eastAsia="en-AU"/>
              </w:rPr>
              <w:t>)</w:t>
            </w:r>
          </w:p>
        </w:tc>
        <w:tc>
          <w:tcPr>
            <w:tcW w:w="893" w:type="dxa"/>
            <w:tcBorders>
              <w:top w:val="single" w:sz="6" w:space="0" w:color="auto"/>
              <w:left w:val="nil"/>
              <w:bottom w:val="single" w:sz="12" w:space="0" w:color="auto"/>
              <w:right w:val="nil"/>
            </w:tcBorders>
          </w:tcPr>
          <w:p w:rsidR="0070375D" w:rsidRPr="003D0372" w:rsidRDefault="0070375D" w:rsidP="003D0372">
            <w:pPr>
              <w:pStyle w:val="TableofFigures"/>
              <w:rPr>
                <w:rFonts w:cs="Calibri"/>
                <w:b/>
                <w:bCs/>
                <w:color w:val="000000"/>
                <w:lang w:eastAsia="en-AU"/>
              </w:rPr>
            </w:pPr>
            <w:r w:rsidRPr="003D0372">
              <w:rPr>
                <w:b/>
                <w:bCs/>
                <w:color w:val="000000"/>
                <w:lang w:eastAsia="en-AU"/>
              </w:rPr>
              <w:t>(2 942.9</w:t>
            </w:r>
            <w:r w:rsidRPr="003D0372">
              <w:rPr>
                <w:rFonts w:cs="Calibri"/>
                <w:b/>
                <w:bCs/>
                <w:color w:val="000000"/>
                <w:lang w:eastAsia="en-AU"/>
              </w:rPr>
              <w:t>)</w:t>
            </w:r>
          </w:p>
        </w:tc>
        <w:tc>
          <w:tcPr>
            <w:tcW w:w="893" w:type="dxa"/>
            <w:tcBorders>
              <w:top w:val="single" w:sz="6" w:space="0" w:color="auto"/>
              <w:left w:val="nil"/>
              <w:bottom w:val="single" w:sz="12" w:space="0" w:color="auto"/>
              <w:right w:val="nil"/>
            </w:tcBorders>
          </w:tcPr>
          <w:p w:rsidR="0070375D" w:rsidRPr="003D0372" w:rsidRDefault="0070375D" w:rsidP="003D0372">
            <w:pPr>
              <w:pStyle w:val="TableofFigures"/>
              <w:rPr>
                <w:b/>
                <w:bCs/>
                <w:color w:val="000000"/>
                <w:lang w:eastAsia="en-AU"/>
              </w:rPr>
            </w:pPr>
            <w:r w:rsidRPr="003D0372">
              <w:rPr>
                <w:b/>
                <w:bCs/>
                <w:color w:val="000000"/>
                <w:lang w:eastAsia="en-AU"/>
              </w:rPr>
              <w:t xml:space="preserve"> 16.2</w:t>
            </w:r>
          </w:p>
        </w:tc>
        <w:tc>
          <w:tcPr>
            <w:tcW w:w="893" w:type="dxa"/>
            <w:tcBorders>
              <w:top w:val="single" w:sz="6" w:space="0" w:color="auto"/>
              <w:left w:val="nil"/>
              <w:bottom w:val="single" w:sz="12" w:space="0" w:color="auto"/>
              <w:right w:val="nil"/>
            </w:tcBorders>
          </w:tcPr>
          <w:p w:rsidR="0070375D" w:rsidRPr="003D0372" w:rsidRDefault="0070375D" w:rsidP="003D0372">
            <w:pPr>
              <w:pStyle w:val="TableofFigures"/>
              <w:rPr>
                <w:rFonts w:cs="Calibri"/>
                <w:b/>
                <w:bCs/>
                <w:color w:val="000000"/>
                <w:lang w:eastAsia="en-AU"/>
              </w:rPr>
            </w:pPr>
            <w:r w:rsidRPr="003D0372">
              <w:rPr>
                <w:b/>
                <w:bCs/>
                <w:color w:val="000000"/>
                <w:lang w:eastAsia="en-AU"/>
              </w:rPr>
              <w:t xml:space="preserve">1 </w:t>
            </w:r>
            <w:r w:rsidRPr="003D0372">
              <w:rPr>
                <w:rFonts w:cs="Calibri"/>
                <w:b/>
                <w:bCs/>
                <w:color w:val="000000"/>
                <w:lang w:eastAsia="en-AU"/>
              </w:rPr>
              <w:t>433.8</w:t>
            </w:r>
          </w:p>
        </w:tc>
      </w:tr>
    </w:tbl>
    <w:p w:rsidR="0070375D" w:rsidRPr="00CA426D" w:rsidRDefault="0070375D" w:rsidP="00733B8A">
      <w:pPr>
        <w:pStyle w:val="Source"/>
        <w:rPr>
          <w:rFonts w:ascii="Times New Roman" w:hAnsi="Times New Roman"/>
          <w:i w:val="0"/>
          <w:sz w:val="20"/>
          <w:lang w:eastAsia="en-AU"/>
        </w:rPr>
      </w:pPr>
      <w:r>
        <w:t>Source: Department of Treasury and Finance</w:t>
      </w:r>
    </w:p>
    <w:p w:rsidR="0070375D" w:rsidRDefault="0070375D" w:rsidP="000F7709">
      <w:pPr>
        <w:pStyle w:val="Notes"/>
      </w:pPr>
      <w:r>
        <w:t>Notes:</w:t>
      </w:r>
    </w:p>
    <w:p w:rsidR="0070375D" w:rsidRDefault="0070375D" w:rsidP="00733B8A">
      <w:pPr>
        <w:pStyle w:val="Notes"/>
      </w:pPr>
      <w:r>
        <w:t>(a)</w:t>
      </w:r>
      <w:r>
        <w:tab/>
        <w:t>Includes depreciation and movements in superannuation liability and liability for employee benefits.</w:t>
      </w:r>
    </w:p>
    <w:p w:rsidR="0070375D" w:rsidRDefault="0070375D" w:rsidP="00733B8A">
      <w:pPr>
        <w:pStyle w:val="Notes"/>
      </w:pPr>
      <w:r>
        <w:t>(b)</w:t>
      </w:r>
      <w:r>
        <w:tab/>
        <w:t>Amount available to be allocated to specific departments and projects through future Government decisions, including contributions to other sectors.</w:t>
      </w:r>
    </w:p>
    <w:p w:rsidR="0070375D" w:rsidRDefault="0070375D" w:rsidP="000F7709">
      <w:pPr>
        <w:pStyle w:val="Notes"/>
      </w:pPr>
      <w:r w:rsidRPr="00FF28C8">
        <w:t>(c)</w:t>
      </w:r>
      <w:r w:rsidRPr="00FF28C8">
        <w:tab/>
        <w:t>The finance lease amount in 2011</w:t>
      </w:r>
      <w:r w:rsidR="00276239">
        <w:noBreakHyphen/>
      </w:r>
      <w:r w:rsidRPr="00FF28C8">
        <w:t>12 relates to the redevelopment of the Royal Children</w:t>
      </w:r>
      <w:r w:rsidR="00276239">
        <w:t>’</w:t>
      </w:r>
      <w:r w:rsidRPr="00FF28C8">
        <w:t>s Hospital, and the finance lease amount in 2012</w:t>
      </w:r>
      <w:r w:rsidR="00276239">
        <w:noBreakHyphen/>
      </w:r>
      <w:r w:rsidRPr="00FF28C8">
        <w:t>13 relates to the Biosciences Research Centre, the Peninsula Link project and the Victorian desalination plant</w:t>
      </w:r>
      <w:r>
        <w:t xml:space="preserve">. </w:t>
      </w:r>
      <w:r w:rsidRPr="00FF28C8">
        <w:t>The 2015</w:t>
      </w:r>
      <w:r w:rsidR="00276239">
        <w:noBreakHyphen/>
      </w:r>
      <w:r w:rsidRPr="00FF28C8">
        <w:t>16 estimate relates to the</w:t>
      </w:r>
      <w:r>
        <w:t xml:space="preserve"> </w:t>
      </w:r>
      <w:r w:rsidRPr="00FF28C8">
        <w:t>Victorian Comprehensive Cancer Centre.</w:t>
      </w:r>
    </w:p>
    <w:p w:rsidR="0070375D" w:rsidRDefault="0070375D" w:rsidP="000F7709">
      <w:pPr>
        <w:pStyle w:val="Notes"/>
      </w:pPr>
    </w:p>
    <w:p w:rsidR="0070375D" w:rsidRDefault="0070375D" w:rsidP="00733B8A">
      <w:pPr>
        <w:pStyle w:val="Heading2"/>
      </w:pPr>
      <w:r>
        <w:br w:type="page"/>
      </w:r>
      <w:r>
        <w:lastRenderedPageBreak/>
        <w:t>Infrastructure</w:t>
      </w:r>
    </w:p>
    <w:p w:rsidR="0070375D" w:rsidRDefault="0070375D" w:rsidP="0043371C">
      <w:r>
        <w:t>The PNFC sector is forecast to deliver 48 per cent of State</w:t>
      </w:r>
      <w:r w:rsidR="00276239">
        <w:t>’</w:t>
      </w:r>
      <w:r>
        <w:t>s infrastructure program over the budget and forward estimates period. The key PNFC sector infrastructure projects under development include:</w:t>
      </w:r>
    </w:p>
    <w:p w:rsidR="0070375D" w:rsidRPr="00CD3E79" w:rsidRDefault="0070375D" w:rsidP="00072564">
      <w:pPr>
        <w:pStyle w:val="BulletText"/>
      </w:pPr>
      <w:r w:rsidRPr="00CD3E79">
        <w:t>the Regional Rail Link project</w:t>
      </w:r>
      <w:r>
        <w:t xml:space="preserve"> delivering dedicated regional tracks from West Werribee to Southern Cross Station, two new dedicated regional service platforms at Southern Cross Station, new stations at Wyndham Vale, Tarneit and West Footscray, substantial modifications to Sunshine and Footscray stations, and several new rail bridges</w:t>
      </w:r>
      <w:r w:rsidRPr="00CD3E79">
        <w:t>;</w:t>
      </w:r>
    </w:p>
    <w:p w:rsidR="0070375D" w:rsidRDefault="0070375D" w:rsidP="00072564">
      <w:pPr>
        <w:pStyle w:val="BulletText"/>
      </w:pPr>
      <w:r>
        <w:t>the Port Capacity Project, which includes the development of a third container terminal and a purpose built automotive facility at Webb Dock. This will ensure that Victoria</w:t>
      </w:r>
      <w:r w:rsidR="00276239">
        <w:t>’</w:t>
      </w:r>
      <w:r>
        <w:t>s port handling capacity continues to grow;</w:t>
      </w:r>
    </w:p>
    <w:p w:rsidR="0070375D" w:rsidRPr="00393730" w:rsidRDefault="0070375D" w:rsidP="00733B8A">
      <w:pPr>
        <w:pStyle w:val="BulletText"/>
      </w:pPr>
      <w:r>
        <w:t>Goulburn</w:t>
      </w:r>
      <w:r w:rsidR="00276239">
        <w:noBreakHyphen/>
      </w:r>
      <w:r>
        <w:t>Murray Water</w:t>
      </w:r>
      <w:r w:rsidR="00276239">
        <w:t>’</w:t>
      </w:r>
      <w:r>
        <w:t xml:space="preserve">s Connections Program, connecting irrigators to a </w:t>
      </w:r>
      <w:r w:rsidRPr="00393730">
        <w:t>modernised main system of irrigation channels; and</w:t>
      </w:r>
    </w:p>
    <w:p w:rsidR="0070375D" w:rsidRPr="00393730" w:rsidRDefault="0070375D" w:rsidP="00733B8A">
      <w:pPr>
        <w:pStyle w:val="BulletText"/>
      </w:pPr>
      <w:r w:rsidRPr="00393730">
        <w:t xml:space="preserve">various transport infrastructure, including significant investment in new trains and trams. </w:t>
      </w:r>
    </w:p>
    <w:p w:rsidR="0070375D" w:rsidRPr="003A3745" w:rsidRDefault="0070375D" w:rsidP="00D66C70">
      <w:pPr>
        <w:pStyle w:val="Heading1"/>
      </w:pPr>
      <w:bookmarkStart w:id="61" w:name="_Toc355372033"/>
      <w:bookmarkStart w:id="62" w:name="BP2Ch5NetDebt"/>
      <w:r>
        <w:t>Non</w:t>
      </w:r>
      <w:r w:rsidR="00276239">
        <w:noBreakHyphen/>
      </w:r>
      <w:r w:rsidRPr="009224F5">
        <w:t xml:space="preserve">financial public sector </w:t>
      </w:r>
      <w:r>
        <w:t xml:space="preserve">net debt </w:t>
      </w:r>
      <w:r w:rsidRPr="003A3745">
        <w:t>and net financial liabilities</w:t>
      </w:r>
      <w:bookmarkEnd w:id="61"/>
    </w:p>
    <w:p w:rsidR="0070375D" w:rsidRPr="003A3745" w:rsidRDefault="0070375D" w:rsidP="00517DE3">
      <w:r w:rsidRPr="003A3745">
        <w:t>The State is forecasting a reduced reliance on debt to fund infrastructure</w:t>
      </w:r>
      <w:r>
        <w:t xml:space="preserve">. </w:t>
      </w:r>
      <w:r w:rsidRPr="003A3745">
        <w:t>By 2015</w:t>
      </w:r>
      <w:r w:rsidR="00276239">
        <w:noBreakHyphen/>
      </w:r>
      <w:r w:rsidRPr="003A3745">
        <w:t>16, it is estimated that operating cash surpluses will fully fund capital expenditure</w:t>
      </w:r>
      <w:r>
        <w:t xml:space="preserve">. </w:t>
      </w:r>
      <w:r w:rsidRPr="003A3745">
        <w:t>This will constrain debt growth, and result in debt levels falling in 2016</w:t>
      </w:r>
      <w:r w:rsidR="00276239">
        <w:noBreakHyphen/>
      </w:r>
      <w:r w:rsidRPr="003A3745">
        <w:t>17.</w:t>
      </w:r>
    </w:p>
    <w:p w:rsidR="0070375D" w:rsidRDefault="0070375D" w:rsidP="00333C32">
      <w:pPr>
        <w:rPr>
          <w:b/>
        </w:rPr>
      </w:pPr>
      <w:r w:rsidRPr="003A3745">
        <w:t>The ratios of net debt to gross state product (GSP) and net debt plus superannuation to GSP are forecast to peak by 2014</w:t>
      </w:r>
      <w:r w:rsidR="00276239">
        <w:noBreakHyphen/>
      </w:r>
      <w:r w:rsidRPr="003A3745">
        <w:t>15 and 2013</w:t>
      </w:r>
      <w:r w:rsidR="00276239">
        <w:noBreakHyphen/>
      </w:r>
      <w:r w:rsidRPr="003A3745">
        <w:t>14 respectively, before reducing in subsequent periods.</w:t>
      </w:r>
      <w:r w:rsidRPr="00333C32">
        <w:t xml:space="preserve"> </w:t>
      </w:r>
    </w:p>
    <w:p w:rsidR="0070375D" w:rsidRDefault="0070375D" w:rsidP="00382049">
      <w:pPr>
        <w:pStyle w:val="Tableheading"/>
      </w:pPr>
      <w:r>
        <w:br w:type="page"/>
      </w:r>
      <w:r>
        <w:lastRenderedPageBreak/>
        <w:t>Table 5.3:</w:t>
      </w:r>
      <w:r>
        <w:tab/>
        <w:t>Non</w:t>
      </w:r>
      <w:r w:rsidR="00276239">
        <w:noBreakHyphen/>
      </w:r>
      <w:r>
        <w:t>financial public sector net debt and net financial liabilities</w:t>
      </w:r>
    </w:p>
    <w:p w:rsidR="0070375D" w:rsidRPr="00E93930" w:rsidRDefault="0070375D" w:rsidP="005E274A">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534"/>
        <w:gridCol w:w="63"/>
        <w:gridCol w:w="810"/>
        <w:gridCol w:w="874"/>
        <w:gridCol w:w="874"/>
        <w:gridCol w:w="873"/>
        <w:gridCol w:w="874"/>
        <w:gridCol w:w="874"/>
      </w:tblGrid>
      <w:tr w:rsidR="0070375D" w:rsidRPr="00E93930" w:rsidTr="001B2DD2">
        <w:trPr>
          <w:cantSplit/>
        </w:trPr>
        <w:tc>
          <w:tcPr>
            <w:tcW w:w="2534" w:type="dxa"/>
            <w:tcBorders>
              <w:top w:val="single" w:sz="4" w:space="0" w:color="auto"/>
              <w:left w:val="single" w:sz="4" w:space="0" w:color="auto"/>
              <w:bottom w:val="nil"/>
              <w:right w:val="nil"/>
            </w:tcBorders>
            <w:shd w:val="clear" w:color="auto" w:fill="000000"/>
          </w:tcPr>
          <w:p w:rsidR="0070375D" w:rsidRPr="00E93930" w:rsidRDefault="0070375D" w:rsidP="00E93930">
            <w:pPr>
              <w:pStyle w:val="Tabletext"/>
              <w:rPr>
                <w:lang w:eastAsia="en-AU"/>
              </w:rPr>
            </w:pPr>
            <w:r w:rsidRPr="00E93930">
              <w:rPr>
                <w:lang w:eastAsia="en-AU"/>
              </w:rPr>
              <w:t xml:space="preserve">       </w:t>
            </w:r>
          </w:p>
        </w:tc>
        <w:tc>
          <w:tcPr>
            <w:tcW w:w="873" w:type="dxa"/>
            <w:gridSpan w:val="2"/>
            <w:tcBorders>
              <w:top w:val="single" w:sz="4" w:space="0" w:color="auto"/>
              <w:left w:val="nil"/>
              <w:bottom w:val="nil"/>
              <w:right w:val="nil"/>
            </w:tcBorders>
            <w:shd w:val="clear" w:color="auto" w:fill="000000"/>
          </w:tcPr>
          <w:p w:rsidR="0070375D" w:rsidRPr="00E93930" w:rsidRDefault="0070375D" w:rsidP="00E93930">
            <w:pPr>
              <w:pStyle w:val="Tabletextheading"/>
              <w:rPr>
                <w:lang w:eastAsia="en-AU"/>
              </w:rPr>
            </w:pPr>
            <w:r w:rsidRPr="00E93930">
              <w:rPr>
                <w:lang w:eastAsia="en-AU"/>
              </w:rPr>
              <w:t>2011</w:t>
            </w:r>
            <w:r w:rsidR="00276239">
              <w:rPr>
                <w:lang w:eastAsia="en-AU"/>
              </w:rPr>
              <w:noBreakHyphen/>
            </w:r>
            <w:r w:rsidRPr="00E93930">
              <w:rPr>
                <w:lang w:eastAsia="en-AU"/>
              </w:rPr>
              <w:t>12</w:t>
            </w:r>
          </w:p>
        </w:tc>
        <w:tc>
          <w:tcPr>
            <w:tcW w:w="874" w:type="dxa"/>
            <w:tcBorders>
              <w:top w:val="single" w:sz="4" w:space="0" w:color="auto"/>
              <w:left w:val="nil"/>
              <w:bottom w:val="nil"/>
              <w:right w:val="nil"/>
            </w:tcBorders>
            <w:shd w:val="clear" w:color="auto" w:fill="000000"/>
          </w:tcPr>
          <w:p w:rsidR="0070375D" w:rsidRPr="00E93930" w:rsidRDefault="0070375D" w:rsidP="00E93930">
            <w:pPr>
              <w:pStyle w:val="Tabletextheading"/>
              <w:rPr>
                <w:lang w:eastAsia="en-AU"/>
              </w:rPr>
            </w:pPr>
            <w:r w:rsidRPr="00E93930">
              <w:rPr>
                <w:lang w:eastAsia="en-AU"/>
              </w:rPr>
              <w:t>2012</w:t>
            </w:r>
            <w:r w:rsidR="00276239">
              <w:rPr>
                <w:lang w:eastAsia="en-AU"/>
              </w:rPr>
              <w:noBreakHyphen/>
            </w:r>
            <w:r w:rsidRPr="00E93930">
              <w:rPr>
                <w:lang w:eastAsia="en-AU"/>
              </w:rPr>
              <w:t>13</w:t>
            </w:r>
          </w:p>
        </w:tc>
        <w:tc>
          <w:tcPr>
            <w:tcW w:w="874" w:type="dxa"/>
            <w:tcBorders>
              <w:top w:val="single" w:sz="4" w:space="0" w:color="auto"/>
              <w:left w:val="nil"/>
              <w:bottom w:val="nil"/>
              <w:right w:val="nil"/>
            </w:tcBorders>
            <w:shd w:val="clear" w:color="auto" w:fill="000000"/>
          </w:tcPr>
          <w:p w:rsidR="0070375D" w:rsidRPr="00E93930" w:rsidRDefault="0070375D" w:rsidP="00E93930">
            <w:pPr>
              <w:pStyle w:val="Tabletextheading"/>
              <w:rPr>
                <w:lang w:eastAsia="en-AU"/>
              </w:rPr>
            </w:pPr>
            <w:r w:rsidRPr="00E93930">
              <w:rPr>
                <w:lang w:eastAsia="en-AU"/>
              </w:rPr>
              <w:t>2013</w:t>
            </w:r>
            <w:r w:rsidR="00276239">
              <w:rPr>
                <w:lang w:eastAsia="en-AU"/>
              </w:rPr>
              <w:noBreakHyphen/>
            </w:r>
            <w:r w:rsidRPr="00E93930">
              <w:rPr>
                <w:lang w:eastAsia="en-AU"/>
              </w:rPr>
              <w:t>14</w:t>
            </w:r>
          </w:p>
        </w:tc>
        <w:tc>
          <w:tcPr>
            <w:tcW w:w="873" w:type="dxa"/>
            <w:tcBorders>
              <w:top w:val="single" w:sz="4" w:space="0" w:color="auto"/>
              <w:left w:val="nil"/>
              <w:bottom w:val="nil"/>
              <w:right w:val="nil"/>
            </w:tcBorders>
            <w:shd w:val="clear" w:color="auto" w:fill="000000"/>
          </w:tcPr>
          <w:p w:rsidR="0070375D" w:rsidRPr="00E93930" w:rsidRDefault="0070375D" w:rsidP="00E93930">
            <w:pPr>
              <w:pStyle w:val="Tabletextheading"/>
              <w:rPr>
                <w:lang w:eastAsia="en-AU"/>
              </w:rPr>
            </w:pPr>
            <w:r w:rsidRPr="00E93930">
              <w:rPr>
                <w:lang w:eastAsia="en-AU"/>
              </w:rPr>
              <w:t>2014</w:t>
            </w:r>
            <w:r w:rsidR="00276239">
              <w:rPr>
                <w:lang w:eastAsia="en-AU"/>
              </w:rPr>
              <w:noBreakHyphen/>
            </w:r>
            <w:r w:rsidRPr="00E93930">
              <w:rPr>
                <w:lang w:eastAsia="en-AU"/>
              </w:rPr>
              <w:t>15</w:t>
            </w:r>
          </w:p>
        </w:tc>
        <w:tc>
          <w:tcPr>
            <w:tcW w:w="874" w:type="dxa"/>
            <w:tcBorders>
              <w:top w:val="single" w:sz="4" w:space="0" w:color="auto"/>
              <w:left w:val="nil"/>
              <w:bottom w:val="nil"/>
              <w:right w:val="nil"/>
            </w:tcBorders>
            <w:shd w:val="clear" w:color="auto" w:fill="000000"/>
          </w:tcPr>
          <w:p w:rsidR="0070375D" w:rsidRPr="00E93930" w:rsidRDefault="0070375D" w:rsidP="00E93930">
            <w:pPr>
              <w:pStyle w:val="Tabletextheading"/>
              <w:rPr>
                <w:lang w:eastAsia="en-AU"/>
              </w:rPr>
            </w:pPr>
            <w:r w:rsidRPr="00E93930">
              <w:rPr>
                <w:lang w:eastAsia="en-AU"/>
              </w:rPr>
              <w:t>2015</w:t>
            </w:r>
            <w:r w:rsidR="00276239">
              <w:rPr>
                <w:lang w:eastAsia="en-AU"/>
              </w:rPr>
              <w:noBreakHyphen/>
            </w:r>
            <w:r w:rsidRPr="00E93930">
              <w:rPr>
                <w:lang w:eastAsia="en-AU"/>
              </w:rPr>
              <w:t>16</w:t>
            </w:r>
          </w:p>
        </w:tc>
        <w:tc>
          <w:tcPr>
            <w:tcW w:w="874" w:type="dxa"/>
            <w:tcBorders>
              <w:top w:val="single" w:sz="4" w:space="0" w:color="auto"/>
              <w:left w:val="nil"/>
              <w:bottom w:val="nil"/>
              <w:right w:val="single" w:sz="4" w:space="0" w:color="auto"/>
            </w:tcBorders>
            <w:shd w:val="clear" w:color="auto" w:fill="000000"/>
          </w:tcPr>
          <w:p w:rsidR="0070375D" w:rsidRPr="00E93930" w:rsidRDefault="0070375D" w:rsidP="00E93930">
            <w:pPr>
              <w:pStyle w:val="Tabletextheading"/>
              <w:rPr>
                <w:lang w:eastAsia="en-AU"/>
              </w:rPr>
            </w:pPr>
            <w:r w:rsidRPr="00E93930">
              <w:rPr>
                <w:lang w:eastAsia="en-AU"/>
              </w:rPr>
              <w:t>2016</w:t>
            </w:r>
            <w:r w:rsidR="00276239">
              <w:rPr>
                <w:lang w:eastAsia="en-AU"/>
              </w:rPr>
              <w:noBreakHyphen/>
            </w:r>
            <w:r w:rsidRPr="00E93930">
              <w:rPr>
                <w:lang w:eastAsia="en-AU"/>
              </w:rPr>
              <w:t>17</w:t>
            </w:r>
          </w:p>
        </w:tc>
      </w:tr>
      <w:tr w:rsidR="0070375D" w:rsidRPr="00E93930" w:rsidTr="001B2DD2">
        <w:trPr>
          <w:cantSplit/>
        </w:trPr>
        <w:tc>
          <w:tcPr>
            <w:tcW w:w="2534" w:type="dxa"/>
            <w:tcBorders>
              <w:top w:val="nil"/>
              <w:left w:val="single" w:sz="4" w:space="0" w:color="auto"/>
              <w:bottom w:val="single" w:sz="4" w:space="0" w:color="auto"/>
              <w:right w:val="nil"/>
            </w:tcBorders>
            <w:shd w:val="clear" w:color="auto" w:fill="000000"/>
          </w:tcPr>
          <w:p w:rsidR="0070375D" w:rsidRPr="00E93930" w:rsidRDefault="0070375D" w:rsidP="00E93930">
            <w:pPr>
              <w:pStyle w:val="Tabletext"/>
              <w:rPr>
                <w:lang w:eastAsia="en-AU"/>
              </w:rPr>
            </w:pPr>
            <w:r w:rsidRPr="00E93930">
              <w:rPr>
                <w:lang w:eastAsia="en-AU"/>
              </w:rPr>
              <w:t xml:space="preserve">          </w:t>
            </w:r>
          </w:p>
        </w:tc>
        <w:tc>
          <w:tcPr>
            <w:tcW w:w="873" w:type="dxa"/>
            <w:gridSpan w:val="2"/>
            <w:tcBorders>
              <w:top w:val="nil"/>
              <w:left w:val="nil"/>
              <w:bottom w:val="single" w:sz="4" w:space="0" w:color="auto"/>
              <w:right w:val="nil"/>
            </w:tcBorders>
            <w:shd w:val="clear" w:color="auto" w:fill="000000"/>
          </w:tcPr>
          <w:p w:rsidR="0070375D" w:rsidRPr="00E93930" w:rsidRDefault="0070375D" w:rsidP="00E93930">
            <w:pPr>
              <w:pStyle w:val="Tabletextheading"/>
              <w:rPr>
                <w:lang w:eastAsia="en-AU"/>
              </w:rPr>
            </w:pPr>
            <w:r w:rsidRPr="00E93930">
              <w:rPr>
                <w:lang w:eastAsia="en-AU"/>
              </w:rPr>
              <w:t>Actual</w:t>
            </w:r>
          </w:p>
        </w:tc>
        <w:tc>
          <w:tcPr>
            <w:tcW w:w="874" w:type="dxa"/>
            <w:tcBorders>
              <w:top w:val="nil"/>
              <w:left w:val="nil"/>
              <w:bottom w:val="single" w:sz="4" w:space="0" w:color="auto"/>
              <w:right w:val="nil"/>
            </w:tcBorders>
            <w:shd w:val="clear" w:color="auto" w:fill="000000"/>
          </w:tcPr>
          <w:p w:rsidR="0070375D" w:rsidRPr="00E93930" w:rsidRDefault="0070375D" w:rsidP="00E93930">
            <w:pPr>
              <w:pStyle w:val="Tabletextheading"/>
              <w:rPr>
                <w:lang w:eastAsia="en-AU"/>
              </w:rPr>
            </w:pPr>
            <w:r w:rsidRPr="00E93930">
              <w:rPr>
                <w:lang w:eastAsia="en-AU"/>
              </w:rPr>
              <w:t>Revised</w:t>
            </w:r>
          </w:p>
        </w:tc>
        <w:tc>
          <w:tcPr>
            <w:tcW w:w="874" w:type="dxa"/>
            <w:tcBorders>
              <w:top w:val="nil"/>
              <w:left w:val="nil"/>
              <w:bottom w:val="single" w:sz="4" w:space="0" w:color="auto"/>
              <w:right w:val="nil"/>
            </w:tcBorders>
            <w:shd w:val="clear" w:color="auto" w:fill="000000"/>
          </w:tcPr>
          <w:p w:rsidR="0070375D" w:rsidRPr="00E93930" w:rsidRDefault="0070375D" w:rsidP="00E93930">
            <w:pPr>
              <w:pStyle w:val="Tabletextheading"/>
              <w:rPr>
                <w:lang w:eastAsia="en-AU"/>
              </w:rPr>
            </w:pPr>
            <w:r w:rsidRPr="00E93930">
              <w:rPr>
                <w:lang w:eastAsia="en-AU"/>
              </w:rPr>
              <w:t>Budget</w:t>
            </w:r>
          </w:p>
        </w:tc>
        <w:tc>
          <w:tcPr>
            <w:tcW w:w="873" w:type="dxa"/>
            <w:tcBorders>
              <w:top w:val="nil"/>
              <w:left w:val="nil"/>
              <w:bottom w:val="single" w:sz="4" w:space="0" w:color="auto"/>
              <w:right w:val="nil"/>
            </w:tcBorders>
            <w:shd w:val="clear" w:color="auto" w:fill="000000"/>
          </w:tcPr>
          <w:p w:rsidR="0070375D" w:rsidRPr="00E93930" w:rsidRDefault="0070375D" w:rsidP="00E93930">
            <w:pPr>
              <w:pStyle w:val="Tabletextheading"/>
              <w:rPr>
                <w:lang w:eastAsia="en-AU"/>
              </w:rPr>
            </w:pPr>
            <w:r w:rsidRPr="00E93930">
              <w:rPr>
                <w:lang w:eastAsia="en-AU"/>
              </w:rPr>
              <w:t>Estimate</w:t>
            </w:r>
          </w:p>
        </w:tc>
        <w:tc>
          <w:tcPr>
            <w:tcW w:w="874" w:type="dxa"/>
            <w:tcBorders>
              <w:top w:val="nil"/>
              <w:left w:val="nil"/>
              <w:bottom w:val="single" w:sz="4" w:space="0" w:color="auto"/>
              <w:right w:val="nil"/>
            </w:tcBorders>
            <w:shd w:val="clear" w:color="auto" w:fill="000000"/>
          </w:tcPr>
          <w:p w:rsidR="0070375D" w:rsidRPr="00E93930" w:rsidRDefault="0070375D" w:rsidP="00E93930">
            <w:pPr>
              <w:pStyle w:val="Tabletextheading"/>
              <w:rPr>
                <w:lang w:eastAsia="en-AU"/>
              </w:rPr>
            </w:pPr>
            <w:r w:rsidRPr="00E93930">
              <w:rPr>
                <w:lang w:eastAsia="en-AU"/>
              </w:rPr>
              <w:t>Estimate</w:t>
            </w:r>
          </w:p>
        </w:tc>
        <w:tc>
          <w:tcPr>
            <w:tcW w:w="874" w:type="dxa"/>
            <w:tcBorders>
              <w:top w:val="nil"/>
              <w:left w:val="nil"/>
              <w:bottom w:val="single" w:sz="4" w:space="0" w:color="auto"/>
              <w:right w:val="single" w:sz="4" w:space="0" w:color="auto"/>
            </w:tcBorders>
            <w:shd w:val="clear" w:color="auto" w:fill="000000"/>
          </w:tcPr>
          <w:p w:rsidR="0070375D" w:rsidRPr="00E93930" w:rsidRDefault="0070375D" w:rsidP="00E93930">
            <w:pPr>
              <w:pStyle w:val="Tabletextheading"/>
              <w:rPr>
                <w:lang w:eastAsia="en-AU"/>
              </w:rPr>
            </w:pPr>
            <w:r w:rsidRPr="00E93930">
              <w:rPr>
                <w:lang w:eastAsia="en-AU"/>
              </w:rPr>
              <w:t>Estimate</w:t>
            </w:r>
          </w:p>
        </w:tc>
      </w:tr>
      <w:tr w:rsidR="0070375D" w:rsidRPr="00E93930" w:rsidTr="001B2DD2">
        <w:trPr>
          <w:cantSplit/>
        </w:trPr>
        <w:tc>
          <w:tcPr>
            <w:tcW w:w="2534" w:type="dxa"/>
            <w:tcBorders>
              <w:top w:val="single" w:sz="4" w:space="0" w:color="auto"/>
              <w:left w:val="nil"/>
              <w:bottom w:val="nil"/>
              <w:right w:val="nil"/>
            </w:tcBorders>
          </w:tcPr>
          <w:p w:rsidR="0070375D" w:rsidRPr="00E93930" w:rsidRDefault="0070375D" w:rsidP="00E93930">
            <w:pPr>
              <w:pStyle w:val="Tabletext"/>
              <w:rPr>
                <w:b/>
                <w:bCs/>
                <w:color w:val="000000"/>
                <w:lang w:eastAsia="en-AU"/>
              </w:rPr>
            </w:pPr>
            <w:r w:rsidRPr="00E93930">
              <w:rPr>
                <w:b/>
                <w:bCs/>
                <w:color w:val="000000"/>
                <w:lang w:eastAsia="en-AU"/>
              </w:rPr>
              <w:t>Financial assets</w:t>
            </w:r>
          </w:p>
        </w:tc>
        <w:tc>
          <w:tcPr>
            <w:tcW w:w="873" w:type="dxa"/>
            <w:gridSpan w:val="2"/>
            <w:tcBorders>
              <w:top w:val="single" w:sz="4" w:space="0" w:color="auto"/>
              <w:left w:val="nil"/>
              <w:bottom w:val="nil"/>
              <w:right w:val="nil"/>
            </w:tcBorders>
          </w:tcPr>
          <w:p w:rsidR="0070375D" w:rsidRPr="00E93930" w:rsidRDefault="0070375D" w:rsidP="00E93930">
            <w:pPr>
              <w:pStyle w:val="TableofFigures"/>
              <w:rPr>
                <w:b/>
                <w:bCs/>
                <w:color w:val="000000"/>
                <w:lang w:eastAsia="en-AU"/>
              </w:rPr>
            </w:pPr>
          </w:p>
        </w:tc>
        <w:tc>
          <w:tcPr>
            <w:tcW w:w="874" w:type="dxa"/>
            <w:tcBorders>
              <w:top w:val="single" w:sz="4" w:space="0" w:color="auto"/>
              <w:left w:val="nil"/>
              <w:bottom w:val="nil"/>
              <w:right w:val="nil"/>
            </w:tcBorders>
          </w:tcPr>
          <w:p w:rsidR="0070375D" w:rsidRPr="00E93930" w:rsidRDefault="0070375D" w:rsidP="00E93930">
            <w:pPr>
              <w:pStyle w:val="TableofFigures"/>
              <w:rPr>
                <w:b/>
                <w:bCs/>
                <w:color w:val="000000"/>
                <w:lang w:eastAsia="en-AU"/>
              </w:rPr>
            </w:pPr>
          </w:p>
        </w:tc>
        <w:tc>
          <w:tcPr>
            <w:tcW w:w="874" w:type="dxa"/>
            <w:tcBorders>
              <w:top w:val="single" w:sz="4" w:space="0" w:color="auto"/>
              <w:left w:val="nil"/>
              <w:bottom w:val="nil"/>
              <w:right w:val="nil"/>
            </w:tcBorders>
          </w:tcPr>
          <w:p w:rsidR="0070375D" w:rsidRPr="00E93930" w:rsidRDefault="0070375D" w:rsidP="00E93930">
            <w:pPr>
              <w:pStyle w:val="TableofFigures"/>
              <w:rPr>
                <w:b/>
                <w:bCs/>
                <w:color w:val="000000"/>
                <w:lang w:eastAsia="en-AU"/>
              </w:rPr>
            </w:pPr>
          </w:p>
        </w:tc>
        <w:tc>
          <w:tcPr>
            <w:tcW w:w="873" w:type="dxa"/>
            <w:tcBorders>
              <w:top w:val="single" w:sz="4" w:space="0" w:color="auto"/>
              <w:left w:val="nil"/>
              <w:bottom w:val="nil"/>
              <w:right w:val="nil"/>
            </w:tcBorders>
          </w:tcPr>
          <w:p w:rsidR="0070375D" w:rsidRPr="00E93930" w:rsidRDefault="0070375D" w:rsidP="00E93930">
            <w:pPr>
              <w:pStyle w:val="TableofFigures"/>
              <w:rPr>
                <w:b/>
                <w:bCs/>
                <w:color w:val="000000"/>
                <w:lang w:eastAsia="en-AU"/>
              </w:rPr>
            </w:pPr>
          </w:p>
        </w:tc>
        <w:tc>
          <w:tcPr>
            <w:tcW w:w="874" w:type="dxa"/>
            <w:tcBorders>
              <w:top w:val="single" w:sz="4" w:space="0" w:color="auto"/>
              <w:left w:val="nil"/>
              <w:bottom w:val="nil"/>
              <w:right w:val="nil"/>
            </w:tcBorders>
          </w:tcPr>
          <w:p w:rsidR="0070375D" w:rsidRPr="00E93930" w:rsidRDefault="0070375D" w:rsidP="00E93930">
            <w:pPr>
              <w:pStyle w:val="TableofFigures"/>
              <w:rPr>
                <w:b/>
                <w:bCs/>
                <w:color w:val="000000"/>
                <w:lang w:eastAsia="en-AU"/>
              </w:rPr>
            </w:pPr>
          </w:p>
        </w:tc>
        <w:tc>
          <w:tcPr>
            <w:tcW w:w="874" w:type="dxa"/>
            <w:tcBorders>
              <w:top w:val="single" w:sz="4" w:space="0" w:color="auto"/>
              <w:left w:val="nil"/>
              <w:bottom w:val="nil"/>
              <w:right w:val="nil"/>
            </w:tcBorders>
          </w:tcPr>
          <w:p w:rsidR="0070375D" w:rsidRPr="00E93930" w:rsidRDefault="0070375D" w:rsidP="00E93930">
            <w:pPr>
              <w:pStyle w:val="TableofFigures"/>
              <w:rPr>
                <w:b/>
                <w:bCs/>
                <w:color w:val="000000"/>
                <w:lang w:eastAsia="en-AU"/>
              </w:rPr>
            </w:pPr>
          </w:p>
        </w:tc>
      </w:tr>
      <w:tr w:rsidR="0070375D" w:rsidRPr="00E93930" w:rsidTr="001B2DD2">
        <w:trPr>
          <w:cantSplit/>
        </w:trPr>
        <w:tc>
          <w:tcPr>
            <w:tcW w:w="2534" w:type="dxa"/>
            <w:tcBorders>
              <w:top w:val="nil"/>
              <w:left w:val="nil"/>
              <w:bottom w:val="nil"/>
              <w:right w:val="nil"/>
            </w:tcBorders>
          </w:tcPr>
          <w:p w:rsidR="0070375D" w:rsidRPr="00E93930" w:rsidRDefault="0070375D" w:rsidP="00E93930">
            <w:pPr>
              <w:pStyle w:val="Tabletext"/>
              <w:rPr>
                <w:color w:val="000000"/>
                <w:lang w:eastAsia="en-AU"/>
              </w:rPr>
            </w:pPr>
            <w:r w:rsidRPr="00E93930">
              <w:rPr>
                <w:color w:val="000000"/>
                <w:lang w:eastAsia="en-AU"/>
              </w:rPr>
              <w:t>Cash and deposits</w:t>
            </w:r>
          </w:p>
        </w:tc>
        <w:tc>
          <w:tcPr>
            <w:tcW w:w="873" w:type="dxa"/>
            <w:gridSpan w:val="2"/>
            <w:tcBorders>
              <w:top w:val="nil"/>
              <w:left w:val="nil"/>
              <w:bottom w:val="nil"/>
              <w:right w:val="nil"/>
            </w:tcBorders>
          </w:tcPr>
          <w:p w:rsidR="0070375D" w:rsidRPr="00E93930" w:rsidRDefault="0070375D" w:rsidP="00E93930">
            <w:pPr>
              <w:pStyle w:val="TableofFigures"/>
              <w:rPr>
                <w:color w:val="000000"/>
                <w:lang w:eastAsia="en-AU"/>
              </w:rPr>
            </w:pPr>
            <w:r w:rsidRPr="00E93930">
              <w:rPr>
                <w:color w:val="000000"/>
                <w:lang w:eastAsia="en-AU"/>
              </w:rPr>
              <w:t>5 374.2</w:t>
            </w:r>
          </w:p>
        </w:tc>
        <w:tc>
          <w:tcPr>
            <w:tcW w:w="874" w:type="dxa"/>
            <w:tcBorders>
              <w:top w:val="nil"/>
              <w:left w:val="nil"/>
              <w:bottom w:val="nil"/>
              <w:right w:val="nil"/>
            </w:tcBorders>
          </w:tcPr>
          <w:p w:rsidR="0070375D" w:rsidRPr="00E93930" w:rsidRDefault="0070375D" w:rsidP="00E93930">
            <w:pPr>
              <w:pStyle w:val="TableofFigures"/>
              <w:rPr>
                <w:color w:val="000000"/>
                <w:lang w:eastAsia="en-AU"/>
              </w:rPr>
            </w:pPr>
            <w:r w:rsidRPr="00E93930">
              <w:rPr>
                <w:color w:val="000000"/>
                <w:lang w:eastAsia="en-AU"/>
              </w:rPr>
              <w:t>5 157.9</w:t>
            </w:r>
          </w:p>
        </w:tc>
        <w:tc>
          <w:tcPr>
            <w:tcW w:w="874" w:type="dxa"/>
            <w:tcBorders>
              <w:top w:val="nil"/>
              <w:left w:val="nil"/>
              <w:bottom w:val="nil"/>
              <w:right w:val="nil"/>
            </w:tcBorders>
          </w:tcPr>
          <w:p w:rsidR="0070375D" w:rsidRPr="00E93930" w:rsidRDefault="0070375D" w:rsidP="00E93930">
            <w:pPr>
              <w:pStyle w:val="TableofFigures"/>
              <w:rPr>
                <w:color w:val="000000"/>
                <w:lang w:eastAsia="en-AU"/>
              </w:rPr>
            </w:pPr>
            <w:r w:rsidRPr="00E93930">
              <w:rPr>
                <w:color w:val="000000"/>
                <w:lang w:eastAsia="en-AU"/>
              </w:rPr>
              <w:t>5 399.4</w:t>
            </w:r>
          </w:p>
        </w:tc>
        <w:tc>
          <w:tcPr>
            <w:tcW w:w="873" w:type="dxa"/>
            <w:tcBorders>
              <w:top w:val="nil"/>
              <w:left w:val="nil"/>
              <w:bottom w:val="nil"/>
              <w:right w:val="nil"/>
            </w:tcBorders>
          </w:tcPr>
          <w:p w:rsidR="0070375D" w:rsidRPr="00E93930" w:rsidRDefault="0070375D" w:rsidP="00E93930">
            <w:pPr>
              <w:pStyle w:val="TableofFigures"/>
              <w:rPr>
                <w:color w:val="000000"/>
                <w:lang w:eastAsia="en-AU"/>
              </w:rPr>
            </w:pPr>
            <w:r w:rsidRPr="00E93930">
              <w:rPr>
                <w:color w:val="000000"/>
                <w:lang w:eastAsia="en-AU"/>
              </w:rPr>
              <w:t>5 690.9</w:t>
            </w:r>
          </w:p>
        </w:tc>
        <w:tc>
          <w:tcPr>
            <w:tcW w:w="874" w:type="dxa"/>
            <w:tcBorders>
              <w:top w:val="nil"/>
              <w:left w:val="nil"/>
              <w:bottom w:val="nil"/>
              <w:right w:val="nil"/>
            </w:tcBorders>
          </w:tcPr>
          <w:p w:rsidR="0070375D" w:rsidRPr="00E93930" w:rsidRDefault="0070375D" w:rsidP="00E93930">
            <w:pPr>
              <w:pStyle w:val="TableofFigures"/>
              <w:rPr>
                <w:color w:val="000000"/>
                <w:lang w:eastAsia="en-AU"/>
              </w:rPr>
            </w:pPr>
            <w:r w:rsidRPr="00E93930">
              <w:rPr>
                <w:color w:val="000000"/>
                <w:lang w:eastAsia="en-AU"/>
              </w:rPr>
              <w:t>5 991.3</w:t>
            </w:r>
          </w:p>
        </w:tc>
        <w:tc>
          <w:tcPr>
            <w:tcW w:w="874" w:type="dxa"/>
            <w:tcBorders>
              <w:top w:val="nil"/>
              <w:left w:val="nil"/>
              <w:bottom w:val="nil"/>
              <w:right w:val="nil"/>
            </w:tcBorders>
          </w:tcPr>
          <w:p w:rsidR="0070375D" w:rsidRPr="00E93930" w:rsidRDefault="0070375D" w:rsidP="00E93930">
            <w:pPr>
              <w:pStyle w:val="TableofFigures"/>
              <w:rPr>
                <w:color w:val="000000"/>
                <w:lang w:eastAsia="en-AU"/>
              </w:rPr>
            </w:pPr>
            <w:r w:rsidRPr="00E93930">
              <w:rPr>
                <w:color w:val="000000"/>
                <w:lang w:eastAsia="en-AU"/>
              </w:rPr>
              <w:t>6 469.1</w:t>
            </w:r>
          </w:p>
        </w:tc>
      </w:tr>
      <w:tr w:rsidR="0070375D" w:rsidRPr="00E93930" w:rsidTr="001B2DD2">
        <w:trPr>
          <w:cantSplit/>
        </w:trPr>
        <w:tc>
          <w:tcPr>
            <w:tcW w:w="2534" w:type="dxa"/>
            <w:tcBorders>
              <w:top w:val="nil"/>
              <w:left w:val="nil"/>
              <w:bottom w:val="nil"/>
              <w:right w:val="nil"/>
            </w:tcBorders>
          </w:tcPr>
          <w:p w:rsidR="0070375D" w:rsidRPr="00E93930" w:rsidRDefault="0070375D" w:rsidP="00E93930">
            <w:pPr>
              <w:pStyle w:val="Tabletext"/>
              <w:rPr>
                <w:color w:val="000000"/>
                <w:lang w:eastAsia="en-AU"/>
              </w:rPr>
            </w:pPr>
            <w:r w:rsidRPr="00E93930">
              <w:rPr>
                <w:color w:val="000000"/>
                <w:lang w:eastAsia="en-AU"/>
              </w:rPr>
              <w:t>Advances paid</w:t>
            </w:r>
          </w:p>
        </w:tc>
        <w:tc>
          <w:tcPr>
            <w:tcW w:w="873" w:type="dxa"/>
            <w:gridSpan w:val="2"/>
            <w:tcBorders>
              <w:top w:val="nil"/>
              <w:left w:val="nil"/>
              <w:bottom w:val="nil"/>
              <w:right w:val="nil"/>
            </w:tcBorders>
          </w:tcPr>
          <w:p w:rsidR="0070375D" w:rsidRPr="00E93930" w:rsidRDefault="0070375D" w:rsidP="00E93930">
            <w:pPr>
              <w:pStyle w:val="TableofFigures"/>
              <w:rPr>
                <w:color w:val="000000"/>
                <w:lang w:eastAsia="en-AU"/>
              </w:rPr>
            </w:pPr>
            <w:r w:rsidRPr="00E93930">
              <w:rPr>
                <w:color w:val="000000"/>
                <w:lang w:eastAsia="en-AU"/>
              </w:rPr>
              <w:t xml:space="preserve"> 88.6</w:t>
            </w:r>
          </w:p>
        </w:tc>
        <w:tc>
          <w:tcPr>
            <w:tcW w:w="874" w:type="dxa"/>
            <w:tcBorders>
              <w:top w:val="nil"/>
              <w:left w:val="nil"/>
              <w:bottom w:val="nil"/>
              <w:right w:val="nil"/>
            </w:tcBorders>
          </w:tcPr>
          <w:p w:rsidR="0070375D" w:rsidRPr="00E93930" w:rsidRDefault="0070375D" w:rsidP="00E93930">
            <w:pPr>
              <w:pStyle w:val="TableofFigures"/>
              <w:rPr>
                <w:color w:val="000000"/>
                <w:lang w:eastAsia="en-AU"/>
              </w:rPr>
            </w:pPr>
            <w:r w:rsidRPr="00E93930">
              <w:rPr>
                <w:color w:val="000000"/>
                <w:lang w:eastAsia="en-AU"/>
              </w:rPr>
              <w:t xml:space="preserve"> 133.4</w:t>
            </w:r>
          </w:p>
        </w:tc>
        <w:tc>
          <w:tcPr>
            <w:tcW w:w="874" w:type="dxa"/>
            <w:tcBorders>
              <w:top w:val="nil"/>
              <w:left w:val="nil"/>
              <w:bottom w:val="nil"/>
              <w:right w:val="nil"/>
            </w:tcBorders>
          </w:tcPr>
          <w:p w:rsidR="0070375D" w:rsidRPr="00E93930" w:rsidRDefault="0070375D" w:rsidP="00E93930">
            <w:pPr>
              <w:pStyle w:val="TableofFigures"/>
              <w:rPr>
                <w:color w:val="000000"/>
                <w:lang w:eastAsia="en-AU"/>
              </w:rPr>
            </w:pPr>
            <w:r w:rsidRPr="00E93930">
              <w:rPr>
                <w:color w:val="000000"/>
                <w:lang w:eastAsia="en-AU"/>
              </w:rPr>
              <w:t xml:space="preserve"> 131.0</w:t>
            </w:r>
          </w:p>
        </w:tc>
        <w:tc>
          <w:tcPr>
            <w:tcW w:w="873" w:type="dxa"/>
            <w:tcBorders>
              <w:top w:val="nil"/>
              <w:left w:val="nil"/>
              <w:bottom w:val="nil"/>
              <w:right w:val="nil"/>
            </w:tcBorders>
          </w:tcPr>
          <w:p w:rsidR="0070375D" w:rsidRPr="00E93930" w:rsidRDefault="0070375D" w:rsidP="00E93930">
            <w:pPr>
              <w:pStyle w:val="TableofFigures"/>
              <w:rPr>
                <w:color w:val="000000"/>
                <w:lang w:eastAsia="en-AU"/>
              </w:rPr>
            </w:pPr>
            <w:r w:rsidRPr="00E93930">
              <w:rPr>
                <w:color w:val="000000"/>
                <w:lang w:eastAsia="en-AU"/>
              </w:rPr>
              <w:t xml:space="preserve"> 129.0</w:t>
            </w:r>
          </w:p>
        </w:tc>
        <w:tc>
          <w:tcPr>
            <w:tcW w:w="874" w:type="dxa"/>
            <w:tcBorders>
              <w:top w:val="nil"/>
              <w:left w:val="nil"/>
              <w:bottom w:val="nil"/>
              <w:right w:val="nil"/>
            </w:tcBorders>
          </w:tcPr>
          <w:p w:rsidR="0070375D" w:rsidRPr="00E93930" w:rsidRDefault="0070375D" w:rsidP="00E93930">
            <w:pPr>
              <w:pStyle w:val="TableofFigures"/>
              <w:rPr>
                <w:color w:val="000000"/>
                <w:lang w:eastAsia="en-AU"/>
              </w:rPr>
            </w:pPr>
            <w:r w:rsidRPr="00E93930">
              <w:rPr>
                <w:color w:val="000000"/>
                <w:lang w:eastAsia="en-AU"/>
              </w:rPr>
              <w:t xml:space="preserve"> 127.4</w:t>
            </w:r>
          </w:p>
        </w:tc>
        <w:tc>
          <w:tcPr>
            <w:tcW w:w="874" w:type="dxa"/>
            <w:tcBorders>
              <w:top w:val="nil"/>
              <w:left w:val="nil"/>
              <w:bottom w:val="nil"/>
              <w:right w:val="nil"/>
            </w:tcBorders>
          </w:tcPr>
          <w:p w:rsidR="0070375D" w:rsidRPr="00E93930" w:rsidRDefault="0070375D" w:rsidP="00E93930">
            <w:pPr>
              <w:pStyle w:val="TableofFigures"/>
              <w:rPr>
                <w:color w:val="000000"/>
                <w:lang w:eastAsia="en-AU"/>
              </w:rPr>
            </w:pPr>
            <w:r w:rsidRPr="00E93930">
              <w:rPr>
                <w:color w:val="000000"/>
                <w:lang w:eastAsia="en-AU"/>
              </w:rPr>
              <w:t xml:space="preserve"> 126.2</w:t>
            </w:r>
          </w:p>
        </w:tc>
      </w:tr>
      <w:tr w:rsidR="0070375D" w:rsidRPr="00E93930" w:rsidTr="001B2DD2">
        <w:trPr>
          <w:cantSplit/>
        </w:trPr>
        <w:tc>
          <w:tcPr>
            <w:tcW w:w="2534" w:type="dxa"/>
            <w:tcBorders>
              <w:top w:val="nil"/>
              <w:left w:val="nil"/>
              <w:bottom w:val="single" w:sz="6" w:space="0" w:color="auto"/>
              <w:right w:val="nil"/>
            </w:tcBorders>
          </w:tcPr>
          <w:p w:rsidR="0070375D" w:rsidRPr="00E93930" w:rsidRDefault="0070375D" w:rsidP="00E93930">
            <w:pPr>
              <w:pStyle w:val="Tabletext"/>
              <w:rPr>
                <w:color w:val="000000"/>
                <w:vertAlign w:val="superscript"/>
                <w:lang w:eastAsia="en-AU"/>
              </w:rPr>
            </w:pPr>
            <w:r w:rsidRPr="00E93930">
              <w:rPr>
                <w:color w:val="000000"/>
                <w:lang w:eastAsia="en-AU"/>
              </w:rPr>
              <w:t xml:space="preserve">Investments, loans and placements </w:t>
            </w:r>
            <w:r w:rsidRPr="00E93930">
              <w:rPr>
                <w:color w:val="000000"/>
                <w:vertAlign w:val="superscript"/>
                <w:lang w:eastAsia="en-AU"/>
              </w:rPr>
              <w:t>(a)</w:t>
            </w:r>
          </w:p>
        </w:tc>
        <w:tc>
          <w:tcPr>
            <w:tcW w:w="873" w:type="dxa"/>
            <w:gridSpan w:val="2"/>
            <w:tcBorders>
              <w:top w:val="nil"/>
              <w:left w:val="nil"/>
              <w:bottom w:val="single" w:sz="6" w:space="0" w:color="auto"/>
              <w:right w:val="nil"/>
            </w:tcBorders>
          </w:tcPr>
          <w:p w:rsidR="0070375D" w:rsidRPr="00E93930" w:rsidRDefault="0070375D" w:rsidP="00E93930">
            <w:pPr>
              <w:pStyle w:val="TableofFigures"/>
              <w:rPr>
                <w:color w:val="000000"/>
                <w:lang w:eastAsia="en-AU"/>
              </w:rPr>
            </w:pPr>
            <w:r w:rsidRPr="00E93930">
              <w:rPr>
                <w:color w:val="000000"/>
                <w:lang w:eastAsia="en-AU"/>
              </w:rPr>
              <w:t>3 682.9</w:t>
            </w:r>
          </w:p>
        </w:tc>
        <w:tc>
          <w:tcPr>
            <w:tcW w:w="874" w:type="dxa"/>
            <w:tcBorders>
              <w:top w:val="nil"/>
              <w:left w:val="nil"/>
              <w:bottom w:val="single" w:sz="6" w:space="0" w:color="auto"/>
              <w:right w:val="nil"/>
            </w:tcBorders>
          </w:tcPr>
          <w:p w:rsidR="0070375D" w:rsidRPr="00E93930" w:rsidRDefault="0070375D" w:rsidP="00E93930">
            <w:pPr>
              <w:pStyle w:val="TableofFigures"/>
              <w:rPr>
                <w:color w:val="000000"/>
                <w:lang w:eastAsia="en-AU"/>
              </w:rPr>
            </w:pPr>
            <w:r w:rsidRPr="00E93930">
              <w:rPr>
                <w:color w:val="000000"/>
                <w:lang w:eastAsia="en-AU"/>
              </w:rPr>
              <w:t>3 528.0</w:t>
            </w:r>
          </w:p>
        </w:tc>
        <w:tc>
          <w:tcPr>
            <w:tcW w:w="874" w:type="dxa"/>
            <w:tcBorders>
              <w:top w:val="nil"/>
              <w:left w:val="nil"/>
              <w:bottom w:val="single" w:sz="6" w:space="0" w:color="auto"/>
              <w:right w:val="nil"/>
            </w:tcBorders>
          </w:tcPr>
          <w:p w:rsidR="0070375D" w:rsidRPr="00E93930" w:rsidRDefault="0070375D" w:rsidP="00E93930">
            <w:pPr>
              <w:pStyle w:val="TableofFigures"/>
              <w:rPr>
                <w:color w:val="000000"/>
                <w:lang w:eastAsia="en-AU"/>
              </w:rPr>
            </w:pPr>
            <w:r w:rsidRPr="00E93930">
              <w:rPr>
                <w:color w:val="000000"/>
                <w:lang w:eastAsia="en-AU"/>
              </w:rPr>
              <w:t>3 556.6</w:t>
            </w:r>
          </w:p>
        </w:tc>
        <w:tc>
          <w:tcPr>
            <w:tcW w:w="873" w:type="dxa"/>
            <w:tcBorders>
              <w:top w:val="nil"/>
              <w:left w:val="nil"/>
              <w:bottom w:val="single" w:sz="6" w:space="0" w:color="auto"/>
              <w:right w:val="nil"/>
            </w:tcBorders>
          </w:tcPr>
          <w:p w:rsidR="0070375D" w:rsidRPr="00E93930" w:rsidRDefault="0070375D" w:rsidP="00E93930">
            <w:pPr>
              <w:pStyle w:val="TableofFigures"/>
              <w:rPr>
                <w:color w:val="000000"/>
                <w:lang w:eastAsia="en-AU"/>
              </w:rPr>
            </w:pPr>
            <w:r w:rsidRPr="00E93930">
              <w:rPr>
                <w:color w:val="000000"/>
                <w:lang w:eastAsia="en-AU"/>
              </w:rPr>
              <w:t>3 629.1</w:t>
            </w:r>
          </w:p>
        </w:tc>
        <w:tc>
          <w:tcPr>
            <w:tcW w:w="874" w:type="dxa"/>
            <w:tcBorders>
              <w:top w:val="nil"/>
              <w:left w:val="nil"/>
              <w:bottom w:val="single" w:sz="6" w:space="0" w:color="auto"/>
              <w:right w:val="nil"/>
            </w:tcBorders>
          </w:tcPr>
          <w:p w:rsidR="0070375D" w:rsidRPr="00E93930" w:rsidRDefault="0070375D" w:rsidP="00E93930">
            <w:pPr>
              <w:pStyle w:val="TableofFigures"/>
              <w:rPr>
                <w:color w:val="000000"/>
                <w:lang w:eastAsia="en-AU"/>
              </w:rPr>
            </w:pPr>
            <w:r w:rsidRPr="00E93930">
              <w:rPr>
                <w:color w:val="000000"/>
                <w:lang w:eastAsia="en-AU"/>
              </w:rPr>
              <w:t>3 711.6</w:t>
            </w:r>
          </w:p>
        </w:tc>
        <w:tc>
          <w:tcPr>
            <w:tcW w:w="874" w:type="dxa"/>
            <w:tcBorders>
              <w:top w:val="nil"/>
              <w:left w:val="nil"/>
              <w:bottom w:val="single" w:sz="6" w:space="0" w:color="auto"/>
              <w:right w:val="nil"/>
            </w:tcBorders>
          </w:tcPr>
          <w:p w:rsidR="0070375D" w:rsidRPr="00E93930" w:rsidRDefault="0070375D" w:rsidP="00E93930">
            <w:pPr>
              <w:pStyle w:val="TableofFigures"/>
              <w:rPr>
                <w:color w:val="000000"/>
                <w:lang w:eastAsia="en-AU"/>
              </w:rPr>
            </w:pPr>
            <w:r w:rsidRPr="00E93930">
              <w:rPr>
                <w:color w:val="000000"/>
                <w:lang w:eastAsia="en-AU"/>
              </w:rPr>
              <w:t>3 769.0</w:t>
            </w:r>
          </w:p>
        </w:tc>
      </w:tr>
      <w:tr w:rsidR="0070375D" w:rsidRPr="00E93930" w:rsidTr="001B2DD2">
        <w:trPr>
          <w:cantSplit/>
        </w:trPr>
        <w:tc>
          <w:tcPr>
            <w:tcW w:w="2534" w:type="dxa"/>
            <w:tcBorders>
              <w:top w:val="nil"/>
              <w:left w:val="nil"/>
              <w:bottom w:val="nil"/>
              <w:right w:val="nil"/>
            </w:tcBorders>
          </w:tcPr>
          <w:p w:rsidR="0070375D" w:rsidRPr="00E93930" w:rsidRDefault="0070375D" w:rsidP="00E93930">
            <w:pPr>
              <w:pStyle w:val="Tabletext"/>
              <w:rPr>
                <w:b/>
                <w:bCs/>
                <w:color w:val="000000"/>
                <w:lang w:eastAsia="en-AU"/>
              </w:rPr>
            </w:pPr>
            <w:r w:rsidRPr="00E93930">
              <w:rPr>
                <w:b/>
                <w:bCs/>
                <w:color w:val="000000"/>
                <w:lang w:eastAsia="en-AU"/>
              </w:rPr>
              <w:t>Total</w:t>
            </w:r>
          </w:p>
        </w:tc>
        <w:tc>
          <w:tcPr>
            <w:tcW w:w="873" w:type="dxa"/>
            <w:gridSpan w:val="2"/>
            <w:tcBorders>
              <w:top w:val="nil"/>
              <w:left w:val="nil"/>
              <w:bottom w:val="nil"/>
              <w:right w:val="nil"/>
            </w:tcBorders>
          </w:tcPr>
          <w:p w:rsidR="0070375D" w:rsidRPr="00E93930" w:rsidRDefault="0070375D" w:rsidP="00E93930">
            <w:pPr>
              <w:pStyle w:val="TableofFigures"/>
              <w:rPr>
                <w:color w:val="000000"/>
                <w:lang w:eastAsia="en-AU"/>
              </w:rPr>
            </w:pPr>
            <w:r w:rsidRPr="00E93930">
              <w:rPr>
                <w:color w:val="000000"/>
                <w:lang w:eastAsia="en-AU"/>
              </w:rPr>
              <w:t>9 145.7</w:t>
            </w:r>
          </w:p>
        </w:tc>
        <w:tc>
          <w:tcPr>
            <w:tcW w:w="874" w:type="dxa"/>
            <w:tcBorders>
              <w:top w:val="nil"/>
              <w:left w:val="nil"/>
              <w:bottom w:val="nil"/>
              <w:right w:val="nil"/>
            </w:tcBorders>
          </w:tcPr>
          <w:p w:rsidR="0070375D" w:rsidRPr="00E93930" w:rsidRDefault="0070375D" w:rsidP="00E93930">
            <w:pPr>
              <w:pStyle w:val="TableofFigures"/>
              <w:rPr>
                <w:color w:val="000000"/>
                <w:lang w:eastAsia="en-AU"/>
              </w:rPr>
            </w:pPr>
            <w:r w:rsidRPr="00E93930">
              <w:rPr>
                <w:color w:val="000000"/>
                <w:lang w:eastAsia="en-AU"/>
              </w:rPr>
              <w:t>8 819.3</w:t>
            </w:r>
          </w:p>
        </w:tc>
        <w:tc>
          <w:tcPr>
            <w:tcW w:w="874" w:type="dxa"/>
            <w:tcBorders>
              <w:top w:val="nil"/>
              <w:left w:val="nil"/>
              <w:bottom w:val="nil"/>
              <w:right w:val="nil"/>
            </w:tcBorders>
          </w:tcPr>
          <w:p w:rsidR="0070375D" w:rsidRPr="00E93930" w:rsidRDefault="0070375D" w:rsidP="00E93930">
            <w:pPr>
              <w:pStyle w:val="TableofFigures"/>
              <w:rPr>
                <w:color w:val="000000"/>
                <w:lang w:eastAsia="en-AU"/>
              </w:rPr>
            </w:pPr>
            <w:r w:rsidRPr="00E93930">
              <w:rPr>
                <w:color w:val="000000"/>
                <w:lang w:eastAsia="en-AU"/>
              </w:rPr>
              <w:t>9 087.0</w:t>
            </w:r>
          </w:p>
        </w:tc>
        <w:tc>
          <w:tcPr>
            <w:tcW w:w="873" w:type="dxa"/>
            <w:tcBorders>
              <w:top w:val="nil"/>
              <w:left w:val="nil"/>
              <w:bottom w:val="nil"/>
              <w:right w:val="nil"/>
            </w:tcBorders>
          </w:tcPr>
          <w:p w:rsidR="0070375D" w:rsidRPr="00E93930" w:rsidRDefault="0070375D" w:rsidP="00E93930">
            <w:pPr>
              <w:pStyle w:val="TableofFigures"/>
              <w:rPr>
                <w:color w:val="000000"/>
                <w:lang w:eastAsia="en-AU"/>
              </w:rPr>
            </w:pPr>
            <w:r w:rsidRPr="00E93930">
              <w:rPr>
                <w:color w:val="000000"/>
                <w:lang w:eastAsia="en-AU"/>
              </w:rPr>
              <w:t>9 449.0</w:t>
            </w:r>
          </w:p>
        </w:tc>
        <w:tc>
          <w:tcPr>
            <w:tcW w:w="874" w:type="dxa"/>
            <w:tcBorders>
              <w:top w:val="nil"/>
              <w:left w:val="nil"/>
              <w:bottom w:val="nil"/>
              <w:right w:val="nil"/>
            </w:tcBorders>
          </w:tcPr>
          <w:p w:rsidR="0070375D" w:rsidRPr="00E93930" w:rsidRDefault="0070375D" w:rsidP="00E93930">
            <w:pPr>
              <w:pStyle w:val="TableofFigures"/>
              <w:rPr>
                <w:color w:val="000000"/>
                <w:lang w:eastAsia="en-AU"/>
              </w:rPr>
            </w:pPr>
            <w:r w:rsidRPr="00E93930">
              <w:rPr>
                <w:color w:val="000000"/>
                <w:lang w:eastAsia="en-AU"/>
              </w:rPr>
              <w:t>9 830.2</w:t>
            </w:r>
          </w:p>
        </w:tc>
        <w:tc>
          <w:tcPr>
            <w:tcW w:w="874" w:type="dxa"/>
            <w:tcBorders>
              <w:top w:val="nil"/>
              <w:left w:val="nil"/>
              <w:bottom w:val="nil"/>
              <w:right w:val="nil"/>
            </w:tcBorders>
          </w:tcPr>
          <w:p w:rsidR="0070375D" w:rsidRPr="00E93930" w:rsidRDefault="0070375D" w:rsidP="00E93930">
            <w:pPr>
              <w:pStyle w:val="TableofFigures"/>
              <w:rPr>
                <w:color w:val="000000"/>
                <w:lang w:eastAsia="en-AU"/>
              </w:rPr>
            </w:pPr>
            <w:r w:rsidRPr="00E93930">
              <w:rPr>
                <w:color w:val="000000"/>
                <w:lang w:eastAsia="en-AU"/>
              </w:rPr>
              <w:t>10 364.3</w:t>
            </w:r>
          </w:p>
        </w:tc>
      </w:tr>
      <w:tr w:rsidR="0070375D" w:rsidRPr="00E93930" w:rsidTr="001B2DD2">
        <w:trPr>
          <w:cantSplit/>
        </w:trPr>
        <w:tc>
          <w:tcPr>
            <w:tcW w:w="2534" w:type="dxa"/>
            <w:tcBorders>
              <w:top w:val="nil"/>
              <w:left w:val="nil"/>
              <w:bottom w:val="nil"/>
              <w:right w:val="nil"/>
            </w:tcBorders>
          </w:tcPr>
          <w:p w:rsidR="0070375D" w:rsidRPr="00E93930" w:rsidRDefault="0070375D" w:rsidP="00E93930">
            <w:pPr>
              <w:pStyle w:val="Tabletext"/>
              <w:rPr>
                <w:b/>
                <w:bCs/>
                <w:color w:val="000000"/>
                <w:lang w:eastAsia="en-AU"/>
              </w:rPr>
            </w:pPr>
            <w:r w:rsidRPr="00E93930">
              <w:rPr>
                <w:b/>
                <w:bCs/>
                <w:color w:val="000000"/>
                <w:lang w:eastAsia="en-AU"/>
              </w:rPr>
              <w:t>Financial liabilities</w:t>
            </w:r>
          </w:p>
        </w:tc>
        <w:tc>
          <w:tcPr>
            <w:tcW w:w="873" w:type="dxa"/>
            <w:gridSpan w:val="2"/>
            <w:tcBorders>
              <w:top w:val="nil"/>
              <w:left w:val="nil"/>
              <w:bottom w:val="nil"/>
              <w:right w:val="nil"/>
            </w:tcBorders>
          </w:tcPr>
          <w:p w:rsidR="0070375D" w:rsidRPr="00E93930" w:rsidRDefault="0070375D" w:rsidP="00E93930">
            <w:pPr>
              <w:pStyle w:val="TableofFigures"/>
              <w:rPr>
                <w:color w:val="000000"/>
                <w:lang w:eastAsia="en-AU"/>
              </w:rPr>
            </w:pPr>
          </w:p>
        </w:tc>
        <w:tc>
          <w:tcPr>
            <w:tcW w:w="874" w:type="dxa"/>
            <w:tcBorders>
              <w:top w:val="nil"/>
              <w:left w:val="nil"/>
              <w:bottom w:val="nil"/>
              <w:right w:val="nil"/>
            </w:tcBorders>
          </w:tcPr>
          <w:p w:rsidR="0070375D" w:rsidRPr="00E93930" w:rsidRDefault="0070375D" w:rsidP="00E93930">
            <w:pPr>
              <w:pStyle w:val="TableofFigures"/>
              <w:rPr>
                <w:color w:val="000000"/>
                <w:lang w:eastAsia="en-AU"/>
              </w:rPr>
            </w:pPr>
          </w:p>
        </w:tc>
        <w:tc>
          <w:tcPr>
            <w:tcW w:w="874" w:type="dxa"/>
            <w:tcBorders>
              <w:top w:val="nil"/>
              <w:left w:val="nil"/>
              <w:bottom w:val="nil"/>
              <w:right w:val="nil"/>
            </w:tcBorders>
          </w:tcPr>
          <w:p w:rsidR="0070375D" w:rsidRPr="00E93930" w:rsidRDefault="0070375D" w:rsidP="00E93930">
            <w:pPr>
              <w:pStyle w:val="TableofFigures"/>
              <w:rPr>
                <w:color w:val="000000"/>
                <w:lang w:eastAsia="en-AU"/>
              </w:rPr>
            </w:pPr>
          </w:p>
        </w:tc>
        <w:tc>
          <w:tcPr>
            <w:tcW w:w="873" w:type="dxa"/>
            <w:tcBorders>
              <w:top w:val="nil"/>
              <w:left w:val="nil"/>
              <w:bottom w:val="nil"/>
              <w:right w:val="nil"/>
            </w:tcBorders>
          </w:tcPr>
          <w:p w:rsidR="0070375D" w:rsidRPr="00E93930" w:rsidRDefault="0070375D" w:rsidP="00E93930">
            <w:pPr>
              <w:pStyle w:val="TableofFigures"/>
              <w:rPr>
                <w:color w:val="000000"/>
                <w:lang w:eastAsia="en-AU"/>
              </w:rPr>
            </w:pPr>
          </w:p>
        </w:tc>
        <w:tc>
          <w:tcPr>
            <w:tcW w:w="874" w:type="dxa"/>
            <w:tcBorders>
              <w:top w:val="nil"/>
              <w:left w:val="nil"/>
              <w:bottom w:val="nil"/>
              <w:right w:val="nil"/>
            </w:tcBorders>
          </w:tcPr>
          <w:p w:rsidR="0070375D" w:rsidRPr="00E93930" w:rsidRDefault="0070375D" w:rsidP="00E93930">
            <w:pPr>
              <w:pStyle w:val="TableofFigures"/>
              <w:rPr>
                <w:color w:val="000000"/>
                <w:lang w:eastAsia="en-AU"/>
              </w:rPr>
            </w:pPr>
          </w:p>
        </w:tc>
        <w:tc>
          <w:tcPr>
            <w:tcW w:w="874" w:type="dxa"/>
            <w:tcBorders>
              <w:top w:val="nil"/>
              <w:left w:val="nil"/>
              <w:bottom w:val="nil"/>
              <w:right w:val="nil"/>
            </w:tcBorders>
          </w:tcPr>
          <w:p w:rsidR="0070375D" w:rsidRPr="00E93930" w:rsidRDefault="0070375D" w:rsidP="00E93930">
            <w:pPr>
              <w:pStyle w:val="TableofFigures"/>
              <w:rPr>
                <w:color w:val="000000"/>
                <w:lang w:eastAsia="en-AU"/>
              </w:rPr>
            </w:pPr>
          </w:p>
        </w:tc>
      </w:tr>
      <w:tr w:rsidR="0070375D" w:rsidRPr="00E93930" w:rsidTr="001B2DD2">
        <w:trPr>
          <w:cantSplit/>
        </w:trPr>
        <w:tc>
          <w:tcPr>
            <w:tcW w:w="2534" w:type="dxa"/>
            <w:tcBorders>
              <w:top w:val="nil"/>
              <w:left w:val="nil"/>
              <w:bottom w:val="nil"/>
              <w:right w:val="nil"/>
            </w:tcBorders>
          </w:tcPr>
          <w:p w:rsidR="0070375D" w:rsidRPr="00E93930" w:rsidRDefault="0070375D" w:rsidP="00E93930">
            <w:pPr>
              <w:pStyle w:val="Tabletext"/>
              <w:rPr>
                <w:color w:val="000000"/>
                <w:lang w:eastAsia="en-AU"/>
              </w:rPr>
            </w:pPr>
            <w:r w:rsidRPr="00E93930">
              <w:rPr>
                <w:color w:val="000000"/>
                <w:lang w:eastAsia="en-AU"/>
              </w:rPr>
              <w:t>Deposits held and advances received</w:t>
            </w:r>
          </w:p>
        </w:tc>
        <w:tc>
          <w:tcPr>
            <w:tcW w:w="873" w:type="dxa"/>
            <w:gridSpan w:val="2"/>
            <w:tcBorders>
              <w:top w:val="nil"/>
              <w:left w:val="nil"/>
              <w:bottom w:val="nil"/>
              <w:right w:val="nil"/>
            </w:tcBorders>
          </w:tcPr>
          <w:p w:rsidR="0070375D" w:rsidRPr="00E93930" w:rsidRDefault="0070375D" w:rsidP="00E93930">
            <w:pPr>
              <w:pStyle w:val="TableofFigures"/>
              <w:rPr>
                <w:color w:val="000000"/>
                <w:lang w:eastAsia="en-AU"/>
              </w:rPr>
            </w:pPr>
            <w:r w:rsidRPr="00E93930">
              <w:rPr>
                <w:color w:val="000000"/>
                <w:lang w:eastAsia="en-AU"/>
              </w:rPr>
              <w:t xml:space="preserve"> 507.2</w:t>
            </w:r>
          </w:p>
        </w:tc>
        <w:tc>
          <w:tcPr>
            <w:tcW w:w="874" w:type="dxa"/>
            <w:tcBorders>
              <w:top w:val="nil"/>
              <w:left w:val="nil"/>
              <w:bottom w:val="nil"/>
              <w:right w:val="nil"/>
            </w:tcBorders>
          </w:tcPr>
          <w:p w:rsidR="0070375D" w:rsidRPr="00E93930" w:rsidRDefault="0070375D" w:rsidP="00E93930">
            <w:pPr>
              <w:pStyle w:val="TableofFigures"/>
              <w:rPr>
                <w:color w:val="000000"/>
                <w:lang w:eastAsia="en-AU"/>
              </w:rPr>
            </w:pPr>
            <w:r w:rsidRPr="00E93930">
              <w:rPr>
                <w:color w:val="000000"/>
                <w:lang w:eastAsia="en-AU"/>
              </w:rPr>
              <w:t xml:space="preserve"> 471.8</w:t>
            </w:r>
          </w:p>
        </w:tc>
        <w:tc>
          <w:tcPr>
            <w:tcW w:w="874" w:type="dxa"/>
            <w:tcBorders>
              <w:top w:val="nil"/>
              <w:left w:val="nil"/>
              <w:bottom w:val="nil"/>
              <w:right w:val="nil"/>
            </w:tcBorders>
          </w:tcPr>
          <w:p w:rsidR="0070375D" w:rsidRPr="00E93930" w:rsidRDefault="0070375D" w:rsidP="00E93930">
            <w:pPr>
              <w:pStyle w:val="TableofFigures"/>
              <w:rPr>
                <w:color w:val="000000"/>
                <w:lang w:eastAsia="en-AU"/>
              </w:rPr>
            </w:pPr>
            <w:r w:rsidRPr="00E93930">
              <w:rPr>
                <w:color w:val="000000"/>
                <w:lang w:eastAsia="en-AU"/>
              </w:rPr>
              <w:t xml:space="preserve"> 477.9</w:t>
            </w:r>
          </w:p>
        </w:tc>
        <w:tc>
          <w:tcPr>
            <w:tcW w:w="873" w:type="dxa"/>
            <w:tcBorders>
              <w:top w:val="nil"/>
              <w:left w:val="nil"/>
              <w:bottom w:val="nil"/>
              <w:right w:val="nil"/>
            </w:tcBorders>
          </w:tcPr>
          <w:p w:rsidR="0070375D" w:rsidRPr="00E93930" w:rsidRDefault="0070375D" w:rsidP="00E93930">
            <w:pPr>
              <w:pStyle w:val="TableofFigures"/>
              <w:rPr>
                <w:color w:val="000000"/>
                <w:lang w:eastAsia="en-AU"/>
              </w:rPr>
            </w:pPr>
            <w:r w:rsidRPr="00E93930">
              <w:rPr>
                <w:color w:val="000000"/>
                <w:lang w:eastAsia="en-AU"/>
              </w:rPr>
              <w:t xml:space="preserve"> 477.1</w:t>
            </w:r>
          </w:p>
        </w:tc>
        <w:tc>
          <w:tcPr>
            <w:tcW w:w="874" w:type="dxa"/>
            <w:tcBorders>
              <w:top w:val="nil"/>
              <w:left w:val="nil"/>
              <w:bottom w:val="nil"/>
              <w:right w:val="nil"/>
            </w:tcBorders>
          </w:tcPr>
          <w:p w:rsidR="0070375D" w:rsidRPr="00E93930" w:rsidRDefault="0070375D" w:rsidP="00E93930">
            <w:pPr>
              <w:pStyle w:val="TableofFigures"/>
              <w:rPr>
                <w:color w:val="000000"/>
                <w:lang w:eastAsia="en-AU"/>
              </w:rPr>
            </w:pPr>
            <w:r w:rsidRPr="00E93930">
              <w:rPr>
                <w:color w:val="000000"/>
                <w:lang w:eastAsia="en-AU"/>
              </w:rPr>
              <w:t xml:space="preserve"> 478.2</w:t>
            </w:r>
          </w:p>
        </w:tc>
        <w:tc>
          <w:tcPr>
            <w:tcW w:w="874" w:type="dxa"/>
            <w:tcBorders>
              <w:top w:val="nil"/>
              <w:left w:val="nil"/>
              <w:bottom w:val="nil"/>
              <w:right w:val="nil"/>
            </w:tcBorders>
          </w:tcPr>
          <w:p w:rsidR="0070375D" w:rsidRPr="00E93930" w:rsidRDefault="0070375D" w:rsidP="00E93930">
            <w:pPr>
              <w:pStyle w:val="TableofFigures"/>
              <w:rPr>
                <w:color w:val="000000"/>
                <w:lang w:eastAsia="en-AU"/>
              </w:rPr>
            </w:pPr>
            <w:r w:rsidRPr="00E93930">
              <w:rPr>
                <w:color w:val="000000"/>
                <w:lang w:eastAsia="en-AU"/>
              </w:rPr>
              <w:t xml:space="preserve"> 479.1</w:t>
            </w:r>
          </w:p>
        </w:tc>
      </w:tr>
      <w:tr w:rsidR="0070375D" w:rsidRPr="00E93930" w:rsidTr="001B2DD2">
        <w:trPr>
          <w:cantSplit/>
        </w:trPr>
        <w:tc>
          <w:tcPr>
            <w:tcW w:w="2534" w:type="dxa"/>
            <w:tcBorders>
              <w:top w:val="nil"/>
              <w:left w:val="nil"/>
              <w:bottom w:val="nil"/>
              <w:right w:val="nil"/>
            </w:tcBorders>
          </w:tcPr>
          <w:p w:rsidR="0070375D" w:rsidRPr="00E93930" w:rsidRDefault="0070375D" w:rsidP="00E93930">
            <w:pPr>
              <w:pStyle w:val="Tabletext"/>
              <w:rPr>
                <w:color w:val="000000"/>
                <w:lang w:eastAsia="en-AU"/>
              </w:rPr>
            </w:pPr>
            <w:r w:rsidRPr="00E93930">
              <w:rPr>
                <w:color w:val="000000"/>
                <w:lang w:eastAsia="en-AU"/>
              </w:rPr>
              <w:t>Borrowings</w:t>
            </w:r>
          </w:p>
        </w:tc>
        <w:tc>
          <w:tcPr>
            <w:tcW w:w="873" w:type="dxa"/>
            <w:gridSpan w:val="2"/>
            <w:tcBorders>
              <w:top w:val="nil"/>
              <w:left w:val="nil"/>
              <w:bottom w:val="nil"/>
              <w:right w:val="nil"/>
            </w:tcBorders>
          </w:tcPr>
          <w:p w:rsidR="0070375D" w:rsidRPr="00E93930" w:rsidRDefault="0070375D" w:rsidP="00E93930">
            <w:pPr>
              <w:pStyle w:val="TableofFigures"/>
              <w:rPr>
                <w:color w:val="000000"/>
                <w:lang w:eastAsia="en-AU"/>
              </w:rPr>
            </w:pPr>
            <w:r w:rsidRPr="00E93930">
              <w:rPr>
                <w:color w:val="000000"/>
                <w:lang w:eastAsia="en-AU"/>
              </w:rPr>
              <w:t>33 259.7</w:t>
            </w:r>
          </w:p>
        </w:tc>
        <w:tc>
          <w:tcPr>
            <w:tcW w:w="874" w:type="dxa"/>
            <w:tcBorders>
              <w:top w:val="nil"/>
              <w:left w:val="nil"/>
              <w:bottom w:val="nil"/>
              <w:right w:val="nil"/>
            </w:tcBorders>
          </w:tcPr>
          <w:p w:rsidR="0070375D" w:rsidRPr="00E93930" w:rsidRDefault="0070375D" w:rsidP="00E93930">
            <w:pPr>
              <w:pStyle w:val="TableofFigures"/>
              <w:rPr>
                <w:color w:val="000000"/>
                <w:lang w:eastAsia="en-AU"/>
              </w:rPr>
            </w:pPr>
            <w:r w:rsidRPr="00E93930">
              <w:rPr>
                <w:color w:val="000000"/>
                <w:lang w:eastAsia="en-AU"/>
              </w:rPr>
              <w:t>43 490.0</w:t>
            </w:r>
          </w:p>
        </w:tc>
        <w:tc>
          <w:tcPr>
            <w:tcW w:w="874" w:type="dxa"/>
            <w:tcBorders>
              <w:top w:val="nil"/>
              <w:left w:val="nil"/>
              <w:bottom w:val="nil"/>
              <w:right w:val="nil"/>
            </w:tcBorders>
          </w:tcPr>
          <w:p w:rsidR="0070375D" w:rsidRPr="00E93930" w:rsidRDefault="0070375D" w:rsidP="00E93930">
            <w:pPr>
              <w:pStyle w:val="TableofFigures"/>
              <w:rPr>
                <w:color w:val="000000"/>
                <w:lang w:eastAsia="en-AU"/>
              </w:rPr>
            </w:pPr>
            <w:r w:rsidRPr="00E93930">
              <w:rPr>
                <w:color w:val="000000"/>
                <w:lang w:eastAsia="en-AU"/>
              </w:rPr>
              <w:t>47 811.2</w:t>
            </w:r>
          </w:p>
        </w:tc>
        <w:tc>
          <w:tcPr>
            <w:tcW w:w="873" w:type="dxa"/>
            <w:tcBorders>
              <w:top w:val="nil"/>
              <w:left w:val="nil"/>
              <w:bottom w:val="nil"/>
              <w:right w:val="nil"/>
            </w:tcBorders>
          </w:tcPr>
          <w:p w:rsidR="0070375D" w:rsidRPr="00E93930" w:rsidRDefault="0070375D" w:rsidP="00E93930">
            <w:pPr>
              <w:pStyle w:val="TableofFigures"/>
              <w:rPr>
                <w:color w:val="000000"/>
                <w:lang w:eastAsia="en-AU"/>
              </w:rPr>
            </w:pPr>
            <w:r w:rsidRPr="00E93930">
              <w:rPr>
                <w:color w:val="000000"/>
                <w:lang w:eastAsia="en-AU"/>
              </w:rPr>
              <w:t>51 116.8</w:t>
            </w:r>
          </w:p>
        </w:tc>
        <w:tc>
          <w:tcPr>
            <w:tcW w:w="874" w:type="dxa"/>
            <w:tcBorders>
              <w:top w:val="nil"/>
              <w:left w:val="nil"/>
              <w:bottom w:val="nil"/>
              <w:right w:val="nil"/>
            </w:tcBorders>
          </w:tcPr>
          <w:p w:rsidR="0070375D" w:rsidRPr="00E93930" w:rsidRDefault="0070375D" w:rsidP="00E93930">
            <w:pPr>
              <w:pStyle w:val="TableofFigures"/>
              <w:rPr>
                <w:color w:val="000000"/>
                <w:lang w:eastAsia="en-AU"/>
              </w:rPr>
            </w:pPr>
            <w:r w:rsidRPr="00E93930">
              <w:rPr>
                <w:color w:val="000000"/>
                <w:lang w:eastAsia="en-AU"/>
              </w:rPr>
              <w:t>51 480.8</w:t>
            </w:r>
          </w:p>
        </w:tc>
        <w:tc>
          <w:tcPr>
            <w:tcW w:w="874" w:type="dxa"/>
            <w:tcBorders>
              <w:top w:val="nil"/>
              <w:left w:val="nil"/>
              <w:bottom w:val="nil"/>
              <w:right w:val="nil"/>
            </w:tcBorders>
          </w:tcPr>
          <w:p w:rsidR="0070375D" w:rsidRPr="00E93930" w:rsidRDefault="0070375D" w:rsidP="00E93930">
            <w:pPr>
              <w:pStyle w:val="TableofFigures"/>
              <w:rPr>
                <w:color w:val="000000"/>
                <w:lang w:eastAsia="en-AU"/>
              </w:rPr>
            </w:pPr>
            <w:r w:rsidRPr="00E93930">
              <w:rPr>
                <w:color w:val="000000"/>
                <w:lang w:eastAsia="en-AU"/>
              </w:rPr>
              <w:t>50 580.1</w:t>
            </w:r>
          </w:p>
        </w:tc>
      </w:tr>
      <w:tr w:rsidR="0070375D" w:rsidRPr="00E93930" w:rsidTr="001B2DD2">
        <w:trPr>
          <w:cantSplit/>
        </w:trPr>
        <w:tc>
          <w:tcPr>
            <w:tcW w:w="2534" w:type="dxa"/>
            <w:tcBorders>
              <w:top w:val="single" w:sz="6" w:space="0" w:color="auto"/>
              <w:left w:val="nil"/>
              <w:bottom w:val="single" w:sz="6" w:space="0" w:color="auto"/>
              <w:right w:val="nil"/>
            </w:tcBorders>
          </w:tcPr>
          <w:p w:rsidR="0070375D" w:rsidRPr="00E93930" w:rsidRDefault="0070375D" w:rsidP="00E93930">
            <w:pPr>
              <w:pStyle w:val="Tabletext"/>
              <w:rPr>
                <w:b/>
                <w:bCs/>
                <w:color w:val="000000"/>
                <w:lang w:eastAsia="en-AU"/>
              </w:rPr>
            </w:pPr>
            <w:r w:rsidRPr="00E93930">
              <w:rPr>
                <w:b/>
                <w:bCs/>
                <w:color w:val="000000"/>
                <w:lang w:eastAsia="en-AU"/>
              </w:rPr>
              <w:t>Total</w:t>
            </w:r>
          </w:p>
        </w:tc>
        <w:tc>
          <w:tcPr>
            <w:tcW w:w="873" w:type="dxa"/>
            <w:gridSpan w:val="2"/>
            <w:tcBorders>
              <w:top w:val="single" w:sz="6" w:space="0" w:color="auto"/>
              <w:left w:val="nil"/>
              <w:bottom w:val="single" w:sz="6" w:space="0" w:color="auto"/>
              <w:right w:val="nil"/>
            </w:tcBorders>
          </w:tcPr>
          <w:p w:rsidR="0070375D" w:rsidRPr="00E93930" w:rsidRDefault="0070375D" w:rsidP="00E93930">
            <w:pPr>
              <w:pStyle w:val="TableofFigures"/>
              <w:rPr>
                <w:color w:val="000000"/>
                <w:lang w:eastAsia="en-AU"/>
              </w:rPr>
            </w:pPr>
            <w:r w:rsidRPr="00E93930">
              <w:rPr>
                <w:color w:val="000000"/>
                <w:lang w:eastAsia="en-AU"/>
              </w:rPr>
              <w:t>33 766.9</w:t>
            </w:r>
          </w:p>
        </w:tc>
        <w:tc>
          <w:tcPr>
            <w:tcW w:w="874" w:type="dxa"/>
            <w:tcBorders>
              <w:top w:val="single" w:sz="6" w:space="0" w:color="auto"/>
              <w:left w:val="nil"/>
              <w:bottom w:val="single" w:sz="6" w:space="0" w:color="auto"/>
              <w:right w:val="nil"/>
            </w:tcBorders>
          </w:tcPr>
          <w:p w:rsidR="0070375D" w:rsidRPr="00E93930" w:rsidRDefault="0070375D" w:rsidP="001B2DD2">
            <w:pPr>
              <w:pStyle w:val="TableofFigures"/>
              <w:rPr>
                <w:color w:val="000000"/>
                <w:lang w:eastAsia="en-AU"/>
              </w:rPr>
            </w:pPr>
            <w:r w:rsidRPr="00E93930">
              <w:rPr>
                <w:color w:val="000000"/>
                <w:lang w:eastAsia="en-AU"/>
              </w:rPr>
              <w:t>43 961.9</w:t>
            </w:r>
          </w:p>
        </w:tc>
        <w:tc>
          <w:tcPr>
            <w:tcW w:w="874" w:type="dxa"/>
            <w:tcBorders>
              <w:top w:val="single" w:sz="6" w:space="0" w:color="auto"/>
              <w:left w:val="nil"/>
              <w:bottom w:val="single" w:sz="6" w:space="0" w:color="auto"/>
              <w:right w:val="nil"/>
            </w:tcBorders>
          </w:tcPr>
          <w:p w:rsidR="0070375D" w:rsidRPr="00E93930" w:rsidRDefault="0070375D" w:rsidP="00E93930">
            <w:pPr>
              <w:pStyle w:val="TableofFigures"/>
              <w:rPr>
                <w:color w:val="000000"/>
                <w:lang w:eastAsia="en-AU"/>
              </w:rPr>
            </w:pPr>
            <w:r w:rsidRPr="00E93930">
              <w:rPr>
                <w:color w:val="000000"/>
                <w:lang w:eastAsia="en-AU"/>
              </w:rPr>
              <w:t>48 289.1</w:t>
            </w:r>
          </w:p>
        </w:tc>
        <w:tc>
          <w:tcPr>
            <w:tcW w:w="873" w:type="dxa"/>
            <w:tcBorders>
              <w:top w:val="single" w:sz="6" w:space="0" w:color="auto"/>
              <w:left w:val="nil"/>
              <w:bottom w:val="single" w:sz="6" w:space="0" w:color="auto"/>
              <w:right w:val="nil"/>
            </w:tcBorders>
          </w:tcPr>
          <w:p w:rsidR="0070375D" w:rsidRPr="00E93930" w:rsidRDefault="0070375D" w:rsidP="00E93930">
            <w:pPr>
              <w:pStyle w:val="TableofFigures"/>
              <w:rPr>
                <w:color w:val="000000"/>
                <w:lang w:eastAsia="en-AU"/>
              </w:rPr>
            </w:pPr>
            <w:r w:rsidRPr="00E93930">
              <w:rPr>
                <w:color w:val="000000"/>
                <w:lang w:eastAsia="en-AU"/>
              </w:rPr>
              <w:t>51 593.9</w:t>
            </w:r>
          </w:p>
        </w:tc>
        <w:tc>
          <w:tcPr>
            <w:tcW w:w="874" w:type="dxa"/>
            <w:tcBorders>
              <w:top w:val="single" w:sz="6" w:space="0" w:color="auto"/>
              <w:left w:val="nil"/>
              <w:bottom w:val="single" w:sz="6" w:space="0" w:color="auto"/>
              <w:right w:val="nil"/>
            </w:tcBorders>
          </w:tcPr>
          <w:p w:rsidR="0070375D" w:rsidRPr="00E93930" w:rsidRDefault="0070375D" w:rsidP="00E93930">
            <w:pPr>
              <w:pStyle w:val="TableofFigures"/>
              <w:rPr>
                <w:color w:val="000000"/>
                <w:lang w:eastAsia="en-AU"/>
              </w:rPr>
            </w:pPr>
            <w:r w:rsidRPr="00E93930">
              <w:rPr>
                <w:color w:val="000000"/>
                <w:lang w:eastAsia="en-AU"/>
              </w:rPr>
              <w:t>51 959.0</w:t>
            </w:r>
          </w:p>
        </w:tc>
        <w:tc>
          <w:tcPr>
            <w:tcW w:w="874" w:type="dxa"/>
            <w:tcBorders>
              <w:top w:val="single" w:sz="6" w:space="0" w:color="auto"/>
              <w:left w:val="nil"/>
              <w:bottom w:val="single" w:sz="6" w:space="0" w:color="auto"/>
              <w:right w:val="nil"/>
            </w:tcBorders>
          </w:tcPr>
          <w:p w:rsidR="0070375D" w:rsidRPr="00E93930" w:rsidRDefault="0070375D" w:rsidP="00E93930">
            <w:pPr>
              <w:pStyle w:val="TableofFigures"/>
              <w:rPr>
                <w:color w:val="000000"/>
                <w:lang w:eastAsia="en-AU"/>
              </w:rPr>
            </w:pPr>
            <w:r w:rsidRPr="00E93930">
              <w:rPr>
                <w:color w:val="000000"/>
                <w:lang w:eastAsia="en-AU"/>
              </w:rPr>
              <w:t>51 059.2</w:t>
            </w:r>
          </w:p>
        </w:tc>
      </w:tr>
      <w:tr w:rsidR="0070375D" w:rsidRPr="00E93930" w:rsidTr="001B2DD2">
        <w:trPr>
          <w:cantSplit/>
        </w:trPr>
        <w:tc>
          <w:tcPr>
            <w:tcW w:w="2534" w:type="dxa"/>
            <w:tcBorders>
              <w:top w:val="nil"/>
              <w:left w:val="nil"/>
              <w:bottom w:val="nil"/>
              <w:right w:val="nil"/>
            </w:tcBorders>
          </w:tcPr>
          <w:p w:rsidR="0070375D" w:rsidRPr="00E93930" w:rsidRDefault="0070375D" w:rsidP="00E93930">
            <w:pPr>
              <w:pStyle w:val="Tabletext"/>
              <w:rPr>
                <w:color w:val="000000"/>
                <w:vertAlign w:val="superscript"/>
                <w:lang w:eastAsia="en-AU"/>
              </w:rPr>
            </w:pPr>
            <w:r w:rsidRPr="00E93930">
              <w:rPr>
                <w:color w:val="000000"/>
                <w:lang w:eastAsia="en-AU"/>
              </w:rPr>
              <w:t xml:space="preserve">Net debt </w:t>
            </w:r>
            <w:r w:rsidRPr="00E93930">
              <w:rPr>
                <w:color w:val="000000"/>
                <w:vertAlign w:val="superscript"/>
                <w:lang w:eastAsia="en-AU"/>
              </w:rPr>
              <w:t>(b)</w:t>
            </w:r>
          </w:p>
        </w:tc>
        <w:tc>
          <w:tcPr>
            <w:tcW w:w="873" w:type="dxa"/>
            <w:gridSpan w:val="2"/>
            <w:tcBorders>
              <w:top w:val="nil"/>
              <w:left w:val="nil"/>
              <w:bottom w:val="nil"/>
              <w:right w:val="nil"/>
            </w:tcBorders>
          </w:tcPr>
          <w:p w:rsidR="0070375D" w:rsidRPr="00E93930" w:rsidRDefault="0070375D" w:rsidP="00E93930">
            <w:pPr>
              <w:pStyle w:val="TableofFigures"/>
              <w:rPr>
                <w:color w:val="000000"/>
                <w:lang w:eastAsia="en-AU"/>
              </w:rPr>
            </w:pPr>
            <w:r w:rsidRPr="00E93930">
              <w:rPr>
                <w:color w:val="000000"/>
                <w:lang w:eastAsia="en-AU"/>
              </w:rPr>
              <w:t>24 621.1</w:t>
            </w:r>
          </w:p>
        </w:tc>
        <w:tc>
          <w:tcPr>
            <w:tcW w:w="874" w:type="dxa"/>
            <w:tcBorders>
              <w:top w:val="nil"/>
              <w:left w:val="nil"/>
              <w:bottom w:val="nil"/>
              <w:right w:val="nil"/>
            </w:tcBorders>
          </w:tcPr>
          <w:p w:rsidR="0070375D" w:rsidRPr="00E93930" w:rsidRDefault="0070375D" w:rsidP="00E93930">
            <w:pPr>
              <w:pStyle w:val="TableofFigures"/>
              <w:rPr>
                <w:color w:val="000000"/>
                <w:lang w:eastAsia="en-AU"/>
              </w:rPr>
            </w:pPr>
            <w:r w:rsidRPr="00E93930">
              <w:rPr>
                <w:color w:val="000000"/>
                <w:lang w:eastAsia="en-AU"/>
              </w:rPr>
              <w:t>35 142.6</w:t>
            </w:r>
          </w:p>
        </w:tc>
        <w:tc>
          <w:tcPr>
            <w:tcW w:w="874" w:type="dxa"/>
            <w:tcBorders>
              <w:top w:val="nil"/>
              <w:left w:val="nil"/>
              <w:bottom w:val="nil"/>
              <w:right w:val="nil"/>
            </w:tcBorders>
          </w:tcPr>
          <w:p w:rsidR="0070375D" w:rsidRPr="00E93930" w:rsidRDefault="0070375D" w:rsidP="00E93930">
            <w:pPr>
              <w:pStyle w:val="TableofFigures"/>
              <w:rPr>
                <w:color w:val="000000"/>
                <w:lang w:eastAsia="en-AU"/>
              </w:rPr>
            </w:pPr>
            <w:r w:rsidRPr="00E93930">
              <w:rPr>
                <w:color w:val="000000"/>
                <w:lang w:eastAsia="en-AU"/>
              </w:rPr>
              <w:t>39 202.1</w:t>
            </w:r>
          </w:p>
        </w:tc>
        <w:tc>
          <w:tcPr>
            <w:tcW w:w="873" w:type="dxa"/>
            <w:tcBorders>
              <w:top w:val="nil"/>
              <w:left w:val="nil"/>
              <w:bottom w:val="nil"/>
              <w:right w:val="nil"/>
            </w:tcBorders>
          </w:tcPr>
          <w:p w:rsidR="0070375D" w:rsidRPr="00E93930" w:rsidRDefault="0070375D" w:rsidP="00E93930">
            <w:pPr>
              <w:pStyle w:val="TableofFigures"/>
              <w:rPr>
                <w:color w:val="000000"/>
                <w:lang w:eastAsia="en-AU"/>
              </w:rPr>
            </w:pPr>
            <w:r w:rsidRPr="00E93930">
              <w:rPr>
                <w:color w:val="000000"/>
                <w:lang w:eastAsia="en-AU"/>
              </w:rPr>
              <w:t>42 145.0</w:t>
            </w:r>
          </w:p>
        </w:tc>
        <w:tc>
          <w:tcPr>
            <w:tcW w:w="874" w:type="dxa"/>
            <w:tcBorders>
              <w:top w:val="nil"/>
              <w:left w:val="nil"/>
              <w:bottom w:val="nil"/>
              <w:right w:val="nil"/>
            </w:tcBorders>
          </w:tcPr>
          <w:p w:rsidR="0070375D" w:rsidRPr="00E93930" w:rsidRDefault="0070375D" w:rsidP="00E93930">
            <w:pPr>
              <w:pStyle w:val="TableofFigures"/>
              <w:rPr>
                <w:color w:val="000000"/>
                <w:lang w:eastAsia="en-AU"/>
              </w:rPr>
            </w:pPr>
            <w:r w:rsidRPr="00E93930">
              <w:rPr>
                <w:color w:val="000000"/>
                <w:lang w:eastAsia="en-AU"/>
              </w:rPr>
              <w:t>42 128.7</w:t>
            </w:r>
          </w:p>
        </w:tc>
        <w:tc>
          <w:tcPr>
            <w:tcW w:w="874" w:type="dxa"/>
            <w:tcBorders>
              <w:top w:val="nil"/>
              <w:left w:val="nil"/>
              <w:bottom w:val="nil"/>
              <w:right w:val="nil"/>
            </w:tcBorders>
          </w:tcPr>
          <w:p w:rsidR="0070375D" w:rsidRPr="00E93930" w:rsidRDefault="0070375D" w:rsidP="00E93930">
            <w:pPr>
              <w:pStyle w:val="TableofFigures"/>
              <w:rPr>
                <w:color w:val="000000"/>
                <w:lang w:eastAsia="en-AU"/>
              </w:rPr>
            </w:pPr>
            <w:r w:rsidRPr="00E93930">
              <w:rPr>
                <w:color w:val="000000"/>
                <w:lang w:eastAsia="en-AU"/>
              </w:rPr>
              <w:t>40 694.9</w:t>
            </w:r>
          </w:p>
        </w:tc>
      </w:tr>
      <w:tr w:rsidR="0070375D" w:rsidRPr="00E93930" w:rsidTr="001B2DD2">
        <w:trPr>
          <w:cantSplit/>
        </w:trPr>
        <w:tc>
          <w:tcPr>
            <w:tcW w:w="2534" w:type="dxa"/>
            <w:tcBorders>
              <w:top w:val="nil"/>
              <w:left w:val="nil"/>
              <w:bottom w:val="nil"/>
              <w:right w:val="nil"/>
            </w:tcBorders>
          </w:tcPr>
          <w:p w:rsidR="0070375D" w:rsidRPr="00E93930" w:rsidRDefault="0070375D" w:rsidP="00E93930">
            <w:pPr>
              <w:pStyle w:val="Tabletext"/>
              <w:rPr>
                <w:color w:val="000000"/>
                <w:lang w:eastAsia="en-AU"/>
              </w:rPr>
            </w:pPr>
            <w:r w:rsidRPr="00E93930">
              <w:rPr>
                <w:color w:val="000000"/>
                <w:lang w:eastAsia="en-AU"/>
              </w:rPr>
              <w:t>Superannuation liability</w:t>
            </w:r>
          </w:p>
        </w:tc>
        <w:tc>
          <w:tcPr>
            <w:tcW w:w="873" w:type="dxa"/>
            <w:gridSpan w:val="2"/>
            <w:tcBorders>
              <w:top w:val="nil"/>
              <w:left w:val="nil"/>
              <w:bottom w:val="single" w:sz="6" w:space="0" w:color="auto"/>
              <w:right w:val="nil"/>
            </w:tcBorders>
          </w:tcPr>
          <w:p w:rsidR="0070375D" w:rsidRPr="00E93930" w:rsidRDefault="0070375D" w:rsidP="00E93930">
            <w:pPr>
              <w:pStyle w:val="TableofFigures"/>
              <w:rPr>
                <w:color w:val="000000"/>
                <w:lang w:eastAsia="en-AU"/>
              </w:rPr>
            </w:pPr>
            <w:r w:rsidRPr="00E93930">
              <w:rPr>
                <w:color w:val="000000"/>
                <w:lang w:eastAsia="en-AU"/>
              </w:rPr>
              <w:t>32 750.8</w:t>
            </w:r>
          </w:p>
        </w:tc>
        <w:tc>
          <w:tcPr>
            <w:tcW w:w="874" w:type="dxa"/>
            <w:tcBorders>
              <w:top w:val="nil"/>
              <w:left w:val="nil"/>
              <w:bottom w:val="single" w:sz="6" w:space="0" w:color="auto"/>
              <w:right w:val="nil"/>
            </w:tcBorders>
          </w:tcPr>
          <w:p w:rsidR="0070375D" w:rsidRPr="00E93930" w:rsidRDefault="0070375D" w:rsidP="00E93930">
            <w:pPr>
              <w:pStyle w:val="TableofFigures"/>
              <w:rPr>
                <w:color w:val="000000"/>
                <w:lang w:eastAsia="en-AU"/>
              </w:rPr>
            </w:pPr>
            <w:r w:rsidRPr="00E93930">
              <w:rPr>
                <w:color w:val="000000"/>
                <w:lang w:eastAsia="en-AU"/>
              </w:rPr>
              <w:t>28 995.5</w:t>
            </w:r>
          </w:p>
        </w:tc>
        <w:tc>
          <w:tcPr>
            <w:tcW w:w="874" w:type="dxa"/>
            <w:tcBorders>
              <w:top w:val="nil"/>
              <w:left w:val="nil"/>
              <w:bottom w:val="single" w:sz="6" w:space="0" w:color="auto"/>
              <w:right w:val="nil"/>
            </w:tcBorders>
          </w:tcPr>
          <w:p w:rsidR="0070375D" w:rsidRPr="00E93930" w:rsidRDefault="0070375D" w:rsidP="00E93930">
            <w:pPr>
              <w:pStyle w:val="TableofFigures"/>
              <w:rPr>
                <w:color w:val="000000"/>
                <w:lang w:eastAsia="en-AU"/>
              </w:rPr>
            </w:pPr>
            <w:r w:rsidRPr="00E93930">
              <w:rPr>
                <w:color w:val="000000"/>
                <w:lang w:eastAsia="en-AU"/>
              </w:rPr>
              <w:t>28 782.8</w:t>
            </w:r>
          </w:p>
        </w:tc>
        <w:tc>
          <w:tcPr>
            <w:tcW w:w="873" w:type="dxa"/>
            <w:tcBorders>
              <w:top w:val="nil"/>
              <w:left w:val="nil"/>
              <w:bottom w:val="single" w:sz="6" w:space="0" w:color="auto"/>
              <w:right w:val="nil"/>
            </w:tcBorders>
          </w:tcPr>
          <w:p w:rsidR="0070375D" w:rsidRPr="00E93930" w:rsidRDefault="0070375D" w:rsidP="00E93930">
            <w:pPr>
              <w:pStyle w:val="TableofFigures"/>
              <w:rPr>
                <w:color w:val="000000"/>
                <w:lang w:eastAsia="en-AU"/>
              </w:rPr>
            </w:pPr>
            <w:r w:rsidRPr="00E93930">
              <w:rPr>
                <w:color w:val="000000"/>
                <w:lang w:eastAsia="en-AU"/>
              </w:rPr>
              <w:t>28 538.3</w:t>
            </w:r>
          </w:p>
        </w:tc>
        <w:tc>
          <w:tcPr>
            <w:tcW w:w="874" w:type="dxa"/>
            <w:tcBorders>
              <w:top w:val="nil"/>
              <w:left w:val="nil"/>
              <w:bottom w:val="single" w:sz="6" w:space="0" w:color="auto"/>
              <w:right w:val="nil"/>
            </w:tcBorders>
          </w:tcPr>
          <w:p w:rsidR="0070375D" w:rsidRPr="00E93930" w:rsidRDefault="0070375D" w:rsidP="00E93930">
            <w:pPr>
              <w:pStyle w:val="TableofFigures"/>
              <w:rPr>
                <w:color w:val="000000"/>
                <w:lang w:eastAsia="en-AU"/>
              </w:rPr>
            </w:pPr>
            <w:r w:rsidRPr="00E93930">
              <w:rPr>
                <w:color w:val="000000"/>
                <w:lang w:eastAsia="en-AU"/>
              </w:rPr>
              <w:t>28 258.0</w:t>
            </w:r>
          </w:p>
        </w:tc>
        <w:tc>
          <w:tcPr>
            <w:tcW w:w="874" w:type="dxa"/>
            <w:tcBorders>
              <w:top w:val="nil"/>
              <w:left w:val="nil"/>
              <w:bottom w:val="single" w:sz="6" w:space="0" w:color="auto"/>
              <w:right w:val="nil"/>
            </w:tcBorders>
          </w:tcPr>
          <w:p w:rsidR="0070375D" w:rsidRPr="00E93930" w:rsidRDefault="0070375D" w:rsidP="00E93930">
            <w:pPr>
              <w:pStyle w:val="TableofFigures"/>
              <w:rPr>
                <w:color w:val="000000"/>
                <w:lang w:eastAsia="en-AU"/>
              </w:rPr>
            </w:pPr>
            <w:r w:rsidRPr="00E93930">
              <w:rPr>
                <w:color w:val="000000"/>
                <w:lang w:eastAsia="en-AU"/>
              </w:rPr>
              <w:t>27 811.1</w:t>
            </w:r>
          </w:p>
        </w:tc>
      </w:tr>
      <w:tr w:rsidR="0070375D" w:rsidRPr="00E93930" w:rsidTr="001B2DD2">
        <w:trPr>
          <w:cantSplit/>
        </w:trPr>
        <w:tc>
          <w:tcPr>
            <w:tcW w:w="2534" w:type="dxa"/>
            <w:tcBorders>
              <w:top w:val="single" w:sz="6" w:space="0" w:color="auto"/>
              <w:left w:val="nil"/>
              <w:bottom w:val="nil"/>
              <w:right w:val="nil"/>
            </w:tcBorders>
          </w:tcPr>
          <w:p w:rsidR="0070375D" w:rsidRPr="00E93930" w:rsidRDefault="0070375D" w:rsidP="00E93930">
            <w:pPr>
              <w:pStyle w:val="Tabletext"/>
              <w:rPr>
                <w:b/>
                <w:bCs/>
                <w:color w:val="000000"/>
                <w:lang w:eastAsia="en-AU"/>
              </w:rPr>
            </w:pPr>
            <w:r w:rsidRPr="00E93930">
              <w:rPr>
                <w:b/>
                <w:bCs/>
                <w:color w:val="000000"/>
                <w:lang w:eastAsia="en-AU"/>
              </w:rPr>
              <w:t>Net debt plus superannuation liability</w:t>
            </w:r>
          </w:p>
        </w:tc>
        <w:tc>
          <w:tcPr>
            <w:tcW w:w="873" w:type="dxa"/>
            <w:gridSpan w:val="2"/>
            <w:tcBorders>
              <w:top w:val="nil"/>
              <w:left w:val="nil"/>
              <w:bottom w:val="nil"/>
              <w:right w:val="nil"/>
            </w:tcBorders>
          </w:tcPr>
          <w:p w:rsidR="0070375D" w:rsidRPr="00E93930" w:rsidRDefault="0070375D" w:rsidP="00E93930">
            <w:pPr>
              <w:pStyle w:val="TableofFigures"/>
              <w:rPr>
                <w:color w:val="000000"/>
                <w:lang w:eastAsia="en-AU"/>
              </w:rPr>
            </w:pPr>
            <w:r w:rsidRPr="00E93930">
              <w:rPr>
                <w:color w:val="000000"/>
                <w:lang w:eastAsia="en-AU"/>
              </w:rPr>
              <w:t>57 371.9</w:t>
            </w:r>
          </w:p>
        </w:tc>
        <w:tc>
          <w:tcPr>
            <w:tcW w:w="874" w:type="dxa"/>
            <w:tcBorders>
              <w:top w:val="nil"/>
              <w:left w:val="nil"/>
              <w:bottom w:val="nil"/>
              <w:right w:val="nil"/>
            </w:tcBorders>
          </w:tcPr>
          <w:p w:rsidR="0070375D" w:rsidRPr="00E93930" w:rsidRDefault="0070375D" w:rsidP="00E93930">
            <w:pPr>
              <w:pStyle w:val="TableofFigures"/>
              <w:rPr>
                <w:color w:val="000000"/>
                <w:lang w:eastAsia="en-AU"/>
              </w:rPr>
            </w:pPr>
            <w:r w:rsidRPr="00E93930">
              <w:rPr>
                <w:color w:val="000000"/>
                <w:lang w:eastAsia="en-AU"/>
              </w:rPr>
              <w:t>64 138.1</w:t>
            </w:r>
          </w:p>
        </w:tc>
        <w:tc>
          <w:tcPr>
            <w:tcW w:w="874" w:type="dxa"/>
            <w:tcBorders>
              <w:top w:val="nil"/>
              <w:left w:val="nil"/>
              <w:bottom w:val="nil"/>
              <w:right w:val="nil"/>
            </w:tcBorders>
          </w:tcPr>
          <w:p w:rsidR="0070375D" w:rsidRPr="00E93930" w:rsidRDefault="0070375D" w:rsidP="00E93930">
            <w:pPr>
              <w:pStyle w:val="TableofFigures"/>
              <w:rPr>
                <w:color w:val="000000"/>
                <w:lang w:eastAsia="en-AU"/>
              </w:rPr>
            </w:pPr>
            <w:r w:rsidRPr="00E93930">
              <w:rPr>
                <w:color w:val="000000"/>
                <w:lang w:eastAsia="en-AU"/>
              </w:rPr>
              <w:t>67 985.0</w:t>
            </w:r>
          </w:p>
        </w:tc>
        <w:tc>
          <w:tcPr>
            <w:tcW w:w="873" w:type="dxa"/>
            <w:tcBorders>
              <w:top w:val="nil"/>
              <w:left w:val="nil"/>
              <w:bottom w:val="nil"/>
              <w:right w:val="nil"/>
            </w:tcBorders>
          </w:tcPr>
          <w:p w:rsidR="0070375D" w:rsidRPr="00E93930" w:rsidRDefault="0070375D" w:rsidP="00E93930">
            <w:pPr>
              <w:pStyle w:val="TableofFigures"/>
              <w:rPr>
                <w:color w:val="000000"/>
                <w:lang w:eastAsia="en-AU"/>
              </w:rPr>
            </w:pPr>
            <w:r w:rsidRPr="00E93930">
              <w:rPr>
                <w:color w:val="000000"/>
                <w:lang w:eastAsia="en-AU"/>
              </w:rPr>
              <w:t>70 683.2</w:t>
            </w:r>
          </w:p>
        </w:tc>
        <w:tc>
          <w:tcPr>
            <w:tcW w:w="874" w:type="dxa"/>
            <w:tcBorders>
              <w:top w:val="nil"/>
              <w:left w:val="nil"/>
              <w:bottom w:val="nil"/>
              <w:right w:val="nil"/>
            </w:tcBorders>
          </w:tcPr>
          <w:p w:rsidR="0070375D" w:rsidRPr="00E93930" w:rsidRDefault="0070375D" w:rsidP="00E93930">
            <w:pPr>
              <w:pStyle w:val="TableofFigures"/>
              <w:rPr>
                <w:color w:val="000000"/>
                <w:lang w:eastAsia="en-AU"/>
              </w:rPr>
            </w:pPr>
            <w:r w:rsidRPr="00E93930">
              <w:rPr>
                <w:color w:val="000000"/>
                <w:lang w:eastAsia="en-AU"/>
              </w:rPr>
              <w:t>70 386.7</w:t>
            </w:r>
          </w:p>
        </w:tc>
        <w:tc>
          <w:tcPr>
            <w:tcW w:w="874" w:type="dxa"/>
            <w:tcBorders>
              <w:top w:val="nil"/>
              <w:left w:val="nil"/>
              <w:bottom w:val="nil"/>
              <w:right w:val="nil"/>
            </w:tcBorders>
          </w:tcPr>
          <w:p w:rsidR="0070375D" w:rsidRPr="00E93930" w:rsidRDefault="0070375D" w:rsidP="00E93930">
            <w:pPr>
              <w:pStyle w:val="TableofFigures"/>
              <w:rPr>
                <w:color w:val="000000"/>
                <w:lang w:eastAsia="en-AU"/>
              </w:rPr>
            </w:pPr>
            <w:r w:rsidRPr="00E93930">
              <w:rPr>
                <w:color w:val="000000"/>
                <w:lang w:eastAsia="en-AU"/>
              </w:rPr>
              <w:t>68 506.0</w:t>
            </w:r>
          </w:p>
        </w:tc>
      </w:tr>
      <w:tr w:rsidR="0070375D" w:rsidRPr="00E93930" w:rsidTr="001B2DD2">
        <w:trPr>
          <w:cantSplit/>
        </w:trPr>
        <w:tc>
          <w:tcPr>
            <w:tcW w:w="2534" w:type="dxa"/>
            <w:tcBorders>
              <w:top w:val="nil"/>
              <w:left w:val="nil"/>
              <w:bottom w:val="single" w:sz="6" w:space="0" w:color="auto"/>
              <w:right w:val="nil"/>
            </w:tcBorders>
          </w:tcPr>
          <w:p w:rsidR="0070375D" w:rsidRPr="00E93930" w:rsidRDefault="0070375D" w:rsidP="00E93930">
            <w:pPr>
              <w:pStyle w:val="Tabletext"/>
              <w:rPr>
                <w:color w:val="000000"/>
                <w:vertAlign w:val="superscript"/>
                <w:lang w:eastAsia="en-AU"/>
              </w:rPr>
            </w:pPr>
            <w:r w:rsidRPr="00E93930">
              <w:rPr>
                <w:color w:val="000000"/>
                <w:lang w:eastAsia="en-AU"/>
              </w:rPr>
              <w:t xml:space="preserve">Other liabilities (net) </w:t>
            </w:r>
            <w:r w:rsidRPr="00E93930">
              <w:rPr>
                <w:color w:val="000000"/>
                <w:vertAlign w:val="superscript"/>
                <w:lang w:eastAsia="en-AU"/>
              </w:rPr>
              <w:t>(c)</w:t>
            </w:r>
          </w:p>
        </w:tc>
        <w:tc>
          <w:tcPr>
            <w:tcW w:w="873" w:type="dxa"/>
            <w:gridSpan w:val="2"/>
            <w:tcBorders>
              <w:top w:val="nil"/>
              <w:left w:val="nil"/>
              <w:bottom w:val="single" w:sz="6" w:space="0" w:color="auto"/>
              <w:right w:val="nil"/>
            </w:tcBorders>
          </w:tcPr>
          <w:p w:rsidR="0070375D" w:rsidRPr="00E93930" w:rsidRDefault="0070375D" w:rsidP="00E93930">
            <w:pPr>
              <w:pStyle w:val="TableofFigures"/>
              <w:rPr>
                <w:color w:val="000000"/>
                <w:lang w:eastAsia="en-AU"/>
              </w:rPr>
            </w:pPr>
            <w:r w:rsidRPr="00E93930">
              <w:rPr>
                <w:color w:val="000000"/>
                <w:lang w:eastAsia="en-AU"/>
              </w:rPr>
              <w:t>6 591.8</w:t>
            </w:r>
          </w:p>
        </w:tc>
        <w:tc>
          <w:tcPr>
            <w:tcW w:w="874" w:type="dxa"/>
            <w:tcBorders>
              <w:top w:val="nil"/>
              <w:left w:val="nil"/>
              <w:bottom w:val="single" w:sz="6" w:space="0" w:color="auto"/>
              <w:right w:val="nil"/>
            </w:tcBorders>
          </w:tcPr>
          <w:p w:rsidR="0070375D" w:rsidRPr="00E93930" w:rsidRDefault="0070375D" w:rsidP="00E93930">
            <w:pPr>
              <w:pStyle w:val="TableofFigures"/>
              <w:rPr>
                <w:color w:val="000000"/>
                <w:lang w:eastAsia="en-AU"/>
              </w:rPr>
            </w:pPr>
            <w:r w:rsidRPr="00E93930">
              <w:rPr>
                <w:color w:val="000000"/>
                <w:lang w:eastAsia="en-AU"/>
              </w:rPr>
              <w:t>6 612.6</w:t>
            </w:r>
          </w:p>
        </w:tc>
        <w:tc>
          <w:tcPr>
            <w:tcW w:w="874" w:type="dxa"/>
            <w:tcBorders>
              <w:top w:val="nil"/>
              <w:left w:val="nil"/>
              <w:bottom w:val="single" w:sz="6" w:space="0" w:color="auto"/>
              <w:right w:val="nil"/>
            </w:tcBorders>
          </w:tcPr>
          <w:p w:rsidR="0070375D" w:rsidRPr="00E93930" w:rsidRDefault="0070375D" w:rsidP="00E93930">
            <w:pPr>
              <w:pStyle w:val="TableofFigures"/>
              <w:rPr>
                <w:color w:val="000000"/>
                <w:lang w:eastAsia="en-AU"/>
              </w:rPr>
            </w:pPr>
            <w:r w:rsidRPr="00E93930">
              <w:rPr>
                <w:color w:val="000000"/>
                <w:lang w:eastAsia="en-AU"/>
              </w:rPr>
              <w:t>6 699.3</w:t>
            </w:r>
          </w:p>
        </w:tc>
        <w:tc>
          <w:tcPr>
            <w:tcW w:w="873" w:type="dxa"/>
            <w:tcBorders>
              <w:top w:val="nil"/>
              <w:left w:val="nil"/>
              <w:bottom w:val="single" w:sz="6" w:space="0" w:color="auto"/>
              <w:right w:val="nil"/>
            </w:tcBorders>
          </w:tcPr>
          <w:p w:rsidR="0070375D" w:rsidRPr="00E93930" w:rsidRDefault="0070375D" w:rsidP="00E93930">
            <w:pPr>
              <w:pStyle w:val="TableofFigures"/>
              <w:rPr>
                <w:color w:val="000000"/>
                <w:lang w:eastAsia="en-AU"/>
              </w:rPr>
            </w:pPr>
            <w:r w:rsidRPr="00E93930">
              <w:rPr>
                <w:color w:val="000000"/>
                <w:lang w:eastAsia="en-AU"/>
              </w:rPr>
              <w:t>6 811.1</w:t>
            </w:r>
          </w:p>
        </w:tc>
        <w:tc>
          <w:tcPr>
            <w:tcW w:w="874" w:type="dxa"/>
            <w:tcBorders>
              <w:top w:val="nil"/>
              <w:left w:val="nil"/>
              <w:bottom w:val="single" w:sz="6" w:space="0" w:color="auto"/>
              <w:right w:val="nil"/>
            </w:tcBorders>
          </w:tcPr>
          <w:p w:rsidR="0070375D" w:rsidRPr="00E93930" w:rsidRDefault="0070375D" w:rsidP="00E93930">
            <w:pPr>
              <w:pStyle w:val="TableofFigures"/>
              <w:rPr>
                <w:color w:val="000000"/>
                <w:lang w:eastAsia="en-AU"/>
              </w:rPr>
            </w:pPr>
            <w:r w:rsidRPr="00E93930">
              <w:rPr>
                <w:color w:val="000000"/>
                <w:lang w:eastAsia="en-AU"/>
              </w:rPr>
              <w:t>6 966.3</w:t>
            </w:r>
          </w:p>
        </w:tc>
        <w:tc>
          <w:tcPr>
            <w:tcW w:w="874" w:type="dxa"/>
            <w:tcBorders>
              <w:top w:val="nil"/>
              <w:left w:val="nil"/>
              <w:bottom w:val="single" w:sz="6" w:space="0" w:color="auto"/>
              <w:right w:val="nil"/>
            </w:tcBorders>
          </w:tcPr>
          <w:p w:rsidR="0070375D" w:rsidRPr="00E93930" w:rsidRDefault="0070375D" w:rsidP="00E93930">
            <w:pPr>
              <w:pStyle w:val="TableofFigures"/>
              <w:rPr>
                <w:color w:val="000000"/>
                <w:lang w:eastAsia="en-AU"/>
              </w:rPr>
            </w:pPr>
            <w:r w:rsidRPr="00E93930">
              <w:rPr>
                <w:color w:val="000000"/>
                <w:lang w:eastAsia="en-AU"/>
              </w:rPr>
              <w:t>7 147.6</w:t>
            </w:r>
          </w:p>
        </w:tc>
      </w:tr>
      <w:tr w:rsidR="0070375D" w:rsidRPr="00E93930" w:rsidTr="001B2DD2">
        <w:trPr>
          <w:cantSplit/>
        </w:trPr>
        <w:tc>
          <w:tcPr>
            <w:tcW w:w="2534" w:type="dxa"/>
            <w:tcBorders>
              <w:top w:val="single" w:sz="6" w:space="0" w:color="auto"/>
              <w:left w:val="nil"/>
              <w:bottom w:val="single" w:sz="12" w:space="0" w:color="auto"/>
              <w:right w:val="nil"/>
            </w:tcBorders>
          </w:tcPr>
          <w:p w:rsidR="0070375D" w:rsidRPr="00E93930" w:rsidRDefault="0070375D" w:rsidP="00E93930">
            <w:pPr>
              <w:pStyle w:val="Tabletext"/>
              <w:rPr>
                <w:b/>
                <w:bCs/>
                <w:color w:val="000000"/>
                <w:vertAlign w:val="superscript"/>
                <w:lang w:eastAsia="en-AU"/>
              </w:rPr>
            </w:pPr>
            <w:r w:rsidRPr="00E93930">
              <w:rPr>
                <w:b/>
                <w:bCs/>
                <w:color w:val="000000"/>
                <w:lang w:eastAsia="en-AU"/>
              </w:rPr>
              <w:t>Net financial liabilities</w:t>
            </w:r>
            <w:r w:rsidRPr="00E93930">
              <w:rPr>
                <w:b/>
                <w:bCs/>
                <w:color w:val="000000"/>
                <w:vertAlign w:val="superscript"/>
                <w:lang w:eastAsia="en-AU"/>
              </w:rPr>
              <w:t xml:space="preserve"> (d)</w:t>
            </w:r>
          </w:p>
        </w:tc>
        <w:tc>
          <w:tcPr>
            <w:tcW w:w="873" w:type="dxa"/>
            <w:gridSpan w:val="2"/>
            <w:tcBorders>
              <w:top w:val="single" w:sz="6" w:space="0" w:color="auto"/>
              <w:left w:val="nil"/>
              <w:bottom w:val="single" w:sz="12" w:space="0" w:color="auto"/>
              <w:right w:val="nil"/>
            </w:tcBorders>
          </w:tcPr>
          <w:p w:rsidR="0070375D" w:rsidRPr="00E93930" w:rsidRDefault="0070375D" w:rsidP="00E93930">
            <w:pPr>
              <w:pStyle w:val="TableofFigures"/>
              <w:rPr>
                <w:color w:val="000000"/>
                <w:lang w:eastAsia="en-AU"/>
              </w:rPr>
            </w:pPr>
            <w:r w:rsidRPr="00E93930">
              <w:rPr>
                <w:color w:val="000000"/>
                <w:lang w:eastAsia="en-AU"/>
              </w:rPr>
              <w:t>63 963.7</w:t>
            </w:r>
          </w:p>
        </w:tc>
        <w:tc>
          <w:tcPr>
            <w:tcW w:w="874" w:type="dxa"/>
            <w:tcBorders>
              <w:top w:val="single" w:sz="6" w:space="0" w:color="auto"/>
              <w:left w:val="nil"/>
              <w:bottom w:val="single" w:sz="12" w:space="0" w:color="auto"/>
              <w:right w:val="nil"/>
            </w:tcBorders>
          </w:tcPr>
          <w:p w:rsidR="0070375D" w:rsidRPr="00E93930" w:rsidRDefault="0070375D" w:rsidP="00E93930">
            <w:pPr>
              <w:pStyle w:val="TableofFigures"/>
              <w:rPr>
                <w:color w:val="000000"/>
                <w:lang w:eastAsia="en-AU"/>
              </w:rPr>
            </w:pPr>
            <w:r w:rsidRPr="00E93930">
              <w:rPr>
                <w:color w:val="000000"/>
                <w:lang w:eastAsia="en-AU"/>
              </w:rPr>
              <w:t>70 750.7</w:t>
            </w:r>
          </w:p>
        </w:tc>
        <w:tc>
          <w:tcPr>
            <w:tcW w:w="874" w:type="dxa"/>
            <w:tcBorders>
              <w:top w:val="single" w:sz="6" w:space="0" w:color="auto"/>
              <w:left w:val="nil"/>
              <w:bottom w:val="single" w:sz="12" w:space="0" w:color="auto"/>
              <w:right w:val="nil"/>
            </w:tcBorders>
          </w:tcPr>
          <w:p w:rsidR="0070375D" w:rsidRPr="00E93930" w:rsidRDefault="0070375D" w:rsidP="00E93930">
            <w:pPr>
              <w:pStyle w:val="TableofFigures"/>
              <w:rPr>
                <w:color w:val="000000"/>
                <w:lang w:eastAsia="en-AU"/>
              </w:rPr>
            </w:pPr>
            <w:r w:rsidRPr="00E93930">
              <w:rPr>
                <w:color w:val="000000"/>
                <w:lang w:eastAsia="en-AU"/>
              </w:rPr>
              <w:t>74 684.3</w:t>
            </w:r>
          </w:p>
        </w:tc>
        <w:tc>
          <w:tcPr>
            <w:tcW w:w="873" w:type="dxa"/>
            <w:tcBorders>
              <w:top w:val="single" w:sz="6" w:space="0" w:color="auto"/>
              <w:left w:val="nil"/>
              <w:bottom w:val="single" w:sz="12" w:space="0" w:color="auto"/>
              <w:right w:val="nil"/>
            </w:tcBorders>
          </w:tcPr>
          <w:p w:rsidR="0070375D" w:rsidRPr="00E93930" w:rsidRDefault="0070375D" w:rsidP="00E93930">
            <w:pPr>
              <w:pStyle w:val="TableofFigures"/>
              <w:rPr>
                <w:color w:val="000000"/>
                <w:lang w:eastAsia="en-AU"/>
              </w:rPr>
            </w:pPr>
            <w:r w:rsidRPr="00E93930">
              <w:rPr>
                <w:color w:val="000000"/>
                <w:lang w:eastAsia="en-AU"/>
              </w:rPr>
              <w:t>77 494.3</w:t>
            </w:r>
          </w:p>
        </w:tc>
        <w:tc>
          <w:tcPr>
            <w:tcW w:w="874" w:type="dxa"/>
            <w:tcBorders>
              <w:top w:val="single" w:sz="6" w:space="0" w:color="auto"/>
              <w:left w:val="nil"/>
              <w:bottom w:val="single" w:sz="12" w:space="0" w:color="auto"/>
              <w:right w:val="nil"/>
            </w:tcBorders>
          </w:tcPr>
          <w:p w:rsidR="0070375D" w:rsidRPr="00E93930" w:rsidRDefault="0070375D" w:rsidP="00E93930">
            <w:pPr>
              <w:pStyle w:val="TableofFigures"/>
              <w:rPr>
                <w:color w:val="000000"/>
                <w:lang w:eastAsia="en-AU"/>
              </w:rPr>
            </w:pPr>
            <w:r w:rsidRPr="00E93930">
              <w:rPr>
                <w:color w:val="000000"/>
                <w:lang w:eastAsia="en-AU"/>
              </w:rPr>
              <w:t>77 353.0</w:t>
            </w:r>
          </w:p>
        </w:tc>
        <w:tc>
          <w:tcPr>
            <w:tcW w:w="874" w:type="dxa"/>
            <w:tcBorders>
              <w:top w:val="single" w:sz="6" w:space="0" w:color="auto"/>
              <w:left w:val="nil"/>
              <w:bottom w:val="single" w:sz="12" w:space="0" w:color="auto"/>
              <w:right w:val="nil"/>
            </w:tcBorders>
          </w:tcPr>
          <w:p w:rsidR="0070375D" w:rsidRPr="00E93930" w:rsidRDefault="0070375D" w:rsidP="00E93930">
            <w:pPr>
              <w:pStyle w:val="TableofFigures"/>
              <w:rPr>
                <w:color w:val="000000"/>
                <w:lang w:eastAsia="en-AU"/>
              </w:rPr>
            </w:pPr>
            <w:r w:rsidRPr="00E93930">
              <w:rPr>
                <w:color w:val="000000"/>
                <w:lang w:eastAsia="en-AU"/>
              </w:rPr>
              <w:t>75 653.6</w:t>
            </w:r>
          </w:p>
        </w:tc>
      </w:tr>
      <w:tr w:rsidR="0070375D" w:rsidRPr="00E93930" w:rsidTr="001B2DD2">
        <w:trPr>
          <w:cantSplit/>
        </w:trPr>
        <w:tc>
          <w:tcPr>
            <w:tcW w:w="2534" w:type="dxa"/>
            <w:tcBorders>
              <w:top w:val="nil"/>
              <w:left w:val="nil"/>
              <w:bottom w:val="nil"/>
              <w:right w:val="nil"/>
            </w:tcBorders>
          </w:tcPr>
          <w:p w:rsidR="0070375D" w:rsidRPr="00E93930" w:rsidRDefault="0070375D" w:rsidP="00E93930">
            <w:pPr>
              <w:pStyle w:val="Tabletext"/>
              <w:rPr>
                <w:color w:val="000000"/>
                <w:lang w:eastAsia="en-AU"/>
              </w:rPr>
            </w:pPr>
          </w:p>
        </w:tc>
        <w:tc>
          <w:tcPr>
            <w:tcW w:w="873" w:type="dxa"/>
            <w:gridSpan w:val="2"/>
            <w:tcBorders>
              <w:top w:val="nil"/>
              <w:left w:val="nil"/>
              <w:bottom w:val="nil"/>
              <w:right w:val="nil"/>
            </w:tcBorders>
          </w:tcPr>
          <w:p w:rsidR="0070375D" w:rsidRPr="00E93930" w:rsidRDefault="0070375D" w:rsidP="001B2DD2">
            <w:pPr>
              <w:pStyle w:val="million"/>
              <w:rPr>
                <w:lang w:eastAsia="en-AU"/>
              </w:rPr>
            </w:pPr>
          </w:p>
        </w:tc>
        <w:tc>
          <w:tcPr>
            <w:tcW w:w="874" w:type="dxa"/>
            <w:tcBorders>
              <w:top w:val="nil"/>
              <w:left w:val="nil"/>
              <w:bottom w:val="nil"/>
              <w:right w:val="nil"/>
            </w:tcBorders>
          </w:tcPr>
          <w:p w:rsidR="0070375D" w:rsidRPr="00E93930" w:rsidRDefault="0070375D" w:rsidP="001B2DD2">
            <w:pPr>
              <w:pStyle w:val="million"/>
              <w:rPr>
                <w:lang w:eastAsia="en-AU"/>
              </w:rPr>
            </w:pPr>
            <w:r w:rsidRPr="00E93930">
              <w:rPr>
                <w:lang w:eastAsia="en-AU"/>
              </w:rPr>
              <w:t>(per cent)</w:t>
            </w:r>
          </w:p>
        </w:tc>
        <w:tc>
          <w:tcPr>
            <w:tcW w:w="874" w:type="dxa"/>
            <w:tcBorders>
              <w:top w:val="nil"/>
              <w:left w:val="nil"/>
              <w:bottom w:val="nil"/>
              <w:right w:val="nil"/>
            </w:tcBorders>
          </w:tcPr>
          <w:p w:rsidR="0070375D" w:rsidRPr="00E93930" w:rsidRDefault="0070375D" w:rsidP="001B2DD2">
            <w:pPr>
              <w:pStyle w:val="million"/>
              <w:rPr>
                <w:lang w:eastAsia="en-AU"/>
              </w:rPr>
            </w:pPr>
          </w:p>
        </w:tc>
        <w:tc>
          <w:tcPr>
            <w:tcW w:w="873" w:type="dxa"/>
            <w:tcBorders>
              <w:top w:val="nil"/>
              <w:left w:val="nil"/>
              <w:bottom w:val="nil"/>
              <w:right w:val="nil"/>
            </w:tcBorders>
          </w:tcPr>
          <w:p w:rsidR="0070375D" w:rsidRPr="00E93930" w:rsidRDefault="0070375D" w:rsidP="00E93930">
            <w:pPr>
              <w:pStyle w:val="TableofFigures"/>
              <w:rPr>
                <w:color w:val="000000"/>
                <w:lang w:eastAsia="en-AU"/>
              </w:rPr>
            </w:pPr>
          </w:p>
        </w:tc>
        <w:tc>
          <w:tcPr>
            <w:tcW w:w="874" w:type="dxa"/>
            <w:tcBorders>
              <w:top w:val="nil"/>
              <w:left w:val="nil"/>
              <w:bottom w:val="nil"/>
              <w:right w:val="nil"/>
            </w:tcBorders>
          </w:tcPr>
          <w:p w:rsidR="0070375D" w:rsidRPr="00E93930" w:rsidRDefault="0070375D" w:rsidP="00E93930">
            <w:pPr>
              <w:pStyle w:val="TableofFigures"/>
              <w:rPr>
                <w:color w:val="000000"/>
                <w:lang w:eastAsia="en-AU"/>
              </w:rPr>
            </w:pPr>
          </w:p>
        </w:tc>
        <w:tc>
          <w:tcPr>
            <w:tcW w:w="874" w:type="dxa"/>
            <w:tcBorders>
              <w:top w:val="nil"/>
              <w:left w:val="nil"/>
              <w:bottom w:val="nil"/>
              <w:right w:val="nil"/>
            </w:tcBorders>
          </w:tcPr>
          <w:p w:rsidR="0070375D" w:rsidRPr="00E93930" w:rsidRDefault="0070375D" w:rsidP="00E93930">
            <w:pPr>
              <w:pStyle w:val="TableofFigures"/>
              <w:rPr>
                <w:color w:val="000000"/>
                <w:lang w:eastAsia="en-AU"/>
              </w:rPr>
            </w:pPr>
          </w:p>
        </w:tc>
      </w:tr>
      <w:tr w:rsidR="0070375D" w:rsidRPr="00E93930" w:rsidTr="001B2DD2">
        <w:trPr>
          <w:cantSplit/>
        </w:trPr>
        <w:tc>
          <w:tcPr>
            <w:tcW w:w="2534" w:type="dxa"/>
            <w:tcBorders>
              <w:top w:val="nil"/>
              <w:left w:val="nil"/>
              <w:bottom w:val="nil"/>
              <w:right w:val="nil"/>
            </w:tcBorders>
          </w:tcPr>
          <w:p w:rsidR="0070375D" w:rsidRPr="00E93930" w:rsidRDefault="0070375D" w:rsidP="00E93930">
            <w:pPr>
              <w:pStyle w:val="Tabletext"/>
              <w:rPr>
                <w:b/>
                <w:bCs/>
                <w:color w:val="000000"/>
                <w:vertAlign w:val="superscript"/>
                <w:lang w:eastAsia="en-AU"/>
              </w:rPr>
            </w:pPr>
            <w:r w:rsidRPr="00E93930">
              <w:rPr>
                <w:b/>
                <w:bCs/>
                <w:color w:val="000000"/>
                <w:lang w:eastAsia="en-AU"/>
              </w:rPr>
              <w:t>Net debt to GSP</w:t>
            </w:r>
            <w:r w:rsidRPr="00E93930">
              <w:rPr>
                <w:b/>
                <w:bCs/>
                <w:color w:val="000000"/>
                <w:vertAlign w:val="superscript"/>
                <w:lang w:eastAsia="en-AU"/>
              </w:rPr>
              <w:t xml:space="preserve"> (e)</w:t>
            </w:r>
          </w:p>
        </w:tc>
        <w:tc>
          <w:tcPr>
            <w:tcW w:w="873" w:type="dxa"/>
            <w:gridSpan w:val="2"/>
            <w:tcBorders>
              <w:top w:val="nil"/>
              <w:left w:val="nil"/>
              <w:bottom w:val="nil"/>
              <w:right w:val="nil"/>
            </w:tcBorders>
          </w:tcPr>
          <w:p w:rsidR="0070375D" w:rsidRPr="00E93930" w:rsidRDefault="0070375D" w:rsidP="00E93930">
            <w:pPr>
              <w:pStyle w:val="TableofFigures"/>
              <w:rPr>
                <w:b/>
                <w:bCs/>
                <w:color w:val="000000"/>
                <w:lang w:eastAsia="en-AU"/>
              </w:rPr>
            </w:pPr>
            <w:r w:rsidRPr="00E93930">
              <w:rPr>
                <w:b/>
                <w:bCs/>
                <w:color w:val="000000"/>
                <w:lang w:eastAsia="en-AU"/>
              </w:rPr>
              <w:t xml:space="preserve">          7.5 </w:t>
            </w:r>
          </w:p>
        </w:tc>
        <w:tc>
          <w:tcPr>
            <w:tcW w:w="874" w:type="dxa"/>
            <w:tcBorders>
              <w:top w:val="nil"/>
              <w:left w:val="nil"/>
              <w:bottom w:val="nil"/>
              <w:right w:val="nil"/>
            </w:tcBorders>
          </w:tcPr>
          <w:p w:rsidR="0070375D" w:rsidRPr="00E93930" w:rsidRDefault="0070375D" w:rsidP="00E93930">
            <w:pPr>
              <w:pStyle w:val="TableofFigures"/>
              <w:rPr>
                <w:b/>
                <w:bCs/>
                <w:color w:val="000000"/>
                <w:lang w:eastAsia="en-AU"/>
              </w:rPr>
            </w:pPr>
            <w:r w:rsidRPr="00E93930">
              <w:rPr>
                <w:b/>
                <w:bCs/>
                <w:color w:val="000000"/>
                <w:lang w:eastAsia="en-AU"/>
              </w:rPr>
              <w:t xml:space="preserve">         10.2 </w:t>
            </w:r>
          </w:p>
        </w:tc>
        <w:tc>
          <w:tcPr>
            <w:tcW w:w="874" w:type="dxa"/>
            <w:tcBorders>
              <w:top w:val="nil"/>
              <w:left w:val="nil"/>
              <w:bottom w:val="nil"/>
              <w:right w:val="nil"/>
            </w:tcBorders>
          </w:tcPr>
          <w:p w:rsidR="0070375D" w:rsidRPr="00E93930" w:rsidRDefault="0070375D" w:rsidP="00E93930">
            <w:pPr>
              <w:pStyle w:val="TableofFigures"/>
              <w:rPr>
                <w:b/>
                <w:bCs/>
                <w:color w:val="000000"/>
                <w:lang w:eastAsia="en-AU"/>
              </w:rPr>
            </w:pPr>
            <w:r w:rsidRPr="00E93930">
              <w:rPr>
                <w:b/>
                <w:bCs/>
                <w:color w:val="000000"/>
                <w:lang w:eastAsia="en-AU"/>
              </w:rPr>
              <w:t xml:space="preserve">        10.9 </w:t>
            </w:r>
          </w:p>
        </w:tc>
        <w:tc>
          <w:tcPr>
            <w:tcW w:w="873" w:type="dxa"/>
            <w:tcBorders>
              <w:top w:val="nil"/>
              <w:left w:val="nil"/>
              <w:bottom w:val="nil"/>
              <w:right w:val="nil"/>
            </w:tcBorders>
          </w:tcPr>
          <w:p w:rsidR="0070375D" w:rsidRPr="00E93930" w:rsidRDefault="0070375D" w:rsidP="00E93930">
            <w:pPr>
              <w:pStyle w:val="TableofFigures"/>
              <w:rPr>
                <w:b/>
                <w:bCs/>
                <w:color w:val="000000"/>
                <w:lang w:eastAsia="en-AU"/>
              </w:rPr>
            </w:pPr>
            <w:r w:rsidRPr="00E93930">
              <w:rPr>
                <w:b/>
                <w:bCs/>
                <w:color w:val="000000"/>
                <w:lang w:eastAsia="en-AU"/>
              </w:rPr>
              <w:t xml:space="preserve">        11.1 </w:t>
            </w:r>
          </w:p>
        </w:tc>
        <w:tc>
          <w:tcPr>
            <w:tcW w:w="874" w:type="dxa"/>
            <w:tcBorders>
              <w:top w:val="nil"/>
              <w:left w:val="nil"/>
              <w:bottom w:val="nil"/>
              <w:right w:val="nil"/>
            </w:tcBorders>
          </w:tcPr>
          <w:p w:rsidR="0070375D" w:rsidRPr="00E93930" w:rsidRDefault="0070375D" w:rsidP="00E93930">
            <w:pPr>
              <w:pStyle w:val="TableofFigures"/>
              <w:rPr>
                <w:b/>
                <w:bCs/>
                <w:color w:val="000000"/>
                <w:lang w:eastAsia="en-AU"/>
              </w:rPr>
            </w:pPr>
            <w:r w:rsidRPr="00E93930">
              <w:rPr>
                <w:b/>
                <w:bCs/>
                <w:color w:val="000000"/>
                <w:lang w:eastAsia="en-AU"/>
              </w:rPr>
              <w:t xml:space="preserve">        10.5 </w:t>
            </w:r>
          </w:p>
        </w:tc>
        <w:tc>
          <w:tcPr>
            <w:tcW w:w="874" w:type="dxa"/>
            <w:tcBorders>
              <w:top w:val="nil"/>
              <w:left w:val="nil"/>
              <w:bottom w:val="nil"/>
              <w:right w:val="nil"/>
            </w:tcBorders>
          </w:tcPr>
          <w:p w:rsidR="0070375D" w:rsidRPr="00E93930" w:rsidRDefault="0070375D" w:rsidP="00E93930">
            <w:pPr>
              <w:pStyle w:val="TableofFigures"/>
              <w:rPr>
                <w:b/>
                <w:bCs/>
                <w:color w:val="000000"/>
                <w:lang w:eastAsia="en-AU"/>
              </w:rPr>
            </w:pPr>
            <w:r w:rsidRPr="00E93930">
              <w:rPr>
                <w:b/>
                <w:bCs/>
                <w:color w:val="000000"/>
                <w:lang w:eastAsia="en-AU"/>
              </w:rPr>
              <w:t xml:space="preserve">         9.6 </w:t>
            </w:r>
          </w:p>
        </w:tc>
      </w:tr>
      <w:tr w:rsidR="0070375D" w:rsidRPr="00E93930" w:rsidTr="001B2DD2">
        <w:trPr>
          <w:cantSplit/>
        </w:trPr>
        <w:tc>
          <w:tcPr>
            <w:tcW w:w="2597" w:type="dxa"/>
            <w:gridSpan w:val="2"/>
            <w:tcBorders>
              <w:top w:val="nil"/>
              <w:left w:val="nil"/>
              <w:bottom w:val="nil"/>
              <w:right w:val="nil"/>
            </w:tcBorders>
          </w:tcPr>
          <w:p w:rsidR="0070375D" w:rsidRPr="00E93930" w:rsidRDefault="0070375D" w:rsidP="00E93930">
            <w:pPr>
              <w:pStyle w:val="Tabletext"/>
              <w:rPr>
                <w:b/>
                <w:bCs/>
                <w:color w:val="000000"/>
                <w:vertAlign w:val="superscript"/>
                <w:lang w:eastAsia="en-AU"/>
              </w:rPr>
            </w:pPr>
            <w:r>
              <w:rPr>
                <w:b/>
                <w:bCs/>
                <w:color w:val="000000"/>
                <w:lang w:eastAsia="en-AU"/>
              </w:rPr>
              <w:t>Net debt plus </w:t>
            </w:r>
            <w:r w:rsidRPr="00E93930">
              <w:rPr>
                <w:b/>
                <w:bCs/>
                <w:color w:val="000000"/>
                <w:lang w:eastAsia="en-AU"/>
              </w:rPr>
              <w:t xml:space="preserve">superannuation liability to GSP </w:t>
            </w:r>
            <w:r w:rsidRPr="00E93930">
              <w:rPr>
                <w:b/>
                <w:bCs/>
                <w:color w:val="000000"/>
                <w:vertAlign w:val="superscript"/>
                <w:lang w:eastAsia="en-AU"/>
              </w:rPr>
              <w:t>(e)</w:t>
            </w:r>
          </w:p>
        </w:tc>
        <w:tc>
          <w:tcPr>
            <w:tcW w:w="810" w:type="dxa"/>
            <w:tcBorders>
              <w:top w:val="nil"/>
              <w:left w:val="nil"/>
              <w:bottom w:val="nil"/>
              <w:right w:val="nil"/>
            </w:tcBorders>
          </w:tcPr>
          <w:p w:rsidR="0070375D" w:rsidRPr="00E93930" w:rsidRDefault="0070375D" w:rsidP="00E93930">
            <w:pPr>
              <w:pStyle w:val="TableofFigures"/>
              <w:rPr>
                <w:b/>
                <w:bCs/>
                <w:color w:val="000000"/>
                <w:lang w:eastAsia="en-AU"/>
              </w:rPr>
            </w:pPr>
            <w:r w:rsidRPr="00E93930">
              <w:rPr>
                <w:b/>
                <w:bCs/>
                <w:color w:val="000000"/>
                <w:lang w:eastAsia="en-AU"/>
              </w:rPr>
              <w:t xml:space="preserve">       17.4 </w:t>
            </w:r>
          </w:p>
        </w:tc>
        <w:tc>
          <w:tcPr>
            <w:tcW w:w="874" w:type="dxa"/>
            <w:tcBorders>
              <w:top w:val="nil"/>
              <w:left w:val="nil"/>
              <w:bottom w:val="nil"/>
              <w:right w:val="nil"/>
            </w:tcBorders>
          </w:tcPr>
          <w:p w:rsidR="0070375D" w:rsidRPr="00E93930" w:rsidRDefault="0070375D" w:rsidP="00E93930">
            <w:pPr>
              <w:pStyle w:val="TableofFigures"/>
              <w:rPr>
                <w:b/>
                <w:bCs/>
                <w:color w:val="000000"/>
                <w:lang w:eastAsia="en-AU"/>
              </w:rPr>
            </w:pPr>
            <w:r w:rsidRPr="00E93930">
              <w:rPr>
                <w:b/>
                <w:bCs/>
                <w:color w:val="000000"/>
                <w:lang w:eastAsia="en-AU"/>
              </w:rPr>
              <w:t xml:space="preserve">         18.7 </w:t>
            </w:r>
          </w:p>
        </w:tc>
        <w:tc>
          <w:tcPr>
            <w:tcW w:w="874" w:type="dxa"/>
            <w:tcBorders>
              <w:top w:val="nil"/>
              <w:left w:val="nil"/>
              <w:bottom w:val="nil"/>
              <w:right w:val="nil"/>
            </w:tcBorders>
          </w:tcPr>
          <w:p w:rsidR="0070375D" w:rsidRPr="00E93930" w:rsidRDefault="0070375D" w:rsidP="00E93930">
            <w:pPr>
              <w:pStyle w:val="TableofFigures"/>
              <w:rPr>
                <w:b/>
                <w:bCs/>
                <w:color w:val="000000"/>
                <w:lang w:eastAsia="en-AU"/>
              </w:rPr>
            </w:pPr>
            <w:r w:rsidRPr="00E93930">
              <w:rPr>
                <w:b/>
                <w:bCs/>
                <w:color w:val="000000"/>
                <w:lang w:eastAsia="en-AU"/>
              </w:rPr>
              <w:t xml:space="preserve">        18.9 </w:t>
            </w:r>
          </w:p>
        </w:tc>
        <w:tc>
          <w:tcPr>
            <w:tcW w:w="873" w:type="dxa"/>
            <w:tcBorders>
              <w:top w:val="nil"/>
              <w:left w:val="nil"/>
              <w:bottom w:val="nil"/>
              <w:right w:val="nil"/>
            </w:tcBorders>
          </w:tcPr>
          <w:p w:rsidR="0070375D" w:rsidRPr="00E93930" w:rsidRDefault="0070375D" w:rsidP="00E93930">
            <w:pPr>
              <w:pStyle w:val="TableofFigures"/>
              <w:rPr>
                <w:b/>
                <w:bCs/>
                <w:color w:val="000000"/>
                <w:lang w:eastAsia="en-AU"/>
              </w:rPr>
            </w:pPr>
            <w:r w:rsidRPr="00E93930">
              <w:rPr>
                <w:b/>
                <w:bCs/>
                <w:color w:val="000000"/>
                <w:lang w:eastAsia="en-AU"/>
              </w:rPr>
              <w:t xml:space="preserve">        18.6 </w:t>
            </w:r>
          </w:p>
        </w:tc>
        <w:tc>
          <w:tcPr>
            <w:tcW w:w="874" w:type="dxa"/>
            <w:tcBorders>
              <w:top w:val="nil"/>
              <w:left w:val="nil"/>
              <w:bottom w:val="nil"/>
              <w:right w:val="nil"/>
            </w:tcBorders>
          </w:tcPr>
          <w:p w:rsidR="0070375D" w:rsidRPr="00E93930" w:rsidRDefault="0070375D" w:rsidP="00E93930">
            <w:pPr>
              <w:pStyle w:val="TableofFigures"/>
              <w:rPr>
                <w:b/>
                <w:bCs/>
                <w:color w:val="000000"/>
                <w:lang w:eastAsia="en-AU"/>
              </w:rPr>
            </w:pPr>
            <w:r w:rsidRPr="00E93930">
              <w:rPr>
                <w:b/>
                <w:bCs/>
                <w:color w:val="000000"/>
                <w:lang w:eastAsia="en-AU"/>
              </w:rPr>
              <w:t xml:space="preserve">        17.6 </w:t>
            </w:r>
          </w:p>
        </w:tc>
        <w:tc>
          <w:tcPr>
            <w:tcW w:w="874" w:type="dxa"/>
            <w:tcBorders>
              <w:top w:val="nil"/>
              <w:left w:val="nil"/>
              <w:bottom w:val="nil"/>
              <w:right w:val="nil"/>
            </w:tcBorders>
          </w:tcPr>
          <w:p w:rsidR="0070375D" w:rsidRPr="00E93930" w:rsidRDefault="0070375D" w:rsidP="00E93930">
            <w:pPr>
              <w:pStyle w:val="TableofFigures"/>
              <w:rPr>
                <w:b/>
                <w:bCs/>
                <w:color w:val="000000"/>
                <w:lang w:eastAsia="en-AU"/>
              </w:rPr>
            </w:pPr>
            <w:r w:rsidRPr="00E93930">
              <w:rPr>
                <w:b/>
                <w:bCs/>
                <w:color w:val="000000"/>
                <w:lang w:eastAsia="en-AU"/>
              </w:rPr>
              <w:t xml:space="preserve">       16.2 </w:t>
            </w:r>
          </w:p>
        </w:tc>
      </w:tr>
      <w:tr w:rsidR="0070375D" w:rsidRPr="00E93930" w:rsidTr="001B2DD2">
        <w:trPr>
          <w:cantSplit/>
        </w:trPr>
        <w:tc>
          <w:tcPr>
            <w:tcW w:w="2534" w:type="dxa"/>
            <w:tcBorders>
              <w:top w:val="nil"/>
              <w:left w:val="nil"/>
              <w:bottom w:val="single" w:sz="12" w:space="0" w:color="auto"/>
              <w:right w:val="nil"/>
            </w:tcBorders>
          </w:tcPr>
          <w:p w:rsidR="0070375D" w:rsidRPr="00E93930" w:rsidRDefault="0070375D" w:rsidP="00041FD9">
            <w:pPr>
              <w:pStyle w:val="Tabletext"/>
              <w:rPr>
                <w:b/>
                <w:bCs/>
                <w:color w:val="000000"/>
                <w:vertAlign w:val="superscript"/>
                <w:lang w:eastAsia="en-AU"/>
              </w:rPr>
            </w:pPr>
            <w:r w:rsidRPr="00E93930">
              <w:rPr>
                <w:b/>
                <w:bCs/>
                <w:color w:val="000000"/>
                <w:lang w:eastAsia="en-AU"/>
              </w:rPr>
              <w:t>Net financial liabilities to GSP</w:t>
            </w:r>
            <w:r>
              <w:rPr>
                <w:b/>
                <w:bCs/>
                <w:color w:val="000000"/>
                <w:vertAlign w:val="superscript"/>
                <w:lang w:eastAsia="en-AU"/>
              </w:rPr>
              <w:t> </w:t>
            </w:r>
            <w:r w:rsidRPr="00E93930">
              <w:rPr>
                <w:b/>
                <w:bCs/>
                <w:color w:val="000000"/>
                <w:vertAlign w:val="superscript"/>
                <w:lang w:eastAsia="en-AU"/>
              </w:rPr>
              <w:t>(e)</w:t>
            </w:r>
          </w:p>
        </w:tc>
        <w:tc>
          <w:tcPr>
            <w:tcW w:w="873" w:type="dxa"/>
            <w:gridSpan w:val="2"/>
            <w:tcBorders>
              <w:top w:val="nil"/>
              <w:left w:val="nil"/>
              <w:bottom w:val="single" w:sz="12" w:space="0" w:color="auto"/>
              <w:right w:val="nil"/>
            </w:tcBorders>
          </w:tcPr>
          <w:p w:rsidR="0070375D" w:rsidRPr="00E93930" w:rsidRDefault="0070375D" w:rsidP="00E93930">
            <w:pPr>
              <w:pStyle w:val="TableofFigures"/>
              <w:rPr>
                <w:b/>
                <w:bCs/>
                <w:color w:val="000000"/>
                <w:lang w:eastAsia="en-AU"/>
              </w:rPr>
            </w:pPr>
            <w:r w:rsidRPr="00E93930">
              <w:rPr>
                <w:b/>
                <w:bCs/>
                <w:color w:val="000000"/>
                <w:lang w:eastAsia="en-AU"/>
              </w:rPr>
              <w:t xml:space="preserve">       19.4 </w:t>
            </w:r>
          </w:p>
        </w:tc>
        <w:tc>
          <w:tcPr>
            <w:tcW w:w="874" w:type="dxa"/>
            <w:tcBorders>
              <w:top w:val="nil"/>
              <w:left w:val="nil"/>
              <w:bottom w:val="single" w:sz="12" w:space="0" w:color="auto"/>
              <w:right w:val="nil"/>
            </w:tcBorders>
          </w:tcPr>
          <w:p w:rsidR="0070375D" w:rsidRPr="00E93930" w:rsidRDefault="0070375D" w:rsidP="00E93930">
            <w:pPr>
              <w:pStyle w:val="TableofFigures"/>
              <w:rPr>
                <w:b/>
                <w:bCs/>
                <w:color w:val="000000"/>
                <w:lang w:eastAsia="en-AU"/>
              </w:rPr>
            </w:pPr>
            <w:r w:rsidRPr="00E93930">
              <w:rPr>
                <w:b/>
                <w:bCs/>
                <w:color w:val="000000"/>
                <w:lang w:eastAsia="en-AU"/>
              </w:rPr>
              <w:t xml:space="preserve">         20.6 </w:t>
            </w:r>
          </w:p>
        </w:tc>
        <w:tc>
          <w:tcPr>
            <w:tcW w:w="874" w:type="dxa"/>
            <w:tcBorders>
              <w:top w:val="nil"/>
              <w:left w:val="nil"/>
              <w:bottom w:val="single" w:sz="12" w:space="0" w:color="auto"/>
              <w:right w:val="nil"/>
            </w:tcBorders>
          </w:tcPr>
          <w:p w:rsidR="0070375D" w:rsidRPr="00E93930" w:rsidRDefault="0070375D" w:rsidP="00E93930">
            <w:pPr>
              <w:pStyle w:val="TableofFigures"/>
              <w:rPr>
                <w:b/>
                <w:bCs/>
                <w:color w:val="000000"/>
                <w:lang w:eastAsia="en-AU"/>
              </w:rPr>
            </w:pPr>
            <w:r w:rsidRPr="00E93930">
              <w:rPr>
                <w:b/>
                <w:bCs/>
                <w:color w:val="000000"/>
                <w:lang w:eastAsia="en-AU"/>
              </w:rPr>
              <w:t xml:space="preserve">        20.7 </w:t>
            </w:r>
          </w:p>
        </w:tc>
        <w:tc>
          <w:tcPr>
            <w:tcW w:w="873" w:type="dxa"/>
            <w:tcBorders>
              <w:top w:val="nil"/>
              <w:left w:val="nil"/>
              <w:bottom w:val="single" w:sz="12" w:space="0" w:color="auto"/>
              <w:right w:val="nil"/>
            </w:tcBorders>
          </w:tcPr>
          <w:p w:rsidR="0070375D" w:rsidRPr="00E93930" w:rsidRDefault="0070375D" w:rsidP="00E93930">
            <w:pPr>
              <w:pStyle w:val="TableofFigures"/>
              <w:rPr>
                <w:b/>
                <w:bCs/>
                <w:color w:val="000000"/>
                <w:lang w:eastAsia="en-AU"/>
              </w:rPr>
            </w:pPr>
            <w:r w:rsidRPr="00E93930">
              <w:rPr>
                <w:b/>
                <w:bCs/>
                <w:color w:val="000000"/>
                <w:lang w:eastAsia="en-AU"/>
              </w:rPr>
              <w:t xml:space="preserve">        20.4 </w:t>
            </w:r>
          </w:p>
        </w:tc>
        <w:tc>
          <w:tcPr>
            <w:tcW w:w="874" w:type="dxa"/>
            <w:tcBorders>
              <w:top w:val="nil"/>
              <w:left w:val="nil"/>
              <w:bottom w:val="single" w:sz="12" w:space="0" w:color="auto"/>
              <w:right w:val="nil"/>
            </w:tcBorders>
          </w:tcPr>
          <w:p w:rsidR="0070375D" w:rsidRPr="00E93930" w:rsidRDefault="0070375D" w:rsidP="00E93930">
            <w:pPr>
              <w:pStyle w:val="TableofFigures"/>
              <w:rPr>
                <w:b/>
                <w:bCs/>
                <w:color w:val="000000"/>
                <w:lang w:eastAsia="en-AU"/>
              </w:rPr>
            </w:pPr>
            <w:r w:rsidRPr="00E93930">
              <w:rPr>
                <w:b/>
                <w:bCs/>
                <w:color w:val="000000"/>
                <w:lang w:eastAsia="en-AU"/>
              </w:rPr>
              <w:t xml:space="preserve">        19.3 </w:t>
            </w:r>
          </w:p>
        </w:tc>
        <w:tc>
          <w:tcPr>
            <w:tcW w:w="874" w:type="dxa"/>
            <w:tcBorders>
              <w:top w:val="nil"/>
              <w:left w:val="nil"/>
              <w:bottom w:val="single" w:sz="12" w:space="0" w:color="auto"/>
              <w:right w:val="nil"/>
            </w:tcBorders>
          </w:tcPr>
          <w:p w:rsidR="0070375D" w:rsidRPr="00E93930" w:rsidRDefault="0070375D" w:rsidP="00E93930">
            <w:pPr>
              <w:pStyle w:val="TableofFigures"/>
              <w:rPr>
                <w:b/>
                <w:bCs/>
                <w:color w:val="000000"/>
                <w:lang w:eastAsia="en-AU"/>
              </w:rPr>
            </w:pPr>
            <w:r w:rsidRPr="00E93930">
              <w:rPr>
                <w:b/>
                <w:bCs/>
                <w:color w:val="000000"/>
                <w:lang w:eastAsia="en-AU"/>
              </w:rPr>
              <w:t xml:space="preserve">       17.9 </w:t>
            </w:r>
          </w:p>
        </w:tc>
      </w:tr>
    </w:tbl>
    <w:p w:rsidR="0070375D" w:rsidRPr="00733B8A" w:rsidRDefault="0070375D" w:rsidP="004753AB">
      <w:pPr>
        <w:pStyle w:val="Source"/>
      </w:pPr>
      <w:r w:rsidRPr="00302F9E">
        <w:t>Source</w:t>
      </w:r>
      <w:r>
        <w:t>: Department of Treasury and Finance</w:t>
      </w:r>
    </w:p>
    <w:p w:rsidR="0070375D" w:rsidRDefault="0070375D" w:rsidP="007C6A7E">
      <w:pPr>
        <w:pStyle w:val="Notes"/>
      </w:pPr>
      <w:r>
        <w:t>Notes:</w:t>
      </w:r>
    </w:p>
    <w:p w:rsidR="0070375D" w:rsidRDefault="0070375D" w:rsidP="00333C32">
      <w:pPr>
        <w:pStyle w:val="Notes"/>
        <w:tabs>
          <w:tab w:val="left" w:pos="5865"/>
        </w:tabs>
      </w:pPr>
      <w:r>
        <w:t>(a)</w:t>
      </w:r>
      <w:r>
        <w:tab/>
      </w:r>
      <w:r w:rsidRPr="00517DE3">
        <w:t>The 2011</w:t>
      </w:r>
      <w:r w:rsidR="00276239">
        <w:noBreakHyphen/>
      </w:r>
      <w:r w:rsidRPr="00517DE3">
        <w:t xml:space="preserve">12 figure has </w:t>
      </w:r>
      <w:r>
        <w:t>been restated due to a revision</w:t>
      </w:r>
      <w:r w:rsidRPr="00517DE3">
        <w:t xml:space="preserve"> of the State Electricity Corporation of Victoria</w:t>
      </w:r>
      <w:r w:rsidR="00276239">
        <w:t>’</w:t>
      </w:r>
      <w:r w:rsidRPr="00517DE3">
        <w:t>s investment in Snowy Hydro Ltd.</w:t>
      </w:r>
    </w:p>
    <w:p w:rsidR="0070375D" w:rsidRDefault="0070375D" w:rsidP="00333C32">
      <w:pPr>
        <w:pStyle w:val="Notes"/>
        <w:tabs>
          <w:tab w:val="left" w:pos="5865"/>
        </w:tabs>
      </w:pPr>
      <w:r>
        <w:t>(b)</w:t>
      </w:r>
      <w:r>
        <w:tab/>
        <w:t>Net debt is the sum of deposits held, advances received and borrowings less the sum of cash, deposits, advances paid, and investments, loans and placements.</w:t>
      </w:r>
    </w:p>
    <w:p w:rsidR="0070375D" w:rsidRDefault="0070375D" w:rsidP="00333C32">
      <w:pPr>
        <w:pStyle w:val="Notes"/>
        <w:tabs>
          <w:tab w:val="left" w:pos="5865"/>
        </w:tabs>
      </w:pPr>
      <w:r>
        <w:t>(c)</w:t>
      </w:r>
      <w:r>
        <w:tab/>
        <w:t>Includes other employee entitlements, provisions and other liabilities, less other non</w:t>
      </w:r>
      <w:r w:rsidR="00276239">
        <w:noBreakHyphen/>
      </w:r>
      <w:r>
        <w:t>equity assets.</w:t>
      </w:r>
    </w:p>
    <w:p w:rsidR="0070375D" w:rsidRDefault="0070375D" w:rsidP="00333C32">
      <w:pPr>
        <w:pStyle w:val="Notes"/>
        <w:tabs>
          <w:tab w:val="left" w:pos="5865"/>
        </w:tabs>
      </w:pPr>
      <w:r>
        <w:t>(d)</w:t>
      </w:r>
      <w:r>
        <w:tab/>
        <w:t>Net financial liabilities is the sum of superannuation, borrowings and other liabilities less financial assets.</w:t>
      </w:r>
    </w:p>
    <w:p w:rsidR="0070375D" w:rsidRDefault="0070375D" w:rsidP="00333C32">
      <w:pPr>
        <w:pStyle w:val="Notes"/>
        <w:tabs>
          <w:tab w:val="clear" w:pos="454"/>
          <w:tab w:val="left" w:pos="5865"/>
        </w:tabs>
      </w:pPr>
      <w:r>
        <w:t>(e)</w:t>
      </w:r>
      <w:r>
        <w:tab/>
        <w:t>Ratios to GSP may vary from publications year to year due to revisions to the ABS GSP data</w:t>
      </w:r>
      <w:r w:rsidRPr="009C0D66">
        <w:rPr>
          <w:i w:val="0"/>
        </w:rPr>
        <w:t>.</w:t>
      </w:r>
      <w:r w:rsidRPr="009C0D66">
        <w:rPr>
          <w:i w:val="0"/>
        </w:rPr>
        <w:fldChar w:fldCharType="begin"/>
      </w:r>
      <w:r w:rsidRPr="009C0D66">
        <w:rPr>
          <w:i w:val="0"/>
        </w:rPr>
        <w:instrText xml:space="preserve"> XE "Debt:Net debt" \r "BP2Ch5NetDebt" </w:instrText>
      </w:r>
      <w:r w:rsidRPr="009C0D66">
        <w:rPr>
          <w:i w:val="0"/>
        </w:rPr>
        <w:fldChar w:fldCharType="end"/>
      </w:r>
    </w:p>
    <w:bookmarkEnd w:id="62"/>
    <w:p w:rsidR="0070375D" w:rsidRDefault="0070375D" w:rsidP="00733B8A"/>
    <w:p w:rsidR="0070375D" w:rsidRPr="003A3745" w:rsidRDefault="0070375D" w:rsidP="0044448D">
      <w:r>
        <w:t xml:space="preserve">Table 5.4 </w:t>
      </w:r>
      <w:r w:rsidRPr="003A3745">
        <w:t xml:space="preserve">contains indicators of financial sustainability for the NFPS. These ratios provide important benchmarks for the NFPS sustainability across the budget and forward estimates period. </w:t>
      </w:r>
    </w:p>
    <w:p w:rsidR="0070375D" w:rsidRPr="003A3745" w:rsidRDefault="0070375D" w:rsidP="0079175C">
      <w:r w:rsidRPr="003A3745">
        <w:t>The State is projected to fully fund capital expenditure from operational cash flows by 2015</w:t>
      </w:r>
      <w:r w:rsidR="00276239">
        <w:noBreakHyphen/>
      </w:r>
      <w:r w:rsidRPr="003A3745">
        <w:t>16 without relying on borrowings</w:t>
      </w:r>
      <w:r>
        <w:t xml:space="preserve">. </w:t>
      </w:r>
      <w:r w:rsidRPr="003A3745">
        <w:t xml:space="preserve">This is reflected in the ratio of operating cash flow surplus to revenue, which provides an indication of the cash generated from operations, which can be used to fund necessary infrastructure. This ratio is forecast to steadily improve over the forward estimates. </w:t>
      </w:r>
    </w:p>
    <w:p w:rsidR="0070375D" w:rsidRDefault="0070375D" w:rsidP="0079175C">
      <w:r w:rsidRPr="003A3745">
        <w:lastRenderedPageBreak/>
        <w:t>The ratio of gross debt to revenue provides an indication of the level of NFPS indebtedness. After peaking in 2014</w:t>
      </w:r>
      <w:r w:rsidR="00276239">
        <w:noBreakHyphen/>
      </w:r>
      <w:r w:rsidRPr="003A3745">
        <w:t>15, this ratio will decline as overall debt levels stabilise and revenues continue</w:t>
      </w:r>
      <w:r>
        <w:t xml:space="preserve"> to grow.</w:t>
      </w:r>
    </w:p>
    <w:p w:rsidR="0070375D" w:rsidRDefault="0070375D" w:rsidP="0079175C">
      <w:r>
        <w:t>The ratio of interest expense to revenue is important because it shows the extent to which revenue is utilised to service debt obligations. It is important that the State minimises its interest burden, to ensure that revenues can be used to fund essential services and infrastructure, rather than meet debt obligations. The forecasts show that the interest burden will fall in 2015</w:t>
      </w:r>
      <w:r w:rsidR="00276239">
        <w:noBreakHyphen/>
      </w:r>
      <w:r>
        <w:t>16 and 2016</w:t>
      </w:r>
      <w:r w:rsidR="00276239">
        <w:noBreakHyphen/>
      </w:r>
      <w:r>
        <w:t>17, reflecting reduced growth in debt.</w:t>
      </w:r>
    </w:p>
    <w:p w:rsidR="0070375D" w:rsidRDefault="0070375D" w:rsidP="00733B8A">
      <w:pPr>
        <w:pStyle w:val="Tableheading"/>
      </w:pPr>
      <w:r>
        <w:t>Table 5.4:</w:t>
      </w:r>
      <w:r>
        <w:tab/>
        <w:t>Indicators of financial sustainability for the non</w:t>
      </w:r>
      <w:r w:rsidR="00276239">
        <w:noBreakHyphen/>
      </w:r>
      <w:r>
        <w:t>financial public sector</w:t>
      </w:r>
    </w:p>
    <w:p w:rsidR="0070375D" w:rsidRPr="005E274A" w:rsidRDefault="0070375D" w:rsidP="005E274A">
      <w:pPr>
        <w:pStyle w:val="million"/>
      </w:pPr>
      <w:r>
        <w:t>(per cent)</w:t>
      </w:r>
    </w:p>
    <w:tbl>
      <w:tblPr>
        <w:tblW w:w="7776" w:type="dxa"/>
        <w:tblInd w:w="29" w:type="dxa"/>
        <w:tblLayout w:type="fixed"/>
        <w:tblCellMar>
          <w:left w:w="43" w:type="dxa"/>
          <w:right w:w="43" w:type="dxa"/>
        </w:tblCellMar>
        <w:tblLook w:val="0000" w:firstRow="0" w:lastRow="0" w:firstColumn="0" w:lastColumn="0" w:noHBand="0" w:noVBand="0"/>
      </w:tblPr>
      <w:tblGrid>
        <w:gridCol w:w="2420"/>
        <w:gridCol w:w="892"/>
        <w:gridCol w:w="892"/>
        <w:gridCol w:w="893"/>
        <w:gridCol w:w="893"/>
        <w:gridCol w:w="893"/>
        <w:gridCol w:w="893"/>
      </w:tblGrid>
      <w:tr w:rsidR="0070375D" w:rsidRPr="005E274A" w:rsidTr="005E274A">
        <w:tc>
          <w:tcPr>
            <w:tcW w:w="2419" w:type="dxa"/>
            <w:tcBorders>
              <w:top w:val="single" w:sz="4" w:space="0" w:color="auto"/>
              <w:left w:val="single" w:sz="4" w:space="0" w:color="auto"/>
              <w:bottom w:val="nil"/>
              <w:right w:val="nil"/>
            </w:tcBorders>
            <w:shd w:val="clear" w:color="auto" w:fill="000000"/>
          </w:tcPr>
          <w:p w:rsidR="0070375D" w:rsidRPr="005E274A" w:rsidRDefault="0070375D" w:rsidP="005E274A">
            <w:pPr>
              <w:pStyle w:val="Tabletext"/>
              <w:rPr>
                <w:lang w:eastAsia="en-AU"/>
              </w:rPr>
            </w:pPr>
            <w:r w:rsidRPr="005E274A">
              <w:rPr>
                <w:lang w:eastAsia="en-AU"/>
              </w:rPr>
              <w:t xml:space="preserve">       </w:t>
            </w:r>
          </w:p>
        </w:tc>
        <w:tc>
          <w:tcPr>
            <w:tcW w:w="892" w:type="dxa"/>
            <w:tcBorders>
              <w:top w:val="single" w:sz="4" w:space="0" w:color="auto"/>
              <w:left w:val="nil"/>
              <w:bottom w:val="nil"/>
              <w:right w:val="nil"/>
            </w:tcBorders>
            <w:shd w:val="clear" w:color="auto" w:fill="000000"/>
          </w:tcPr>
          <w:p w:rsidR="0070375D" w:rsidRPr="005E274A" w:rsidRDefault="0070375D" w:rsidP="005E274A">
            <w:pPr>
              <w:pStyle w:val="Tabletextheading"/>
              <w:rPr>
                <w:lang w:eastAsia="en-AU"/>
              </w:rPr>
            </w:pPr>
            <w:r w:rsidRPr="005E274A">
              <w:rPr>
                <w:lang w:eastAsia="en-AU"/>
              </w:rPr>
              <w:t>2011</w:t>
            </w:r>
            <w:r w:rsidR="00276239">
              <w:rPr>
                <w:lang w:eastAsia="en-AU"/>
              </w:rPr>
              <w:noBreakHyphen/>
            </w:r>
            <w:r w:rsidRPr="005E274A">
              <w:rPr>
                <w:lang w:eastAsia="en-AU"/>
              </w:rPr>
              <w:t>12</w:t>
            </w:r>
          </w:p>
        </w:tc>
        <w:tc>
          <w:tcPr>
            <w:tcW w:w="892" w:type="dxa"/>
            <w:tcBorders>
              <w:top w:val="single" w:sz="4" w:space="0" w:color="auto"/>
              <w:left w:val="nil"/>
              <w:bottom w:val="nil"/>
              <w:right w:val="nil"/>
            </w:tcBorders>
            <w:shd w:val="clear" w:color="auto" w:fill="000000"/>
          </w:tcPr>
          <w:p w:rsidR="0070375D" w:rsidRPr="005E274A" w:rsidRDefault="0070375D" w:rsidP="005E274A">
            <w:pPr>
              <w:pStyle w:val="Tabletextheading"/>
              <w:rPr>
                <w:lang w:eastAsia="en-AU"/>
              </w:rPr>
            </w:pPr>
            <w:r w:rsidRPr="005E274A">
              <w:rPr>
                <w:lang w:eastAsia="en-AU"/>
              </w:rPr>
              <w:t>2012</w:t>
            </w:r>
            <w:r w:rsidR="00276239">
              <w:rPr>
                <w:lang w:eastAsia="en-AU"/>
              </w:rPr>
              <w:noBreakHyphen/>
            </w:r>
            <w:r w:rsidRPr="005E274A">
              <w:rPr>
                <w:lang w:eastAsia="en-AU"/>
              </w:rPr>
              <w:t>13</w:t>
            </w:r>
          </w:p>
        </w:tc>
        <w:tc>
          <w:tcPr>
            <w:tcW w:w="892" w:type="dxa"/>
            <w:tcBorders>
              <w:top w:val="single" w:sz="4" w:space="0" w:color="auto"/>
              <w:left w:val="nil"/>
              <w:bottom w:val="nil"/>
              <w:right w:val="nil"/>
            </w:tcBorders>
            <w:shd w:val="clear" w:color="auto" w:fill="000000"/>
          </w:tcPr>
          <w:p w:rsidR="0070375D" w:rsidRPr="005E274A" w:rsidRDefault="0070375D" w:rsidP="005E274A">
            <w:pPr>
              <w:pStyle w:val="Tabletextheading"/>
              <w:rPr>
                <w:lang w:eastAsia="en-AU"/>
              </w:rPr>
            </w:pPr>
            <w:r w:rsidRPr="005E274A">
              <w:rPr>
                <w:lang w:eastAsia="en-AU"/>
              </w:rPr>
              <w:t>2013</w:t>
            </w:r>
            <w:r w:rsidR="00276239">
              <w:rPr>
                <w:lang w:eastAsia="en-AU"/>
              </w:rPr>
              <w:noBreakHyphen/>
            </w:r>
            <w:r w:rsidRPr="005E274A">
              <w:rPr>
                <w:lang w:eastAsia="en-AU"/>
              </w:rPr>
              <w:t>14</w:t>
            </w:r>
          </w:p>
        </w:tc>
        <w:tc>
          <w:tcPr>
            <w:tcW w:w="892" w:type="dxa"/>
            <w:tcBorders>
              <w:top w:val="single" w:sz="4" w:space="0" w:color="auto"/>
              <w:left w:val="nil"/>
              <w:bottom w:val="nil"/>
              <w:right w:val="nil"/>
            </w:tcBorders>
            <w:shd w:val="clear" w:color="auto" w:fill="000000"/>
          </w:tcPr>
          <w:p w:rsidR="0070375D" w:rsidRPr="005E274A" w:rsidRDefault="0070375D" w:rsidP="005E274A">
            <w:pPr>
              <w:pStyle w:val="Tabletextheading"/>
              <w:rPr>
                <w:lang w:eastAsia="en-AU"/>
              </w:rPr>
            </w:pPr>
            <w:r w:rsidRPr="005E274A">
              <w:rPr>
                <w:lang w:eastAsia="en-AU"/>
              </w:rPr>
              <w:t>2014</w:t>
            </w:r>
            <w:r w:rsidR="00276239">
              <w:rPr>
                <w:lang w:eastAsia="en-AU"/>
              </w:rPr>
              <w:noBreakHyphen/>
            </w:r>
            <w:r w:rsidRPr="005E274A">
              <w:rPr>
                <w:lang w:eastAsia="en-AU"/>
              </w:rPr>
              <w:t>15</w:t>
            </w:r>
          </w:p>
        </w:tc>
        <w:tc>
          <w:tcPr>
            <w:tcW w:w="892" w:type="dxa"/>
            <w:tcBorders>
              <w:top w:val="single" w:sz="4" w:space="0" w:color="auto"/>
              <w:left w:val="nil"/>
              <w:bottom w:val="nil"/>
              <w:right w:val="nil"/>
            </w:tcBorders>
            <w:shd w:val="clear" w:color="auto" w:fill="000000"/>
          </w:tcPr>
          <w:p w:rsidR="0070375D" w:rsidRPr="005E274A" w:rsidRDefault="0070375D" w:rsidP="005E274A">
            <w:pPr>
              <w:pStyle w:val="Tabletextheading"/>
              <w:rPr>
                <w:lang w:eastAsia="en-AU"/>
              </w:rPr>
            </w:pPr>
            <w:r w:rsidRPr="005E274A">
              <w:rPr>
                <w:lang w:eastAsia="en-AU"/>
              </w:rPr>
              <w:t>2015</w:t>
            </w:r>
            <w:r w:rsidR="00276239">
              <w:rPr>
                <w:lang w:eastAsia="en-AU"/>
              </w:rPr>
              <w:noBreakHyphen/>
            </w:r>
            <w:r w:rsidRPr="005E274A">
              <w:rPr>
                <w:lang w:eastAsia="en-AU"/>
              </w:rPr>
              <w:t>16</w:t>
            </w:r>
          </w:p>
        </w:tc>
        <w:tc>
          <w:tcPr>
            <w:tcW w:w="892" w:type="dxa"/>
            <w:tcBorders>
              <w:top w:val="single" w:sz="4" w:space="0" w:color="auto"/>
              <w:left w:val="nil"/>
              <w:bottom w:val="nil"/>
              <w:right w:val="single" w:sz="4" w:space="0" w:color="auto"/>
            </w:tcBorders>
            <w:shd w:val="clear" w:color="auto" w:fill="000000"/>
          </w:tcPr>
          <w:p w:rsidR="0070375D" w:rsidRPr="005E274A" w:rsidRDefault="0070375D" w:rsidP="005E274A">
            <w:pPr>
              <w:pStyle w:val="Tabletextheading"/>
              <w:rPr>
                <w:lang w:eastAsia="en-AU"/>
              </w:rPr>
            </w:pPr>
            <w:r w:rsidRPr="005E274A">
              <w:rPr>
                <w:lang w:eastAsia="en-AU"/>
              </w:rPr>
              <w:t>2016</w:t>
            </w:r>
            <w:r w:rsidR="00276239">
              <w:rPr>
                <w:lang w:eastAsia="en-AU"/>
              </w:rPr>
              <w:noBreakHyphen/>
            </w:r>
            <w:r w:rsidRPr="005E274A">
              <w:rPr>
                <w:lang w:eastAsia="en-AU"/>
              </w:rPr>
              <w:t>17</w:t>
            </w:r>
          </w:p>
        </w:tc>
      </w:tr>
      <w:tr w:rsidR="0070375D" w:rsidRPr="005E274A" w:rsidTr="005E274A">
        <w:tc>
          <w:tcPr>
            <w:tcW w:w="2419" w:type="dxa"/>
            <w:tcBorders>
              <w:top w:val="nil"/>
              <w:left w:val="single" w:sz="4" w:space="0" w:color="auto"/>
              <w:bottom w:val="single" w:sz="4" w:space="0" w:color="auto"/>
              <w:right w:val="nil"/>
            </w:tcBorders>
            <w:shd w:val="clear" w:color="auto" w:fill="000000"/>
          </w:tcPr>
          <w:p w:rsidR="0070375D" w:rsidRPr="005E274A" w:rsidRDefault="0070375D" w:rsidP="005E274A">
            <w:pPr>
              <w:pStyle w:val="Tabletext"/>
              <w:rPr>
                <w:lang w:eastAsia="en-AU"/>
              </w:rPr>
            </w:pPr>
            <w:r w:rsidRPr="005E274A">
              <w:rPr>
                <w:lang w:eastAsia="en-AU"/>
              </w:rPr>
              <w:t xml:space="preserve">          </w:t>
            </w:r>
          </w:p>
        </w:tc>
        <w:tc>
          <w:tcPr>
            <w:tcW w:w="892" w:type="dxa"/>
            <w:tcBorders>
              <w:top w:val="nil"/>
              <w:left w:val="nil"/>
              <w:bottom w:val="single" w:sz="4" w:space="0" w:color="auto"/>
              <w:right w:val="nil"/>
            </w:tcBorders>
            <w:shd w:val="clear" w:color="auto" w:fill="000000"/>
          </w:tcPr>
          <w:p w:rsidR="0070375D" w:rsidRPr="005E274A" w:rsidRDefault="0070375D" w:rsidP="005E274A">
            <w:pPr>
              <w:pStyle w:val="Tabletextheading"/>
              <w:rPr>
                <w:lang w:eastAsia="en-AU"/>
              </w:rPr>
            </w:pPr>
            <w:r w:rsidRPr="005E274A">
              <w:rPr>
                <w:lang w:eastAsia="en-AU"/>
              </w:rPr>
              <w:t>Actual</w:t>
            </w:r>
          </w:p>
        </w:tc>
        <w:tc>
          <w:tcPr>
            <w:tcW w:w="892" w:type="dxa"/>
            <w:tcBorders>
              <w:top w:val="nil"/>
              <w:left w:val="nil"/>
              <w:bottom w:val="single" w:sz="4" w:space="0" w:color="auto"/>
              <w:right w:val="nil"/>
            </w:tcBorders>
            <w:shd w:val="clear" w:color="auto" w:fill="000000"/>
          </w:tcPr>
          <w:p w:rsidR="0070375D" w:rsidRPr="005E274A" w:rsidRDefault="0070375D" w:rsidP="005E274A">
            <w:pPr>
              <w:pStyle w:val="Tabletextheading"/>
              <w:rPr>
                <w:lang w:eastAsia="en-AU"/>
              </w:rPr>
            </w:pPr>
            <w:r w:rsidRPr="005E274A">
              <w:rPr>
                <w:lang w:eastAsia="en-AU"/>
              </w:rPr>
              <w:t>Revised</w:t>
            </w:r>
          </w:p>
        </w:tc>
        <w:tc>
          <w:tcPr>
            <w:tcW w:w="892" w:type="dxa"/>
            <w:tcBorders>
              <w:top w:val="nil"/>
              <w:left w:val="nil"/>
              <w:bottom w:val="single" w:sz="4" w:space="0" w:color="auto"/>
              <w:right w:val="nil"/>
            </w:tcBorders>
            <w:shd w:val="clear" w:color="auto" w:fill="000000"/>
          </w:tcPr>
          <w:p w:rsidR="0070375D" w:rsidRPr="005E274A" w:rsidRDefault="0070375D" w:rsidP="005E274A">
            <w:pPr>
              <w:pStyle w:val="Tabletextheading"/>
              <w:rPr>
                <w:lang w:eastAsia="en-AU"/>
              </w:rPr>
            </w:pPr>
            <w:r w:rsidRPr="005E274A">
              <w:rPr>
                <w:lang w:eastAsia="en-AU"/>
              </w:rPr>
              <w:t>Budget</w:t>
            </w:r>
          </w:p>
        </w:tc>
        <w:tc>
          <w:tcPr>
            <w:tcW w:w="892" w:type="dxa"/>
            <w:tcBorders>
              <w:top w:val="nil"/>
              <w:left w:val="nil"/>
              <w:bottom w:val="single" w:sz="4" w:space="0" w:color="auto"/>
              <w:right w:val="nil"/>
            </w:tcBorders>
            <w:shd w:val="clear" w:color="auto" w:fill="000000"/>
          </w:tcPr>
          <w:p w:rsidR="0070375D" w:rsidRPr="005E274A" w:rsidRDefault="0070375D" w:rsidP="005E274A">
            <w:pPr>
              <w:pStyle w:val="Tabletextheading"/>
              <w:rPr>
                <w:lang w:eastAsia="en-AU"/>
              </w:rPr>
            </w:pPr>
            <w:r w:rsidRPr="005E274A">
              <w:rPr>
                <w:lang w:eastAsia="en-AU"/>
              </w:rPr>
              <w:t>Estimate</w:t>
            </w:r>
          </w:p>
        </w:tc>
        <w:tc>
          <w:tcPr>
            <w:tcW w:w="892" w:type="dxa"/>
            <w:tcBorders>
              <w:top w:val="nil"/>
              <w:left w:val="nil"/>
              <w:bottom w:val="single" w:sz="4" w:space="0" w:color="auto"/>
              <w:right w:val="nil"/>
            </w:tcBorders>
            <w:shd w:val="clear" w:color="auto" w:fill="000000"/>
          </w:tcPr>
          <w:p w:rsidR="0070375D" w:rsidRPr="005E274A" w:rsidRDefault="0070375D" w:rsidP="005E274A">
            <w:pPr>
              <w:pStyle w:val="Tabletextheading"/>
              <w:rPr>
                <w:lang w:eastAsia="en-AU"/>
              </w:rPr>
            </w:pPr>
            <w:r w:rsidRPr="005E274A">
              <w:rPr>
                <w:lang w:eastAsia="en-AU"/>
              </w:rPr>
              <w:t>Estimate</w:t>
            </w:r>
          </w:p>
        </w:tc>
        <w:tc>
          <w:tcPr>
            <w:tcW w:w="892" w:type="dxa"/>
            <w:tcBorders>
              <w:top w:val="nil"/>
              <w:left w:val="nil"/>
              <w:bottom w:val="single" w:sz="4" w:space="0" w:color="auto"/>
              <w:right w:val="single" w:sz="4" w:space="0" w:color="auto"/>
            </w:tcBorders>
            <w:shd w:val="clear" w:color="auto" w:fill="000000"/>
          </w:tcPr>
          <w:p w:rsidR="0070375D" w:rsidRPr="005E274A" w:rsidRDefault="0070375D" w:rsidP="005E274A">
            <w:pPr>
              <w:pStyle w:val="Tabletextheading"/>
              <w:rPr>
                <w:lang w:eastAsia="en-AU"/>
              </w:rPr>
            </w:pPr>
            <w:r w:rsidRPr="005E274A">
              <w:rPr>
                <w:lang w:eastAsia="en-AU"/>
              </w:rPr>
              <w:t>Estimate</w:t>
            </w:r>
          </w:p>
        </w:tc>
      </w:tr>
      <w:tr w:rsidR="0070375D" w:rsidRPr="005E274A" w:rsidTr="005E274A">
        <w:tc>
          <w:tcPr>
            <w:tcW w:w="2419" w:type="dxa"/>
            <w:tcBorders>
              <w:top w:val="single" w:sz="4" w:space="0" w:color="auto"/>
              <w:left w:val="nil"/>
              <w:bottom w:val="nil"/>
              <w:right w:val="nil"/>
            </w:tcBorders>
          </w:tcPr>
          <w:p w:rsidR="0070375D" w:rsidRPr="005E274A" w:rsidRDefault="0070375D" w:rsidP="005E274A">
            <w:pPr>
              <w:pStyle w:val="Tabletext"/>
              <w:rPr>
                <w:color w:val="000000"/>
                <w:lang w:eastAsia="en-AU"/>
              </w:rPr>
            </w:pPr>
            <w:r w:rsidRPr="005E274A">
              <w:rPr>
                <w:color w:val="000000"/>
                <w:lang w:eastAsia="en-AU"/>
              </w:rPr>
              <w:t>Operating cash flow surplus to revenue</w:t>
            </w:r>
          </w:p>
        </w:tc>
        <w:tc>
          <w:tcPr>
            <w:tcW w:w="892" w:type="dxa"/>
            <w:tcBorders>
              <w:top w:val="single" w:sz="4" w:space="0" w:color="auto"/>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7.6</w:t>
            </w:r>
          </w:p>
        </w:tc>
        <w:tc>
          <w:tcPr>
            <w:tcW w:w="892" w:type="dxa"/>
            <w:tcBorders>
              <w:top w:val="single" w:sz="4" w:space="0" w:color="auto"/>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3.4</w:t>
            </w:r>
          </w:p>
        </w:tc>
        <w:tc>
          <w:tcPr>
            <w:tcW w:w="892" w:type="dxa"/>
            <w:tcBorders>
              <w:top w:val="single" w:sz="4" w:space="0" w:color="auto"/>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7.4</w:t>
            </w:r>
          </w:p>
        </w:tc>
        <w:tc>
          <w:tcPr>
            <w:tcW w:w="892" w:type="dxa"/>
            <w:tcBorders>
              <w:top w:val="single" w:sz="4" w:space="0" w:color="auto"/>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8.1</w:t>
            </w:r>
          </w:p>
        </w:tc>
        <w:tc>
          <w:tcPr>
            <w:tcW w:w="892" w:type="dxa"/>
            <w:tcBorders>
              <w:top w:val="single" w:sz="4" w:space="0" w:color="auto"/>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10.5</w:t>
            </w:r>
          </w:p>
        </w:tc>
        <w:tc>
          <w:tcPr>
            <w:tcW w:w="892" w:type="dxa"/>
            <w:tcBorders>
              <w:top w:val="single" w:sz="4" w:space="0" w:color="auto"/>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11.4</w:t>
            </w:r>
          </w:p>
        </w:tc>
      </w:tr>
      <w:tr w:rsidR="0070375D" w:rsidRPr="005E274A" w:rsidTr="005E274A">
        <w:tc>
          <w:tcPr>
            <w:tcW w:w="2419" w:type="dxa"/>
            <w:tcBorders>
              <w:top w:val="nil"/>
              <w:left w:val="nil"/>
              <w:bottom w:val="nil"/>
              <w:right w:val="nil"/>
            </w:tcBorders>
          </w:tcPr>
          <w:p w:rsidR="0070375D" w:rsidRPr="005E274A" w:rsidRDefault="0070375D" w:rsidP="005E274A">
            <w:pPr>
              <w:pStyle w:val="Tabletext"/>
              <w:rPr>
                <w:color w:val="000000"/>
                <w:lang w:eastAsia="en-AU"/>
              </w:rPr>
            </w:pPr>
            <w:r w:rsidRPr="005E274A">
              <w:rPr>
                <w:color w:val="000000"/>
                <w:lang w:eastAsia="en-AU"/>
              </w:rPr>
              <w:t>Gross debt to revenue</w:t>
            </w:r>
          </w:p>
        </w:tc>
        <w:tc>
          <w:tcPr>
            <w:tcW w:w="892" w:type="dxa"/>
            <w:tcBorders>
              <w:top w:val="nil"/>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66.5</w:t>
            </w:r>
          </w:p>
        </w:tc>
        <w:tc>
          <w:tcPr>
            <w:tcW w:w="892" w:type="dxa"/>
            <w:tcBorders>
              <w:top w:val="nil"/>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87.5</w:t>
            </w:r>
          </w:p>
        </w:tc>
        <w:tc>
          <w:tcPr>
            <w:tcW w:w="892" w:type="dxa"/>
            <w:tcBorders>
              <w:top w:val="nil"/>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89.7</w:t>
            </w:r>
          </w:p>
        </w:tc>
        <w:tc>
          <w:tcPr>
            <w:tcW w:w="892" w:type="dxa"/>
            <w:tcBorders>
              <w:top w:val="nil"/>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92.6</w:t>
            </w:r>
          </w:p>
        </w:tc>
        <w:tc>
          <w:tcPr>
            <w:tcW w:w="892" w:type="dxa"/>
            <w:tcBorders>
              <w:top w:val="nil"/>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89.1</w:t>
            </w:r>
          </w:p>
        </w:tc>
        <w:tc>
          <w:tcPr>
            <w:tcW w:w="892" w:type="dxa"/>
            <w:tcBorders>
              <w:top w:val="nil"/>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84.2</w:t>
            </w:r>
          </w:p>
        </w:tc>
      </w:tr>
      <w:tr w:rsidR="0070375D" w:rsidRPr="005E274A" w:rsidTr="005E274A">
        <w:tc>
          <w:tcPr>
            <w:tcW w:w="2419" w:type="dxa"/>
            <w:tcBorders>
              <w:top w:val="nil"/>
              <w:left w:val="nil"/>
              <w:bottom w:val="single" w:sz="12" w:space="0" w:color="auto"/>
              <w:right w:val="nil"/>
            </w:tcBorders>
          </w:tcPr>
          <w:p w:rsidR="0070375D" w:rsidRPr="005E274A" w:rsidRDefault="0070375D" w:rsidP="005E274A">
            <w:pPr>
              <w:pStyle w:val="Tabletext"/>
              <w:rPr>
                <w:color w:val="000000"/>
                <w:lang w:eastAsia="en-AU"/>
              </w:rPr>
            </w:pPr>
            <w:r w:rsidRPr="005E274A">
              <w:rPr>
                <w:color w:val="000000"/>
                <w:lang w:eastAsia="en-AU"/>
              </w:rPr>
              <w:t>Interest expense to revenue</w:t>
            </w:r>
          </w:p>
        </w:tc>
        <w:tc>
          <w:tcPr>
            <w:tcW w:w="892" w:type="dxa"/>
            <w:tcBorders>
              <w:top w:val="nil"/>
              <w:left w:val="nil"/>
              <w:bottom w:val="single" w:sz="12" w:space="0" w:color="auto"/>
              <w:right w:val="nil"/>
            </w:tcBorders>
          </w:tcPr>
          <w:p w:rsidR="0070375D" w:rsidRPr="005E274A" w:rsidRDefault="0070375D" w:rsidP="005E274A">
            <w:pPr>
              <w:pStyle w:val="TableofFigures"/>
              <w:rPr>
                <w:color w:val="000000"/>
                <w:lang w:eastAsia="en-AU"/>
              </w:rPr>
            </w:pPr>
            <w:r w:rsidRPr="005E274A">
              <w:rPr>
                <w:color w:val="000000"/>
                <w:lang w:eastAsia="en-AU"/>
              </w:rPr>
              <w:t xml:space="preserve"> 3.8</w:t>
            </w:r>
          </w:p>
        </w:tc>
        <w:tc>
          <w:tcPr>
            <w:tcW w:w="892" w:type="dxa"/>
            <w:tcBorders>
              <w:top w:val="nil"/>
              <w:left w:val="nil"/>
              <w:bottom w:val="single" w:sz="12" w:space="0" w:color="auto"/>
              <w:right w:val="nil"/>
            </w:tcBorders>
          </w:tcPr>
          <w:p w:rsidR="0070375D" w:rsidRPr="005E274A" w:rsidRDefault="0070375D" w:rsidP="005E274A">
            <w:pPr>
              <w:pStyle w:val="TableofFigures"/>
              <w:rPr>
                <w:color w:val="000000"/>
                <w:lang w:eastAsia="en-AU"/>
              </w:rPr>
            </w:pPr>
            <w:r w:rsidRPr="005E274A">
              <w:rPr>
                <w:color w:val="000000"/>
                <w:lang w:eastAsia="en-AU"/>
              </w:rPr>
              <w:t xml:space="preserve"> 4.8</w:t>
            </w:r>
          </w:p>
        </w:tc>
        <w:tc>
          <w:tcPr>
            <w:tcW w:w="892" w:type="dxa"/>
            <w:tcBorders>
              <w:top w:val="nil"/>
              <w:left w:val="nil"/>
              <w:bottom w:val="single" w:sz="12" w:space="0" w:color="auto"/>
              <w:right w:val="nil"/>
            </w:tcBorders>
          </w:tcPr>
          <w:p w:rsidR="0070375D" w:rsidRPr="005E274A" w:rsidRDefault="0070375D" w:rsidP="005E274A">
            <w:pPr>
              <w:pStyle w:val="TableofFigures"/>
              <w:rPr>
                <w:color w:val="000000"/>
                <w:lang w:eastAsia="en-AU"/>
              </w:rPr>
            </w:pPr>
            <w:r w:rsidRPr="005E274A">
              <w:rPr>
                <w:color w:val="000000"/>
                <w:lang w:eastAsia="en-AU"/>
              </w:rPr>
              <w:t xml:space="preserve"> 5.5</w:t>
            </w:r>
          </w:p>
        </w:tc>
        <w:tc>
          <w:tcPr>
            <w:tcW w:w="892" w:type="dxa"/>
            <w:tcBorders>
              <w:top w:val="nil"/>
              <w:left w:val="nil"/>
              <w:bottom w:val="single" w:sz="12" w:space="0" w:color="auto"/>
              <w:right w:val="nil"/>
            </w:tcBorders>
          </w:tcPr>
          <w:p w:rsidR="0070375D" w:rsidRPr="005E274A" w:rsidRDefault="0070375D" w:rsidP="005E274A">
            <w:pPr>
              <w:pStyle w:val="TableofFigures"/>
              <w:rPr>
                <w:color w:val="000000"/>
                <w:lang w:eastAsia="en-AU"/>
              </w:rPr>
            </w:pPr>
            <w:r w:rsidRPr="005E274A">
              <w:rPr>
                <w:color w:val="000000"/>
                <w:lang w:eastAsia="en-AU"/>
              </w:rPr>
              <w:t xml:space="preserve"> 5.6</w:t>
            </w:r>
          </w:p>
        </w:tc>
        <w:tc>
          <w:tcPr>
            <w:tcW w:w="892" w:type="dxa"/>
            <w:tcBorders>
              <w:top w:val="nil"/>
              <w:left w:val="nil"/>
              <w:bottom w:val="single" w:sz="12" w:space="0" w:color="auto"/>
              <w:right w:val="nil"/>
            </w:tcBorders>
          </w:tcPr>
          <w:p w:rsidR="0070375D" w:rsidRPr="005E274A" w:rsidRDefault="0070375D" w:rsidP="005E274A">
            <w:pPr>
              <w:pStyle w:val="TableofFigures"/>
              <w:rPr>
                <w:color w:val="000000"/>
                <w:lang w:eastAsia="en-AU"/>
              </w:rPr>
            </w:pPr>
            <w:r w:rsidRPr="005E274A">
              <w:rPr>
                <w:color w:val="000000"/>
                <w:lang w:eastAsia="en-AU"/>
              </w:rPr>
              <w:t xml:space="preserve"> 5.4</w:t>
            </w:r>
          </w:p>
        </w:tc>
        <w:tc>
          <w:tcPr>
            <w:tcW w:w="892" w:type="dxa"/>
            <w:tcBorders>
              <w:top w:val="nil"/>
              <w:left w:val="nil"/>
              <w:bottom w:val="single" w:sz="12" w:space="0" w:color="auto"/>
              <w:right w:val="nil"/>
            </w:tcBorders>
          </w:tcPr>
          <w:p w:rsidR="0070375D" w:rsidRPr="005E274A" w:rsidRDefault="0070375D" w:rsidP="005E274A">
            <w:pPr>
              <w:pStyle w:val="TableofFigures"/>
              <w:rPr>
                <w:color w:val="000000"/>
                <w:lang w:eastAsia="en-AU"/>
              </w:rPr>
            </w:pPr>
            <w:r w:rsidRPr="005E274A">
              <w:rPr>
                <w:color w:val="000000"/>
                <w:lang w:eastAsia="en-AU"/>
              </w:rPr>
              <w:t xml:space="preserve"> 5.3</w:t>
            </w:r>
          </w:p>
        </w:tc>
      </w:tr>
    </w:tbl>
    <w:p w:rsidR="0070375D" w:rsidRPr="00733B8A" w:rsidRDefault="0070375D" w:rsidP="002F1641">
      <w:pPr>
        <w:pStyle w:val="Source"/>
      </w:pPr>
      <w:r w:rsidRPr="00302F9E">
        <w:t>Source</w:t>
      </w:r>
      <w:r>
        <w:t>: Department of Treasury and Finance</w:t>
      </w:r>
    </w:p>
    <w:p w:rsidR="0070375D" w:rsidRPr="0044448D" w:rsidRDefault="0070375D" w:rsidP="0044448D">
      <w:pPr>
        <w:pStyle w:val="Source"/>
      </w:pPr>
    </w:p>
    <w:p w:rsidR="0070375D" w:rsidRDefault="0070375D" w:rsidP="00251B56">
      <w:r>
        <w:t>The chart below shows a longer</w:t>
      </w:r>
      <w:r w:rsidR="00276239">
        <w:noBreakHyphen/>
      </w:r>
      <w:r>
        <w:t>term trend of the ratio of NFPS gross debt to revenue, which is forecast to peak in 2014</w:t>
      </w:r>
      <w:r w:rsidR="00276239">
        <w:noBreakHyphen/>
      </w:r>
      <w:r>
        <w:t>15 before declining in subsequent periods.</w:t>
      </w:r>
    </w:p>
    <w:p w:rsidR="0070375D" w:rsidRPr="001C30D4" w:rsidRDefault="0070375D" w:rsidP="001C30D4">
      <w:pPr>
        <w:pStyle w:val="Chartheading"/>
        <w:rPr>
          <w:vertAlign w:val="superscript"/>
        </w:rPr>
      </w:pPr>
      <w:r>
        <w:t>Chart 5.2:</w:t>
      </w:r>
      <w:r>
        <w:tab/>
        <w:t>Non</w:t>
      </w:r>
      <w:r w:rsidR="00276239">
        <w:noBreakHyphen/>
      </w:r>
      <w:r>
        <w:t>financial public sector gross debt to revenue</w:t>
      </w:r>
      <w:r w:rsidRPr="008C448F">
        <w:rPr>
          <w:vertAlign w:val="superscript"/>
        </w:rPr>
        <w:t>(a)</w:t>
      </w:r>
    </w:p>
    <w:p w:rsidR="0070375D" w:rsidRPr="00255A07" w:rsidRDefault="00315427" w:rsidP="00255A07">
      <w:pPr>
        <w:pStyle w:val="Chartpara"/>
      </w:pPr>
      <w:r>
        <w:pict>
          <v:shape id="_x0000_i1041" type="#_x0000_t75" style="width:372pt;height:210.75pt">
            <v:imagedata r:id="rId41" o:title=""/>
          </v:shape>
        </w:pict>
      </w:r>
    </w:p>
    <w:p w:rsidR="0070375D" w:rsidRDefault="0070375D" w:rsidP="00302DBB">
      <w:pPr>
        <w:pStyle w:val="Source"/>
      </w:pPr>
      <w:r>
        <w:t>Source: Department of Treasury and Finance</w:t>
      </w:r>
    </w:p>
    <w:p w:rsidR="0070375D" w:rsidRDefault="0070375D" w:rsidP="00302DBB">
      <w:pPr>
        <w:pStyle w:val="Notes"/>
      </w:pPr>
      <w:r>
        <w:t>Note:</w:t>
      </w:r>
    </w:p>
    <w:p w:rsidR="0070375D" w:rsidRDefault="0070375D" w:rsidP="00302DBB">
      <w:pPr>
        <w:pStyle w:val="Notes"/>
      </w:pPr>
      <w:r>
        <w:t>(a)</w:t>
      </w:r>
      <w:r>
        <w:tab/>
        <w:t>Gross debt includes borrowings and deposits held and advances received.</w:t>
      </w:r>
    </w:p>
    <w:p w:rsidR="0070375D" w:rsidRDefault="0070375D" w:rsidP="00302DBB">
      <w:pPr>
        <w:pStyle w:val="Notes"/>
      </w:pPr>
    </w:p>
    <w:p w:rsidR="0070375D" w:rsidRDefault="0070375D" w:rsidP="00733B8A">
      <w:pPr>
        <w:pStyle w:val="Heading1"/>
      </w:pPr>
      <w:bookmarkStart w:id="63" w:name="_Toc355372034"/>
      <w:r>
        <w:lastRenderedPageBreak/>
        <w:t>Summary operating results – State of Victoria</w:t>
      </w:r>
      <w:bookmarkEnd w:id="63"/>
    </w:p>
    <w:p w:rsidR="0070375D" w:rsidRDefault="0070375D" w:rsidP="00153C3D">
      <w:pPr>
        <w:pStyle w:val="Tableheading"/>
        <w:rPr>
          <w:vertAlign w:val="superscript"/>
        </w:rPr>
      </w:pPr>
      <w:r>
        <w:t>Table </w:t>
      </w:r>
      <w:r w:rsidRPr="000F7709">
        <w:t>5.</w:t>
      </w:r>
      <w:r>
        <w:t>5:</w:t>
      </w:r>
      <w:r>
        <w:tab/>
        <w:t>Summary operating statement for the State of Victoria</w:t>
      </w:r>
      <w:r w:rsidRPr="00153C3D">
        <w:rPr>
          <w:vertAlign w:val="superscript"/>
        </w:rPr>
        <w:t>(a)</w:t>
      </w:r>
    </w:p>
    <w:p w:rsidR="0070375D" w:rsidRPr="00B5537C" w:rsidRDefault="0070375D" w:rsidP="00B5537C">
      <w:pPr>
        <w:pStyle w:val="million"/>
        <w:rPr>
          <w:rFonts w:ascii="Times New Roman" w:hAnsi="Times New Roman"/>
          <w:sz w:val="20"/>
          <w:lang w:eastAsia="en-AU"/>
        </w:rPr>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291"/>
        <w:gridCol w:w="63"/>
        <w:gridCol w:w="66"/>
        <w:gridCol w:w="146"/>
        <w:gridCol w:w="746"/>
        <w:gridCol w:w="892"/>
        <w:gridCol w:w="893"/>
        <w:gridCol w:w="893"/>
        <w:gridCol w:w="893"/>
        <w:gridCol w:w="893"/>
      </w:tblGrid>
      <w:tr w:rsidR="0070375D" w:rsidRPr="00B5537C" w:rsidTr="00B5537C">
        <w:tc>
          <w:tcPr>
            <w:tcW w:w="2420" w:type="dxa"/>
            <w:gridSpan w:val="3"/>
            <w:tcBorders>
              <w:top w:val="single" w:sz="4" w:space="0" w:color="auto"/>
              <w:left w:val="single" w:sz="4" w:space="0" w:color="auto"/>
              <w:bottom w:val="nil"/>
              <w:right w:val="nil"/>
            </w:tcBorders>
            <w:shd w:val="clear" w:color="auto" w:fill="000000"/>
          </w:tcPr>
          <w:p w:rsidR="0070375D" w:rsidRPr="00B5537C" w:rsidRDefault="0070375D" w:rsidP="00B5537C">
            <w:pPr>
              <w:pStyle w:val="Tabletext"/>
              <w:rPr>
                <w:lang w:eastAsia="en-AU"/>
              </w:rPr>
            </w:pPr>
            <w:r w:rsidRPr="00B5537C">
              <w:rPr>
                <w:lang w:eastAsia="en-AU"/>
              </w:rPr>
              <w:t xml:space="preserve">       </w:t>
            </w:r>
          </w:p>
        </w:tc>
        <w:tc>
          <w:tcPr>
            <w:tcW w:w="892" w:type="dxa"/>
            <w:gridSpan w:val="2"/>
            <w:tcBorders>
              <w:top w:val="single" w:sz="4" w:space="0" w:color="auto"/>
              <w:left w:val="nil"/>
              <w:bottom w:val="nil"/>
              <w:right w:val="nil"/>
            </w:tcBorders>
            <w:shd w:val="clear" w:color="auto" w:fill="000000"/>
          </w:tcPr>
          <w:p w:rsidR="0070375D" w:rsidRPr="00B5537C" w:rsidRDefault="0070375D" w:rsidP="00B5537C">
            <w:pPr>
              <w:pStyle w:val="Tabletextheading"/>
              <w:rPr>
                <w:lang w:eastAsia="en-AU"/>
              </w:rPr>
            </w:pPr>
            <w:r w:rsidRPr="00B5537C">
              <w:rPr>
                <w:lang w:eastAsia="en-AU"/>
              </w:rPr>
              <w:t>2011</w:t>
            </w:r>
            <w:r w:rsidR="00276239">
              <w:rPr>
                <w:lang w:eastAsia="en-AU"/>
              </w:rPr>
              <w:noBreakHyphen/>
            </w:r>
            <w:r w:rsidRPr="00B5537C">
              <w:rPr>
                <w:lang w:eastAsia="en-AU"/>
              </w:rPr>
              <w:t>12</w:t>
            </w:r>
          </w:p>
        </w:tc>
        <w:tc>
          <w:tcPr>
            <w:tcW w:w="892" w:type="dxa"/>
            <w:tcBorders>
              <w:top w:val="single" w:sz="4" w:space="0" w:color="auto"/>
              <w:left w:val="nil"/>
              <w:bottom w:val="nil"/>
              <w:right w:val="nil"/>
            </w:tcBorders>
            <w:shd w:val="clear" w:color="auto" w:fill="000000"/>
          </w:tcPr>
          <w:p w:rsidR="0070375D" w:rsidRPr="00B5537C" w:rsidRDefault="0070375D" w:rsidP="00B5537C">
            <w:pPr>
              <w:pStyle w:val="Tabletextheading"/>
              <w:rPr>
                <w:lang w:eastAsia="en-AU"/>
              </w:rPr>
            </w:pPr>
            <w:r w:rsidRPr="00B5537C">
              <w:rPr>
                <w:lang w:eastAsia="en-AU"/>
              </w:rPr>
              <w:t>2012</w:t>
            </w:r>
            <w:r w:rsidR="00276239">
              <w:rPr>
                <w:lang w:eastAsia="en-AU"/>
              </w:rPr>
              <w:noBreakHyphen/>
            </w:r>
            <w:r w:rsidRPr="00B5537C">
              <w:rPr>
                <w:lang w:eastAsia="en-AU"/>
              </w:rPr>
              <w:t>13</w:t>
            </w:r>
          </w:p>
        </w:tc>
        <w:tc>
          <w:tcPr>
            <w:tcW w:w="893" w:type="dxa"/>
            <w:tcBorders>
              <w:top w:val="single" w:sz="4" w:space="0" w:color="auto"/>
              <w:left w:val="nil"/>
              <w:bottom w:val="nil"/>
              <w:right w:val="nil"/>
            </w:tcBorders>
            <w:shd w:val="clear" w:color="auto" w:fill="000000"/>
          </w:tcPr>
          <w:p w:rsidR="0070375D" w:rsidRPr="00B5537C" w:rsidRDefault="0070375D" w:rsidP="00B5537C">
            <w:pPr>
              <w:pStyle w:val="Tabletextheading"/>
              <w:rPr>
                <w:lang w:eastAsia="en-AU"/>
              </w:rPr>
            </w:pPr>
            <w:r w:rsidRPr="00B5537C">
              <w:rPr>
                <w:lang w:eastAsia="en-AU"/>
              </w:rPr>
              <w:t>2013</w:t>
            </w:r>
            <w:r w:rsidR="00276239">
              <w:rPr>
                <w:lang w:eastAsia="en-AU"/>
              </w:rPr>
              <w:noBreakHyphen/>
            </w:r>
            <w:r w:rsidRPr="00B5537C">
              <w:rPr>
                <w:lang w:eastAsia="en-AU"/>
              </w:rPr>
              <w:t>14</w:t>
            </w:r>
          </w:p>
        </w:tc>
        <w:tc>
          <w:tcPr>
            <w:tcW w:w="893" w:type="dxa"/>
            <w:tcBorders>
              <w:top w:val="single" w:sz="4" w:space="0" w:color="auto"/>
              <w:left w:val="nil"/>
              <w:bottom w:val="nil"/>
              <w:right w:val="nil"/>
            </w:tcBorders>
            <w:shd w:val="clear" w:color="auto" w:fill="000000"/>
          </w:tcPr>
          <w:p w:rsidR="0070375D" w:rsidRPr="00B5537C" w:rsidRDefault="0070375D" w:rsidP="00B5537C">
            <w:pPr>
              <w:pStyle w:val="Tabletextheading"/>
              <w:rPr>
                <w:lang w:eastAsia="en-AU"/>
              </w:rPr>
            </w:pPr>
            <w:r w:rsidRPr="00B5537C">
              <w:rPr>
                <w:lang w:eastAsia="en-AU"/>
              </w:rPr>
              <w:t>2014</w:t>
            </w:r>
            <w:r w:rsidR="00276239">
              <w:rPr>
                <w:lang w:eastAsia="en-AU"/>
              </w:rPr>
              <w:noBreakHyphen/>
            </w:r>
            <w:r w:rsidRPr="00B5537C">
              <w:rPr>
                <w:lang w:eastAsia="en-AU"/>
              </w:rPr>
              <w:t>15</w:t>
            </w:r>
          </w:p>
        </w:tc>
        <w:tc>
          <w:tcPr>
            <w:tcW w:w="893" w:type="dxa"/>
            <w:tcBorders>
              <w:top w:val="single" w:sz="4" w:space="0" w:color="auto"/>
              <w:left w:val="nil"/>
              <w:bottom w:val="nil"/>
              <w:right w:val="nil"/>
            </w:tcBorders>
            <w:shd w:val="clear" w:color="auto" w:fill="000000"/>
          </w:tcPr>
          <w:p w:rsidR="0070375D" w:rsidRPr="00B5537C" w:rsidRDefault="0070375D" w:rsidP="00B5537C">
            <w:pPr>
              <w:pStyle w:val="Tabletextheading"/>
              <w:rPr>
                <w:lang w:eastAsia="en-AU"/>
              </w:rPr>
            </w:pPr>
            <w:r w:rsidRPr="00B5537C">
              <w:rPr>
                <w:lang w:eastAsia="en-AU"/>
              </w:rPr>
              <w:t>2015</w:t>
            </w:r>
            <w:r w:rsidR="00276239">
              <w:rPr>
                <w:lang w:eastAsia="en-AU"/>
              </w:rPr>
              <w:noBreakHyphen/>
            </w:r>
            <w:r w:rsidRPr="00B5537C">
              <w:rPr>
                <w:lang w:eastAsia="en-AU"/>
              </w:rPr>
              <w:t>16</w:t>
            </w:r>
          </w:p>
        </w:tc>
        <w:tc>
          <w:tcPr>
            <w:tcW w:w="893" w:type="dxa"/>
            <w:tcBorders>
              <w:top w:val="single" w:sz="4" w:space="0" w:color="auto"/>
              <w:left w:val="nil"/>
              <w:bottom w:val="nil"/>
              <w:right w:val="single" w:sz="4" w:space="0" w:color="auto"/>
            </w:tcBorders>
            <w:shd w:val="clear" w:color="auto" w:fill="000000"/>
          </w:tcPr>
          <w:p w:rsidR="0070375D" w:rsidRPr="00B5537C" w:rsidRDefault="0070375D" w:rsidP="00B5537C">
            <w:pPr>
              <w:pStyle w:val="Tabletextheading"/>
              <w:rPr>
                <w:lang w:eastAsia="en-AU"/>
              </w:rPr>
            </w:pPr>
            <w:r w:rsidRPr="00B5537C">
              <w:rPr>
                <w:lang w:eastAsia="en-AU"/>
              </w:rPr>
              <w:t>2016</w:t>
            </w:r>
            <w:r w:rsidR="00276239">
              <w:rPr>
                <w:lang w:eastAsia="en-AU"/>
              </w:rPr>
              <w:noBreakHyphen/>
            </w:r>
            <w:r w:rsidRPr="00B5537C">
              <w:rPr>
                <w:lang w:eastAsia="en-AU"/>
              </w:rPr>
              <w:t>17</w:t>
            </w:r>
          </w:p>
        </w:tc>
      </w:tr>
      <w:tr w:rsidR="0070375D" w:rsidRPr="00B5537C" w:rsidTr="00B5537C">
        <w:tc>
          <w:tcPr>
            <w:tcW w:w="2420" w:type="dxa"/>
            <w:gridSpan w:val="3"/>
            <w:tcBorders>
              <w:top w:val="nil"/>
              <w:left w:val="single" w:sz="4" w:space="0" w:color="auto"/>
              <w:bottom w:val="single" w:sz="4" w:space="0" w:color="auto"/>
              <w:right w:val="nil"/>
            </w:tcBorders>
            <w:shd w:val="clear" w:color="auto" w:fill="000000"/>
          </w:tcPr>
          <w:p w:rsidR="0070375D" w:rsidRPr="00B5537C" w:rsidRDefault="0070375D" w:rsidP="00B5537C">
            <w:pPr>
              <w:pStyle w:val="Tabletext"/>
              <w:rPr>
                <w:lang w:eastAsia="en-AU"/>
              </w:rPr>
            </w:pPr>
            <w:r w:rsidRPr="00B5537C">
              <w:rPr>
                <w:lang w:eastAsia="en-AU"/>
              </w:rPr>
              <w:t xml:space="preserve">          </w:t>
            </w:r>
          </w:p>
        </w:tc>
        <w:tc>
          <w:tcPr>
            <w:tcW w:w="892" w:type="dxa"/>
            <w:gridSpan w:val="2"/>
            <w:tcBorders>
              <w:top w:val="nil"/>
              <w:left w:val="nil"/>
              <w:bottom w:val="single" w:sz="4" w:space="0" w:color="auto"/>
              <w:right w:val="nil"/>
            </w:tcBorders>
            <w:shd w:val="clear" w:color="auto" w:fill="000000"/>
          </w:tcPr>
          <w:p w:rsidR="0070375D" w:rsidRPr="00B5537C" w:rsidRDefault="0070375D" w:rsidP="00B5537C">
            <w:pPr>
              <w:pStyle w:val="Tabletextheading"/>
              <w:rPr>
                <w:lang w:eastAsia="en-AU"/>
              </w:rPr>
            </w:pPr>
            <w:r w:rsidRPr="00B5537C">
              <w:rPr>
                <w:lang w:eastAsia="en-AU"/>
              </w:rPr>
              <w:t>Actual</w:t>
            </w:r>
          </w:p>
        </w:tc>
        <w:tc>
          <w:tcPr>
            <w:tcW w:w="892" w:type="dxa"/>
            <w:tcBorders>
              <w:top w:val="nil"/>
              <w:left w:val="nil"/>
              <w:bottom w:val="single" w:sz="4" w:space="0" w:color="auto"/>
              <w:right w:val="nil"/>
            </w:tcBorders>
            <w:shd w:val="clear" w:color="auto" w:fill="000000"/>
          </w:tcPr>
          <w:p w:rsidR="0070375D" w:rsidRPr="00B5537C" w:rsidRDefault="0070375D" w:rsidP="00B5537C">
            <w:pPr>
              <w:pStyle w:val="Tabletextheading"/>
              <w:rPr>
                <w:lang w:eastAsia="en-AU"/>
              </w:rPr>
            </w:pPr>
            <w:r w:rsidRPr="00B5537C">
              <w:rPr>
                <w:lang w:eastAsia="en-AU"/>
              </w:rPr>
              <w:t>Revised</w:t>
            </w:r>
          </w:p>
        </w:tc>
        <w:tc>
          <w:tcPr>
            <w:tcW w:w="893" w:type="dxa"/>
            <w:tcBorders>
              <w:top w:val="nil"/>
              <w:left w:val="nil"/>
              <w:bottom w:val="single" w:sz="4" w:space="0" w:color="auto"/>
              <w:right w:val="nil"/>
            </w:tcBorders>
            <w:shd w:val="clear" w:color="auto" w:fill="000000"/>
          </w:tcPr>
          <w:p w:rsidR="0070375D" w:rsidRPr="00B5537C" w:rsidRDefault="0070375D" w:rsidP="00B5537C">
            <w:pPr>
              <w:pStyle w:val="Tabletextheading"/>
              <w:rPr>
                <w:lang w:eastAsia="en-AU"/>
              </w:rPr>
            </w:pPr>
            <w:r w:rsidRPr="00B5537C">
              <w:rPr>
                <w:lang w:eastAsia="en-AU"/>
              </w:rPr>
              <w:t>Budget</w:t>
            </w:r>
          </w:p>
        </w:tc>
        <w:tc>
          <w:tcPr>
            <w:tcW w:w="893" w:type="dxa"/>
            <w:tcBorders>
              <w:top w:val="nil"/>
              <w:left w:val="nil"/>
              <w:bottom w:val="single" w:sz="4" w:space="0" w:color="auto"/>
              <w:right w:val="nil"/>
            </w:tcBorders>
            <w:shd w:val="clear" w:color="auto" w:fill="000000"/>
          </w:tcPr>
          <w:p w:rsidR="0070375D" w:rsidRPr="00B5537C" w:rsidRDefault="0070375D" w:rsidP="00B5537C">
            <w:pPr>
              <w:pStyle w:val="Tabletextheading"/>
              <w:rPr>
                <w:lang w:eastAsia="en-AU"/>
              </w:rPr>
            </w:pPr>
            <w:r w:rsidRPr="00B5537C">
              <w:rPr>
                <w:lang w:eastAsia="en-AU"/>
              </w:rPr>
              <w:t>Estimate</w:t>
            </w:r>
          </w:p>
        </w:tc>
        <w:tc>
          <w:tcPr>
            <w:tcW w:w="893" w:type="dxa"/>
            <w:tcBorders>
              <w:top w:val="nil"/>
              <w:left w:val="nil"/>
              <w:bottom w:val="single" w:sz="4" w:space="0" w:color="auto"/>
              <w:right w:val="nil"/>
            </w:tcBorders>
            <w:shd w:val="clear" w:color="auto" w:fill="000000"/>
          </w:tcPr>
          <w:p w:rsidR="0070375D" w:rsidRPr="00B5537C" w:rsidRDefault="0070375D" w:rsidP="00B5537C">
            <w:pPr>
              <w:pStyle w:val="Tabletextheading"/>
              <w:rPr>
                <w:lang w:eastAsia="en-AU"/>
              </w:rPr>
            </w:pPr>
            <w:r w:rsidRPr="00B5537C">
              <w:rPr>
                <w:lang w:eastAsia="en-AU"/>
              </w:rPr>
              <w:t>Estimate</w:t>
            </w:r>
          </w:p>
        </w:tc>
        <w:tc>
          <w:tcPr>
            <w:tcW w:w="893" w:type="dxa"/>
            <w:tcBorders>
              <w:top w:val="nil"/>
              <w:left w:val="nil"/>
              <w:bottom w:val="single" w:sz="4" w:space="0" w:color="auto"/>
              <w:right w:val="single" w:sz="4" w:space="0" w:color="auto"/>
            </w:tcBorders>
            <w:shd w:val="clear" w:color="auto" w:fill="000000"/>
          </w:tcPr>
          <w:p w:rsidR="0070375D" w:rsidRPr="00B5537C" w:rsidRDefault="0070375D" w:rsidP="00B5537C">
            <w:pPr>
              <w:pStyle w:val="Tabletextheading"/>
              <w:rPr>
                <w:lang w:eastAsia="en-AU"/>
              </w:rPr>
            </w:pPr>
            <w:r w:rsidRPr="00B5537C">
              <w:rPr>
                <w:lang w:eastAsia="en-AU"/>
              </w:rPr>
              <w:t>Estimate</w:t>
            </w:r>
          </w:p>
        </w:tc>
      </w:tr>
      <w:tr w:rsidR="0070375D" w:rsidRPr="00B5537C" w:rsidTr="00B5537C">
        <w:tc>
          <w:tcPr>
            <w:tcW w:w="2420" w:type="dxa"/>
            <w:gridSpan w:val="3"/>
            <w:tcBorders>
              <w:top w:val="single" w:sz="4" w:space="0" w:color="auto"/>
              <w:left w:val="nil"/>
              <w:bottom w:val="nil"/>
              <w:right w:val="nil"/>
            </w:tcBorders>
          </w:tcPr>
          <w:p w:rsidR="0070375D" w:rsidRPr="00B5537C" w:rsidRDefault="0070375D" w:rsidP="00B5537C">
            <w:pPr>
              <w:pStyle w:val="Tabletext"/>
              <w:rPr>
                <w:b/>
                <w:bCs/>
                <w:color w:val="000000"/>
                <w:lang w:eastAsia="en-AU"/>
              </w:rPr>
            </w:pPr>
            <w:r w:rsidRPr="00B5537C">
              <w:rPr>
                <w:b/>
                <w:bCs/>
                <w:color w:val="000000"/>
                <w:lang w:eastAsia="en-AU"/>
              </w:rPr>
              <w:t>Revenue</w:t>
            </w:r>
          </w:p>
        </w:tc>
        <w:tc>
          <w:tcPr>
            <w:tcW w:w="892" w:type="dxa"/>
            <w:gridSpan w:val="2"/>
            <w:tcBorders>
              <w:top w:val="single" w:sz="4" w:space="0" w:color="auto"/>
              <w:left w:val="nil"/>
              <w:bottom w:val="nil"/>
              <w:right w:val="nil"/>
            </w:tcBorders>
          </w:tcPr>
          <w:p w:rsidR="0070375D" w:rsidRPr="00B5537C" w:rsidRDefault="0070375D" w:rsidP="00B5537C">
            <w:pPr>
              <w:pStyle w:val="TableofFigures"/>
              <w:rPr>
                <w:color w:val="000000"/>
                <w:lang w:eastAsia="en-AU"/>
              </w:rPr>
            </w:pPr>
          </w:p>
        </w:tc>
        <w:tc>
          <w:tcPr>
            <w:tcW w:w="892" w:type="dxa"/>
            <w:tcBorders>
              <w:top w:val="single" w:sz="4" w:space="0" w:color="auto"/>
              <w:left w:val="nil"/>
              <w:bottom w:val="nil"/>
              <w:right w:val="nil"/>
            </w:tcBorders>
          </w:tcPr>
          <w:p w:rsidR="0070375D" w:rsidRPr="00B5537C" w:rsidRDefault="0070375D" w:rsidP="00B5537C">
            <w:pPr>
              <w:pStyle w:val="TableofFigures"/>
              <w:rPr>
                <w:color w:val="000000"/>
                <w:lang w:eastAsia="en-AU"/>
              </w:rPr>
            </w:pPr>
          </w:p>
        </w:tc>
        <w:tc>
          <w:tcPr>
            <w:tcW w:w="893" w:type="dxa"/>
            <w:tcBorders>
              <w:top w:val="single" w:sz="4" w:space="0" w:color="auto"/>
              <w:left w:val="nil"/>
              <w:bottom w:val="nil"/>
              <w:right w:val="nil"/>
            </w:tcBorders>
          </w:tcPr>
          <w:p w:rsidR="0070375D" w:rsidRPr="00B5537C" w:rsidRDefault="0070375D" w:rsidP="00B5537C">
            <w:pPr>
              <w:pStyle w:val="TableofFigures"/>
              <w:rPr>
                <w:color w:val="000000"/>
                <w:lang w:eastAsia="en-AU"/>
              </w:rPr>
            </w:pPr>
            <w:r w:rsidRPr="00B5537C">
              <w:rPr>
                <w:color w:val="000000"/>
                <w:lang w:eastAsia="en-AU"/>
              </w:rPr>
              <w:t xml:space="preserve">        </w:t>
            </w:r>
          </w:p>
        </w:tc>
        <w:tc>
          <w:tcPr>
            <w:tcW w:w="893" w:type="dxa"/>
            <w:tcBorders>
              <w:top w:val="single" w:sz="4" w:space="0" w:color="auto"/>
              <w:left w:val="nil"/>
              <w:bottom w:val="nil"/>
              <w:right w:val="nil"/>
            </w:tcBorders>
          </w:tcPr>
          <w:p w:rsidR="0070375D" w:rsidRPr="00B5537C" w:rsidRDefault="0070375D" w:rsidP="00B5537C">
            <w:pPr>
              <w:pStyle w:val="TableofFigures"/>
              <w:rPr>
                <w:color w:val="000000"/>
                <w:lang w:eastAsia="en-AU"/>
              </w:rPr>
            </w:pPr>
            <w:r w:rsidRPr="00B5537C">
              <w:rPr>
                <w:color w:val="000000"/>
                <w:lang w:eastAsia="en-AU"/>
              </w:rPr>
              <w:t xml:space="preserve">        </w:t>
            </w:r>
          </w:p>
        </w:tc>
        <w:tc>
          <w:tcPr>
            <w:tcW w:w="893" w:type="dxa"/>
            <w:tcBorders>
              <w:top w:val="single" w:sz="4" w:space="0" w:color="auto"/>
              <w:left w:val="nil"/>
              <w:bottom w:val="nil"/>
              <w:right w:val="nil"/>
            </w:tcBorders>
          </w:tcPr>
          <w:p w:rsidR="0070375D" w:rsidRPr="00B5537C" w:rsidRDefault="0070375D" w:rsidP="00B5537C">
            <w:pPr>
              <w:pStyle w:val="TableofFigures"/>
              <w:rPr>
                <w:color w:val="000000"/>
                <w:lang w:eastAsia="en-AU"/>
              </w:rPr>
            </w:pPr>
            <w:r w:rsidRPr="00B5537C">
              <w:rPr>
                <w:color w:val="000000"/>
                <w:lang w:eastAsia="en-AU"/>
              </w:rPr>
              <w:t xml:space="preserve">        </w:t>
            </w:r>
          </w:p>
        </w:tc>
        <w:tc>
          <w:tcPr>
            <w:tcW w:w="893" w:type="dxa"/>
            <w:tcBorders>
              <w:top w:val="single" w:sz="4" w:space="0" w:color="auto"/>
              <w:left w:val="nil"/>
              <w:bottom w:val="nil"/>
              <w:right w:val="nil"/>
            </w:tcBorders>
          </w:tcPr>
          <w:p w:rsidR="0070375D" w:rsidRPr="00B5537C" w:rsidRDefault="0070375D" w:rsidP="00B5537C">
            <w:pPr>
              <w:pStyle w:val="TableofFigures"/>
              <w:rPr>
                <w:color w:val="000000"/>
                <w:lang w:eastAsia="en-AU"/>
              </w:rPr>
            </w:pPr>
            <w:r w:rsidRPr="00B5537C">
              <w:rPr>
                <w:color w:val="000000"/>
                <w:lang w:eastAsia="en-AU"/>
              </w:rPr>
              <w:t xml:space="preserve">       </w:t>
            </w:r>
          </w:p>
        </w:tc>
      </w:tr>
      <w:tr w:rsidR="0070375D" w:rsidRPr="00B5537C" w:rsidTr="00B5537C">
        <w:tc>
          <w:tcPr>
            <w:tcW w:w="2420" w:type="dxa"/>
            <w:gridSpan w:val="3"/>
            <w:tcBorders>
              <w:top w:val="nil"/>
              <w:left w:val="nil"/>
              <w:bottom w:val="nil"/>
              <w:right w:val="nil"/>
            </w:tcBorders>
          </w:tcPr>
          <w:p w:rsidR="0070375D" w:rsidRPr="00B5537C" w:rsidRDefault="0070375D" w:rsidP="00B5537C">
            <w:pPr>
              <w:pStyle w:val="Tabletext"/>
              <w:rPr>
                <w:color w:val="000000"/>
                <w:lang w:eastAsia="en-AU"/>
              </w:rPr>
            </w:pPr>
            <w:r w:rsidRPr="00B5537C">
              <w:rPr>
                <w:color w:val="000000"/>
                <w:lang w:eastAsia="en-AU"/>
              </w:rPr>
              <w:t>Taxation revenue</w:t>
            </w:r>
          </w:p>
        </w:tc>
        <w:tc>
          <w:tcPr>
            <w:tcW w:w="892" w:type="dxa"/>
            <w:gridSpan w:val="2"/>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14 </w:t>
            </w:r>
            <w:r w:rsidRPr="00B5537C">
              <w:rPr>
                <w:rFonts w:cs="Calibri"/>
                <w:color w:val="000000"/>
                <w:lang w:eastAsia="en-AU"/>
              </w:rPr>
              <w:t>775.9</w:t>
            </w:r>
          </w:p>
        </w:tc>
        <w:tc>
          <w:tcPr>
            <w:tcW w:w="892"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15 </w:t>
            </w:r>
            <w:r w:rsidRPr="00B5537C">
              <w:rPr>
                <w:rFonts w:cs="Calibri"/>
                <w:color w:val="000000"/>
                <w:lang w:eastAsia="en-AU"/>
              </w:rPr>
              <w:t>284.1</w:t>
            </w:r>
          </w:p>
        </w:tc>
        <w:tc>
          <w:tcPr>
            <w:tcW w:w="893"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16 </w:t>
            </w:r>
            <w:r w:rsidRPr="00B5537C">
              <w:rPr>
                <w:rFonts w:cs="Calibri"/>
                <w:color w:val="000000"/>
                <w:lang w:eastAsia="en-AU"/>
              </w:rPr>
              <w:t>035.5</w:t>
            </w:r>
          </w:p>
        </w:tc>
        <w:tc>
          <w:tcPr>
            <w:tcW w:w="893"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17 </w:t>
            </w:r>
            <w:r w:rsidRPr="00B5537C">
              <w:rPr>
                <w:rFonts w:cs="Calibri"/>
                <w:color w:val="000000"/>
                <w:lang w:eastAsia="en-AU"/>
              </w:rPr>
              <w:t>050.7</w:t>
            </w:r>
          </w:p>
        </w:tc>
        <w:tc>
          <w:tcPr>
            <w:tcW w:w="893"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17 </w:t>
            </w:r>
            <w:r w:rsidRPr="00B5537C">
              <w:rPr>
                <w:rFonts w:cs="Calibri"/>
                <w:color w:val="000000"/>
                <w:lang w:eastAsia="en-AU"/>
              </w:rPr>
              <w:t>787.0</w:t>
            </w:r>
          </w:p>
        </w:tc>
        <w:tc>
          <w:tcPr>
            <w:tcW w:w="893"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18 </w:t>
            </w:r>
            <w:r w:rsidRPr="00B5537C">
              <w:rPr>
                <w:rFonts w:cs="Calibri"/>
                <w:color w:val="000000"/>
                <w:lang w:eastAsia="en-AU"/>
              </w:rPr>
              <w:t>715.4</w:t>
            </w:r>
          </w:p>
        </w:tc>
      </w:tr>
      <w:tr w:rsidR="0070375D" w:rsidRPr="00B5537C" w:rsidTr="00B5537C">
        <w:tc>
          <w:tcPr>
            <w:tcW w:w="2566" w:type="dxa"/>
            <w:gridSpan w:val="4"/>
            <w:tcBorders>
              <w:top w:val="nil"/>
              <w:left w:val="nil"/>
              <w:bottom w:val="nil"/>
              <w:right w:val="nil"/>
            </w:tcBorders>
          </w:tcPr>
          <w:p w:rsidR="0070375D" w:rsidRPr="00B5537C" w:rsidRDefault="0070375D" w:rsidP="00B5537C">
            <w:pPr>
              <w:pStyle w:val="Tabletext"/>
              <w:rPr>
                <w:color w:val="000000"/>
                <w:vertAlign w:val="superscript"/>
                <w:lang w:eastAsia="en-AU"/>
              </w:rPr>
            </w:pPr>
            <w:r w:rsidRPr="00B5537C">
              <w:rPr>
                <w:color w:val="000000"/>
                <w:lang w:eastAsia="en-AU"/>
              </w:rPr>
              <w:t xml:space="preserve">Dividends, TER and interest </w:t>
            </w:r>
            <w:r w:rsidRPr="00B5537C">
              <w:rPr>
                <w:color w:val="000000"/>
                <w:vertAlign w:val="superscript"/>
                <w:lang w:eastAsia="en-AU"/>
              </w:rPr>
              <w:t>(b)</w:t>
            </w:r>
          </w:p>
        </w:tc>
        <w:tc>
          <w:tcPr>
            <w:tcW w:w="746"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1 </w:t>
            </w:r>
            <w:r w:rsidRPr="00B5537C">
              <w:rPr>
                <w:rFonts w:cs="Calibri"/>
                <w:color w:val="000000"/>
                <w:lang w:eastAsia="en-AU"/>
              </w:rPr>
              <w:t>786.9</w:t>
            </w:r>
          </w:p>
        </w:tc>
        <w:tc>
          <w:tcPr>
            <w:tcW w:w="892"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1 </w:t>
            </w:r>
            <w:r w:rsidRPr="00B5537C">
              <w:rPr>
                <w:rFonts w:cs="Calibri"/>
                <w:color w:val="000000"/>
                <w:lang w:eastAsia="en-AU"/>
              </w:rPr>
              <w:t>507.1</w:t>
            </w:r>
          </w:p>
        </w:tc>
        <w:tc>
          <w:tcPr>
            <w:tcW w:w="893"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1 </w:t>
            </w:r>
            <w:r w:rsidRPr="00B5537C">
              <w:rPr>
                <w:rFonts w:cs="Calibri"/>
                <w:color w:val="000000"/>
                <w:lang w:eastAsia="en-AU"/>
              </w:rPr>
              <w:t>543.3</w:t>
            </w:r>
          </w:p>
        </w:tc>
        <w:tc>
          <w:tcPr>
            <w:tcW w:w="893"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1 </w:t>
            </w:r>
            <w:r w:rsidRPr="00B5537C">
              <w:rPr>
                <w:rFonts w:cs="Calibri"/>
                <w:color w:val="000000"/>
                <w:lang w:eastAsia="en-AU"/>
              </w:rPr>
              <w:t>604.9</w:t>
            </w:r>
          </w:p>
        </w:tc>
        <w:tc>
          <w:tcPr>
            <w:tcW w:w="893" w:type="dxa"/>
            <w:tcBorders>
              <w:top w:val="nil"/>
              <w:left w:val="nil"/>
              <w:bottom w:val="nil"/>
              <w:right w:val="nil"/>
            </w:tcBorders>
          </w:tcPr>
          <w:p w:rsidR="0070375D" w:rsidRPr="00B5537C" w:rsidRDefault="0070375D" w:rsidP="00B5537C">
            <w:pPr>
              <w:pStyle w:val="TableofFigures"/>
              <w:rPr>
                <w:color w:val="000000"/>
                <w:lang w:eastAsia="en-AU"/>
              </w:rPr>
            </w:pPr>
            <w:r w:rsidRPr="00B5537C">
              <w:rPr>
                <w:color w:val="000000"/>
                <w:lang w:eastAsia="en-AU"/>
              </w:rPr>
              <w:t>1 677.3</w:t>
            </w:r>
          </w:p>
        </w:tc>
        <w:tc>
          <w:tcPr>
            <w:tcW w:w="893"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1 </w:t>
            </w:r>
            <w:r w:rsidRPr="00B5537C">
              <w:rPr>
                <w:rFonts w:cs="Calibri"/>
                <w:color w:val="000000"/>
                <w:lang w:eastAsia="en-AU"/>
              </w:rPr>
              <w:t>599.4</w:t>
            </w:r>
          </w:p>
        </w:tc>
      </w:tr>
      <w:tr w:rsidR="0070375D" w:rsidRPr="00B5537C" w:rsidTr="00B5537C">
        <w:tc>
          <w:tcPr>
            <w:tcW w:w="2420" w:type="dxa"/>
            <w:gridSpan w:val="3"/>
            <w:tcBorders>
              <w:top w:val="nil"/>
              <w:left w:val="nil"/>
              <w:bottom w:val="nil"/>
              <w:right w:val="nil"/>
            </w:tcBorders>
          </w:tcPr>
          <w:p w:rsidR="0070375D" w:rsidRPr="00B5537C" w:rsidRDefault="0070375D" w:rsidP="00B5537C">
            <w:pPr>
              <w:pStyle w:val="Tabletext"/>
              <w:rPr>
                <w:color w:val="000000"/>
                <w:lang w:eastAsia="en-AU"/>
              </w:rPr>
            </w:pPr>
            <w:r w:rsidRPr="00B5537C">
              <w:rPr>
                <w:color w:val="000000"/>
                <w:lang w:eastAsia="en-AU"/>
              </w:rPr>
              <w:t>Sales of goods and services</w:t>
            </w:r>
          </w:p>
        </w:tc>
        <w:tc>
          <w:tcPr>
            <w:tcW w:w="892" w:type="dxa"/>
            <w:gridSpan w:val="2"/>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12 </w:t>
            </w:r>
            <w:r w:rsidRPr="00B5537C">
              <w:rPr>
                <w:rFonts w:cs="Calibri"/>
                <w:color w:val="000000"/>
                <w:lang w:eastAsia="en-AU"/>
              </w:rPr>
              <w:t>609.6</w:t>
            </w:r>
          </w:p>
        </w:tc>
        <w:tc>
          <w:tcPr>
            <w:tcW w:w="892"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12 </w:t>
            </w:r>
            <w:r w:rsidRPr="00B5537C">
              <w:rPr>
                <w:rFonts w:cs="Calibri"/>
                <w:color w:val="000000"/>
                <w:lang w:eastAsia="en-AU"/>
              </w:rPr>
              <w:t>969.3</w:t>
            </w:r>
          </w:p>
        </w:tc>
        <w:tc>
          <w:tcPr>
            <w:tcW w:w="893"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14 </w:t>
            </w:r>
            <w:r w:rsidRPr="00B5537C">
              <w:rPr>
                <w:rFonts w:cs="Calibri"/>
                <w:color w:val="000000"/>
                <w:lang w:eastAsia="en-AU"/>
              </w:rPr>
              <w:t>379.6</w:t>
            </w:r>
          </w:p>
        </w:tc>
        <w:tc>
          <w:tcPr>
            <w:tcW w:w="893"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14 </w:t>
            </w:r>
            <w:r w:rsidRPr="00B5537C">
              <w:rPr>
                <w:rFonts w:cs="Calibri"/>
                <w:color w:val="000000"/>
                <w:lang w:eastAsia="en-AU"/>
              </w:rPr>
              <w:t>926.3</w:t>
            </w:r>
          </w:p>
        </w:tc>
        <w:tc>
          <w:tcPr>
            <w:tcW w:w="893" w:type="dxa"/>
            <w:tcBorders>
              <w:top w:val="nil"/>
              <w:left w:val="nil"/>
              <w:bottom w:val="nil"/>
              <w:right w:val="nil"/>
            </w:tcBorders>
          </w:tcPr>
          <w:p w:rsidR="0070375D" w:rsidRPr="00B5537C" w:rsidRDefault="0070375D" w:rsidP="00B5537C">
            <w:pPr>
              <w:pStyle w:val="TableofFigures"/>
              <w:rPr>
                <w:color w:val="000000"/>
                <w:lang w:eastAsia="en-AU"/>
              </w:rPr>
            </w:pPr>
            <w:r w:rsidRPr="00B5537C">
              <w:rPr>
                <w:color w:val="000000"/>
                <w:lang w:eastAsia="en-AU"/>
              </w:rPr>
              <w:t>15 556.6</w:t>
            </w:r>
          </w:p>
        </w:tc>
        <w:tc>
          <w:tcPr>
            <w:tcW w:w="893"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16 </w:t>
            </w:r>
            <w:r w:rsidRPr="00B5537C">
              <w:rPr>
                <w:rFonts w:cs="Calibri"/>
                <w:color w:val="000000"/>
                <w:lang w:eastAsia="en-AU"/>
              </w:rPr>
              <w:t>059.1</w:t>
            </w:r>
          </w:p>
        </w:tc>
      </w:tr>
      <w:tr w:rsidR="0070375D" w:rsidRPr="00B5537C" w:rsidTr="00B5537C">
        <w:tc>
          <w:tcPr>
            <w:tcW w:w="2420" w:type="dxa"/>
            <w:gridSpan w:val="3"/>
            <w:tcBorders>
              <w:top w:val="nil"/>
              <w:left w:val="nil"/>
              <w:bottom w:val="nil"/>
              <w:right w:val="nil"/>
            </w:tcBorders>
          </w:tcPr>
          <w:p w:rsidR="0070375D" w:rsidRPr="00B5537C" w:rsidRDefault="0070375D" w:rsidP="00B5537C">
            <w:pPr>
              <w:pStyle w:val="Tabletext"/>
              <w:rPr>
                <w:color w:val="000000"/>
                <w:lang w:eastAsia="en-AU"/>
              </w:rPr>
            </w:pPr>
            <w:r w:rsidRPr="00B5537C">
              <w:rPr>
                <w:color w:val="000000"/>
                <w:lang w:eastAsia="en-AU"/>
              </w:rPr>
              <w:t>Grants</w:t>
            </w:r>
          </w:p>
        </w:tc>
        <w:tc>
          <w:tcPr>
            <w:tcW w:w="892" w:type="dxa"/>
            <w:gridSpan w:val="2"/>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22 </w:t>
            </w:r>
            <w:r w:rsidRPr="00B5537C">
              <w:rPr>
                <w:rFonts w:cs="Calibri"/>
                <w:color w:val="000000"/>
                <w:lang w:eastAsia="en-AU"/>
              </w:rPr>
              <w:t>476.7</w:t>
            </w:r>
          </w:p>
        </w:tc>
        <w:tc>
          <w:tcPr>
            <w:tcW w:w="892"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21 </w:t>
            </w:r>
            <w:r w:rsidRPr="00B5537C">
              <w:rPr>
                <w:rFonts w:cs="Calibri"/>
                <w:color w:val="000000"/>
                <w:lang w:eastAsia="en-AU"/>
              </w:rPr>
              <w:t>601.5</w:t>
            </w:r>
          </w:p>
        </w:tc>
        <w:tc>
          <w:tcPr>
            <w:tcW w:w="893"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23 </w:t>
            </w:r>
            <w:r w:rsidRPr="00B5537C">
              <w:rPr>
                <w:rFonts w:cs="Calibri"/>
                <w:color w:val="000000"/>
                <w:lang w:eastAsia="en-AU"/>
              </w:rPr>
              <w:t>180.1</w:t>
            </w:r>
          </w:p>
        </w:tc>
        <w:tc>
          <w:tcPr>
            <w:tcW w:w="893"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23 </w:t>
            </w:r>
            <w:r w:rsidRPr="00B5537C">
              <w:rPr>
                <w:rFonts w:cs="Calibri"/>
                <w:color w:val="000000"/>
                <w:lang w:eastAsia="en-AU"/>
              </w:rPr>
              <w:t>786.1</w:t>
            </w:r>
          </w:p>
        </w:tc>
        <w:tc>
          <w:tcPr>
            <w:tcW w:w="893"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25 </w:t>
            </w:r>
            <w:r w:rsidRPr="00B5537C">
              <w:rPr>
                <w:rFonts w:cs="Calibri"/>
                <w:color w:val="000000"/>
                <w:lang w:eastAsia="en-AU"/>
              </w:rPr>
              <w:t>061.7</w:t>
            </w:r>
          </w:p>
        </w:tc>
        <w:tc>
          <w:tcPr>
            <w:tcW w:w="893"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26 </w:t>
            </w:r>
            <w:r w:rsidRPr="00B5537C">
              <w:rPr>
                <w:rFonts w:cs="Calibri"/>
                <w:color w:val="000000"/>
                <w:lang w:eastAsia="en-AU"/>
              </w:rPr>
              <w:t>096.2</w:t>
            </w:r>
          </w:p>
        </w:tc>
      </w:tr>
      <w:tr w:rsidR="0070375D" w:rsidRPr="00B5537C" w:rsidTr="00B5537C">
        <w:tc>
          <w:tcPr>
            <w:tcW w:w="2420" w:type="dxa"/>
            <w:gridSpan w:val="3"/>
            <w:tcBorders>
              <w:top w:val="nil"/>
              <w:left w:val="nil"/>
              <w:bottom w:val="nil"/>
              <w:right w:val="nil"/>
            </w:tcBorders>
          </w:tcPr>
          <w:p w:rsidR="0070375D" w:rsidRPr="00B5537C" w:rsidRDefault="0070375D" w:rsidP="00B5537C">
            <w:pPr>
              <w:pStyle w:val="Tabletext"/>
              <w:rPr>
                <w:color w:val="000000"/>
                <w:lang w:eastAsia="en-AU"/>
              </w:rPr>
            </w:pPr>
            <w:r w:rsidRPr="00B5537C">
              <w:rPr>
                <w:color w:val="000000"/>
                <w:lang w:eastAsia="en-AU"/>
              </w:rPr>
              <w:t>Other revenue</w:t>
            </w:r>
          </w:p>
        </w:tc>
        <w:tc>
          <w:tcPr>
            <w:tcW w:w="892" w:type="dxa"/>
            <w:gridSpan w:val="2"/>
            <w:tcBorders>
              <w:top w:val="nil"/>
              <w:left w:val="nil"/>
              <w:bottom w:val="single" w:sz="6" w:space="0" w:color="auto"/>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2 </w:t>
            </w:r>
            <w:r w:rsidRPr="00B5537C">
              <w:rPr>
                <w:rFonts w:cs="Calibri"/>
                <w:color w:val="000000"/>
                <w:lang w:eastAsia="en-AU"/>
              </w:rPr>
              <w:t>808.6</w:t>
            </w:r>
          </w:p>
        </w:tc>
        <w:tc>
          <w:tcPr>
            <w:tcW w:w="892" w:type="dxa"/>
            <w:tcBorders>
              <w:top w:val="nil"/>
              <w:left w:val="nil"/>
              <w:bottom w:val="single" w:sz="6" w:space="0" w:color="auto"/>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2 </w:t>
            </w:r>
            <w:r w:rsidRPr="00B5537C">
              <w:rPr>
                <w:rFonts w:cs="Calibri"/>
                <w:color w:val="000000"/>
                <w:lang w:eastAsia="en-AU"/>
              </w:rPr>
              <w:t>372.5</w:t>
            </w:r>
          </w:p>
        </w:tc>
        <w:tc>
          <w:tcPr>
            <w:tcW w:w="893" w:type="dxa"/>
            <w:tcBorders>
              <w:top w:val="nil"/>
              <w:left w:val="nil"/>
              <w:bottom w:val="single" w:sz="6" w:space="0" w:color="auto"/>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2 </w:t>
            </w:r>
            <w:r w:rsidRPr="00B5537C">
              <w:rPr>
                <w:rFonts w:cs="Calibri"/>
                <w:color w:val="000000"/>
                <w:lang w:eastAsia="en-AU"/>
              </w:rPr>
              <w:t>508.8</w:t>
            </w:r>
          </w:p>
        </w:tc>
        <w:tc>
          <w:tcPr>
            <w:tcW w:w="893" w:type="dxa"/>
            <w:tcBorders>
              <w:top w:val="nil"/>
              <w:left w:val="nil"/>
              <w:bottom w:val="single" w:sz="6" w:space="0" w:color="auto"/>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2 </w:t>
            </w:r>
            <w:r w:rsidRPr="00B5537C">
              <w:rPr>
                <w:rFonts w:cs="Calibri"/>
                <w:color w:val="000000"/>
                <w:lang w:eastAsia="en-AU"/>
              </w:rPr>
              <w:t>373.5</w:t>
            </w:r>
          </w:p>
        </w:tc>
        <w:tc>
          <w:tcPr>
            <w:tcW w:w="893" w:type="dxa"/>
            <w:tcBorders>
              <w:top w:val="nil"/>
              <w:left w:val="nil"/>
              <w:bottom w:val="single" w:sz="6" w:space="0" w:color="auto"/>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2 </w:t>
            </w:r>
            <w:r w:rsidRPr="00B5537C">
              <w:rPr>
                <w:rFonts w:cs="Calibri"/>
                <w:color w:val="000000"/>
                <w:lang w:eastAsia="en-AU"/>
              </w:rPr>
              <w:t>448.8</w:t>
            </w:r>
          </w:p>
        </w:tc>
        <w:tc>
          <w:tcPr>
            <w:tcW w:w="893" w:type="dxa"/>
            <w:tcBorders>
              <w:top w:val="nil"/>
              <w:left w:val="nil"/>
              <w:bottom w:val="single" w:sz="6" w:space="0" w:color="auto"/>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2 </w:t>
            </w:r>
            <w:r w:rsidRPr="00B5537C">
              <w:rPr>
                <w:rFonts w:cs="Calibri"/>
                <w:color w:val="000000"/>
                <w:lang w:eastAsia="en-AU"/>
              </w:rPr>
              <w:t>498.9</w:t>
            </w:r>
          </w:p>
        </w:tc>
      </w:tr>
      <w:tr w:rsidR="0070375D" w:rsidRPr="00B5537C" w:rsidTr="00B5537C">
        <w:tc>
          <w:tcPr>
            <w:tcW w:w="2420" w:type="dxa"/>
            <w:gridSpan w:val="3"/>
            <w:tcBorders>
              <w:top w:val="single" w:sz="6" w:space="0" w:color="auto"/>
              <w:left w:val="nil"/>
              <w:bottom w:val="nil"/>
              <w:right w:val="nil"/>
            </w:tcBorders>
          </w:tcPr>
          <w:p w:rsidR="0070375D" w:rsidRPr="00B5537C" w:rsidRDefault="0070375D" w:rsidP="00B5537C">
            <w:pPr>
              <w:pStyle w:val="Tabletext"/>
              <w:rPr>
                <w:b/>
                <w:bCs/>
                <w:color w:val="000000"/>
                <w:lang w:eastAsia="en-AU"/>
              </w:rPr>
            </w:pPr>
            <w:r w:rsidRPr="00B5537C">
              <w:rPr>
                <w:b/>
                <w:bCs/>
                <w:color w:val="000000"/>
                <w:lang w:eastAsia="en-AU"/>
              </w:rPr>
              <w:t>Total revenue</w:t>
            </w:r>
          </w:p>
        </w:tc>
        <w:tc>
          <w:tcPr>
            <w:tcW w:w="892" w:type="dxa"/>
            <w:gridSpan w:val="2"/>
            <w:tcBorders>
              <w:top w:val="nil"/>
              <w:left w:val="nil"/>
              <w:bottom w:val="nil"/>
              <w:right w:val="nil"/>
            </w:tcBorders>
          </w:tcPr>
          <w:p w:rsidR="0070375D" w:rsidRPr="00B5537C" w:rsidRDefault="0070375D" w:rsidP="00B5537C">
            <w:pPr>
              <w:pStyle w:val="TableofFigures"/>
              <w:rPr>
                <w:rFonts w:cs="Calibri"/>
                <w:b/>
                <w:bCs/>
                <w:color w:val="000000"/>
                <w:lang w:eastAsia="en-AU"/>
              </w:rPr>
            </w:pPr>
            <w:r w:rsidRPr="00B5537C">
              <w:rPr>
                <w:b/>
                <w:bCs/>
                <w:color w:val="000000"/>
                <w:lang w:eastAsia="en-AU"/>
              </w:rPr>
              <w:t xml:space="preserve">54 </w:t>
            </w:r>
            <w:r w:rsidRPr="00B5537C">
              <w:rPr>
                <w:rFonts w:cs="Calibri"/>
                <w:b/>
                <w:bCs/>
                <w:color w:val="000000"/>
                <w:lang w:eastAsia="en-AU"/>
              </w:rPr>
              <w:t>457.8</w:t>
            </w:r>
          </w:p>
        </w:tc>
        <w:tc>
          <w:tcPr>
            <w:tcW w:w="892" w:type="dxa"/>
            <w:tcBorders>
              <w:top w:val="nil"/>
              <w:left w:val="nil"/>
              <w:bottom w:val="nil"/>
              <w:right w:val="nil"/>
            </w:tcBorders>
          </w:tcPr>
          <w:p w:rsidR="0070375D" w:rsidRPr="00B5537C" w:rsidRDefault="0070375D" w:rsidP="00B5537C">
            <w:pPr>
              <w:pStyle w:val="TableofFigures"/>
              <w:rPr>
                <w:rFonts w:cs="Calibri"/>
                <w:b/>
                <w:bCs/>
                <w:color w:val="000000"/>
                <w:lang w:eastAsia="en-AU"/>
              </w:rPr>
            </w:pPr>
            <w:r w:rsidRPr="00B5537C">
              <w:rPr>
                <w:b/>
                <w:bCs/>
                <w:color w:val="000000"/>
                <w:lang w:eastAsia="en-AU"/>
              </w:rPr>
              <w:t xml:space="preserve">53 </w:t>
            </w:r>
            <w:r w:rsidRPr="00B5537C">
              <w:rPr>
                <w:rFonts w:cs="Calibri"/>
                <w:b/>
                <w:bCs/>
                <w:color w:val="000000"/>
                <w:lang w:eastAsia="en-AU"/>
              </w:rPr>
              <w:t>734.6</w:t>
            </w:r>
          </w:p>
        </w:tc>
        <w:tc>
          <w:tcPr>
            <w:tcW w:w="893" w:type="dxa"/>
            <w:tcBorders>
              <w:top w:val="nil"/>
              <w:left w:val="nil"/>
              <w:bottom w:val="nil"/>
              <w:right w:val="nil"/>
            </w:tcBorders>
          </w:tcPr>
          <w:p w:rsidR="0070375D" w:rsidRPr="00B5537C" w:rsidRDefault="0070375D" w:rsidP="00B5537C">
            <w:pPr>
              <w:pStyle w:val="TableofFigures"/>
              <w:rPr>
                <w:rFonts w:cs="Calibri"/>
                <w:b/>
                <w:bCs/>
                <w:color w:val="000000"/>
                <w:lang w:eastAsia="en-AU"/>
              </w:rPr>
            </w:pPr>
            <w:r w:rsidRPr="00B5537C">
              <w:rPr>
                <w:b/>
                <w:bCs/>
                <w:color w:val="000000"/>
                <w:lang w:eastAsia="en-AU"/>
              </w:rPr>
              <w:t xml:space="preserve">57 </w:t>
            </w:r>
            <w:r w:rsidRPr="00B5537C">
              <w:rPr>
                <w:rFonts w:cs="Calibri"/>
                <w:b/>
                <w:bCs/>
                <w:color w:val="000000"/>
                <w:lang w:eastAsia="en-AU"/>
              </w:rPr>
              <w:t>647.3</w:t>
            </w:r>
          </w:p>
        </w:tc>
        <w:tc>
          <w:tcPr>
            <w:tcW w:w="893" w:type="dxa"/>
            <w:tcBorders>
              <w:top w:val="nil"/>
              <w:left w:val="nil"/>
              <w:bottom w:val="nil"/>
              <w:right w:val="nil"/>
            </w:tcBorders>
          </w:tcPr>
          <w:p w:rsidR="0070375D" w:rsidRPr="00B5537C" w:rsidRDefault="0070375D" w:rsidP="00B5537C">
            <w:pPr>
              <w:pStyle w:val="TableofFigures"/>
              <w:rPr>
                <w:rFonts w:cs="Calibri"/>
                <w:b/>
                <w:bCs/>
                <w:color w:val="000000"/>
                <w:lang w:eastAsia="en-AU"/>
              </w:rPr>
            </w:pPr>
            <w:r w:rsidRPr="00B5537C">
              <w:rPr>
                <w:b/>
                <w:bCs/>
                <w:color w:val="000000"/>
                <w:lang w:eastAsia="en-AU"/>
              </w:rPr>
              <w:t xml:space="preserve">59 </w:t>
            </w:r>
            <w:r w:rsidRPr="00B5537C">
              <w:rPr>
                <w:rFonts w:cs="Calibri"/>
                <w:b/>
                <w:bCs/>
                <w:color w:val="000000"/>
                <w:lang w:eastAsia="en-AU"/>
              </w:rPr>
              <w:t>741.6</w:t>
            </w:r>
          </w:p>
        </w:tc>
        <w:tc>
          <w:tcPr>
            <w:tcW w:w="893" w:type="dxa"/>
            <w:tcBorders>
              <w:top w:val="nil"/>
              <w:left w:val="nil"/>
              <w:bottom w:val="nil"/>
              <w:right w:val="nil"/>
            </w:tcBorders>
          </w:tcPr>
          <w:p w:rsidR="0070375D" w:rsidRPr="00B5537C" w:rsidRDefault="0070375D" w:rsidP="00B5537C">
            <w:pPr>
              <w:pStyle w:val="TableofFigures"/>
              <w:rPr>
                <w:rFonts w:cs="Calibri"/>
                <w:b/>
                <w:bCs/>
                <w:color w:val="000000"/>
                <w:lang w:eastAsia="en-AU"/>
              </w:rPr>
            </w:pPr>
            <w:r w:rsidRPr="00B5537C">
              <w:rPr>
                <w:b/>
                <w:bCs/>
                <w:color w:val="000000"/>
                <w:lang w:eastAsia="en-AU"/>
              </w:rPr>
              <w:t xml:space="preserve">62 </w:t>
            </w:r>
            <w:r w:rsidRPr="00B5537C">
              <w:rPr>
                <w:rFonts w:cs="Calibri"/>
                <w:b/>
                <w:bCs/>
                <w:color w:val="000000"/>
                <w:lang w:eastAsia="en-AU"/>
              </w:rPr>
              <w:t>531.4</w:t>
            </w:r>
          </w:p>
        </w:tc>
        <w:tc>
          <w:tcPr>
            <w:tcW w:w="893" w:type="dxa"/>
            <w:tcBorders>
              <w:top w:val="nil"/>
              <w:left w:val="nil"/>
              <w:bottom w:val="nil"/>
              <w:right w:val="nil"/>
            </w:tcBorders>
          </w:tcPr>
          <w:p w:rsidR="0070375D" w:rsidRPr="00B5537C" w:rsidRDefault="0070375D" w:rsidP="00B5537C">
            <w:pPr>
              <w:pStyle w:val="TableofFigures"/>
              <w:rPr>
                <w:rFonts w:cs="Calibri"/>
                <w:b/>
                <w:bCs/>
                <w:color w:val="000000"/>
                <w:lang w:eastAsia="en-AU"/>
              </w:rPr>
            </w:pPr>
            <w:r w:rsidRPr="00B5537C">
              <w:rPr>
                <w:b/>
                <w:bCs/>
                <w:color w:val="000000"/>
                <w:lang w:eastAsia="en-AU"/>
              </w:rPr>
              <w:t xml:space="preserve">64 </w:t>
            </w:r>
            <w:r w:rsidRPr="00B5537C">
              <w:rPr>
                <w:rFonts w:cs="Calibri"/>
                <w:b/>
                <w:bCs/>
                <w:color w:val="000000"/>
                <w:lang w:eastAsia="en-AU"/>
              </w:rPr>
              <w:t>968.9</w:t>
            </w:r>
          </w:p>
        </w:tc>
      </w:tr>
      <w:tr w:rsidR="0070375D" w:rsidRPr="00B5537C" w:rsidTr="00B5537C">
        <w:tc>
          <w:tcPr>
            <w:tcW w:w="2420" w:type="dxa"/>
            <w:gridSpan w:val="3"/>
            <w:tcBorders>
              <w:top w:val="nil"/>
              <w:left w:val="nil"/>
              <w:bottom w:val="nil"/>
              <w:right w:val="nil"/>
            </w:tcBorders>
          </w:tcPr>
          <w:p w:rsidR="0070375D" w:rsidRPr="00B5537C" w:rsidRDefault="0070375D" w:rsidP="00B5537C">
            <w:pPr>
              <w:pStyle w:val="Tabletext"/>
              <w:rPr>
                <w:color w:val="000000"/>
                <w:lang w:eastAsia="en-AU"/>
              </w:rPr>
            </w:pPr>
            <w:r w:rsidRPr="00B5537C">
              <w:rPr>
                <w:color w:val="000000"/>
                <w:lang w:eastAsia="en-AU"/>
              </w:rPr>
              <w:t>% change</w:t>
            </w:r>
          </w:p>
        </w:tc>
        <w:tc>
          <w:tcPr>
            <w:tcW w:w="892" w:type="dxa"/>
            <w:gridSpan w:val="2"/>
            <w:tcBorders>
              <w:top w:val="nil"/>
              <w:left w:val="nil"/>
              <w:bottom w:val="nil"/>
              <w:right w:val="nil"/>
            </w:tcBorders>
          </w:tcPr>
          <w:p w:rsidR="0070375D" w:rsidRPr="00B5537C" w:rsidRDefault="0070375D" w:rsidP="00B5537C">
            <w:pPr>
              <w:pStyle w:val="TableofFigures"/>
              <w:rPr>
                <w:color w:val="000000"/>
                <w:lang w:eastAsia="en-AU"/>
              </w:rPr>
            </w:pPr>
            <w:r w:rsidRPr="00B5537C">
              <w:rPr>
                <w:color w:val="000000"/>
                <w:lang w:eastAsia="en-AU"/>
              </w:rPr>
              <w:t>2.3</w:t>
            </w:r>
          </w:p>
        </w:tc>
        <w:tc>
          <w:tcPr>
            <w:tcW w:w="892" w:type="dxa"/>
            <w:tcBorders>
              <w:top w:val="nil"/>
              <w:left w:val="nil"/>
              <w:bottom w:val="nil"/>
              <w:right w:val="nil"/>
            </w:tcBorders>
          </w:tcPr>
          <w:p w:rsidR="0070375D" w:rsidRPr="00B5537C" w:rsidRDefault="00276239" w:rsidP="00B5537C">
            <w:pPr>
              <w:pStyle w:val="TableofFigures"/>
              <w:rPr>
                <w:color w:val="000000"/>
                <w:lang w:eastAsia="en-AU"/>
              </w:rPr>
            </w:pPr>
            <w:r>
              <w:rPr>
                <w:color w:val="000000"/>
                <w:lang w:eastAsia="en-AU"/>
              </w:rPr>
              <w:noBreakHyphen/>
            </w:r>
            <w:r w:rsidR="0070375D" w:rsidRPr="00B5537C">
              <w:rPr>
                <w:color w:val="000000"/>
                <w:lang w:eastAsia="en-AU"/>
              </w:rPr>
              <w:t>1.3</w:t>
            </w:r>
          </w:p>
        </w:tc>
        <w:tc>
          <w:tcPr>
            <w:tcW w:w="893" w:type="dxa"/>
            <w:tcBorders>
              <w:top w:val="nil"/>
              <w:left w:val="nil"/>
              <w:bottom w:val="nil"/>
              <w:right w:val="nil"/>
            </w:tcBorders>
          </w:tcPr>
          <w:p w:rsidR="0070375D" w:rsidRPr="00B5537C" w:rsidRDefault="0070375D" w:rsidP="00B5537C">
            <w:pPr>
              <w:pStyle w:val="TableofFigures"/>
              <w:rPr>
                <w:color w:val="000000"/>
                <w:lang w:eastAsia="en-AU"/>
              </w:rPr>
            </w:pPr>
            <w:r w:rsidRPr="00B5537C">
              <w:rPr>
                <w:color w:val="000000"/>
                <w:lang w:eastAsia="en-AU"/>
              </w:rPr>
              <w:t>7.3</w:t>
            </w:r>
          </w:p>
        </w:tc>
        <w:tc>
          <w:tcPr>
            <w:tcW w:w="893" w:type="dxa"/>
            <w:tcBorders>
              <w:top w:val="nil"/>
              <w:left w:val="nil"/>
              <w:bottom w:val="nil"/>
              <w:right w:val="nil"/>
            </w:tcBorders>
          </w:tcPr>
          <w:p w:rsidR="0070375D" w:rsidRPr="00B5537C" w:rsidRDefault="0070375D" w:rsidP="00B5537C">
            <w:pPr>
              <w:pStyle w:val="TableofFigures"/>
              <w:rPr>
                <w:color w:val="000000"/>
                <w:lang w:eastAsia="en-AU"/>
              </w:rPr>
            </w:pPr>
            <w:r w:rsidRPr="00B5537C">
              <w:rPr>
                <w:color w:val="000000"/>
                <w:lang w:eastAsia="en-AU"/>
              </w:rPr>
              <w:t>3.6</w:t>
            </w:r>
          </w:p>
        </w:tc>
        <w:tc>
          <w:tcPr>
            <w:tcW w:w="893" w:type="dxa"/>
            <w:tcBorders>
              <w:top w:val="nil"/>
              <w:left w:val="nil"/>
              <w:bottom w:val="nil"/>
              <w:right w:val="nil"/>
            </w:tcBorders>
          </w:tcPr>
          <w:p w:rsidR="0070375D" w:rsidRPr="00B5537C" w:rsidRDefault="0070375D" w:rsidP="00B5537C">
            <w:pPr>
              <w:pStyle w:val="TableofFigures"/>
              <w:rPr>
                <w:color w:val="000000"/>
                <w:lang w:eastAsia="en-AU"/>
              </w:rPr>
            </w:pPr>
            <w:r w:rsidRPr="00B5537C">
              <w:rPr>
                <w:color w:val="000000"/>
                <w:lang w:eastAsia="en-AU"/>
              </w:rPr>
              <w:t>4.7</w:t>
            </w:r>
          </w:p>
        </w:tc>
        <w:tc>
          <w:tcPr>
            <w:tcW w:w="893" w:type="dxa"/>
            <w:tcBorders>
              <w:top w:val="nil"/>
              <w:left w:val="nil"/>
              <w:bottom w:val="nil"/>
              <w:right w:val="nil"/>
            </w:tcBorders>
          </w:tcPr>
          <w:p w:rsidR="0070375D" w:rsidRPr="00B5537C" w:rsidRDefault="0070375D" w:rsidP="00B5537C">
            <w:pPr>
              <w:pStyle w:val="TableofFigures"/>
              <w:rPr>
                <w:color w:val="000000"/>
                <w:lang w:eastAsia="en-AU"/>
              </w:rPr>
            </w:pPr>
            <w:r w:rsidRPr="00B5537C">
              <w:rPr>
                <w:color w:val="000000"/>
                <w:lang w:eastAsia="en-AU"/>
              </w:rPr>
              <w:t>3.9</w:t>
            </w:r>
          </w:p>
        </w:tc>
      </w:tr>
      <w:tr w:rsidR="0070375D" w:rsidRPr="00B5537C" w:rsidTr="00B5537C">
        <w:tc>
          <w:tcPr>
            <w:tcW w:w="2420" w:type="dxa"/>
            <w:gridSpan w:val="3"/>
            <w:tcBorders>
              <w:top w:val="nil"/>
              <w:left w:val="nil"/>
              <w:bottom w:val="nil"/>
              <w:right w:val="nil"/>
            </w:tcBorders>
          </w:tcPr>
          <w:p w:rsidR="0070375D" w:rsidRPr="00B5537C" w:rsidRDefault="0070375D" w:rsidP="00B5537C">
            <w:pPr>
              <w:pStyle w:val="Tabletext"/>
              <w:rPr>
                <w:b/>
                <w:bCs/>
                <w:color w:val="000000"/>
                <w:lang w:eastAsia="en-AU"/>
              </w:rPr>
            </w:pPr>
            <w:r w:rsidRPr="00B5537C">
              <w:rPr>
                <w:b/>
                <w:bCs/>
                <w:color w:val="000000"/>
                <w:lang w:eastAsia="en-AU"/>
              </w:rPr>
              <w:t>Expenses</w:t>
            </w:r>
          </w:p>
        </w:tc>
        <w:tc>
          <w:tcPr>
            <w:tcW w:w="892" w:type="dxa"/>
            <w:gridSpan w:val="2"/>
            <w:tcBorders>
              <w:top w:val="nil"/>
              <w:left w:val="nil"/>
              <w:bottom w:val="nil"/>
              <w:right w:val="nil"/>
            </w:tcBorders>
          </w:tcPr>
          <w:p w:rsidR="0070375D" w:rsidRPr="00B5537C" w:rsidRDefault="0070375D" w:rsidP="00B5537C">
            <w:pPr>
              <w:pStyle w:val="TableofFigures"/>
              <w:rPr>
                <w:color w:val="000000"/>
                <w:lang w:eastAsia="en-AU"/>
              </w:rPr>
            </w:pPr>
            <w:r w:rsidRPr="00B5537C">
              <w:rPr>
                <w:color w:val="000000"/>
                <w:lang w:eastAsia="en-AU"/>
              </w:rPr>
              <w:t xml:space="preserve"> </w:t>
            </w:r>
          </w:p>
        </w:tc>
        <w:tc>
          <w:tcPr>
            <w:tcW w:w="892" w:type="dxa"/>
            <w:tcBorders>
              <w:top w:val="nil"/>
              <w:left w:val="nil"/>
              <w:bottom w:val="nil"/>
              <w:right w:val="nil"/>
            </w:tcBorders>
          </w:tcPr>
          <w:p w:rsidR="0070375D" w:rsidRPr="00B5537C" w:rsidRDefault="0070375D" w:rsidP="00B5537C">
            <w:pPr>
              <w:pStyle w:val="TableofFigures"/>
              <w:rPr>
                <w:color w:val="000000"/>
                <w:lang w:eastAsia="en-AU"/>
              </w:rPr>
            </w:pPr>
          </w:p>
        </w:tc>
        <w:tc>
          <w:tcPr>
            <w:tcW w:w="893" w:type="dxa"/>
            <w:tcBorders>
              <w:top w:val="nil"/>
              <w:left w:val="nil"/>
              <w:bottom w:val="nil"/>
              <w:right w:val="nil"/>
            </w:tcBorders>
          </w:tcPr>
          <w:p w:rsidR="0070375D" w:rsidRPr="00B5537C" w:rsidRDefault="0070375D" w:rsidP="00B5537C">
            <w:pPr>
              <w:pStyle w:val="TableofFigures"/>
              <w:rPr>
                <w:color w:val="000000"/>
                <w:lang w:eastAsia="en-AU"/>
              </w:rPr>
            </w:pPr>
          </w:p>
        </w:tc>
        <w:tc>
          <w:tcPr>
            <w:tcW w:w="893" w:type="dxa"/>
            <w:tcBorders>
              <w:top w:val="nil"/>
              <w:left w:val="nil"/>
              <w:bottom w:val="nil"/>
              <w:right w:val="nil"/>
            </w:tcBorders>
          </w:tcPr>
          <w:p w:rsidR="0070375D" w:rsidRPr="00B5537C" w:rsidRDefault="0070375D" w:rsidP="00B5537C">
            <w:pPr>
              <w:pStyle w:val="TableofFigures"/>
              <w:rPr>
                <w:color w:val="000000"/>
                <w:lang w:eastAsia="en-AU"/>
              </w:rPr>
            </w:pPr>
          </w:p>
        </w:tc>
        <w:tc>
          <w:tcPr>
            <w:tcW w:w="893" w:type="dxa"/>
            <w:tcBorders>
              <w:top w:val="nil"/>
              <w:left w:val="nil"/>
              <w:bottom w:val="nil"/>
              <w:right w:val="nil"/>
            </w:tcBorders>
          </w:tcPr>
          <w:p w:rsidR="0070375D" w:rsidRPr="00B5537C" w:rsidRDefault="0070375D" w:rsidP="00B5537C">
            <w:pPr>
              <w:pStyle w:val="TableofFigures"/>
              <w:rPr>
                <w:color w:val="000000"/>
                <w:lang w:eastAsia="en-AU"/>
              </w:rPr>
            </w:pPr>
          </w:p>
        </w:tc>
        <w:tc>
          <w:tcPr>
            <w:tcW w:w="893" w:type="dxa"/>
            <w:tcBorders>
              <w:top w:val="nil"/>
              <w:left w:val="nil"/>
              <w:bottom w:val="nil"/>
              <w:right w:val="nil"/>
            </w:tcBorders>
          </w:tcPr>
          <w:p w:rsidR="0070375D" w:rsidRPr="00B5537C" w:rsidRDefault="0070375D" w:rsidP="00B5537C">
            <w:pPr>
              <w:pStyle w:val="TableofFigures"/>
              <w:rPr>
                <w:color w:val="000000"/>
                <w:lang w:eastAsia="en-AU"/>
              </w:rPr>
            </w:pPr>
          </w:p>
        </w:tc>
      </w:tr>
      <w:tr w:rsidR="0070375D" w:rsidRPr="00B5537C" w:rsidTr="00B5537C">
        <w:tc>
          <w:tcPr>
            <w:tcW w:w="2420" w:type="dxa"/>
            <w:gridSpan w:val="3"/>
            <w:tcBorders>
              <w:top w:val="nil"/>
              <w:left w:val="nil"/>
              <w:bottom w:val="nil"/>
              <w:right w:val="nil"/>
            </w:tcBorders>
          </w:tcPr>
          <w:p w:rsidR="0070375D" w:rsidRPr="00B5537C" w:rsidRDefault="0070375D" w:rsidP="00B5537C">
            <w:pPr>
              <w:pStyle w:val="Tabletext"/>
              <w:rPr>
                <w:color w:val="000000"/>
                <w:lang w:eastAsia="en-AU"/>
              </w:rPr>
            </w:pPr>
            <w:r w:rsidRPr="00B5537C">
              <w:rPr>
                <w:color w:val="000000"/>
                <w:lang w:eastAsia="en-AU"/>
              </w:rPr>
              <w:t>Employee expenses</w:t>
            </w:r>
          </w:p>
        </w:tc>
        <w:tc>
          <w:tcPr>
            <w:tcW w:w="892" w:type="dxa"/>
            <w:gridSpan w:val="2"/>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18 </w:t>
            </w:r>
            <w:r w:rsidRPr="00B5537C">
              <w:rPr>
                <w:rFonts w:cs="Calibri"/>
                <w:color w:val="000000"/>
                <w:lang w:eastAsia="en-AU"/>
              </w:rPr>
              <w:t>057.2</w:t>
            </w:r>
          </w:p>
        </w:tc>
        <w:tc>
          <w:tcPr>
            <w:tcW w:w="892"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18 </w:t>
            </w:r>
            <w:r w:rsidRPr="00B5537C">
              <w:rPr>
                <w:rFonts w:cs="Calibri"/>
                <w:color w:val="000000"/>
                <w:lang w:eastAsia="en-AU"/>
              </w:rPr>
              <w:t>531.2</w:t>
            </w:r>
          </w:p>
        </w:tc>
        <w:tc>
          <w:tcPr>
            <w:tcW w:w="893"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18 </w:t>
            </w:r>
            <w:r w:rsidRPr="00B5537C">
              <w:rPr>
                <w:rFonts w:cs="Calibri"/>
                <w:color w:val="000000"/>
                <w:lang w:eastAsia="en-AU"/>
              </w:rPr>
              <w:t>945.3</w:t>
            </w:r>
          </w:p>
        </w:tc>
        <w:tc>
          <w:tcPr>
            <w:tcW w:w="893"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19 </w:t>
            </w:r>
            <w:r w:rsidRPr="00B5537C">
              <w:rPr>
                <w:rFonts w:cs="Calibri"/>
                <w:color w:val="000000"/>
                <w:lang w:eastAsia="en-AU"/>
              </w:rPr>
              <w:t>698.4</w:t>
            </w:r>
          </w:p>
        </w:tc>
        <w:tc>
          <w:tcPr>
            <w:tcW w:w="893"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20 </w:t>
            </w:r>
            <w:r w:rsidRPr="00B5537C">
              <w:rPr>
                <w:rFonts w:cs="Calibri"/>
                <w:color w:val="000000"/>
                <w:lang w:eastAsia="en-AU"/>
              </w:rPr>
              <w:t>360.6</w:t>
            </w:r>
          </w:p>
        </w:tc>
        <w:tc>
          <w:tcPr>
            <w:tcW w:w="893"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20 </w:t>
            </w:r>
            <w:r w:rsidRPr="00B5537C">
              <w:rPr>
                <w:rFonts w:cs="Calibri"/>
                <w:color w:val="000000"/>
                <w:lang w:eastAsia="en-AU"/>
              </w:rPr>
              <w:t>947.2</w:t>
            </w:r>
          </w:p>
        </w:tc>
      </w:tr>
      <w:tr w:rsidR="0070375D" w:rsidRPr="00B5537C" w:rsidTr="00B5537C">
        <w:tc>
          <w:tcPr>
            <w:tcW w:w="2420" w:type="dxa"/>
            <w:gridSpan w:val="3"/>
            <w:tcBorders>
              <w:top w:val="nil"/>
              <w:left w:val="nil"/>
              <w:bottom w:val="nil"/>
              <w:right w:val="nil"/>
            </w:tcBorders>
          </w:tcPr>
          <w:p w:rsidR="0070375D" w:rsidRPr="00B5537C" w:rsidRDefault="0070375D" w:rsidP="00B5537C">
            <w:pPr>
              <w:pStyle w:val="Tabletext"/>
              <w:rPr>
                <w:color w:val="000000"/>
                <w:vertAlign w:val="superscript"/>
                <w:lang w:eastAsia="en-AU"/>
              </w:rPr>
            </w:pPr>
            <w:r w:rsidRPr="00B5537C">
              <w:rPr>
                <w:color w:val="000000"/>
                <w:lang w:eastAsia="en-AU"/>
              </w:rPr>
              <w:t xml:space="preserve">Superannuation </w:t>
            </w:r>
            <w:r w:rsidRPr="00B5537C">
              <w:rPr>
                <w:color w:val="000000"/>
                <w:vertAlign w:val="superscript"/>
                <w:lang w:eastAsia="en-AU"/>
              </w:rPr>
              <w:t>(c)</w:t>
            </w:r>
          </w:p>
        </w:tc>
        <w:tc>
          <w:tcPr>
            <w:tcW w:w="892" w:type="dxa"/>
            <w:gridSpan w:val="2"/>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2 </w:t>
            </w:r>
            <w:r w:rsidRPr="00B5537C">
              <w:rPr>
                <w:rFonts w:cs="Calibri"/>
                <w:color w:val="000000"/>
                <w:lang w:eastAsia="en-AU"/>
              </w:rPr>
              <w:t>769.7</w:t>
            </w:r>
          </w:p>
        </w:tc>
        <w:tc>
          <w:tcPr>
            <w:tcW w:w="892"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2 </w:t>
            </w:r>
            <w:r w:rsidRPr="00B5537C">
              <w:rPr>
                <w:rFonts w:cs="Calibri"/>
                <w:color w:val="000000"/>
                <w:lang w:eastAsia="en-AU"/>
              </w:rPr>
              <w:t>478.4</w:t>
            </w:r>
          </w:p>
        </w:tc>
        <w:tc>
          <w:tcPr>
            <w:tcW w:w="893"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3 </w:t>
            </w:r>
            <w:r w:rsidRPr="00B5537C">
              <w:rPr>
                <w:rFonts w:cs="Calibri"/>
                <w:color w:val="000000"/>
                <w:lang w:eastAsia="en-AU"/>
              </w:rPr>
              <w:t>141.8</w:t>
            </w:r>
          </w:p>
        </w:tc>
        <w:tc>
          <w:tcPr>
            <w:tcW w:w="893"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3 </w:t>
            </w:r>
            <w:r w:rsidRPr="00B5537C">
              <w:rPr>
                <w:rFonts w:cs="Calibri"/>
                <w:color w:val="000000"/>
                <w:lang w:eastAsia="en-AU"/>
              </w:rPr>
              <w:t>149.4</w:t>
            </w:r>
          </w:p>
        </w:tc>
        <w:tc>
          <w:tcPr>
            <w:tcW w:w="893"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3 </w:t>
            </w:r>
            <w:r w:rsidRPr="00B5537C">
              <w:rPr>
                <w:rFonts w:cs="Calibri"/>
                <w:color w:val="000000"/>
                <w:lang w:eastAsia="en-AU"/>
              </w:rPr>
              <w:t>166.5</w:t>
            </w:r>
          </w:p>
        </w:tc>
        <w:tc>
          <w:tcPr>
            <w:tcW w:w="893"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3 </w:t>
            </w:r>
            <w:r w:rsidRPr="00B5537C">
              <w:rPr>
                <w:rFonts w:cs="Calibri"/>
                <w:color w:val="000000"/>
                <w:lang w:eastAsia="en-AU"/>
              </w:rPr>
              <w:t>169.4</w:t>
            </w:r>
          </w:p>
        </w:tc>
      </w:tr>
      <w:tr w:rsidR="0070375D" w:rsidRPr="00B5537C" w:rsidTr="00B5537C">
        <w:tc>
          <w:tcPr>
            <w:tcW w:w="2420" w:type="dxa"/>
            <w:gridSpan w:val="3"/>
            <w:tcBorders>
              <w:top w:val="nil"/>
              <w:left w:val="nil"/>
              <w:bottom w:val="nil"/>
              <w:right w:val="nil"/>
            </w:tcBorders>
          </w:tcPr>
          <w:p w:rsidR="0070375D" w:rsidRPr="00B5537C" w:rsidRDefault="0070375D" w:rsidP="00B5537C">
            <w:pPr>
              <w:pStyle w:val="Tabletext"/>
              <w:rPr>
                <w:color w:val="000000"/>
                <w:lang w:eastAsia="en-AU"/>
              </w:rPr>
            </w:pPr>
            <w:r w:rsidRPr="00B5537C">
              <w:rPr>
                <w:color w:val="000000"/>
                <w:lang w:eastAsia="en-AU"/>
              </w:rPr>
              <w:t>Depreciation</w:t>
            </w:r>
          </w:p>
        </w:tc>
        <w:tc>
          <w:tcPr>
            <w:tcW w:w="892" w:type="dxa"/>
            <w:gridSpan w:val="2"/>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3 </w:t>
            </w:r>
            <w:r w:rsidRPr="00B5537C">
              <w:rPr>
                <w:rFonts w:cs="Calibri"/>
                <w:color w:val="000000"/>
                <w:lang w:eastAsia="en-AU"/>
              </w:rPr>
              <w:t>880.4</w:t>
            </w:r>
          </w:p>
        </w:tc>
        <w:tc>
          <w:tcPr>
            <w:tcW w:w="892"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4 </w:t>
            </w:r>
            <w:r w:rsidRPr="00B5537C">
              <w:rPr>
                <w:rFonts w:cs="Calibri"/>
                <w:color w:val="000000"/>
                <w:lang w:eastAsia="en-AU"/>
              </w:rPr>
              <w:t>193.1</w:t>
            </w:r>
          </w:p>
        </w:tc>
        <w:tc>
          <w:tcPr>
            <w:tcW w:w="893"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4 </w:t>
            </w:r>
            <w:r w:rsidRPr="00B5537C">
              <w:rPr>
                <w:rFonts w:cs="Calibri"/>
                <w:color w:val="000000"/>
                <w:lang w:eastAsia="en-AU"/>
              </w:rPr>
              <w:t>445.1</w:t>
            </w:r>
          </w:p>
        </w:tc>
        <w:tc>
          <w:tcPr>
            <w:tcW w:w="893"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4 </w:t>
            </w:r>
            <w:r w:rsidRPr="00B5537C">
              <w:rPr>
                <w:rFonts w:cs="Calibri"/>
                <w:color w:val="000000"/>
                <w:lang w:eastAsia="en-AU"/>
              </w:rPr>
              <w:t>671.7</w:t>
            </w:r>
          </w:p>
        </w:tc>
        <w:tc>
          <w:tcPr>
            <w:tcW w:w="893"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4 </w:t>
            </w:r>
            <w:r w:rsidRPr="00B5537C">
              <w:rPr>
                <w:rFonts w:cs="Calibri"/>
                <w:color w:val="000000"/>
                <w:lang w:eastAsia="en-AU"/>
              </w:rPr>
              <w:t>944.2</w:t>
            </w:r>
          </w:p>
        </w:tc>
        <w:tc>
          <w:tcPr>
            <w:tcW w:w="893"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5 </w:t>
            </w:r>
            <w:r w:rsidRPr="00B5537C">
              <w:rPr>
                <w:rFonts w:cs="Calibri"/>
                <w:color w:val="000000"/>
                <w:lang w:eastAsia="en-AU"/>
              </w:rPr>
              <w:t>142.2</w:t>
            </w:r>
          </w:p>
        </w:tc>
      </w:tr>
      <w:tr w:rsidR="0070375D" w:rsidRPr="00B5537C" w:rsidTr="00B5537C">
        <w:tc>
          <w:tcPr>
            <w:tcW w:w="2420" w:type="dxa"/>
            <w:gridSpan w:val="3"/>
            <w:tcBorders>
              <w:top w:val="nil"/>
              <w:left w:val="nil"/>
              <w:bottom w:val="nil"/>
              <w:right w:val="nil"/>
            </w:tcBorders>
          </w:tcPr>
          <w:p w:rsidR="0070375D" w:rsidRPr="00B5537C" w:rsidRDefault="0070375D" w:rsidP="00B5537C">
            <w:pPr>
              <w:pStyle w:val="Tabletext"/>
              <w:rPr>
                <w:color w:val="000000"/>
                <w:lang w:eastAsia="en-AU"/>
              </w:rPr>
            </w:pPr>
            <w:r w:rsidRPr="00B5537C">
              <w:rPr>
                <w:color w:val="000000"/>
                <w:lang w:eastAsia="en-AU"/>
              </w:rPr>
              <w:t>Interest expense</w:t>
            </w:r>
          </w:p>
        </w:tc>
        <w:tc>
          <w:tcPr>
            <w:tcW w:w="892" w:type="dxa"/>
            <w:gridSpan w:val="2"/>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2 </w:t>
            </w:r>
            <w:r w:rsidRPr="00B5537C">
              <w:rPr>
                <w:rFonts w:cs="Calibri"/>
                <w:color w:val="000000"/>
                <w:lang w:eastAsia="en-AU"/>
              </w:rPr>
              <w:t>129.6</w:t>
            </w:r>
          </w:p>
        </w:tc>
        <w:tc>
          <w:tcPr>
            <w:tcW w:w="892"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2 </w:t>
            </w:r>
            <w:r w:rsidRPr="00B5537C">
              <w:rPr>
                <w:rFonts w:cs="Calibri"/>
                <w:color w:val="000000"/>
                <w:lang w:eastAsia="en-AU"/>
              </w:rPr>
              <w:t>537.0</w:t>
            </w:r>
          </w:p>
        </w:tc>
        <w:tc>
          <w:tcPr>
            <w:tcW w:w="893"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3 </w:t>
            </w:r>
            <w:r w:rsidRPr="00B5537C">
              <w:rPr>
                <w:rFonts w:cs="Calibri"/>
                <w:color w:val="000000"/>
                <w:lang w:eastAsia="en-AU"/>
              </w:rPr>
              <w:t>054.7</w:t>
            </w:r>
          </w:p>
        </w:tc>
        <w:tc>
          <w:tcPr>
            <w:tcW w:w="893"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3 </w:t>
            </w:r>
            <w:r w:rsidRPr="00B5537C">
              <w:rPr>
                <w:rFonts w:cs="Calibri"/>
                <w:color w:val="000000"/>
                <w:lang w:eastAsia="en-AU"/>
              </w:rPr>
              <w:t>247.1</w:t>
            </w:r>
          </w:p>
        </w:tc>
        <w:tc>
          <w:tcPr>
            <w:tcW w:w="893"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3 </w:t>
            </w:r>
            <w:r w:rsidRPr="00B5537C">
              <w:rPr>
                <w:rFonts w:cs="Calibri"/>
                <w:color w:val="000000"/>
                <w:lang w:eastAsia="en-AU"/>
              </w:rPr>
              <w:t>294.9</w:t>
            </w:r>
          </w:p>
        </w:tc>
        <w:tc>
          <w:tcPr>
            <w:tcW w:w="893"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3 </w:t>
            </w:r>
            <w:r w:rsidRPr="00B5537C">
              <w:rPr>
                <w:rFonts w:cs="Calibri"/>
                <w:color w:val="000000"/>
                <w:lang w:eastAsia="en-AU"/>
              </w:rPr>
              <w:t>319.5</w:t>
            </w:r>
          </w:p>
        </w:tc>
      </w:tr>
      <w:tr w:rsidR="0070375D" w:rsidRPr="00B5537C" w:rsidTr="00B5537C">
        <w:tc>
          <w:tcPr>
            <w:tcW w:w="2420" w:type="dxa"/>
            <w:gridSpan w:val="3"/>
            <w:tcBorders>
              <w:top w:val="nil"/>
              <w:left w:val="nil"/>
              <w:bottom w:val="nil"/>
              <w:right w:val="nil"/>
            </w:tcBorders>
          </w:tcPr>
          <w:p w:rsidR="0070375D" w:rsidRPr="00B5537C" w:rsidRDefault="0070375D" w:rsidP="00B5537C">
            <w:pPr>
              <w:pStyle w:val="Tabletext"/>
              <w:rPr>
                <w:color w:val="000000"/>
                <w:lang w:eastAsia="en-AU"/>
              </w:rPr>
            </w:pPr>
            <w:r w:rsidRPr="00B5537C">
              <w:rPr>
                <w:color w:val="000000"/>
                <w:lang w:eastAsia="en-AU"/>
              </w:rPr>
              <w:t>Other operating expenses</w:t>
            </w:r>
          </w:p>
        </w:tc>
        <w:tc>
          <w:tcPr>
            <w:tcW w:w="892" w:type="dxa"/>
            <w:gridSpan w:val="2"/>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23 </w:t>
            </w:r>
            <w:r w:rsidRPr="00B5537C">
              <w:rPr>
                <w:rFonts w:cs="Calibri"/>
                <w:color w:val="000000"/>
                <w:lang w:eastAsia="en-AU"/>
              </w:rPr>
              <w:t>233.0</w:t>
            </w:r>
          </w:p>
        </w:tc>
        <w:tc>
          <w:tcPr>
            <w:tcW w:w="892"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23 </w:t>
            </w:r>
            <w:r w:rsidRPr="00B5537C">
              <w:rPr>
                <w:rFonts w:cs="Calibri"/>
                <w:color w:val="000000"/>
                <w:lang w:eastAsia="en-AU"/>
              </w:rPr>
              <w:t>606.0</w:t>
            </w:r>
          </w:p>
        </w:tc>
        <w:tc>
          <w:tcPr>
            <w:tcW w:w="893"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24 </w:t>
            </w:r>
            <w:r w:rsidRPr="00B5537C">
              <w:rPr>
                <w:rFonts w:cs="Calibri"/>
                <w:color w:val="000000"/>
                <w:lang w:eastAsia="en-AU"/>
              </w:rPr>
              <w:t>282.3</w:t>
            </w:r>
          </w:p>
        </w:tc>
        <w:tc>
          <w:tcPr>
            <w:tcW w:w="893"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24 </w:t>
            </w:r>
            <w:r w:rsidRPr="00B5537C">
              <w:rPr>
                <w:rFonts w:cs="Calibri"/>
                <w:color w:val="000000"/>
                <w:lang w:eastAsia="en-AU"/>
              </w:rPr>
              <w:t>862.1</w:t>
            </w:r>
          </w:p>
        </w:tc>
        <w:tc>
          <w:tcPr>
            <w:tcW w:w="893"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25 </w:t>
            </w:r>
            <w:r w:rsidRPr="00B5537C">
              <w:rPr>
                <w:rFonts w:cs="Calibri"/>
                <w:color w:val="000000"/>
                <w:lang w:eastAsia="en-AU"/>
              </w:rPr>
              <w:t>101.6</w:t>
            </w:r>
          </w:p>
        </w:tc>
        <w:tc>
          <w:tcPr>
            <w:tcW w:w="893"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25 </w:t>
            </w:r>
            <w:r w:rsidRPr="00B5537C">
              <w:rPr>
                <w:rFonts w:cs="Calibri"/>
                <w:color w:val="000000"/>
                <w:lang w:eastAsia="en-AU"/>
              </w:rPr>
              <w:t>809.1</w:t>
            </w:r>
          </w:p>
        </w:tc>
      </w:tr>
      <w:tr w:rsidR="0070375D" w:rsidRPr="00B5537C" w:rsidTr="00B5537C">
        <w:tc>
          <w:tcPr>
            <w:tcW w:w="2420" w:type="dxa"/>
            <w:gridSpan w:val="3"/>
            <w:tcBorders>
              <w:top w:val="nil"/>
              <w:left w:val="nil"/>
              <w:bottom w:val="nil"/>
              <w:right w:val="nil"/>
            </w:tcBorders>
          </w:tcPr>
          <w:p w:rsidR="0070375D" w:rsidRPr="00B5537C" w:rsidRDefault="0070375D" w:rsidP="00B5537C">
            <w:pPr>
              <w:pStyle w:val="Tabletext"/>
              <w:rPr>
                <w:color w:val="000000"/>
                <w:lang w:eastAsia="en-AU"/>
              </w:rPr>
            </w:pPr>
            <w:r w:rsidRPr="00B5537C">
              <w:rPr>
                <w:color w:val="000000"/>
                <w:lang w:eastAsia="en-AU"/>
              </w:rPr>
              <w:t>Grants and other transfers</w:t>
            </w:r>
          </w:p>
        </w:tc>
        <w:tc>
          <w:tcPr>
            <w:tcW w:w="892" w:type="dxa"/>
            <w:gridSpan w:val="2"/>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5 </w:t>
            </w:r>
            <w:r w:rsidRPr="00B5537C">
              <w:rPr>
                <w:rFonts w:cs="Calibri"/>
                <w:color w:val="000000"/>
                <w:lang w:eastAsia="en-AU"/>
              </w:rPr>
              <w:t>635.4</w:t>
            </w:r>
          </w:p>
        </w:tc>
        <w:tc>
          <w:tcPr>
            <w:tcW w:w="892"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5 </w:t>
            </w:r>
            <w:r w:rsidRPr="00B5537C">
              <w:rPr>
                <w:rFonts w:cs="Calibri"/>
                <w:color w:val="000000"/>
                <w:lang w:eastAsia="en-AU"/>
              </w:rPr>
              <w:t>124.2</w:t>
            </w:r>
          </w:p>
        </w:tc>
        <w:tc>
          <w:tcPr>
            <w:tcW w:w="893"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5 </w:t>
            </w:r>
            <w:r w:rsidRPr="00B5537C">
              <w:rPr>
                <w:rFonts w:cs="Calibri"/>
                <w:color w:val="000000"/>
                <w:lang w:eastAsia="en-AU"/>
              </w:rPr>
              <w:t>268.7</w:t>
            </w:r>
          </w:p>
        </w:tc>
        <w:tc>
          <w:tcPr>
            <w:tcW w:w="893"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5 </w:t>
            </w:r>
            <w:r w:rsidRPr="00B5537C">
              <w:rPr>
                <w:rFonts w:cs="Calibri"/>
                <w:color w:val="000000"/>
                <w:lang w:eastAsia="en-AU"/>
              </w:rPr>
              <w:t>449.4</w:t>
            </w:r>
          </w:p>
        </w:tc>
        <w:tc>
          <w:tcPr>
            <w:tcW w:w="893"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5 </w:t>
            </w:r>
            <w:r w:rsidRPr="00B5537C">
              <w:rPr>
                <w:rFonts w:cs="Calibri"/>
                <w:color w:val="000000"/>
                <w:lang w:eastAsia="en-AU"/>
              </w:rPr>
              <w:t>659.5</w:t>
            </w:r>
          </w:p>
        </w:tc>
        <w:tc>
          <w:tcPr>
            <w:tcW w:w="893" w:type="dxa"/>
            <w:tcBorders>
              <w:top w:val="nil"/>
              <w:left w:val="nil"/>
              <w:bottom w:val="nil"/>
              <w:right w:val="nil"/>
            </w:tcBorders>
          </w:tcPr>
          <w:p w:rsidR="0070375D" w:rsidRPr="00B5537C" w:rsidRDefault="0070375D" w:rsidP="00B5537C">
            <w:pPr>
              <w:pStyle w:val="TableofFigures"/>
              <w:rPr>
                <w:rFonts w:cs="Calibri"/>
                <w:color w:val="000000"/>
                <w:lang w:eastAsia="en-AU"/>
              </w:rPr>
            </w:pPr>
            <w:r w:rsidRPr="00B5537C">
              <w:rPr>
                <w:color w:val="000000"/>
                <w:lang w:eastAsia="en-AU"/>
              </w:rPr>
              <w:t xml:space="preserve">5 </w:t>
            </w:r>
            <w:r w:rsidRPr="00B5537C">
              <w:rPr>
                <w:rFonts w:cs="Calibri"/>
                <w:color w:val="000000"/>
                <w:lang w:eastAsia="en-AU"/>
              </w:rPr>
              <w:t>904.4</w:t>
            </w:r>
          </w:p>
        </w:tc>
      </w:tr>
      <w:tr w:rsidR="0070375D" w:rsidRPr="00B5537C" w:rsidTr="00B5537C">
        <w:tc>
          <w:tcPr>
            <w:tcW w:w="2420" w:type="dxa"/>
            <w:gridSpan w:val="3"/>
            <w:tcBorders>
              <w:top w:val="single" w:sz="6" w:space="0" w:color="auto"/>
              <w:left w:val="nil"/>
              <w:bottom w:val="nil"/>
              <w:right w:val="nil"/>
            </w:tcBorders>
          </w:tcPr>
          <w:p w:rsidR="0070375D" w:rsidRPr="00B5537C" w:rsidRDefault="0070375D" w:rsidP="00B5537C">
            <w:pPr>
              <w:pStyle w:val="Tabletext"/>
              <w:rPr>
                <w:b/>
                <w:bCs/>
                <w:color w:val="000000"/>
                <w:lang w:eastAsia="en-AU"/>
              </w:rPr>
            </w:pPr>
            <w:r w:rsidRPr="00B5537C">
              <w:rPr>
                <w:b/>
                <w:bCs/>
                <w:color w:val="000000"/>
                <w:lang w:eastAsia="en-AU"/>
              </w:rPr>
              <w:t>Total expenses</w:t>
            </w:r>
          </w:p>
        </w:tc>
        <w:tc>
          <w:tcPr>
            <w:tcW w:w="892" w:type="dxa"/>
            <w:gridSpan w:val="2"/>
            <w:tcBorders>
              <w:top w:val="single" w:sz="6" w:space="0" w:color="auto"/>
              <w:left w:val="nil"/>
              <w:bottom w:val="nil"/>
              <w:right w:val="nil"/>
            </w:tcBorders>
          </w:tcPr>
          <w:p w:rsidR="0070375D" w:rsidRPr="00B5537C" w:rsidRDefault="0070375D" w:rsidP="00B5537C">
            <w:pPr>
              <w:pStyle w:val="TableofFigures"/>
              <w:rPr>
                <w:rFonts w:cs="Calibri"/>
                <w:b/>
                <w:bCs/>
                <w:color w:val="000000"/>
                <w:lang w:eastAsia="en-AU"/>
              </w:rPr>
            </w:pPr>
            <w:r w:rsidRPr="00B5537C">
              <w:rPr>
                <w:b/>
                <w:bCs/>
                <w:color w:val="000000"/>
                <w:lang w:eastAsia="en-AU"/>
              </w:rPr>
              <w:t xml:space="preserve">55 </w:t>
            </w:r>
            <w:r w:rsidRPr="00B5537C">
              <w:rPr>
                <w:rFonts w:cs="Calibri"/>
                <w:b/>
                <w:bCs/>
                <w:color w:val="000000"/>
                <w:lang w:eastAsia="en-AU"/>
              </w:rPr>
              <w:t>705.3</w:t>
            </w:r>
          </w:p>
        </w:tc>
        <w:tc>
          <w:tcPr>
            <w:tcW w:w="892" w:type="dxa"/>
            <w:tcBorders>
              <w:top w:val="single" w:sz="6" w:space="0" w:color="auto"/>
              <w:left w:val="nil"/>
              <w:bottom w:val="nil"/>
              <w:right w:val="nil"/>
            </w:tcBorders>
          </w:tcPr>
          <w:p w:rsidR="0070375D" w:rsidRPr="00B5537C" w:rsidRDefault="0070375D" w:rsidP="00B5537C">
            <w:pPr>
              <w:pStyle w:val="TableofFigures"/>
              <w:rPr>
                <w:rFonts w:cs="Calibri"/>
                <w:b/>
                <w:bCs/>
                <w:color w:val="000000"/>
                <w:lang w:eastAsia="en-AU"/>
              </w:rPr>
            </w:pPr>
            <w:r w:rsidRPr="00B5537C">
              <w:rPr>
                <w:b/>
                <w:bCs/>
                <w:color w:val="000000"/>
                <w:lang w:eastAsia="en-AU"/>
              </w:rPr>
              <w:t xml:space="preserve">56 </w:t>
            </w:r>
            <w:r w:rsidRPr="00B5537C">
              <w:rPr>
                <w:rFonts w:cs="Calibri"/>
                <w:b/>
                <w:bCs/>
                <w:color w:val="000000"/>
                <w:lang w:eastAsia="en-AU"/>
              </w:rPr>
              <w:t>469.8</w:t>
            </w:r>
          </w:p>
        </w:tc>
        <w:tc>
          <w:tcPr>
            <w:tcW w:w="893" w:type="dxa"/>
            <w:tcBorders>
              <w:top w:val="single" w:sz="6" w:space="0" w:color="auto"/>
              <w:left w:val="nil"/>
              <w:bottom w:val="nil"/>
              <w:right w:val="nil"/>
            </w:tcBorders>
          </w:tcPr>
          <w:p w:rsidR="0070375D" w:rsidRPr="00B5537C" w:rsidRDefault="0070375D" w:rsidP="00B5537C">
            <w:pPr>
              <w:pStyle w:val="TableofFigures"/>
              <w:rPr>
                <w:rFonts w:cs="Calibri"/>
                <w:b/>
                <w:bCs/>
                <w:color w:val="000000"/>
                <w:lang w:eastAsia="en-AU"/>
              </w:rPr>
            </w:pPr>
            <w:r w:rsidRPr="00B5537C">
              <w:rPr>
                <w:b/>
                <w:bCs/>
                <w:color w:val="000000"/>
                <w:lang w:eastAsia="en-AU"/>
              </w:rPr>
              <w:t xml:space="preserve">59 </w:t>
            </w:r>
            <w:r w:rsidRPr="00B5537C">
              <w:rPr>
                <w:rFonts w:cs="Calibri"/>
                <w:b/>
                <w:bCs/>
                <w:color w:val="000000"/>
                <w:lang w:eastAsia="en-AU"/>
              </w:rPr>
              <w:t>138.0</w:t>
            </w:r>
          </w:p>
        </w:tc>
        <w:tc>
          <w:tcPr>
            <w:tcW w:w="893" w:type="dxa"/>
            <w:tcBorders>
              <w:top w:val="single" w:sz="6" w:space="0" w:color="auto"/>
              <w:left w:val="nil"/>
              <w:bottom w:val="nil"/>
              <w:right w:val="nil"/>
            </w:tcBorders>
          </w:tcPr>
          <w:p w:rsidR="0070375D" w:rsidRPr="00B5537C" w:rsidRDefault="0070375D" w:rsidP="00B5537C">
            <w:pPr>
              <w:pStyle w:val="TableofFigures"/>
              <w:rPr>
                <w:rFonts w:cs="Calibri"/>
                <w:b/>
                <w:bCs/>
                <w:color w:val="000000"/>
                <w:lang w:eastAsia="en-AU"/>
              </w:rPr>
            </w:pPr>
            <w:r w:rsidRPr="00B5537C">
              <w:rPr>
                <w:b/>
                <w:bCs/>
                <w:color w:val="000000"/>
                <w:lang w:eastAsia="en-AU"/>
              </w:rPr>
              <w:t xml:space="preserve">61 </w:t>
            </w:r>
            <w:r w:rsidRPr="00B5537C">
              <w:rPr>
                <w:rFonts w:cs="Calibri"/>
                <w:b/>
                <w:bCs/>
                <w:color w:val="000000"/>
                <w:lang w:eastAsia="en-AU"/>
              </w:rPr>
              <w:t>078.1</w:t>
            </w:r>
          </w:p>
        </w:tc>
        <w:tc>
          <w:tcPr>
            <w:tcW w:w="893" w:type="dxa"/>
            <w:tcBorders>
              <w:top w:val="single" w:sz="6" w:space="0" w:color="auto"/>
              <w:left w:val="nil"/>
              <w:bottom w:val="nil"/>
              <w:right w:val="nil"/>
            </w:tcBorders>
          </w:tcPr>
          <w:p w:rsidR="0070375D" w:rsidRPr="00B5537C" w:rsidRDefault="0070375D" w:rsidP="00B5537C">
            <w:pPr>
              <w:pStyle w:val="TableofFigures"/>
              <w:rPr>
                <w:rFonts w:cs="Calibri"/>
                <w:b/>
                <w:bCs/>
                <w:color w:val="000000"/>
                <w:lang w:eastAsia="en-AU"/>
              </w:rPr>
            </w:pPr>
            <w:r w:rsidRPr="00B5537C">
              <w:rPr>
                <w:b/>
                <w:bCs/>
                <w:color w:val="000000"/>
                <w:lang w:eastAsia="en-AU"/>
              </w:rPr>
              <w:t xml:space="preserve">62 </w:t>
            </w:r>
            <w:r w:rsidRPr="00B5537C">
              <w:rPr>
                <w:rFonts w:cs="Calibri"/>
                <w:b/>
                <w:bCs/>
                <w:color w:val="000000"/>
                <w:lang w:eastAsia="en-AU"/>
              </w:rPr>
              <w:t>527.4</w:t>
            </w:r>
          </w:p>
        </w:tc>
        <w:tc>
          <w:tcPr>
            <w:tcW w:w="893" w:type="dxa"/>
            <w:tcBorders>
              <w:top w:val="single" w:sz="6" w:space="0" w:color="auto"/>
              <w:left w:val="nil"/>
              <w:bottom w:val="nil"/>
              <w:right w:val="nil"/>
            </w:tcBorders>
          </w:tcPr>
          <w:p w:rsidR="0070375D" w:rsidRPr="00B5537C" w:rsidRDefault="0070375D" w:rsidP="00B5537C">
            <w:pPr>
              <w:pStyle w:val="TableofFigures"/>
              <w:rPr>
                <w:rFonts w:cs="Calibri"/>
                <w:b/>
                <w:bCs/>
                <w:color w:val="000000"/>
                <w:lang w:eastAsia="en-AU"/>
              </w:rPr>
            </w:pPr>
            <w:r w:rsidRPr="00B5537C">
              <w:rPr>
                <w:b/>
                <w:bCs/>
                <w:color w:val="000000"/>
                <w:lang w:eastAsia="en-AU"/>
              </w:rPr>
              <w:t xml:space="preserve">64 </w:t>
            </w:r>
            <w:r w:rsidRPr="00B5537C">
              <w:rPr>
                <w:rFonts w:cs="Calibri"/>
                <w:b/>
                <w:bCs/>
                <w:color w:val="000000"/>
                <w:lang w:eastAsia="en-AU"/>
              </w:rPr>
              <w:t>291.7</w:t>
            </w:r>
          </w:p>
        </w:tc>
      </w:tr>
      <w:tr w:rsidR="0070375D" w:rsidRPr="00B5537C" w:rsidTr="00B5537C">
        <w:tc>
          <w:tcPr>
            <w:tcW w:w="2420" w:type="dxa"/>
            <w:gridSpan w:val="3"/>
            <w:tcBorders>
              <w:top w:val="nil"/>
              <w:left w:val="nil"/>
              <w:bottom w:val="nil"/>
              <w:right w:val="nil"/>
            </w:tcBorders>
          </w:tcPr>
          <w:p w:rsidR="0070375D" w:rsidRPr="00B5537C" w:rsidRDefault="0070375D" w:rsidP="00B5537C">
            <w:pPr>
              <w:pStyle w:val="Tabletext"/>
              <w:rPr>
                <w:rFonts w:cs="Calibri"/>
                <w:color w:val="000000"/>
                <w:vertAlign w:val="superscript"/>
                <w:lang w:eastAsia="en-AU"/>
              </w:rPr>
            </w:pPr>
            <w:r w:rsidRPr="00B5537C">
              <w:rPr>
                <w:color w:val="000000"/>
                <w:lang w:eastAsia="en-AU"/>
              </w:rPr>
              <w:t xml:space="preserve">% change </w:t>
            </w:r>
            <w:r w:rsidRPr="00B5537C">
              <w:rPr>
                <w:rFonts w:cs="Calibri"/>
                <w:color w:val="000000"/>
                <w:vertAlign w:val="superscript"/>
                <w:lang w:eastAsia="en-AU"/>
              </w:rPr>
              <w:t>(d)</w:t>
            </w:r>
          </w:p>
        </w:tc>
        <w:tc>
          <w:tcPr>
            <w:tcW w:w="892" w:type="dxa"/>
            <w:gridSpan w:val="2"/>
            <w:tcBorders>
              <w:top w:val="nil"/>
              <w:left w:val="nil"/>
              <w:bottom w:val="nil"/>
              <w:right w:val="nil"/>
            </w:tcBorders>
          </w:tcPr>
          <w:p w:rsidR="0070375D" w:rsidRPr="00B5537C" w:rsidRDefault="0070375D" w:rsidP="00B5537C">
            <w:pPr>
              <w:pStyle w:val="TableofFigures"/>
              <w:rPr>
                <w:color w:val="000000"/>
                <w:lang w:eastAsia="en-AU"/>
              </w:rPr>
            </w:pPr>
            <w:r w:rsidRPr="00B5537C">
              <w:rPr>
                <w:color w:val="000000"/>
                <w:lang w:eastAsia="en-AU"/>
              </w:rPr>
              <w:t>3.6</w:t>
            </w:r>
          </w:p>
        </w:tc>
        <w:tc>
          <w:tcPr>
            <w:tcW w:w="892" w:type="dxa"/>
            <w:tcBorders>
              <w:top w:val="nil"/>
              <w:left w:val="nil"/>
              <w:bottom w:val="nil"/>
              <w:right w:val="nil"/>
            </w:tcBorders>
          </w:tcPr>
          <w:p w:rsidR="0070375D" w:rsidRPr="00B5537C" w:rsidRDefault="0070375D" w:rsidP="00B5537C">
            <w:pPr>
              <w:pStyle w:val="TableofFigures"/>
              <w:rPr>
                <w:color w:val="000000"/>
                <w:lang w:eastAsia="en-AU"/>
              </w:rPr>
            </w:pPr>
            <w:r w:rsidRPr="00B5537C">
              <w:rPr>
                <w:color w:val="000000"/>
                <w:lang w:eastAsia="en-AU"/>
              </w:rPr>
              <w:t>1.4</w:t>
            </w:r>
          </w:p>
        </w:tc>
        <w:tc>
          <w:tcPr>
            <w:tcW w:w="893" w:type="dxa"/>
            <w:tcBorders>
              <w:top w:val="nil"/>
              <w:left w:val="nil"/>
              <w:bottom w:val="nil"/>
              <w:right w:val="nil"/>
            </w:tcBorders>
          </w:tcPr>
          <w:p w:rsidR="0070375D" w:rsidRPr="00B5537C" w:rsidRDefault="0070375D" w:rsidP="00B5537C">
            <w:pPr>
              <w:pStyle w:val="TableofFigures"/>
              <w:rPr>
                <w:color w:val="000000"/>
                <w:lang w:eastAsia="en-AU"/>
              </w:rPr>
            </w:pPr>
            <w:r w:rsidRPr="00B5537C">
              <w:rPr>
                <w:color w:val="000000"/>
                <w:lang w:eastAsia="en-AU"/>
              </w:rPr>
              <w:t>3.7</w:t>
            </w:r>
          </w:p>
        </w:tc>
        <w:tc>
          <w:tcPr>
            <w:tcW w:w="893" w:type="dxa"/>
            <w:tcBorders>
              <w:top w:val="nil"/>
              <w:left w:val="nil"/>
              <w:bottom w:val="nil"/>
              <w:right w:val="nil"/>
            </w:tcBorders>
          </w:tcPr>
          <w:p w:rsidR="0070375D" w:rsidRPr="00B5537C" w:rsidRDefault="0070375D" w:rsidP="00B5537C">
            <w:pPr>
              <w:pStyle w:val="TableofFigures"/>
              <w:rPr>
                <w:color w:val="000000"/>
                <w:lang w:eastAsia="en-AU"/>
              </w:rPr>
            </w:pPr>
            <w:r w:rsidRPr="00B5537C">
              <w:rPr>
                <w:color w:val="000000"/>
                <w:lang w:eastAsia="en-AU"/>
              </w:rPr>
              <w:t>3.3</w:t>
            </w:r>
          </w:p>
        </w:tc>
        <w:tc>
          <w:tcPr>
            <w:tcW w:w="893" w:type="dxa"/>
            <w:tcBorders>
              <w:top w:val="nil"/>
              <w:left w:val="nil"/>
              <w:bottom w:val="nil"/>
              <w:right w:val="nil"/>
            </w:tcBorders>
          </w:tcPr>
          <w:p w:rsidR="0070375D" w:rsidRPr="00B5537C" w:rsidRDefault="0070375D" w:rsidP="00B5537C">
            <w:pPr>
              <w:pStyle w:val="TableofFigures"/>
              <w:rPr>
                <w:color w:val="000000"/>
                <w:lang w:eastAsia="en-AU"/>
              </w:rPr>
            </w:pPr>
            <w:r w:rsidRPr="00B5537C">
              <w:rPr>
                <w:color w:val="000000"/>
                <w:lang w:eastAsia="en-AU"/>
              </w:rPr>
              <w:t>2.4</w:t>
            </w:r>
          </w:p>
        </w:tc>
        <w:tc>
          <w:tcPr>
            <w:tcW w:w="893" w:type="dxa"/>
            <w:tcBorders>
              <w:top w:val="nil"/>
              <w:left w:val="nil"/>
              <w:bottom w:val="nil"/>
              <w:right w:val="nil"/>
            </w:tcBorders>
          </w:tcPr>
          <w:p w:rsidR="0070375D" w:rsidRPr="00B5537C" w:rsidRDefault="0070375D" w:rsidP="00B5537C">
            <w:pPr>
              <w:pStyle w:val="TableofFigures"/>
              <w:rPr>
                <w:color w:val="000000"/>
                <w:lang w:eastAsia="en-AU"/>
              </w:rPr>
            </w:pPr>
            <w:r w:rsidRPr="00B5537C">
              <w:rPr>
                <w:color w:val="000000"/>
                <w:lang w:eastAsia="en-AU"/>
              </w:rPr>
              <w:t>2.8</w:t>
            </w:r>
          </w:p>
        </w:tc>
      </w:tr>
      <w:tr w:rsidR="0070375D" w:rsidRPr="00B5537C" w:rsidTr="00B5537C">
        <w:tc>
          <w:tcPr>
            <w:tcW w:w="2420" w:type="dxa"/>
            <w:gridSpan w:val="3"/>
            <w:tcBorders>
              <w:top w:val="single" w:sz="6" w:space="0" w:color="auto"/>
              <w:left w:val="nil"/>
              <w:bottom w:val="single" w:sz="6" w:space="0" w:color="auto"/>
              <w:right w:val="nil"/>
            </w:tcBorders>
          </w:tcPr>
          <w:p w:rsidR="0070375D" w:rsidRPr="00B5537C" w:rsidRDefault="0070375D" w:rsidP="00B5537C">
            <w:pPr>
              <w:pStyle w:val="Tabletext"/>
              <w:rPr>
                <w:b/>
                <w:bCs/>
                <w:color w:val="000000"/>
                <w:lang w:eastAsia="en-AU"/>
              </w:rPr>
            </w:pPr>
            <w:r w:rsidRPr="00B5537C">
              <w:rPr>
                <w:b/>
                <w:bCs/>
                <w:color w:val="000000"/>
                <w:lang w:eastAsia="en-AU"/>
              </w:rPr>
              <w:t>Net result from transactions – net operating balance</w:t>
            </w:r>
          </w:p>
        </w:tc>
        <w:tc>
          <w:tcPr>
            <w:tcW w:w="892" w:type="dxa"/>
            <w:gridSpan w:val="2"/>
            <w:tcBorders>
              <w:top w:val="single" w:sz="6" w:space="0" w:color="auto"/>
              <w:left w:val="nil"/>
              <w:bottom w:val="single" w:sz="6" w:space="0" w:color="auto"/>
              <w:right w:val="nil"/>
            </w:tcBorders>
          </w:tcPr>
          <w:p w:rsidR="0070375D" w:rsidRPr="00B5537C" w:rsidRDefault="0070375D" w:rsidP="00B5537C">
            <w:pPr>
              <w:pStyle w:val="TableofFigures"/>
              <w:rPr>
                <w:rFonts w:cs="Calibri"/>
                <w:b/>
                <w:bCs/>
                <w:color w:val="000000"/>
                <w:lang w:eastAsia="en-AU"/>
              </w:rPr>
            </w:pPr>
            <w:r w:rsidRPr="00B5537C">
              <w:rPr>
                <w:b/>
                <w:bCs/>
                <w:color w:val="000000"/>
                <w:lang w:eastAsia="en-AU"/>
              </w:rPr>
              <w:t>(1 247.6</w:t>
            </w:r>
            <w:r w:rsidRPr="00B5537C">
              <w:rPr>
                <w:rFonts w:cs="Calibri"/>
                <w:b/>
                <w:bCs/>
                <w:color w:val="000000"/>
                <w:lang w:eastAsia="en-AU"/>
              </w:rPr>
              <w:t>)</w:t>
            </w:r>
          </w:p>
        </w:tc>
        <w:tc>
          <w:tcPr>
            <w:tcW w:w="892" w:type="dxa"/>
            <w:tcBorders>
              <w:top w:val="single" w:sz="6" w:space="0" w:color="auto"/>
              <w:left w:val="nil"/>
              <w:bottom w:val="single" w:sz="6" w:space="0" w:color="auto"/>
              <w:right w:val="nil"/>
            </w:tcBorders>
          </w:tcPr>
          <w:p w:rsidR="0070375D" w:rsidRPr="00B5537C" w:rsidRDefault="0070375D" w:rsidP="00B5537C">
            <w:pPr>
              <w:pStyle w:val="TableofFigures"/>
              <w:rPr>
                <w:rFonts w:cs="Calibri"/>
                <w:b/>
                <w:bCs/>
                <w:color w:val="000000"/>
                <w:lang w:eastAsia="en-AU"/>
              </w:rPr>
            </w:pPr>
            <w:r w:rsidRPr="00B5537C">
              <w:rPr>
                <w:b/>
                <w:bCs/>
                <w:color w:val="000000"/>
                <w:lang w:eastAsia="en-AU"/>
              </w:rPr>
              <w:t>(2 735.2</w:t>
            </w:r>
            <w:r w:rsidRPr="00B5537C">
              <w:rPr>
                <w:rFonts w:cs="Calibri"/>
                <w:b/>
                <w:bCs/>
                <w:color w:val="000000"/>
                <w:lang w:eastAsia="en-AU"/>
              </w:rPr>
              <w:t>)</w:t>
            </w:r>
          </w:p>
        </w:tc>
        <w:tc>
          <w:tcPr>
            <w:tcW w:w="893" w:type="dxa"/>
            <w:tcBorders>
              <w:top w:val="single" w:sz="6" w:space="0" w:color="auto"/>
              <w:left w:val="nil"/>
              <w:bottom w:val="single" w:sz="6" w:space="0" w:color="auto"/>
              <w:right w:val="nil"/>
            </w:tcBorders>
          </w:tcPr>
          <w:p w:rsidR="0070375D" w:rsidRPr="00B5537C" w:rsidRDefault="0070375D" w:rsidP="00B5537C">
            <w:pPr>
              <w:pStyle w:val="TableofFigures"/>
              <w:rPr>
                <w:rFonts w:cs="Calibri"/>
                <w:b/>
                <w:bCs/>
                <w:color w:val="000000"/>
                <w:lang w:eastAsia="en-AU"/>
              </w:rPr>
            </w:pPr>
            <w:r w:rsidRPr="00B5537C">
              <w:rPr>
                <w:b/>
                <w:bCs/>
                <w:color w:val="000000"/>
                <w:lang w:eastAsia="en-AU"/>
              </w:rPr>
              <w:t>(1 490.7</w:t>
            </w:r>
            <w:r w:rsidRPr="00B5537C">
              <w:rPr>
                <w:rFonts w:cs="Calibri"/>
                <w:b/>
                <w:bCs/>
                <w:color w:val="000000"/>
                <w:lang w:eastAsia="en-AU"/>
              </w:rPr>
              <w:t>)</w:t>
            </w:r>
          </w:p>
        </w:tc>
        <w:tc>
          <w:tcPr>
            <w:tcW w:w="893" w:type="dxa"/>
            <w:tcBorders>
              <w:top w:val="single" w:sz="6" w:space="0" w:color="auto"/>
              <w:left w:val="nil"/>
              <w:bottom w:val="single" w:sz="6" w:space="0" w:color="auto"/>
              <w:right w:val="nil"/>
            </w:tcBorders>
          </w:tcPr>
          <w:p w:rsidR="0070375D" w:rsidRPr="00B5537C" w:rsidRDefault="0070375D" w:rsidP="00B5537C">
            <w:pPr>
              <w:pStyle w:val="TableofFigures"/>
              <w:rPr>
                <w:rFonts w:cs="Calibri"/>
                <w:b/>
                <w:bCs/>
                <w:color w:val="000000"/>
                <w:lang w:eastAsia="en-AU"/>
              </w:rPr>
            </w:pPr>
            <w:r w:rsidRPr="00B5537C">
              <w:rPr>
                <w:b/>
                <w:bCs/>
                <w:color w:val="000000"/>
                <w:lang w:eastAsia="en-AU"/>
              </w:rPr>
              <w:t>(1 336.6</w:t>
            </w:r>
            <w:r w:rsidRPr="00B5537C">
              <w:rPr>
                <w:rFonts w:cs="Calibri"/>
                <w:b/>
                <w:bCs/>
                <w:color w:val="000000"/>
                <w:lang w:eastAsia="en-AU"/>
              </w:rPr>
              <w:t>)</w:t>
            </w:r>
          </w:p>
        </w:tc>
        <w:tc>
          <w:tcPr>
            <w:tcW w:w="893" w:type="dxa"/>
            <w:tcBorders>
              <w:top w:val="single" w:sz="6" w:space="0" w:color="auto"/>
              <w:left w:val="nil"/>
              <w:bottom w:val="single" w:sz="6" w:space="0" w:color="auto"/>
              <w:right w:val="nil"/>
            </w:tcBorders>
          </w:tcPr>
          <w:p w:rsidR="0070375D" w:rsidRPr="00B5537C" w:rsidRDefault="0070375D" w:rsidP="00B5537C">
            <w:pPr>
              <w:pStyle w:val="TableofFigures"/>
              <w:rPr>
                <w:b/>
                <w:bCs/>
                <w:color w:val="000000"/>
                <w:lang w:eastAsia="en-AU"/>
              </w:rPr>
            </w:pPr>
            <w:r w:rsidRPr="00B5537C">
              <w:rPr>
                <w:b/>
                <w:bCs/>
                <w:color w:val="000000"/>
                <w:lang w:eastAsia="en-AU"/>
              </w:rPr>
              <w:t xml:space="preserve"> 4.0</w:t>
            </w:r>
          </w:p>
        </w:tc>
        <w:tc>
          <w:tcPr>
            <w:tcW w:w="893" w:type="dxa"/>
            <w:tcBorders>
              <w:top w:val="single" w:sz="6" w:space="0" w:color="auto"/>
              <w:left w:val="nil"/>
              <w:bottom w:val="single" w:sz="6" w:space="0" w:color="auto"/>
              <w:right w:val="nil"/>
            </w:tcBorders>
          </w:tcPr>
          <w:p w:rsidR="0070375D" w:rsidRPr="00B5537C" w:rsidRDefault="0070375D" w:rsidP="00B5537C">
            <w:pPr>
              <w:pStyle w:val="TableofFigures"/>
              <w:rPr>
                <w:b/>
                <w:bCs/>
                <w:color w:val="000000"/>
                <w:lang w:eastAsia="en-AU"/>
              </w:rPr>
            </w:pPr>
            <w:r w:rsidRPr="00B5537C">
              <w:rPr>
                <w:b/>
                <w:bCs/>
                <w:color w:val="000000"/>
                <w:lang w:eastAsia="en-AU"/>
              </w:rPr>
              <w:t xml:space="preserve"> 677.2</w:t>
            </w:r>
          </w:p>
        </w:tc>
      </w:tr>
      <w:tr w:rsidR="0070375D" w:rsidRPr="00B5537C" w:rsidTr="00B5537C">
        <w:tc>
          <w:tcPr>
            <w:tcW w:w="2354" w:type="dxa"/>
            <w:gridSpan w:val="2"/>
            <w:tcBorders>
              <w:top w:val="single" w:sz="6" w:space="0" w:color="auto"/>
              <w:left w:val="nil"/>
              <w:bottom w:val="single" w:sz="6" w:space="0" w:color="auto"/>
              <w:right w:val="nil"/>
            </w:tcBorders>
          </w:tcPr>
          <w:p w:rsidR="0070375D" w:rsidRPr="00B5537C" w:rsidRDefault="0070375D" w:rsidP="00B5537C">
            <w:pPr>
              <w:pStyle w:val="Tabletext"/>
              <w:rPr>
                <w:b/>
                <w:bCs/>
                <w:color w:val="000000"/>
                <w:lang w:eastAsia="en-AU"/>
              </w:rPr>
            </w:pPr>
            <w:r w:rsidRPr="00B5537C">
              <w:rPr>
                <w:b/>
                <w:bCs/>
                <w:color w:val="000000"/>
                <w:lang w:eastAsia="en-AU"/>
              </w:rPr>
              <w:t>Total other economic flows included in net result</w:t>
            </w:r>
          </w:p>
        </w:tc>
        <w:tc>
          <w:tcPr>
            <w:tcW w:w="958" w:type="dxa"/>
            <w:gridSpan w:val="3"/>
            <w:tcBorders>
              <w:top w:val="single" w:sz="6" w:space="0" w:color="auto"/>
              <w:left w:val="nil"/>
              <w:bottom w:val="single" w:sz="6" w:space="0" w:color="auto"/>
              <w:right w:val="nil"/>
            </w:tcBorders>
          </w:tcPr>
          <w:p w:rsidR="0070375D" w:rsidRPr="00B5537C" w:rsidRDefault="0070375D" w:rsidP="00B5537C">
            <w:pPr>
              <w:pStyle w:val="TableofFigures"/>
              <w:rPr>
                <w:b/>
                <w:bCs/>
                <w:color w:val="000000"/>
                <w:lang w:eastAsia="en-AU"/>
              </w:rPr>
            </w:pPr>
            <w:r w:rsidRPr="00B5537C">
              <w:rPr>
                <w:b/>
                <w:bCs/>
                <w:color w:val="000000"/>
                <w:lang w:eastAsia="en-AU"/>
              </w:rPr>
              <w:t>(14 714.3)</w:t>
            </w:r>
          </w:p>
        </w:tc>
        <w:tc>
          <w:tcPr>
            <w:tcW w:w="892" w:type="dxa"/>
            <w:tcBorders>
              <w:top w:val="single" w:sz="6" w:space="0" w:color="auto"/>
              <w:left w:val="nil"/>
              <w:bottom w:val="single" w:sz="6" w:space="0" w:color="auto"/>
              <w:right w:val="nil"/>
            </w:tcBorders>
          </w:tcPr>
          <w:p w:rsidR="0070375D" w:rsidRPr="00B5537C" w:rsidRDefault="0070375D" w:rsidP="00B5537C">
            <w:pPr>
              <w:pStyle w:val="TableofFigures"/>
              <w:rPr>
                <w:b/>
                <w:bCs/>
                <w:color w:val="000000"/>
                <w:lang w:eastAsia="en-AU"/>
              </w:rPr>
            </w:pPr>
            <w:r w:rsidRPr="00B5537C">
              <w:rPr>
                <w:b/>
                <w:bCs/>
                <w:color w:val="000000"/>
                <w:lang w:eastAsia="en-AU"/>
              </w:rPr>
              <w:t>6 899.1</w:t>
            </w:r>
          </w:p>
        </w:tc>
        <w:tc>
          <w:tcPr>
            <w:tcW w:w="893" w:type="dxa"/>
            <w:tcBorders>
              <w:top w:val="single" w:sz="6" w:space="0" w:color="auto"/>
              <w:left w:val="nil"/>
              <w:bottom w:val="single" w:sz="6" w:space="0" w:color="auto"/>
              <w:right w:val="nil"/>
            </w:tcBorders>
          </w:tcPr>
          <w:p w:rsidR="0070375D" w:rsidRPr="00B5537C" w:rsidRDefault="0070375D" w:rsidP="00B5537C">
            <w:pPr>
              <w:pStyle w:val="TableofFigures"/>
              <w:rPr>
                <w:b/>
                <w:bCs/>
                <w:color w:val="000000"/>
                <w:lang w:eastAsia="en-AU"/>
              </w:rPr>
            </w:pPr>
            <w:r w:rsidRPr="00B5537C">
              <w:rPr>
                <w:b/>
                <w:bCs/>
                <w:color w:val="000000"/>
                <w:lang w:eastAsia="en-AU"/>
              </w:rPr>
              <w:t>1 107.6</w:t>
            </w:r>
          </w:p>
        </w:tc>
        <w:tc>
          <w:tcPr>
            <w:tcW w:w="893" w:type="dxa"/>
            <w:tcBorders>
              <w:top w:val="single" w:sz="6" w:space="0" w:color="auto"/>
              <w:left w:val="nil"/>
              <w:bottom w:val="single" w:sz="6" w:space="0" w:color="auto"/>
              <w:right w:val="nil"/>
            </w:tcBorders>
          </w:tcPr>
          <w:p w:rsidR="0070375D" w:rsidRPr="00B5537C" w:rsidRDefault="0070375D" w:rsidP="00B5537C">
            <w:pPr>
              <w:pStyle w:val="TableofFigures"/>
              <w:rPr>
                <w:b/>
                <w:bCs/>
                <w:color w:val="000000"/>
                <w:lang w:eastAsia="en-AU"/>
              </w:rPr>
            </w:pPr>
            <w:r w:rsidRPr="00B5537C">
              <w:rPr>
                <w:b/>
                <w:bCs/>
                <w:color w:val="000000"/>
                <w:lang w:eastAsia="en-AU"/>
              </w:rPr>
              <w:t>1 187.2</w:t>
            </w:r>
          </w:p>
        </w:tc>
        <w:tc>
          <w:tcPr>
            <w:tcW w:w="893" w:type="dxa"/>
            <w:tcBorders>
              <w:top w:val="single" w:sz="6" w:space="0" w:color="auto"/>
              <w:left w:val="nil"/>
              <w:bottom w:val="single" w:sz="6" w:space="0" w:color="auto"/>
              <w:right w:val="nil"/>
            </w:tcBorders>
          </w:tcPr>
          <w:p w:rsidR="0070375D" w:rsidRPr="00B5537C" w:rsidRDefault="0070375D" w:rsidP="00B5537C">
            <w:pPr>
              <w:pStyle w:val="TableofFigures"/>
              <w:rPr>
                <w:b/>
                <w:bCs/>
                <w:color w:val="000000"/>
                <w:lang w:eastAsia="en-AU"/>
              </w:rPr>
            </w:pPr>
            <w:r w:rsidRPr="00B5537C">
              <w:rPr>
                <w:b/>
                <w:bCs/>
                <w:color w:val="000000"/>
                <w:lang w:eastAsia="en-AU"/>
              </w:rPr>
              <w:t>1 231.6</w:t>
            </w:r>
          </w:p>
        </w:tc>
        <w:tc>
          <w:tcPr>
            <w:tcW w:w="893" w:type="dxa"/>
            <w:tcBorders>
              <w:top w:val="single" w:sz="6" w:space="0" w:color="auto"/>
              <w:left w:val="nil"/>
              <w:bottom w:val="single" w:sz="6" w:space="0" w:color="auto"/>
              <w:right w:val="nil"/>
            </w:tcBorders>
          </w:tcPr>
          <w:p w:rsidR="0070375D" w:rsidRPr="00B5537C" w:rsidRDefault="0070375D" w:rsidP="00B5537C">
            <w:pPr>
              <w:pStyle w:val="TableofFigures"/>
              <w:rPr>
                <w:b/>
                <w:bCs/>
                <w:color w:val="000000"/>
                <w:lang w:eastAsia="en-AU"/>
              </w:rPr>
            </w:pPr>
            <w:r w:rsidRPr="00B5537C">
              <w:rPr>
                <w:b/>
                <w:bCs/>
                <w:color w:val="000000"/>
                <w:lang w:eastAsia="en-AU"/>
              </w:rPr>
              <w:t>1 293.0</w:t>
            </w:r>
          </w:p>
        </w:tc>
      </w:tr>
      <w:tr w:rsidR="0070375D" w:rsidRPr="00B5537C" w:rsidTr="00B5537C">
        <w:tc>
          <w:tcPr>
            <w:tcW w:w="2291" w:type="dxa"/>
            <w:tcBorders>
              <w:top w:val="single" w:sz="6" w:space="0" w:color="auto"/>
              <w:left w:val="nil"/>
              <w:bottom w:val="single" w:sz="12" w:space="0" w:color="auto"/>
              <w:right w:val="nil"/>
            </w:tcBorders>
          </w:tcPr>
          <w:p w:rsidR="0070375D" w:rsidRPr="00B5537C" w:rsidRDefault="0070375D" w:rsidP="00B5537C">
            <w:pPr>
              <w:pStyle w:val="Tabletext"/>
              <w:rPr>
                <w:b/>
                <w:bCs/>
                <w:color w:val="000000"/>
                <w:lang w:eastAsia="en-AU"/>
              </w:rPr>
            </w:pPr>
            <w:r w:rsidRPr="00B5537C">
              <w:rPr>
                <w:b/>
                <w:bCs/>
                <w:color w:val="000000"/>
                <w:lang w:eastAsia="en-AU"/>
              </w:rPr>
              <w:t>Net result</w:t>
            </w:r>
          </w:p>
        </w:tc>
        <w:tc>
          <w:tcPr>
            <w:tcW w:w="1021" w:type="dxa"/>
            <w:gridSpan w:val="4"/>
            <w:tcBorders>
              <w:top w:val="single" w:sz="6" w:space="0" w:color="auto"/>
              <w:left w:val="nil"/>
              <w:bottom w:val="single" w:sz="12" w:space="0" w:color="auto"/>
              <w:right w:val="nil"/>
            </w:tcBorders>
          </w:tcPr>
          <w:p w:rsidR="0070375D" w:rsidRPr="00B5537C" w:rsidRDefault="0070375D" w:rsidP="00B5537C">
            <w:pPr>
              <w:pStyle w:val="TableofFigures"/>
              <w:rPr>
                <w:b/>
                <w:bCs/>
                <w:color w:val="000000"/>
                <w:lang w:eastAsia="en-AU"/>
              </w:rPr>
            </w:pPr>
            <w:r w:rsidRPr="00B5537C">
              <w:rPr>
                <w:b/>
                <w:bCs/>
                <w:color w:val="000000"/>
                <w:lang w:eastAsia="en-AU"/>
              </w:rPr>
              <w:t>(15 961.9)</w:t>
            </w:r>
          </w:p>
        </w:tc>
        <w:tc>
          <w:tcPr>
            <w:tcW w:w="892" w:type="dxa"/>
            <w:tcBorders>
              <w:top w:val="single" w:sz="6" w:space="0" w:color="auto"/>
              <w:left w:val="nil"/>
              <w:bottom w:val="single" w:sz="12" w:space="0" w:color="auto"/>
              <w:right w:val="nil"/>
            </w:tcBorders>
          </w:tcPr>
          <w:p w:rsidR="0070375D" w:rsidRPr="00B5537C" w:rsidRDefault="0070375D" w:rsidP="00B5537C">
            <w:pPr>
              <w:pStyle w:val="TableofFigures"/>
              <w:rPr>
                <w:rFonts w:cs="Calibri"/>
                <w:b/>
                <w:bCs/>
                <w:color w:val="000000"/>
                <w:lang w:eastAsia="en-AU"/>
              </w:rPr>
            </w:pPr>
            <w:r w:rsidRPr="00B5537C">
              <w:rPr>
                <w:b/>
                <w:bCs/>
                <w:color w:val="000000"/>
                <w:lang w:eastAsia="en-AU"/>
              </w:rPr>
              <w:t>4 163.9</w:t>
            </w:r>
          </w:p>
        </w:tc>
        <w:tc>
          <w:tcPr>
            <w:tcW w:w="893" w:type="dxa"/>
            <w:tcBorders>
              <w:top w:val="single" w:sz="6" w:space="0" w:color="auto"/>
              <w:left w:val="nil"/>
              <w:bottom w:val="single" w:sz="12" w:space="0" w:color="auto"/>
              <w:right w:val="nil"/>
            </w:tcBorders>
          </w:tcPr>
          <w:p w:rsidR="0070375D" w:rsidRPr="00B5537C" w:rsidRDefault="002714D4" w:rsidP="00B5537C">
            <w:pPr>
              <w:pStyle w:val="TableofFigures"/>
              <w:rPr>
                <w:b/>
                <w:bCs/>
                <w:color w:val="000000"/>
                <w:lang w:eastAsia="en-AU"/>
              </w:rPr>
            </w:pPr>
            <w:r>
              <w:rPr>
                <w:b/>
                <w:bCs/>
                <w:color w:val="000000"/>
                <w:lang w:eastAsia="en-AU"/>
              </w:rPr>
              <w:t>(</w:t>
            </w:r>
            <w:r w:rsidR="0070375D" w:rsidRPr="00B5537C">
              <w:rPr>
                <w:b/>
                <w:bCs/>
                <w:color w:val="000000"/>
                <w:lang w:eastAsia="en-AU"/>
              </w:rPr>
              <w:t>383.1)</w:t>
            </w:r>
          </w:p>
        </w:tc>
        <w:tc>
          <w:tcPr>
            <w:tcW w:w="893" w:type="dxa"/>
            <w:tcBorders>
              <w:top w:val="single" w:sz="6" w:space="0" w:color="auto"/>
              <w:left w:val="nil"/>
              <w:bottom w:val="single" w:sz="12" w:space="0" w:color="auto"/>
              <w:right w:val="nil"/>
            </w:tcBorders>
          </w:tcPr>
          <w:p w:rsidR="0070375D" w:rsidRPr="00B5537C" w:rsidRDefault="002714D4" w:rsidP="00B5537C">
            <w:pPr>
              <w:pStyle w:val="TableofFigures"/>
              <w:rPr>
                <w:b/>
                <w:bCs/>
                <w:color w:val="000000"/>
                <w:lang w:eastAsia="en-AU"/>
              </w:rPr>
            </w:pPr>
            <w:r>
              <w:rPr>
                <w:b/>
                <w:bCs/>
                <w:color w:val="000000"/>
                <w:lang w:eastAsia="en-AU"/>
              </w:rPr>
              <w:t>(</w:t>
            </w:r>
            <w:r w:rsidR="0070375D" w:rsidRPr="00B5537C">
              <w:rPr>
                <w:b/>
                <w:bCs/>
                <w:color w:val="000000"/>
                <w:lang w:eastAsia="en-AU"/>
              </w:rPr>
              <w:t>149.4)</w:t>
            </w:r>
          </w:p>
        </w:tc>
        <w:tc>
          <w:tcPr>
            <w:tcW w:w="893" w:type="dxa"/>
            <w:tcBorders>
              <w:top w:val="single" w:sz="6" w:space="0" w:color="auto"/>
              <w:left w:val="nil"/>
              <w:bottom w:val="single" w:sz="12" w:space="0" w:color="auto"/>
              <w:right w:val="nil"/>
            </w:tcBorders>
          </w:tcPr>
          <w:p w:rsidR="0070375D" w:rsidRPr="00B5537C" w:rsidRDefault="0070375D" w:rsidP="00B5537C">
            <w:pPr>
              <w:pStyle w:val="TableofFigures"/>
              <w:rPr>
                <w:b/>
                <w:bCs/>
                <w:color w:val="000000"/>
                <w:lang w:eastAsia="en-AU"/>
              </w:rPr>
            </w:pPr>
            <w:r w:rsidRPr="00B5537C">
              <w:rPr>
                <w:b/>
                <w:bCs/>
                <w:color w:val="000000"/>
                <w:lang w:eastAsia="en-AU"/>
              </w:rPr>
              <w:t>1 235.6</w:t>
            </w:r>
          </w:p>
        </w:tc>
        <w:tc>
          <w:tcPr>
            <w:tcW w:w="893" w:type="dxa"/>
            <w:tcBorders>
              <w:top w:val="single" w:sz="6" w:space="0" w:color="auto"/>
              <w:left w:val="nil"/>
              <w:bottom w:val="single" w:sz="12" w:space="0" w:color="auto"/>
              <w:right w:val="nil"/>
            </w:tcBorders>
          </w:tcPr>
          <w:p w:rsidR="0070375D" w:rsidRPr="00B5537C" w:rsidRDefault="0070375D" w:rsidP="00B5537C">
            <w:pPr>
              <w:pStyle w:val="TableofFigures"/>
              <w:rPr>
                <w:b/>
                <w:bCs/>
                <w:color w:val="000000"/>
                <w:lang w:eastAsia="en-AU"/>
              </w:rPr>
            </w:pPr>
            <w:r w:rsidRPr="00B5537C">
              <w:rPr>
                <w:b/>
                <w:bCs/>
                <w:color w:val="000000"/>
                <w:lang w:eastAsia="en-AU"/>
              </w:rPr>
              <w:t>1 970.2</w:t>
            </w:r>
          </w:p>
        </w:tc>
      </w:tr>
    </w:tbl>
    <w:p w:rsidR="0070375D" w:rsidRDefault="0070375D" w:rsidP="00153C3D">
      <w:pPr>
        <w:pStyle w:val="Source"/>
      </w:pPr>
      <w:r>
        <w:t>Source: Department of Treasury and Finance</w:t>
      </w:r>
    </w:p>
    <w:p w:rsidR="0070375D" w:rsidRDefault="0070375D" w:rsidP="00153C3D">
      <w:pPr>
        <w:pStyle w:val="Notes"/>
      </w:pPr>
      <w:r>
        <w:t>Notes:</w:t>
      </w:r>
    </w:p>
    <w:p w:rsidR="0070375D" w:rsidRPr="003A3745" w:rsidRDefault="0070375D" w:rsidP="00153C3D">
      <w:pPr>
        <w:pStyle w:val="Notes"/>
      </w:pPr>
      <w:r>
        <w:t>(a)</w:t>
      </w:r>
      <w:r>
        <w:tab/>
        <w:t xml:space="preserve">This is a summary </w:t>
      </w:r>
      <w:r w:rsidRPr="003A3745">
        <w:t xml:space="preserve">operating statement. The comprehensive operating statement is presented in Budget Paper No. 5 </w:t>
      </w:r>
      <w:r w:rsidRPr="003A3745">
        <w:rPr>
          <w:i w:val="0"/>
        </w:rPr>
        <w:t>Statement of Finances</w:t>
      </w:r>
      <w:r w:rsidRPr="003A3745">
        <w:t>.</w:t>
      </w:r>
    </w:p>
    <w:p w:rsidR="0070375D" w:rsidRPr="003A3745" w:rsidRDefault="0070375D" w:rsidP="00153C3D">
      <w:pPr>
        <w:pStyle w:val="Notes"/>
      </w:pPr>
      <w:r w:rsidRPr="003A3745">
        <w:t>(b)</w:t>
      </w:r>
      <w:r w:rsidRPr="003A3745">
        <w:tab/>
        <w:t>Comprises dividends, income tax and rate equivalent revenue and interest.</w:t>
      </w:r>
    </w:p>
    <w:p w:rsidR="0070375D" w:rsidRDefault="0070375D" w:rsidP="00153C3D">
      <w:pPr>
        <w:pStyle w:val="Notes"/>
      </w:pPr>
      <w:r w:rsidRPr="003A3745">
        <w:t>(c)</w:t>
      </w:r>
      <w:r w:rsidRPr="003A3745">
        <w:tab/>
        <w:t>Comprises superannuation interest expense and other superannuation expenses.</w:t>
      </w:r>
    </w:p>
    <w:p w:rsidR="0070375D" w:rsidRDefault="0070375D" w:rsidP="00041FD9">
      <w:pPr>
        <w:pStyle w:val="Notes"/>
      </w:pPr>
      <w:r w:rsidRPr="003A3745">
        <w:t>(</w:t>
      </w:r>
      <w:r>
        <w:t>d</w:t>
      </w:r>
      <w:r w:rsidRPr="003A3745">
        <w:t>)</w:t>
      </w:r>
      <w:r w:rsidRPr="003A3745">
        <w:tab/>
      </w:r>
      <w:r>
        <w:t>The estimated expense growth from 2013</w:t>
      </w:r>
      <w:r w:rsidR="00276239">
        <w:noBreakHyphen/>
      </w:r>
      <w:r>
        <w:t>14 is derived by excluding the impact of the revised AASB119 Employee Benefits</w:t>
      </w:r>
      <w:r w:rsidRPr="00C1722C">
        <w:t>.</w:t>
      </w:r>
    </w:p>
    <w:p w:rsidR="0070375D" w:rsidRPr="003A3745" w:rsidRDefault="0070375D" w:rsidP="00BB1988">
      <w:pPr>
        <w:pStyle w:val="Source"/>
      </w:pPr>
    </w:p>
    <w:p w:rsidR="0070375D" w:rsidRPr="00F539B0" w:rsidRDefault="0070375D" w:rsidP="00153C3D">
      <w:r w:rsidRPr="003A3745">
        <w:t xml:space="preserve">The </w:t>
      </w:r>
      <w:r w:rsidRPr="00F539B0">
        <w:t>State of Victoria is budgeting to record an average net result of $668 million over the budget and forward estimates.</w:t>
      </w:r>
    </w:p>
    <w:p w:rsidR="0070375D" w:rsidRPr="003A3745" w:rsidRDefault="0070375D" w:rsidP="00153C3D">
      <w:r w:rsidRPr="00F539B0">
        <w:t>This includes gains from other economic flows, which are forecast to contribute $1.2 billion a year towards the net surplus. Gains from other economic flows include income derived from the PFC sector</w:t>
      </w:r>
      <w:r w:rsidR="00276239">
        <w:t>’</w:t>
      </w:r>
      <w:r w:rsidRPr="00F539B0">
        <w:t>s investment assets. This investment income is a core revenue source</w:t>
      </w:r>
      <w:r w:rsidRPr="003A3745">
        <w:t xml:space="preserve"> for the sector</w:t>
      </w:r>
      <w:r>
        <w:t xml:space="preserve"> as it is used to fund emerging liabilities of government </w:t>
      </w:r>
      <w:r w:rsidRPr="003A3745">
        <w:t>insurance entities over time. Other economic flows also include valuation gains on revaluation of financial liabilities, which primarily resu</w:t>
      </w:r>
      <w:r>
        <w:t>lt from movements in bond rates</w:t>
      </w:r>
      <w:r w:rsidRPr="003A3745">
        <w:t xml:space="preserve"> used to value these liabilities.</w:t>
      </w:r>
    </w:p>
    <w:p w:rsidR="0070375D" w:rsidRDefault="0070375D" w:rsidP="00B14226">
      <w:r w:rsidRPr="003A3745">
        <w:lastRenderedPageBreak/>
        <w:t>As the nature of the PFC sector</w:t>
      </w:r>
      <w:r w:rsidR="00276239">
        <w:t>’</w:t>
      </w:r>
      <w:r w:rsidRPr="003A3745">
        <w:t>s core business includes investment activities, the net result is considered a more meaningful measure of the expected operating position of this sector.</w:t>
      </w:r>
    </w:p>
    <w:p w:rsidR="0070375D" w:rsidRDefault="0070375D" w:rsidP="00E97CA5">
      <w:pPr>
        <w:pStyle w:val="Chartheading"/>
      </w:pPr>
      <w:bookmarkStart w:id="64" w:name="BP2Ch5PubFinCorp"/>
      <w:r>
        <w:t>Chart 5.3:</w:t>
      </w:r>
      <w:r>
        <w:tab/>
        <w:t>Components of Whole of State net result (after other economic flows)</w:t>
      </w:r>
    </w:p>
    <w:p w:rsidR="0070375D" w:rsidRDefault="00315427" w:rsidP="006B4034">
      <w:pPr>
        <w:pStyle w:val="Source"/>
      </w:pPr>
      <w:r>
        <w:pict>
          <v:shape id="_x0000_i1042" type="#_x0000_t75" style="width:385.5pt;height:202.5pt">
            <v:imagedata r:id="rId42" o:title=""/>
          </v:shape>
        </w:pict>
      </w:r>
      <w:r w:rsidR="0070375D" w:rsidRPr="00514F2C">
        <w:rPr>
          <w:rStyle w:val="SourceChar"/>
        </w:rPr>
        <w:t>Source: Department of Treasury and Finance</w:t>
      </w:r>
    </w:p>
    <w:p w:rsidR="0070375D" w:rsidRDefault="0070375D" w:rsidP="006B4034">
      <w:pPr>
        <w:pStyle w:val="Notes"/>
      </w:pPr>
      <w:r>
        <w:t xml:space="preserve">Note: </w:t>
      </w:r>
    </w:p>
    <w:p w:rsidR="0070375D" w:rsidRDefault="0070375D" w:rsidP="006B4034">
      <w:pPr>
        <w:pStyle w:val="Notes"/>
      </w:pPr>
      <w:r>
        <w:t>(a)</w:t>
      </w:r>
      <w:r>
        <w:tab/>
        <w:t xml:space="preserve">Eliminations include </w:t>
      </w:r>
      <w:r w:rsidRPr="006B4034">
        <w:t>transactions</w:t>
      </w:r>
      <w:r>
        <w:t xml:space="preserve"> between the sectors, including dividends paid from PFCs to </w:t>
      </w:r>
      <w:r w:rsidRPr="005E274A">
        <w:t>the general government sector.</w:t>
      </w:r>
    </w:p>
    <w:p w:rsidR="0070375D" w:rsidRPr="002F421C" w:rsidRDefault="0070375D" w:rsidP="002F421C">
      <w:pPr>
        <w:pStyle w:val="Source"/>
        <w:spacing w:after="160"/>
      </w:pPr>
    </w:p>
    <w:p w:rsidR="0070375D" w:rsidRDefault="0070375D" w:rsidP="006B4034">
      <w:r>
        <w:t>The PFC sector is forecast to record a net surplus of $2.3 billion in 2012</w:t>
      </w:r>
      <w:r w:rsidR="00276239">
        <w:noBreakHyphen/>
      </w:r>
      <w:r>
        <w:t>13, which includes other economic flows of $3.1 billion. This significant result is mainly attributed to the strong recovery in investment markets during 2012</w:t>
      </w:r>
      <w:r w:rsidR="00276239">
        <w:noBreakHyphen/>
      </w:r>
      <w:r>
        <w:t xml:space="preserve">13, and higher bond rates which have reduced the value of financial liabilities. </w:t>
      </w:r>
    </w:p>
    <w:p w:rsidR="0070375D" w:rsidRDefault="0070375D" w:rsidP="0044448D">
      <w:r>
        <w:t>Beyond 2012</w:t>
      </w:r>
      <w:r w:rsidR="00276239">
        <w:noBreakHyphen/>
      </w:r>
      <w:r>
        <w:t>13, the PFC sector</w:t>
      </w:r>
      <w:r w:rsidR="00276239">
        <w:t>’</w:t>
      </w:r>
      <w:r>
        <w:t>s performance is expected to remain strong, with net surpluses expected to average $462 million a year during the four years to 2016</w:t>
      </w:r>
      <w:r w:rsidR="00276239">
        <w:noBreakHyphen/>
      </w:r>
      <w:r>
        <w:t>17. This is largely driven by investments which are forecast to grow in line with longer</w:t>
      </w:r>
      <w:r w:rsidR="00276239">
        <w:noBreakHyphen/>
      </w:r>
      <w:r>
        <w:t>term trends.</w:t>
      </w:r>
    </w:p>
    <w:p w:rsidR="0070375D" w:rsidRDefault="0070375D" w:rsidP="0044448D">
      <w:r>
        <w:t xml:space="preserve">These results are largely driven by the performance of the two largest entities, </w:t>
      </w:r>
      <w:r w:rsidRPr="00CE025A">
        <w:t xml:space="preserve">the Victorian WorkCover Authority </w:t>
      </w:r>
      <w:r>
        <w:t xml:space="preserve">and </w:t>
      </w:r>
      <w:r w:rsidRPr="00CE025A">
        <w:t xml:space="preserve">the </w:t>
      </w:r>
      <w:r>
        <w:t xml:space="preserve">Transport Accident Commission. </w:t>
      </w:r>
      <w:r>
        <w:fldChar w:fldCharType="begin"/>
      </w:r>
      <w:r>
        <w:instrText xml:space="preserve"> XE "</w:instrText>
      </w:r>
      <w:r w:rsidRPr="009E53A6">
        <w:instrText>Public financial corporations</w:instrText>
      </w:r>
      <w:r>
        <w:instrText xml:space="preserve">" \r "BP2Ch5PubFinCorp" </w:instrText>
      </w:r>
      <w:r>
        <w:fldChar w:fldCharType="end"/>
      </w:r>
    </w:p>
    <w:bookmarkEnd w:id="64"/>
    <w:p w:rsidR="0070375D" w:rsidRDefault="0070375D" w:rsidP="005D61AB">
      <w:pPr>
        <w:pStyle w:val="Heading1"/>
      </w:pPr>
      <w:r>
        <w:br w:type="page"/>
      </w:r>
      <w:bookmarkStart w:id="65" w:name="_Toc355372035"/>
      <w:r>
        <w:lastRenderedPageBreak/>
        <w:t xml:space="preserve">State of </w:t>
      </w:r>
      <w:r w:rsidRPr="00A95800">
        <w:t>Victoria</w:t>
      </w:r>
      <w:r>
        <w:t xml:space="preserve"> – financial position</w:t>
      </w:r>
      <w:bookmarkEnd w:id="65"/>
    </w:p>
    <w:p w:rsidR="0070375D" w:rsidRDefault="0070375D" w:rsidP="005D61AB">
      <w:pPr>
        <w:pStyle w:val="Tableheading"/>
      </w:pPr>
      <w:r>
        <w:t>Table 5.6:</w:t>
      </w:r>
      <w:r>
        <w:tab/>
        <w:t>Financial position of the State of Victoria</w:t>
      </w:r>
    </w:p>
    <w:p w:rsidR="0070375D" w:rsidRPr="005E274A" w:rsidRDefault="0070375D" w:rsidP="005E274A">
      <w:pPr>
        <w:pStyle w:val="million"/>
      </w:pPr>
      <w:r>
        <w:t>($ billion)</w:t>
      </w:r>
    </w:p>
    <w:tbl>
      <w:tblPr>
        <w:tblW w:w="7776" w:type="dxa"/>
        <w:tblInd w:w="29" w:type="dxa"/>
        <w:tblLayout w:type="fixed"/>
        <w:tblCellMar>
          <w:left w:w="43" w:type="dxa"/>
          <w:right w:w="43" w:type="dxa"/>
        </w:tblCellMar>
        <w:tblLook w:val="0000" w:firstRow="0" w:lastRow="0" w:firstColumn="0" w:lastColumn="0" w:noHBand="0" w:noVBand="0"/>
      </w:tblPr>
      <w:tblGrid>
        <w:gridCol w:w="2624"/>
        <w:gridCol w:w="858"/>
        <w:gridCol w:w="859"/>
        <w:gridCol w:w="859"/>
        <w:gridCol w:w="858"/>
        <w:gridCol w:w="859"/>
        <w:gridCol w:w="859"/>
      </w:tblGrid>
      <w:tr w:rsidR="0070375D" w:rsidRPr="005E274A" w:rsidTr="00C80F33">
        <w:tc>
          <w:tcPr>
            <w:tcW w:w="2624" w:type="dxa"/>
            <w:tcBorders>
              <w:top w:val="single" w:sz="6" w:space="0" w:color="auto"/>
              <w:left w:val="single" w:sz="6" w:space="0" w:color="auto"/>
              <w:bottom w:val="nil"/>
              <w:right w:val="nil"/>
            </w:tcBorders>
            <w:shd w:val="clear" w:color="auto" w:fill="000000"/>
          </w:tcPr>
          <w:p w:rsidR="0070375D" w:rsidRPr="005E274A" w:rsidRDefault="0070375D" w:rsidP="005E274A">
            <w:pPr>
              <w:pStyle w:val="Tabletext"/>
              <w:rPr>
                <w:lang w:eastAsia="en-AU"/>
              </w:rPr>
            </w:pPr>
            <w:r w:rsidRPr="005E274A">
              <w:rPr>
                <w:lang w:eastAsia="en-AU"/>
              </w:rPr>
              <w:t xml:space="preserve">       </w:t>
            </w:r>
          </w:p>
        </w:tc>
        <w:tc>
          <w:tcPr>
            <w:tcW w:w="858" w:type="dxa"/>
            <w:tcBorders>
              <w:top w:val="single" w:sz="6" w:space="0" w:color="auto"/>
              <w:left w:val="nil"/>
              <w:bottom w:val="nil"/>
              <w:right w:val="nil"/>
            </w:tcBorders>
            <w:shd w:val="clear" w:color="auto" w:fill="000000"/>
          </w:tcPr>
          <w:p w:rsidR="0070375D" w:rsidRPr="005E274A" w:rsidRDefault="0070375D" w:rsidP="005E274A">
            <w:pPr>
              <w:pStyle w:val="Tabletextheading"/>
              <w:rPr>
                <w:lang w:eastAsia="en-AU"/>
              </w:rPr>
            </w:pPr>
            <w:r w:rsidRPr="005E274A">
              <w:rPr>
                <w:lang w:eastAsia="en-AU"/>
              </w:rPr>
              <w:t>2011</w:t>
            </w:r>
            <w:r w:rsidR="00276239">
              <w:rPr>
                <w:lang w:eastAsia="en-AU"/>
              </w:rPr>
              <w:noBreakHyphen/>
            </w:r>
            <w:r w:rsidRPr="005E274A">
              <w:rPr>
                <w:lang w:eastAsia="en-AU"/>
              </w:rPr>
              <w:t>12</w:t>
            </w:r>
          </w:p>
        </w:tc>
        <w:tc>
          <w:tcPr>
            <w:tcW w:w="859" w:type="dxa"/>
            <w:tcBorders>
              <w:top w:val="single" w:sz="6" w:space="0" w:color="auto"/>
              <w:left w:val="nil"/>
              <w:bottom w:val="nil"/>
              <w:right w:val="nil"/>
            </w:tcBorders>
            <w:shd w:val="clear" w:color="auto" w:fill="000000"/>
          </w:tcPr>
          <w:p w:rsidR="0070375D" w:rsidRPr="005E274A" w:rsidRDefault="0070375D" w:rsidP="005E274A">
            <w:pPr>
              <w:pStyle w:val="Tabletextheading"/>
              <w:rPr>
                <w:lang w:eastAsia="en-AU"/>
              </w:rPr>
            </w:pPr>
            <w:r w:rsidRPr="005E274A">
              <w:rPr>
                <w:lang w:eastAsia="en-AU"/>
              </w:rPr>
              <w:t>2012</w:t>
            </w:r>
            <w:r w:rsidR="00276239">
              <w:rPr>
                <w:lang w:eastAsia="en-AU"/>
              </w:rPr>
              <w:noBreakHyphen/>
            </w:r>
            <w:r w:rsidRPr="005E274A">
              <w:rPr>
                <w:lang w:eastAsia="en-AU"/>
              </w:rPr>
              <w:t>13</w:t>
            </w:r>
          </w:p>
        </w:tc>
        <w:tc>
          <w:tcPr>
            <w:tcW w:w="859" w:type="dxa"/>
            <w:tcBorders>
              <w:top w:val="single" w:sz="6" w:space="0" w:color="auto"/>
              <w:left w:val="nil"/>
              <w:bottom w:val="nil"/>
              <w:right w:val="nil"/>
            </w:tcBorders>
            <w:shd w:val="clear" w:color="auto" w:fill="000000"/>
          </w:tcPr>
          <w:p w:rsidR="0070375D" w:rsidRPr="005E274A" w:rsidRDefault="0070375D" w:rsidP="005E274A">
            <w:pPr>
              <w:pStyle w:val="Tabletextheading"/>
              <w:rPr>
                <w:lang w:eastAsia="en-AU"/>
              </w:rPr>
            </w:pPr>
            <w:r w:rsidRPr="005E274A">
              <w:rPr>
                <w:lang w:eastAsia="en-AU"/>
              </w:rPr>
              <w:t>2013</w:t>
            </w:r>
            <w:r w:rsidR="00276239">
              <w:rPr>
                <w:lang w:eastAsia="en-AU"/>
              </w:rPr>
              <w:noBreakHyphen/>
            </w:r>
            <w:r w:rsidRPr="005E274A">
              <w:rPr>
                <w:lang w:eastAsia="en-AU"/>
              </w:rPr>
              <w:t>14</w:t>
            </w:r>
          </w:p>
        </w:tc>
        <w:tc>
          <w:tcPr>
            <w:tcW w:w="858" w:type="dxa"/>
            <w:tcBorders>
              <w:top w:val="single" w:sz="6" w:space="0" w:color="auto"/>
              <w:left w:val="nil"/>
              <w:bottom w:val="nil"/>
              <w:right w:val="nil"/>
            </w:tcBorders>
            <w:shd w:val="clear" w:color="auto" w:fill="000000"/>
          </w:tcPr>
          <w:p w:rsidR="0070375D" w:rsidRPr="005E274A" w:rsidRDefault="0070375D" w:rsidP="005E274A">
            <w:pPr>
              <w:pStyle w:val="Tabletextheading"/>
              <w:rPr>
                <w:lang w:eastAsia="en-AU"/>
              </w:rPr>
            </w:pPr>
            <w:r w:rsidRPr="005E274A">
              <w:rPr>
                <w:lang w:eastAsia="en-AU"/>
              </w:rPr>
              <w:t>2014</w:t>
            </w:r>
            <w:r w:rsidR="00276239">
              <w:rPr>
                <w:lang w:eastAsia="en-AU"/>
              </w:rPr>
              <w:noBreakHyphen/>
            </w:r>
            <w:r w:rsidRPr="005E274A">
              <w:rPr>
                <w:lang w:eastAsia="en-AU"/>
              </w:rPr>
              <w:t>15</w:t>
            </w:r>
          </w:p>
        </w:tc>
        <w:tc>
          <w:tcPr>
            <w:tcW w:w="859" w:type="dxa"/>
            <w:tcBorders>
              <w:top w:val="single" w:sz="6" w:space="0" w:color="auto"/>
              <w:left w:val="nil"/>
              <w:bottom w:val="nil"/>
              <w:right w:val="nil"/>
            </w:tcBorders>
            <w:shd w:val="clear" w:color="auto" w:fill="000000"/>
          </w:tcPr>
          <w:p w:rsidR="0070375D" w:rsidRPr="005E274A" w:rsidRDefault="0070375D" w:rsidP="005E274A">
            <w:pPr>
              <w:pStyle w:val="Tabletextheading"/>
              <w:rPr>
                <w:lang w:eastAsia="en-AU"/>
              </w:rPr>
            </w:pPr>
            <w:r w:rsidRPr="005E274A">
              <w:rPr>
                <w:lang w:eastAsia="en-AU"/>
              </w:rPr>
              <w:t>2015</w:t>
            </w:r>
            <w:r w:rsidR="00276239">
              <w:rPr>
                <w:lang w:eastAsia="en-AU"/>
              </w:rPr>
              <w:noBreakHyphen/>
            </w:r>
            <w:r w:rsidRPr="005E274A">
              <w:rPr>
                <w:lang w:eastAsia="en-AU"/>
              </w:rPr>
              <w:t>16</w:t>
            </w:r>
          </w:p>
        </w:tc>
        <w:tc>
          <w:tcPr>
            <w:tcW w:w="859" w:type="dxa"/>
            <w:tcBorders>
              <w:top w:val="single" w:sz="6" w:space="0" w:color="auto"/>
              <w:left w:val="nil"/>
              <w:bottom w:val="nil"/>
              <w:right w:val="single" w:sz="6" w:space="0" w:color="auto"/>
            </w:tcBorders>
            <w:shd w:val="clear" w:color="auto" w:fill="000000"/>
          </w:tcPr>
          <w:p w:rsidR="0070375D" w:rsidRPr="005E274A" w:rsidRDefault="0070375D" w:rsidP="005E274A">
            <w:pPr>
              <w:pStyle w:val="Tabletextheading"/>
              <w:rPr>
                <w:lang w:eastAsia="en-AU"/>
              </w:rPr>
            </w:pPr>
            <w:r w:rsidRPr="005E274A">
              <w:rPr>
                <w:lang w:eastAsia="en-AU"/>
              </w:rPr>
              <w:t>2016</w:t>
            </w:r>
            <w:r w:rsidR="00276239">
              <w:rPr>
                <w:lang w:eastAsia="en-AU"/>
              </w:rPr>
              <w:noBreakHyphen/>
            </w:r>
            <w:r w:rsidRPr="005E274A">
              <w:rPr>
                <w:lang w:eastAsia="en-AU"/>
              </w:rPr>
              <w:t>17</w:t>
            </w:r>
          </w:p>
        </w:tc>
      </w:tr>
      <w:tr w:rsidR="0070375D" w:rsidRPr="005E274A" w:rsidTr="00C80F33">
        <w:tc>
          <w:tcPr>
            <w:tcW w:w="2624" w:type="dxa"/>
            <w:tcBorders>
              <w:top w:val="nil"/>
              <w:left w:val="single" w:sz="6" w:space="0" w:color="auto"/>
              <w:bottom w:val="single" w:sz="6" w:space="0" w:color="auto"/>
              <w:right w:val="nil"/>
            </w:tcBorders>
            <w:shd w:val="clear" w:color="auto" w:fill="000000"/>
          </w:tcPr>
          <w:p w:rsidR="0070375D" w:rsidRPr="005E274A" w:rsidRDefault="0070375D" w:rsidP="005E274A">
            <w:pPr>
              <w:pStyle w:val="Tabletext"/>
              <w:rPr>
                <w:lang w:eastAsia="en-AU"/>
              </w:rPr>
            </w:pPr>
            <w:r w:rsidRPr="005E274A">
              <w:rPr>
                <w:lang w:eastAsia="en-AU"/>
              </w:rPr>
              <w:t xml:space="preserve">          </w:t>
            </w:r>
          </w:p>
        </w:tc>
        <w:tc>
          <w:tcPr>
            <w:tcW w:w="858" w:type="dxa"/>
            <w:tcBorders>
              <w:top w:val="nil"/>
              <w:left w:val="nil"/>
              <w:bottom w:val="single" w:sz="6" w:space="0" w:color="auto"/>
              <w:right w:val="nil"/>
            </w:tcBorders>
            <w:shd w:val="clear" w:color="auto" w:fill="000000"/>
          </w:tcPr>
          <w:p w:rsidR="0070375D" w:rsidRPr="005E274A" w:rsidRDefault="0070375D" w:rsidP="005E274A">
            <w:pPr>
              <w:pStyle w:val="Tabletextheading"/>
              <w:rPr>
                <w:lang w:eastAsia="en-AU"/>
              </w:rPr>
            </w:pPr>
            <w:r w:rsidRPr="005E274A">
              <w:rPr>
                <w:lang w:eastAsia="en-AU"/>
              </w:rPr>
              <w:t>Actual</w:t>
            </w:r>
          </w:p>
        </w:tc>
        <w:tc>
          <w:tcPr>
            <w:tcW w:w="859" w:type="dxa"/>
            <w:tcBorders>
              <w:top w:val="nil"/>
              <w:left w:val="nil"/>
              <w:bottom w:val="single" w:sz="6" w:space="0" w:color="auto"/>
              <w:right w:val="nil"/>
            </w:tcBorders>
            <w:shd w:val="clear" w:color="auto" w:fill="000000"/>
          </w:tcPr>
          <w:p w:rsidR="0070375D" w:rsidRPr="005E274A" w:rsidRDefault="0070375D" w:rsidP="005E274A">
            <w:pPr>
              <w:pStyle w:val="Tabletextheading"/>
              <w:rPr>
                <w:lang w:eastAsia="en-AU"/>
              </w:rPr>
            </w:pPr>
            <w:r w:rsidRPr="005E274A">
              <w:rPr>
                <w:lang w:eastAsia="en-AU"/>
              </w:rPr>
              <w:t>Revised</w:t>
            </w:r>
          </w:p>
        </w:tc>
        <w:tc>
          <w:tcPr>
            <w:tcW w:w="859" w:type="dxa"/>
            <w:tcBorders>
              <w:top w:val="nil"/>
              <w:left w:val="nil"/>
              <w:bottom w:val="single" w:sz="6" w:space="0" w:color="auto"/>
              <w:right w:val="nil"/>
            </w:tcBorders>
            <w:shd w:val="clear" w:color="auto" w:fill="000000"/>
          </w:tcPr>
          <w:p w:rsidR="0070375D" w:rsidRPr="005E274A" w:rsidRDefault="0070375D" w:rsidP="005E274A">
            <w:pPr>
              <w:pStyle w:val="Tabletextheading"/>
              <w:rPr>
                <w:lang w:eastAsia="en-AU"/>
              </w:rPr>
            </w:pPr>
            <w:r w:rsidRPr="005E274A">
              <w:rPr>
                <w:lang w:eastAsia="en-AU"/>
              </w:rPr>
              <w:t>Budget</w:t>
            </w:r>
          </w:p>
        </w:tc>
        <w:tc>
          <w:tcPr>
            <w:tcW w:w="858" w:type="dxa"/>
            <w:tcBorders>
              <w:top w:val="nil"/>
              <w:left w:val="nil"/>
              <w:bottom w:val="single" w:sz="6" w:space="0" w:color="auto"/>
              <w:right w:val="nil"/>
            </w:tcBorders>
            <w:shd w:val="clear" w:color="auto" w:fill="000000"/>
          </w:tcPr>
          <w:p w:rsidR="0070375D" w:rsidRPr="005E274A" w:rsidRDefault="0070375D" w:rsidP="005E274A">
            <w:pPr>
              <w:pStyle w:val="Tabletextheading"/>
              <w:rPr>
                <w:lang w:eastAsia="en-AU"/>
              </w:rPr>
            </w:pPr>
            <w:r w:rsidRPr="005E274A">
              <w:rPr>
                <w:lang w:eastAsia="en-AU"/>
              </w:rPr>
              <w:t>Estimate</w:t>
            </w:r>
          </w:p>
        </w:tc>
        <w:tc>
          <w:tcPr>
            <w:tcW w:w="859" w:type="dxa"/>
            <w:tcBorders>
              <w:top w:val="nil"/>
              <w:left w:val="nil"/>
              <w:bottom w:val="single" w:sz="6" w:space="0" w:color="auto"/>
              <w:right w:val="nil"/>
            </w:tcBorders>
            <w:shd w:val="clear" w:color="auto" w:fill="000000"/>
          </w:tcPr>
          <w:p w:rsidR="0070375D" w:rsidRPr="005E274A" w:rsidRDefault="0070375D" w:rsidP="005E274A">
            <w:pPr>
              <w:pStyle w:val="Tabletextheading"/>
              <w:rPr>
                <w:lang w:eastAsia="en-AU"/>
              </w:rPr>
            </w:pPr>
            <w:r w:rsidRPr="005E274A">
              <w:rPr>
                <w:lang w:eastAsia="en-AU"/>
              </w:rPr>
              <w:t>Estimate</w:t>
            </w:r>
          </w:p>
        </w:tc>
        <w:tc>
          <w:tcPr>
            <w:tcW w:w="859" w:type="dxa"/>
            <w:tcBorders>
              <w:top w:val="nil"/>
              <w:left w:val="nil"/>
              <w:bottom w:val="single" w:sz="6" w:space="0" w:color="auto"/>
              <w:right w:val="single" w:sz="6" w:space="0" w:color="auto"/>
            </w:tcBorders>
            <w:shd w:val="clear" w:color="auto" w:fill="000000"/>
          </w:tcPr>
          <w:p w:rsidR="0070375D" w:rsidRPr="005E274A" w:rsidRDefault="0070375D" w:rsidP="005E274A">
            <w:pPr>
              <w:pStyle w:val="Tabletextheading"/>
              <w:rPr>
                <w:lang w:eastAsia="en-AU"/>
              </w:rPr>
            </w:pPr>
            <w:r w:rsidRPr="005E274A">
              <w:rPr>
                <w:lang w:eastAsia="en-AU"/>
              </w:rPr>
              <w:t>Estimate</w:t>
            </w:r>
          </w:p>
        </w:tc>
      </w:tr>
      <w:tr w:rsidR="0070375D" w:rsidRPr="005E274A" w:rsidTr="00C80F33">
        <w:tc>
          <w:tcPr>
            <w:tcW w:w="2624" w:type="dxa"/>
            <w:tcBorders>
              <w:top w:val="single" w:sz="6" w:space="0" w:color="auto"/>
              <w:left w:val="nil"/>
              <w:bottom w:val="nil"/>
              <w:right w:val="nil"/>
            </w:tcBorders>
          </w:tcPr>
          <w:p w:rsidR="0070375D" w:rsidRPr="005E274A" w:rsidRDefault="0070375D" w:rsidP="005E274A">
            <w:pPr>
              <w:pStyle w:val="Tabletext"/>
              <w:rPr>
                <w:b/>
                <w:bCs/>
                <w:color w:val="000000"/>
                <w:lang w:eastAsia="en-AU"/>
              </w:rPr>
            </w:pPr>
            <w:r w:rsidRPr="005E274A">
              <w:rPr>
                <w:b/>
                <w:bCs/>
                <w:color w:val="000000"/>
                <w:lang w:eastAsia="en-AU"/>
              </w:rPr>
              <w:t>Assets</w:t>
            </w:r>
          </w:p>
        </w:tc>
        <w:tc>
          <w:tcPr>
            <w:tcW w:w="858" w:type="dxa"/>
            <w:tcBorders>
              <w:top w:val="single" w:sz="6" w:space="0" w:color="auto"/>
              <w:left w:val="nil"/>
              <w:bottom w:val="nil"/>
              <w:right w:val="nil"/>
            </w:tcBorders>
          </w:tcPr>
          <w:p w:rsidR="0070375D" w:rsidRPr="005E274A" w:rsidRDefault="0070375D" w:rsidP="005E274A">
            <w:pPr>
              <w:pStyle w:val="TableofFigures"/>
              <w:rPr>
                <w:color w:val="000000"/>
                <w:lang w:eastAsia="en-AU"/>
              </w:rPr>
            </w:pPr>
          </w:p>
        </w:tc>
        <w:tc>
          <w:tcPr>
            <w:tcW w:w="859" w:type="dxa"/>
            <w:tcBorders>
              <w:top w:val="single" w:sz="6" w:space="0" w:color="auto"/>
              <w:left w:val="nil"/>
              <w:bottom w:val="nil"/>
              <w:right w:val="nil"/>
            </w:tcBorders>
          </w:tcPr>
          <w:p w:rsidR="0070375D" w:rsidRPr="005E274A" w:rsidRDefault="0070375D" w:rsidP="005E274A">
            <w:pPr>
              <w:pStyle w:val="TableofFigures"/>
              <w:rPr>
                <w:color w:val="000000"/>
                <w:lang w:eastAsia="en-AU"/>
              </w:rPr>
            </w:pPr>
          </w:p>
        </w:tc>
        <w:tc>
          <w:tcPr>
            <w:tcW w:w="859" w:type="dxa"/>
            <w:tcBorders>
              <w:top w:val="single" w:sz="6" w:space="0" w:color="auto"/>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w:t>
            </w:r>
          </w:p>
        </w:tc>
        <w:tc>
          <w:tcPr>
            <w:tcW w:w="858" w:type="dxa"/>
            <w:tcBorders>
              <w:top w:val="single" w:sz="6" w:space="0" w:color="auto"/>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w:t>
            </w:r>
          </w:p>
        </w:tc>
        <w:tc>
          <w:tcPr>
            <w:tcW w:w="859" w:type="dxa"/>
            <w:tcBorders>
              <w:top w:val="single" w:sz="6" w:space="0" w:color="auto"/>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w:t>
            </w:r>
          </w:p>
        </w:tc>
        <w:tc>
          <w:tcPr>
            <w:tcW w:w="859" w:type="dxa"/>
            <w:tcBorders>
              <w:top w:val="single" w:sz="6" w:space="0" w:color="auto"/>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w:t>
            </w:r>
          </w:p>
        </w:tc>
      </w:tr>
      <w:tr w:rsidR="0070375D" w:rsidRPr="005E274A" w:rsidTr="005E274A">
        <w:tc>
          <w:tcPr>
            <w:tcW w:w="2624" w:type="dxa"/>
            <w:tcBorders>
              <w:top w:val="nil"/>
              <w:left w:val="nil"/>
              <w:bottom w:val="nil"/>
              <w:right w:val="nil"/>
            </w:tcBorders>
          </w:tcPr>
          <w:p w:rsidR="0070375D" w:rsidRPr="005E274A" w:rsidRDefault="0070375D" w:rsidP="005E274A">
            <w:pPr>
              <w:pStyle w:val="Tabletext"/>
              <w:rPr>
                <w:rFonts w:cs="Calibri"/>
                <w:color w:val="000000"/>
                <w:vertAlign w:val="superscript"/>
                <w:lang w:eastAsia="en-AU"/>
              </w:rPr>
            </w:pPr>
            <w:r w:rsidRPr="005E274A">
              <w:rPr>
                <w:color w:val="000000"/>
                <w:lang w:eastAsia="en-AU"/>
              </w:rPr>
              <w:t>Financial assets</w:t>
            </w:r>
            <w:r w:rsidR="00F00A93">
              <w:rPr>
                <w:color w:val="000000"/>
                <w:lang w:eastAsia="en-AU"/>
              </w:rPr>
              <w:t xml:space="preserve"> </w:t>
            </w:r>
            <w:r w:rsidRPr="005E274A">
              <w:rPr>
                <w:color w:val="000000"/>
                <w:vertAlign w:val="superscript"/>
                <w:lang w:eastAsia="en-AU"/>
              </w:rPr>
              <w:t>(a)(</w:t>
            </w:r>
            <w:r w:rsidRPr="005E274A">
              <w:rPr>
                <w:rFonts w:cs="Calibri"/>
                <w:color w:val="000000"/>
                <w:vertAlign w:val="superscript"/>
                <w:lang w:eastAsia="en-AU"/>
              </w:rPr>
              <w:t>b)</w:t>
            </w:r>
          </w:p>
        </w:tc>
        <w:tc>
          <w:tcPr>
            <w:tcW w:w="858" w:type="dxa"/>
            <w:tcBorders>
              <w:top w:val="nil"/>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39.6 </w:t>
            </w:r>
          </w:p>
        </w:tc>
        <w:tc>
          <w:tcPr>
            <w:tcW w:w="859" w:type="dxa"/>
            <w:tcBorders>
              <w:top w:val="nil"/>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42.7 </w:t>
            </w:r>
          </w:p>
        </w:tc>
        <w:tc>
          <w:tcPr>
            <w:tcW w:w="859" w:type="dxa"/>
            <w:tcBorders>
              <w:top w:val="nil"/>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44.2 </w:t>
            </w:r>
          </w:p>
        </w:tc>
        <w:tc>
          <w:tcPr>
            <w:tcW w:w="858" w:type="dxa"/>
            <w:tcBorders>
              <w:top w:val="nil"/>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46.0 </w:t>
            </w:r>
          </w:p>
        </w:tc>
        <w:tc>
          <w:tcPr>
            <w:tcW w:w="859" w:type="dxa"/>
            <w:tcBorders>
              <w:top w:val="nil"/>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46.0 </w:t>
            </w:r>
          </w:p>
        </w:tc>
        <w:tc>
          <w:tcPr>
            <w:tcW w:w="859" w:type="dxa"/>
            <w:tcBorders>
              <w:top w:val="nil"/>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48.1 </w:t>
            </w:r>
          </w:p>
        </w:tc>
      </w:tr>
      <w:tr w:rsidR="0070375D" w:rsidRPr="005E274A" w:rsidTr="005E274A">
        <w:tc>
          <w:tcPr>
            <w:tcW w:w="2624" w:type="dxa"/>
            <w:tcBorders>
              <w:top w:val="nil"/>
              <w:left w:val="nil"/>
              <w:bottom w:val="single" w:sz="6" w:space="0" w:color="auto"/>
              <w:right w:val="nil"/>
            </w:tcBorders>
          </w:tcPr>
          <w:p w:rsidR="0070375D" w:rsidRPr="005E274A" w:rsidRDefault="0070375D" w:rsidP="005E274A">
            <w:pPr>
              <w:pStyle w:val="Tabletext"/>
              <w:rPr>
                <w:color w:val="000000"/>
                <w:vertAlign w:val="superscript"/>
                <w:lang w:eastAsia="en-AU"/>
              </w:rPr>
            </w:pPr>
            <w:r w:rsidRPr="005E274A">
              <w:rPr>
                <w:color w:val="000000"/>
                <w:lang w:eastAsia="en-AU"/>
              </w:rPr>
              <w:t>Non</w:t>
            </w:r>
            <w:r w:rsidR="00276239">
              <w:rPr>
                <w:color w:val="000000"/>
                <w:lang w:eastAsia="en-AU"/>
              </w:rPr>
              <w:noBreakHyphen/>
            </w:r>
            <w:r w:rsidRPr="005E274A">
              <w:rPr>
                <w:color w:val="000000"/>
                <w:lang w:eastAsia="en-AU"/>
              </w:rPr>
              <w:t>financial assets</w:t>
            </w:r>
            <w:r w:rsidR="00F00A93">
              <w:rPr>
                <w:color w:val="000000"/>
                <w:lang w:eastAsia="en-AU"/>
              </w:rPr>
              <w:t xml:space="preserve"> </w:t>
            </w:r>
            <w:r w:rsidRPr="005E274A">
              <w:rPr>
                <w:color w:val="000000"/>
                <w:vertAlign w:val="superscript"/>
                <w:lang w:eastAsia="en-AU"/>
              </w:rPr>
              <w:t>(c)</w:t>
            </w:r>
          </w:p>
        </w:tc>
        <w:tc>
          <w:tcPr>
            <w:tcW w:w="858" w:type="dxa"/>
            <w:tcBorders>
              <w:top w:val="nil"/>
              <w:left w:val="nil"/>
              <w:bottom w:val="single" w:sz="6" w:space="0" w:color="auto"/>
              <w:right w:val="nil"/>
            </w:tcBorders>
          </w:tcPr>
          <w:p w:rsidR="0070375D" w:rsidRPr="005E274A" w:rsidRDefault="0070375D" w:rsidP="005E274A">
            <w:pPr>
              <w:pStyle w:val="TableofFigures"/>
              <w:rPr>
                <w:color w:val="000000"/>
                <w:lang w:eastAsia="en-AU"/>
              </w:rPr>
            </w:pPr>
            <w:r w:rsidRPr="005E274A">
              <w:rPr>
                <w:color w:val="000000"/>
                <w:lang w:eastAsia="en-AU"/>
              </w:rPr>
              <w:t xml:space="preserve">      183.0 </w:t>
            </w:r>
          </w:p>
        </w:tc>
        <w:tc>
          <w:tcPr>
            <w:tcW w:w="859" w:type="dxa"/>
            <w:tcBorders>
              <w:top w:val="nil"/>
              <w:left w:val="nil"/>
              <w:bottom w:val="single" w:sz="6" w:space="0" w:color="auto"/>
              <w:right w:val="nil"/>
            </w:tcBorders>
          </w:tcPr>
          <w:p w:rsidR="0070375D" w:rsidRPr="005E274A" w:rsidRDefault="0070375D" w:rsidP="005E274A">
            <w:pPr>
              <w:pStyle w:val="TableofFigures"/>
              <w:rPr>
                <w:color w:val="000000"/>
                <w:lang w:eastAsia="en-AU"/>
              </w:rPr>
            </w:pPr>
            <w:r w:rsidRPr="005E274A">
              <w:rPr>
                <w:color w:val="000000"/>
                <w:lang w:eastAsia="en-AU"/>
              </w:rPr>
              <w:t xml:space="preserve">      192.1 </w:t>
            </w:r>
          </w:p>
        </w:tc>
        <w:tc>
          <w:tcPr>
            <w:tcW w:w="859" w:type="dxa"/>
            <w:tcBorders>
              <w:top w:val="nil"/>
              <w:left w:val="nil"/>
              <w:bottom w:val="single" w:sz="6" w:space="0" w:color="auto"/>
              <w:right w:val="nil"/>
            </w:tcBorders>
          </w:tcPr>
          <w:p w:rsidR="0070375D" w:rsidRPr="005E274A" w:rsidRDefault="0070375D" w:rsidP="005E274A">
            <w:pPr>
              <w:pStyle w:val="TableofFigures"/>
              <w:rPr>
                <w:color w:val="000000"/>
                <w:lang w:eastAsia="en-AU"/>
              </w:rPr>
            </w:pPr>
            <w:r w:rsidRPr="005E274A">
              <w:rPr>
                <w:color w:val="000000"/>
                <w:lang w:eastAsia="en-AU"/>
              </w:rPr>
              <w:t xml:space="preserve">      201.8 </w:t>
            </w:r>
          </w:p>
        </w:tc>
        <w:tc>
          <w:tcPr>
            <w:tcW w:w="858" w:type="dxa"/>
            <w:tcBorders>
              <w:top w:val="nil"/>
              <w:left w:val="nil"/>
              <w:bottom w:val="single" w:sz="6" w:space="0" w:color="auto"/>
              <w:right w:val="nil"/>
            </w:tcBorders>
          </w:tcPr>
          <w:p w:rsidR="0070375D" w:rsidRPr="005E274A" w:rsidRDefault="0070375D" w:rsidP="005E274A">
            <w:pPr>
              <w:pStyle w:val="TableofFigures"/>
              <w:rPr>
                <w:color w:val="000000"/>
                <w:lang w:eastAsia="en-AU"/>
              </w:rPr>
            </w:pPr>
            <w:r w:rsidRPr="005E274A">
              <w:rPr>
                <w:color w:val="000000"/>
                <w:lang w:eastAsia="en-AU"/>
              </w:rPr>
              <w:t xml:space="preserve">      209.1 </w:t>
            </w:r>
          </w:p>
        </w:tc>
        <w:tc>
          <w:tcPr>
            <w:tcW w:w="859" w:type="dxa"/>
            <w:tcBorders>
              <w:top w:val="nil"/>
              <w:left w:val="nil"/>
              <w:bottom w:val="single" w:sz="6" w:space="0" w:color="auto"/>
              <w:right w:val="nil"/>
            </w:tcBorders>
          </w:tcPr>
          <w:p w:rsidR="0070375D" w:rsidRPr="005E274A" w:rsidRDefault="0070375D" w:rsidP="005E274A">
            <w:pPr>
              <w:pStyle w:val="TableofFigures"/>
              <w:rPr>
                <w:color w:val="000000"/>
                <w:lang w:eastAsia="en-AU"/>
              </w:rPr>
            </w:pPr>
            <w:r w:rsidRPr="005E274A">
              <w:rPr>
                <w:color w:val="000000"/>
                <w:lang w:eastAsia="en-AU"/>
              </w:rPr>
              <w:t xml:space="preserve">      213.2 </w:t>
            </w:r>
          </w:p>
        </w:tc>
        <w:tc>
          <w:tcPr>
            <w:tcW w:w="859" w:type="dxa"/>
            <w:tcBorders>
              <w:top w:val="nil"/>
              <w:left w:val="nil"/>
              <w:bottom w:val="single" w:sz="6" w:space="0" w:color="auto"/>
              <w:right w:val="nil"/>
            </w:tcBorders>
          </w:tcPr>
          <w:p w:rsidR="0070375D" w:rsidRPr="005E274A" w:rsidRDefault="0070375D" w:rsidP="005E274A">
            <w:pPr>
              <w:pStyle w:val="TableofFigures"/>
              <w:rPr>
                <w:color w:val="000000"/>
                <w:lang w:eastAsia="en-AU"/>
              </w:rPr>
            </w:pPr>
            <w:r w:rsidRPr="005E274A">
              <w:rPr>
                <w:color w:val="000000"/>
                <w:lang w:eastAsia="en-AU"/>
              </w:rPr>
              <w:t xml:space="preserve">      215.7 </w:t>
            </w:r>
          </w:p>
        </w:tc>
      </w:tr>
      <w:tr w:rsidR="0070375D" w:rsidRPr="005E274A" w:rsidTr="005E274A">
        <w:tc>
          <w:tcPr>
            <w:tcW w:w="2624" w:type="dxa"/>
            <w:tcBorders>
              <w:top w:val="nil"/>
              <w:left w:val="nil"/>
              <w:bottom w:val="nil"/>
              <w:right w:val="nil"/>
            </w:tcBorders>
          </w:tcPr>
          <w:p w:rsidR="0070375D" w:rsidRPr="005E274A" w:rsidRDefault="0070375D" w:rsidP="005E274A">
            <w:pPr>
              <w:pStyle w:val="Tabletext"/>
              <w:rPr>
                <w:b/>
                <w:bCs/>
                <w:color w:val="000000"/>
                <w:lang w:eastAsia="en-AU"/>
              </w:rPr>
            </w:pPr>
            <w:r w:rsidRPr="005E274A">
              <w:rPr>
                <w:b/>
                <w:bCs/>
                <w:color w:val="000000"/>
                <w:lang w:eastAsia="en-AU"/>
              </w:rPr>
              <w:t>Total assets</w:t>
            </w:r>
          </w:p>
        </w:tc>
        <w:tc>
          <w:tcPr>
            <w:tcW w:w="858" w:type="dxa"/>
            <w:tcBorders>
              <w:top w:val="single" w:sz="6" w:space="0" w:color="auto"/>
              <w:left w:val="nil"/>
              <w:bottom w:val="nil"/>
              <w:right w:val="nil"/>
            </w:tcBorders>
          </w:tcPr>
          <w:p w:rsidR="0070375D" w:rsidRPr="005E274A" w:rsidRDefault="0070375D" w:rsidP="005E274A">
            <w:pPr>
              <w:pStyle w:val="TableofFigures"/>
              <w:rPr>
                <w:b/>
                <w:bCs/>
                <w:color w:val="000000"/>
                <w:lang w:eastAsia="en-AU"/>
              </w:rPr>
            </w:pPr>
            <w:r w:rsidRPr="005E274A">
              <w:rPr>
                <w:b/>
                <w:bCs/>
                <w:color w:val="000000"/>
                <w:lang w:eastAsia="en-AU"/>
              </w:rPr>
              <w:t xml:space="preserve">      222.6 </w:t>
            </w:r>
          </w:p>
        </w:tc>
        <w:tc>
          <w:tcPr>
            <w:tcW w:w="859" w:type="dxa"/>
            <w:tcBorders>
              <w:top w:val="single" w:sz="6" w:space="0" w:color="auto"/>
              <w:left w:val="nil"/>
              <w:bottom w:val="nil"/>
              <w:right w:val="nil"/>
            </w:tcBorders>
          </w:tcPr>
          <w:p w:rsidR="0070375D" w:rsidRPr="005E274A" w:rsidRDefault="0070375D" w:rsidP="005E274A">
            <w:pPr>
              <w:pStyle w:val="TableofFigures"/>
              <w:rPr>
                <w:b/>
                <w:bCs/>
                <w:color w:val="000000"/>
                <w:lang w:eastAsia="en-AU"/>
              </w:rPr>
            </w:pPr>
            <w:r w:rsidRPr="005E274A">
              <w:rPr>
                <w:b/>
                <w:bCs/>
                <w:color w:val="000000"/>
                <w:lang w:eastAsia="en-AU"/>
              </w:rPr>
              <w:t xml:space="preserve">      234.7 </w:t>
            </w:r>
          </w:p>
        </w:tc>
        <w:tc>
          <w:tcPr>
            <w:tcW w:w="859" w:type="dxa"/>
            <w:tcBorders>
              <w:top w:val="single" w:sz="6" w:space="0" w:color="auto"/>
              <w:left w:val="nil"/>
              <w:bottom w:val="nil"/>
              <w:right w:val="nil"/>
            </w:tcBorders>
          </w:tcPr>
          <w:p w:rsidR="0070375D" w:rsidRPr="005E274A" w:rsidRDefault="0070375D" w:rsidP="005E274A">
            <w:pPr>
              <w:pStyle w:val="TableofFigures"/>
              <w:rPr>
                <w:b/>
                <w:bCs/>
                <w:color w:val="000000"/>
                <w:lang w:eastAsia="en-AU"/>
              </w:rPr>
            </w:pPr>
            <w:r w:rsidRPr="005E274A">
              <w:rPr>
                <w:b/>
                <w:bCs/>
                <w:color w:val="000000"/>
                <w:lang w:eastAsia="en-AU"/>
              </w:rPr>
              <w:t xml:space="preserve">      246.1 </w:t>
            </w:r>
          </w:p>
        </w:tc>
        <w:tc>
          <w:tcPr>
            <w:tcW w:w="858" w:type="dxa"/>
            <w:tcBorders>
              <w:top w:val="single" w:sz="6" w:space="0" w:color="auto"/>
              <w:left w:val="nil"/>
              <w:bottom w:val="nil"/>
              <w:right w:val="nil"/>
            </w:tcBorders>
          </w:tcPr>
          <w:p w:rsidR="0070375D" w:rsidRPr="005E274A" w:rsidRDefault="0070375D" w:rsidP="005E274A">
            <w:pPr>
              <w:pStyle w:val="TableofFigures"/>
              <w:rPr>
                <w:b/>
                <w:bCs/>
                <w:color w:val="000000"/>
                <w:lang w:eastAsia="en-AU"/>
              </w:rPr>
            </w:pPr>
            <w:r w:rsidRPr="005E274A">
              <w:rPr>
                <w:b/>
                <w:bCs/>
                <w:color w:val="000000"/>
                <w:lang w:eastAsia="en-AU"/>
              </w:rPr>
              <w:t xml:space="preserve">      255.1 </w:t>
            </w:r>
          </w:p>
        </w:tc>
        <w:tc>
          <w:tcPr>
            <w:tcW w:w="859" w:type="dxa"/>
            <w:tcBorders>
              <w:top w:val="single" w:sz="6" w:space="0" w:color="auto"/>
              <w:left w:val="nil"/>
              <w:bottom w:val="nil"/>
              <w:right w:val="nil"/>
            </w:tcBorders>
          </w:tcPr>
          <w:p w:rsidR="0070375D" w:rsidRPr="005E274A" w:rsidRDefault="0070375D" w:rsidP="005E274A">
            <w:pPr>
              <w:pStyle w:val="TableofFigures"/>
              <w:rPr>
                <w:b/>
                <w:bCs/>
                <w:color w:val="000000"/>
                <w:lang w:eastAsia="en-AU"/>
              </w:rPr>
            </w:pPr>
            <w:r w:rsidRPr="005E274A">
              <w:rPr>
                <w:b/>
                <w:bCs/>
                <w:color w:val="000000"/>
                <w:lang w:eastAsia="en-AU"/>
              </w:rPr>
              <w:t xml:space="preserve">      259.2 </w:t>
            </w:r>
          </w:p>
        </w:tc>
        <w:tc>
          <w:tcPr>
            <w:tcW w:w="859" w:type="dxa"/>
            <w:tcBorders>
              <w:top w:val="single" w:sz="6" w:space="0" w:color="auto"/>
              <w:left w:val="nil"/>
              <w:bottom w:val="nil"/>
              <w:right w:val="nil"/>
            </w:tcBorders>
          </w:tcPr>
          <w:p w:rsidR="0070375D" w:rsidRPr="005E274A" w:rsidRDefault="0070375D" w:rsidP="005E274A">
            <w:pPr>
              <w:pStyle w:val="TableofFigures"/>
              <w:rPr>
                <w:b/>
                <w:bCs/>
                <w:color w:val="000000"/>
                <w:lang w:eastAsia="en-AU"/>
              </w:rPr>
            </w:pPr>
            <w:r w:rsidRPr="005E274A">
              <w:rPr>
                <w:b/>
                <w:bCs/>
                <w:color w:val="000000"/>
                <w:lang w:eastAsia="en-AU"/>
              </w:rPr>
              <w:t xml:space="preserve">      263.8 </w:t>
            </w:r>
          </w:p>
        </w:tc>
      </w:tr>
      <w:tr w:rsidR="0070375D" w:rsidRPr="005E274A" w:rsidTr="005E274A">
        <w:tc>
          <w:tcPr>
            <w:tcW w:w="2624" w:type="dxa"/>
            <w:tcBorders>
              <w:top w:val="nil"/>
              <w:left w:val="nil"/>
              <w:bottom w:val="nil"/>
              <w:right w:val="nil"/>
            </w:tcBorders>
          </w:tcPr>
          <w:p w:rsidR="0070375D" w:rsidRPr="005E274A" w:rsidRDefault="0070375D" w:rsidP="005E274A">
            <w:pPr>
              <w:pStyle w:val="Tabletext"/>
              <w:rPr>
                <w:b/>
                <w:bCs/>
                <w:color w:val="000000"/>
                <w:lang w:eastAsia="en-AU"/>
              </w:rPr>
            </w:pPr>
            <w:r w:rsidRPr="005E274A">
              <w:rPr>
                <w:b/>
                <w:bCs/>
                <w:color w:val="000000"/>
                <w:lang w:eastAsia="en-AU"/>
              </w:rPr>
              <w:t>Liabilities</w:t>
            </w:r>
          </w:p>
        </w:tc>
        <w:tc>
          <w:tcPr>
            <w:tcW w:w="858" w:type="dxa"/>
            <w:tcBorders>
              <w:top w:val="nil"/>
              <w:left w:val="nil"/>
              <w:bottom w:val="nil"/>
              <w:right w:val="nil"/>
            </w:tcBorders>
          </w:tcPr>
          <w:p w:rsidR="0070375D" w:rsidRPr="005E274A" w:rsidRDefault="0070375D" w:rsidP="005E274A">
            <w:pPr>
              <w:pStyle w:val="TableofFigures"/>
              <w:rPr>
                <w:color w:val="000000"/>
                <w:lang w:eastAsia="en-AU"/>
              </w:rPr>
            </w:pPr>
          </w:p>
        </w:tc>
        <w:tc>
          <w:tcPr>
            <w:tcW w:w="859" w:type="dxa"/>
            <w:tcBorders>
              <w:top w:val="nil"/>
              <w:left w:val="nil"/>
              <w:bottom w:val="nil"/>
              <w:right w:val="nil"/>
            </w:tcBorders>
          </w:tcPr>
          <w:p w:rsidR="0070375D" w:rsidRPr="005E274A" w:rsidRDefault="0070375D" w:rsidP="005E274A">
            <w:pPr>
              <w:pStyle w:val="TableofFigures"/>
              <w:rPr>
                <w:color w:val="000000"/>
                <w:lang w:eastAsia="en-AU"/>
              </w:rPr>
            </w:pPr>
          </w:p>
        </w:tc>
        <w:tc>
          <w:tcPr>
            <w:tcW w:w="859" w:type="dxa"/>
            <w:tcBorders>
              <w:top w:val="nil"/>
              <w:left w:val="nil"/>
              <w:bottom w:val="nil"/>
              <w:right w:val="nil"/>
            </w:tcBorders>
          </w:tcPr>
          <w:p w:rsidR="0070375D" w:rsidRPr="005E274A" w:rsidRDefault="0070375D" w:rsidP="005E274A">
            <w:pPr>
              <w:pStyle w:val="TableofFigures"/>
              <w:rPr>
                <w:color w:val="000000"/>
                <w:lang w:eastAsia="en-AU"/>
              </w:rPr>
            </w:pPr>
          </w:p>
        </w:tc>
        <w:tc>
          <w:tcPr>
            <w:tcW w:w="858" w:type="dxa"/>
            <w:tcBorders>
              <w:top w:val="nil"/>
              <w:left w:val="nil"/>
              <w:bottom w:val="nil"/>
              <w:right w:val="nil"/>
            </w:tcBorders>
          </w:tcPr>
          <w:p w:rsidR="0070375D" w:rsidRPr="005E274A" w:rsidRDefault="0070375D" w:rsidP="005E274A">
            <w:pPr>
              <w:pStyle w:val="TableofFigures"/>
              <w:rPr>
                <w:color w:val="000000"/>
                <w:lang w:eastAsia="en-AU"/>
              </w:rPr>
            </w:pPr>
          </w:p>
        </w:tc>
        <w:tc>
          <w:tcPr>
            <w:tcW w:w="859" w:type="dxa"/>
            <w:tcBorders>
              <w:top w:val="nil"/>
              <w:left w:val="nil"/>
              <w:bottom w:val="nil"/>
              <w:right w:val="nil"/>
            </w:tcBorders>
          </w:tcPr>
          <w:p w:rsidR="0070375D" w:rsidRPr="005E274A" w:rsidRDefault="0070375D" w:rsidP="005E274A">
            <w:pPr>
              <w:pStyle w:val="TableofFigures"/>
              <w:rPr>
                <w:color w:val="000000"/>
                <w:lang w:eastAsia="en-AU"/>
              </w:rPr>
            </w:pPr>
          </w:p>
        </w:tc>
        <w:tc>
          <w:tcPr>
            <w:tcW w:w="859" w:type="dxa"/>
            <w:tcBorders>
              <w:top w:val="nil"/>
              <w:left w:val="nil"/>
              <w:bottom w:val="nil"/>
              <w:right w:val="nil"/>
            </w:tcBorders>
          </w:tcPr>
          <w:p w:rsidR="0070375D" w:rsidRPr="005E274A" w:rsidRDefault="0070375D" w:rsidP="005E274A">
            <w:pPr>
              <w:pStyle w:val="TableofFigures"/>
              <w:rPr>
                <w:color w:val="000000"/>
                <w:lang w:eastAsia="en-AU"/>
              </w:rPr>
            </w:pPr>
          </w:p>
        </w:tc>
      </w:tr>
      <w:tr w:rsidR="0070375D" w:rsidRPr="005E274A" w:rsidTr="005E274A">
        <w:tc>
          <w:tcPr>
            <w:tcW w:w="2624" w:type="dxa"/>
            <w:tcBorders>
              <w:top w:val="nil"/>
              <w:left w:val="nil"/>
              <w:bottom w:val="nil"/>
              <w:right w:val="nil"/>
            </w:tcBorders>
          </w:tcPr>
          <w:p w:rsidR="0070375D" w:rsidRPr="005E274A" w:rsidRDefault="0070375D" w:rsidP="005E274A">
            <w:pPr>
              <w:pStyle w:val="Tabletext"/>
              <w:rPr>
                <w:color w:val="000000"/>
                <w:lang w:eastAsia="en-AU"/>
              </w:rPr>
            </w:pPr>
            <w:r w:rsidRPr="005E274A">
              <w:rPr>
                <w:color w:val="000000"/>
                <w:lang w:eastAsia="en-AU"/>
              </w:rPr>
              <w:t>Superannuation</w:t>
            </w:r>
          </w:p>
        </w:tc>
        <w:tc>
          <w:tcPr>
            <w:tcW w:w="858" w:type="dxa"/>
            <w:tcBorders>
              <w:top w:val="nil"/>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32.8 </w:t>
            </w:r>
          </w:p>
        </w:tc>
        <w:tc>
          <w:tcPr>
            <w:tcW w:w="859" w:type="dxa"/>
            <w:tcBorders>
              <w:top w:val="nil"/>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29.0 </w:t>
            </w:r>
          </w:p>
        </w:tc>
        <w:tc>
          <w:tcPr>
            <w:tcW w:w="859" w:type="dxa"/>
            <w:tcBorders>
              <w:top w:val="nil"/>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28.8 </w:t>
            </w:r>
          </w:p>
        </w:tc>
        <w:tc>
          <w:tcPr>
            <w:tcW w:w="858" w:type="dxa"/>
            <w:tcBorders>
              <w:top w:val="nil"/>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28.5 </w:t>
            </w:r>
          </w:p>
        </w:tc>
        <w:tc>
          <w:tcPr>
            <w:tcW w:w="859" w:type="dxa"/>
            <w:tcBorders>
              <w:top w:val="nil"/>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28.3 </w:t>
            </w:r>
          </w:p>
        </w:tc>
        <w:tc>
          <w:tcPr>
            <w:tcW w:w="859" w:type="dxa"/>
            <w:tcBorders>
              <w:top w:val="nil"/>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27.8 </w:t>
            </w:r>
          </w:p>
        </w:tc>
      </w:tr>
      <w:tr w:rsidR="0070375D" w:rsidRPr="005E274A" w:rsidTr="005E274A">
        <w:tc>
          <w:tcPr>
            <w:tcW w:w="2624" w:type="dxa"/>
            <w:tcBorders>
              <w:top w:val="nil"/>
              <w:left w:val="nil"/>
              <w:bottom w:val="nil"/>
              <w:right w:val="nil"/>
            </w:tcBorders>
          </w:tcPr>
          <w:p w:rsidR="0070375D" w:rsidRPr="005E274A" w:rsidRDefault="0070375D" w:rsidP="005E274A">
            <w:pPr>
              <w:pStyle w:val="Tabletext"/>
              <w:rPr>
                <w:color w:val="000000"/>
                <w:lang w:eastAsia="en-AU"/>
              </w:rPr>
            </w:pPr>
            <w:r w:rsidRPr="005E274A">
              <w:rPr>
                <w:color w:val="000000"/>
                <w:lang w:eastAsia="en-AU"/>
              </w:rPr>
              <w:t xml:space="preserve">Borrowings </w:t>
            </w:r>
          </w:p>
        </w:tc>
        <w:tc>
          <w:tcPr>
            <w:tcW w:w="858" w:type="dxa"/>
            <w:tcBorders>
              <w:top w:val="nil"/>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40.6 </w:t>
            </w:r>
          </w:p>
        </w:tc>
        <w:tc>
          <w:tcPr>
            <w:tcW w:w="859" w:type="dxa"/>
            <w:tcBorders>
              <w:top w:val="nil"/>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48.7 </w:t>
            </w:r>
          </w:p>
        </w:tc>
        <w:tc>
          <w:tcPr>
            <w:tcW w:w="859" w:type="dxa"/>
            <w:tcBorders>
              <w:top w:val="nil"/>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53.1 </w:t>
            </w:r>
          </w:p>
        </w:tc>
        <w:tc>
          <w:tcPr>
            <w:tcW w:w="858" w:type="dxa"/>
            <w:tcBorders>
              <w:top w:val="nil"/>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56.5 </w:t>
            </w:r>
          </w:p>
        </w:tc>
        <w:tc>
          <w:tcPr>
            <w:tcW w:w="859" w:type="dxa"/>
            <w:tcBorders>
              <w:top w:val="nil"/>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55.4 </w:t>
            </w:r>
          </w:p>
        </w:tc>
        <w:tc>
          <w:tcPr>
            <w:tcW w:w="859" w:type="dxa"/>
            <w:tcBorders>
              <w:top w:val="nil"/>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54.5 </w:t>
            </w:r>
          </w:p>
        </w:tc>
      </w:tr>
      <w:tr w:rsidR="0070375D" w:rsidRPr="005E274A" w:rsidTr="005E274A">
        <w:tc>
          <w:tcPr>
            <w:tcW w:w="2624" w:type="dxa"/>
            <w:tcBorders>
              <w:top w:val="nil"/>
              <w:left w:val="nil"/>
              <w:bottom w:val="nil"/>
              <w:right w:val="nil"/>
            </w:tcBorders>
          </w:tcPr>
          <w:p w:rsidR="0070375D" w:rsidRPr="005E274A" w:rsidRDefault="0070375D" w:rsidP="005E274A">
            <w:pPr>
              <w:pStyle w:val="Tabletext"/>
              <w:rPr>
                <w:color w:val="000000"/>
                <w:lang w:eastAsia="en-AU"/>
              </w:rPr>
            </w:pPr>
            <w:r w:rsidRPr="005E274A">
              <w:rPr>
                <w:color w:val="000000"/>
                <w:lang w:eastAsia="en-AU"/>
              </w:rPr>
              <w:t>Deposits held and advances received</w:t>
            </w:r>
          </w:p>
        </w:tc>
        <w:tc>
          <w:tcPr>
            <w:tcW w:w="858" w:type="dxa"/>
            <w:tcBorders>
              <w:top w:val="nil"/>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1.0 </w:t>
            </w:r>
          </w:p>
        </w:tc>
        <w:tc>
          <w:tcPr>
            <w:tcW w:w="859" w:type="dxa"/>
            <w:tcBorders>
              <w:top w:val="nil"/>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2.6 </w:t>
            </w:r>
          </w:p>
        </w:tc>
        <w:tc>
          <w:tcPr>
            <w:tcW w:w="859" w:type="dxa"/>
            <w:tcBorders>
              <w:top w:val="nil"/>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2.6 </w:t>
            </w:r>
          </w:p>
        </w:tc>
        <w:tc>
          <w:tcPr>
            <w:tcW w:w="858" w:type="dxa"/>
            <w:tcBorders>
              <w:top w:val="nil"/>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2.6 </w:t>
            </w:r>
          </w:p>
        </w:tc>
        <w:tc>
          <w:tcPr>
            <w:tcW w:w="859" w:type="dxa"/>
            <w:tcBorders>
              <w:top w:val="nil"/>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2.5 </w:t>
            </w:r>
          </w:p>
        </w:tc>
        <w:tc>
          <w:tcPr>
            <w:tcW w:w="859" w:type="dxa"/>
            <w:tcBorders>
              <w:top w:val="nil"/>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2.6 </w:t>
            </w:r>
          </w:p>
        </w:tc>
      </w:tr>
      <w:tr w:rsidR="0070375D" w:rsidRPr="005E274A" w:rsidTr="005E274A">
        <w:tc>
          <w:tcPr>
            <w:tcW w:w="2624" w:type="dxa"/>
            <w:tcBorders>
              <w:top w:val="nil"/>
              <w:left w:val="nil"/>
              <w:bottom w:val="nil"/>
              <w:right w:val="nil"/>
            </w:tcBorders>
          </w:tcPr>
          <w:p w:rsidR="0070375D" w:rsidRPr="005E274A" w:rsidRDefault="0070375D" w:rsidP="005E274A">
            <w:pPr>
              <w:pStyle w:val="Tabletext"/>
              <w:rPr>
                <w:color w:val="000000"/>
                <w:lang w:eastAsia="en-AU"/>
              </w:rPr>
            </w:pPr>
            <w:r w:rsidRPr="005E274A">
              <w:rPr>
                <w:color w:val="000000"/>
                <w:lang w:eastAsia="en-AU"/>
              </w:rPr>
              <w:t>Other liabilities</w:t>
            </w:r>
          </w:p>
        </w:tc>
        <w:tc>
          <w:tcPr>
            <w:tcW w:w="858" w:type="dxa"/>
            <w:tcBorders>
              <w:top w:val="nil"/>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35.3 </w:t>
            </w:r>
          </w:p>
        </w:tc>
        <w:tc>
          <w:tcPr>
            <w:tcW w:w="859" w:type="dxa"/>
            <w:tcBorders>
              <w:top w:val="nil"/>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36.9 </w:t>
            </w:r>
          </w:p>
        </w:tc>
        <w:tc>
          <w:tcPr>
            <w:tcW w:w="859" w:type="dxa"/>
            <w:tcBorders>
              <w:top w:val="nil"/>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38.1 </w:t>
            </w:r>
          </w:p>
        </w:tc>
        <w:tc>
          <w:tcPr>
            <w:tcW w:w="858" w:type="dxa"/>
            <w:tcBorders>
              <w:top w:val="nil"/>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39.2 </w:t>
            </w:r>
          </w:p>
        </w:tc>
        <w:tc>
          <w:tcPr>
            <w:tcW w:w="859" w:type="dxa"/>
            <w:tcBorders>
              <w:top w:val="nil"/>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40.5 </w:t>
            </w:r>
          </w:p>
        </w:tc>
        <w:tc>
          <w:tcPr>
            <w:tcW w:w="859" w:type="dxa"/>
            <w:tcBorders>
              <w:top w:val="nil"/>
              <w:left w:val="nil"/>
              <w:bottom w:val="nil"/>
              <w:right w:val="nil"/>
            </w:tcBorders>
          </w:tcPr>
          <w:p w:rsidR="0070375D" w:rsidRPr="005E274A" w:rsidRDefault="0070375D" w:rsidP="005E274A">
            <w:pPr>
              <w:pStyle w:val="TableofFigures"/>
              <w:rPr>
                <w:color w:val="000000"/>
                <w:lang w:eastAsia="en-AU"/>
              </w:rPr>
            </w:pPr>
            <w:r w:rsidRPr="005E274A">
              <w:rPr>
                <w:color w:val="000000"/>
                <w:lang w:eastAsia="en-AU"/>
              </w:rPr>
              <w:t xml:space="preserve">        41.9 </w:t>
            </w:r>
          </w:p>
        </w:tc>
      </w:tr>
      <w:tr w:rsidR="0070375D" w:rsidRPr="005E274A" w:rsidTr="005E274A">
        <w:tc>
          <w:tcPr>
            <w:tcW w:w="2624" w:type="dxa"/>
            <w:tcBorders>
              <w:top w:val="single" w:sz="6" w:space="0" w:color="auto"/>
              <w:left w:val="nil"/>
              <w:bottom w:val="single" w:sz="6" w:space="0" w:color="auto"/>
              <w:right w:val="nil"/>
            </w:tcBorders>
          </w:tcPr>
          <w:p w:rsidR="0070375D" w:rsidRPr="005E274A" w:rsidRDefault="0070375D" w:rsidP="005E274A">
            <w:pPr>
              <w:pStyle w:val="Tabletext"/>
              <w:rPr>
                <w:b/>
                <w:bCs/>
                <w:color w:val="000000"/>
                <w:lang w:eastAsia="en-AU"/>
              </w:rPr>
            </w:pPr>
            <w:r w:rsidRPr="005E274A">
              <w:rPr>
                <w:b/>
                <w:bCs/>
                <w:color w:val="000000"/>
                <w:lang w:eastAsia="en-AU"/>
              </w:rPr>
              <w:t>Total liabilities</w:t>
            </w:r>
          </w:p>
        </w:tc>
        <w:tc>
          <w:tcPr>
            <w:tcW w:w="858" w:type="dxa"/>
            <w:tcBorders>
              <w:top w:val="single" w:sz="6" w:space="0" w:color="auto"/>
              <w:left w:val="nil"/>
              <w:bottom w:val="nil"/>
              <w:right w:val="nil"/>
            </w:tcBorders>
          </w:tcPr>
          <w:p w:rsidR="0070375D" w:rsidRPr="005E274A" w:rsidRDefault="0070375D" w:rsidP="005E274A">
            <w:pPr>
              <w:pStyle w:val="TableofFigures"/>
              <w:rPr>
                <w:b/>
                <w:bCs/>
                <w:color w:val="000000"/>
                <w:lang w:eastAsia="en-AU"/>
              </w:rPr>
            </w:pPr>
            <w:r w:rsidRPr="005E274A">
              <w:rPr>
                <w:b/>
                <w:bCs/>
                <w:color w:val="000000"/>
                <w:lang w:eastAsia="en-AU"/>
              </w:rPr>
              <w:t xml:space="preserve">      109.7 </w:t>
            </w:r>
          </w:p>
        </w:tc>
        <w:tc>
          <w:tcPr>
            <w:tcW w:w="859" w:type="dxa"/>
            <w:tcBorders>
              <w:top w:val="single" w:sz="6" w:space="0" w:color="auto"/>
              <w:left w:val="nil"/>
              <w:bottom w:val="nil"/>
              <w:right w:val="nil"/>
            </w:tcBorders>
          </w:tcPr>
          <w:p w:rsidR="0070375D" w:rsidRPr="005E274A" w:rsidRDefault="0070375D" w:rsidP="005E274A">
            <w:pPr>
              <w:pStyle w:val="TableofFigures"/>
              <w:rPr>
                <w:b/>
                <w:bCs/>
                <w:color w:val="000000"/>
                <w:lang w:eastAsia="en-AU"/>
              </w:rPr>
            </w:pPr>
            <w:r w:rsidRPr="005E274A">
              <w:rPr>
                <w:b/>
                <w:bCs/>
                <w:color w:val="000000"/>
                <w:lang w:eastAsia="en-AU"/>
              </w:rPr>
              <w:t xml:space="preserve">      117.2 </w:t>
            </w:r>
          </w:p>
        </w:tc>
        <w:tc>
          <w:tcPr>
            <w:tcW w:w="859" w:type="dxa"/>
            <w:tcBorders>
              <w:top w:val="single" w:sz="6" w:space="0" w:color="auto"/>
              <w:left w:val="nil"/>
              <w:bottom w:val="nil"/>
              <w:right w:val="nil"/>
            </w:tcBorders>
          </w:tcPr>
          <w:p w:rsidR="0070375D" w:rsidRPr="005E274A" w:rsidRDefault="0070375D" w:rsidP="005E274A">
            <w:pPr>
              <w:pStyle w:val="TableofFigures"/>
              <w:rPr>
                <w:b/>
                <w:bCs/>
                <w:color w:val="000000"/>
                <w:lang w:eastAsia="en-AU"/>
              </w:rPr>
            </w:pPr>
            <w:r w:rsidRPr="005E274A">
              <w:rPr>
                <w:b/>
                <w:bCs/>
                <w:color w:val="000000"/>
                <w:lang w:eastAsia="en-AU"/>
              </w:rPr>
              <w:t xml:space="preserve">      122.5 </w:t>
            </w:r>
          </w:p>
        </w:tc>
        <w:tc>
          <w:tcPr>
            <w:tcW w:w="858" w:type="dxa"/>
            <w:tcBorders>
              <w:top w:val="single" w:sz="6" w:space="0" w:color="auto"/>
              <w:left w:val="nil"/>
              <w:bottom w:val="nil"/>
              <w:right w:val="nil"/>
            </w:tcBorders>
          </w:tcPr>
          <w:p w:rsidR="0070375D" w:rsidRPr="005E274A" w:rsidRDefault="0070375D" w:rsidP="005E274A">
            <w:pPr>
              <w:pStyle w:val="TableofFigures"/>
              <w:rPr>
                <w:b/>
                <w:bCs/>
                <w:color w:val="000000"/>
                <w:lang w:eastAsia="en-AU"/>
              </w:rPr>
            </w:pPr>
            <w:r w:rsidRPr="005E274A">
              <w:rPr>
                <w:b/>
                <w:bCs/>
                <w:color w:val="000000"/>
                <w:lang w:eastAsia="en-AU"/>
              </w:rPr>
              <w:t xml:space="preserve">      126.9 </w:t>
            </w:r>
          </w:p>
        </w:tc>
        <w:tc>
          <w:tcPr>
            <w:tcW w:w="859" w:type="dxa"/>
            <w:tcBorders>
              <w:top w:val="single" w:sz="6" w:space="0" w:color="auto"/>
              <w:left w:val="nil"/>
              <w:bottom w:val="nil"/>
              <w:right w:val="nil"/>
            </w:tcBorders>
          </w:tcPr>
          <w:p w:rsidR="0070375D" w:rsidRPr="005E274A" w:rsidRDefault="0070375D" w:rsidP="005E274A">
            <w:pPr>
              <w:pStyle w:val="TableofFigures"/>
              <w:rPr>
                <w:b/>
                <w:bCs/>
                <w:color w:val="000000"/>
                <w:lang w:eastAsia="en-AU"/>
              </w:rPr>
            </w:pPr>
            <w:r w:rsidRPr="005E274A">
              <w:rPr>
                <w:b/>
                <w:bCs/>
                <w:color w:val="000000"/>
                <w:lang w:eastAsia="en-AU"/>
              </w:rPr>
              <w:t xml:space="preserve">      126.7 </w:t>
            </w:r>
          </w:p>
        </w:tc>
        <w:tc>
          <w:tcPr>
            <w:tcW w:w="859" w:type="dxa"/>
            <w:tcBorders>
              <w:top w:val="single" w:sz="6" w:space="0" w:color="auto"/>
              <w:left w:val="nil"/>
              <w:bottom w:val="nil"/>
              <w:right w:val="nil"/>
            </w:tcBorders>
          </w:tcPr>
          <w:p w:rsidR="0070375D" w:rsidRPr="005E274A" w:rsidRDefault="0070375D" w:rsidP="005E274A">
            <w:pPr>
              <w:pStyle w:val="TableofFigures"/>
              <w:rPr>
                <w:b/>
                <w:bCs/>
                <w:color w:val="000000"/>
                <w:lang w:eastAsia="en-AU"/>
              </w:rPr>
            </w:pPr>
            <w:r w:rsidRPr="005E274A">
              <w:rPr>
                <w:b/>
                <w:bCs/>
                <w:color w:val="000000"/>
                <w:lang w:eastAsia="en-AU"/>
              </w:rPr>
              <w:t xml:space="preserve">      126.8 </w:t>
            </w:r>
          </w:p>
        </w:tc>
      </w:tr>
      <w:tr w:rsidR="0070375D" w:rsidRPr="005E274A" w:rsidTr="005E274A">
        <w:tc>
          <w:tcPr>
            <w:tcW w:w="2624" w:type="dxa"/>
            <w:tcBorders>
              <w:top w:val="single" w:sz="6" w:space="0" w:color="auto"/>
              <w:left w:val="nil"/>
              <w:bottom w:val="single" w:sz="12" w:space="0" w:color="auto"/>
              <w:right w:val="nil"/>
            </w:tcBorders>
          </w:tcPr>
          <w:p w:rsidR="0070375D" w:rsidRPr="005E274A" w:rsidRDefault="0070375D" w:rsidP="005E274A">
            <w:pPr>
              <w:pStyle w:val="Tabletext"/>
              <w:rPr>
                <w:b/>
                <w:bCs/>
                <w:color w:val="000000"/>
                <w:lang w:eastAsia="en-AU"/>
              </w:rPr>
            </w:pPr>
            <w:r w:rsidRPr="005E274A">
              <w:rPr>
                <w:b/>
                <w:bCs/>
                <w:color w:val="000000"/>
                <w:lang w:eastAsia="en-AU"/>
              </w:rPr>
              <w:t>Net assets</w:t>
            </w:r>
          </w:p>
        </w:tc>
        <w:tc>
          <w:tcPr>
            <w:tcW w:w="858" w:type="dxa"/>
            <w:tcBorders>
              <w:top w:val="single" w:sz="6" w:space="0" w:color="auto"/>
              <w:left w:val="nil"/>
              <w:bottom w:val="single" w:sz="12" w:space="0" w:color="auto"/>
              <w:right w:val="nil"/>
            </w:tcBorders>
          </w:tcPr>
          <w:p w:rsidR="0070375D" w:rsidRPr="005E274A" w:rsidRDefault="0070375D" w:rsidP="005E274A">
            <w:pPr>
              <w:pStyle w:val="TableofFigures"/>
              <w:rPr>
                <w:b/>
                <w:bCs/>
                <w:color w:val="000000"/>
                <w:lang w:eastAsia="en-AU"/>
              </w:rPr>
            </w:pPr>
            <w:r w:rsidRPr="005E274A">
              <w:rPr>
                <w:b/>
                <w:bCs/>
                <w:color w:val="000000"/>
                <w:lang w:eastAsia="en-AU"/>
              </w:rPr>
              <w:t xml:space="preserve">      112.9 </w:t>
            </w:r>
          </w:p>
        </w:tc>
        <w:tc>
          <w:tcPr>
            <w:tcW w:w="859" w:type="dxa"/>
            <w:tcBorders>
              <w:top w:val="single" w:sz="6" w:space="0" w:color="auto"/>
              <w:left w:val="nil"/>
              <w:bottom w:val="single" w:sz="12" w:space="0" w:color="auto"/>
              <w:right w:val="nil"/>
            </w:tcBorders>
          </w:tcPr>
          <w:p w:rsidR="0070375D" w:rsidRPr="005E274A" w:rsidRDefault="0070375D" w:rsidP="005E274A">
            <w:pPr>
              <w:pStyle w:val="TableofFigures"/>
              <w:rPr>
                <w:b/>
                <w:bCs/>
                <w:color w:val="000000"/>
                <w:lang w:eastAsia="en-AU"/>
              </w:rPr>
            </w:pPr>
            <w:r w:rsidRPr="005E274A">
              <w:rPr>
                <w:b/>
                <w:bCs/>
                <w:color w:val="000000"/>
                <w:lang w:eastAsia="en-AU"/>
              </w:rPr>
              <w:t xml:space="preserve">      117.5 </w:t>
            </w:r>
          </w:p>
        </w:tc>
        <w:tc>
          <w:tcPr>
            <w:tcW w:w="859" w:type="dxa"/>
            <w:tcBorders>
              <w:top w:val="single" w:sz="6" w:space="0" w:color="auto"/>
              <w:left w:val="nil"/>
              <w:bottom w:val="single" w:sz="12" w:space="0" w:color="auto"/>
              <w:right w:val="nil"/>
            </w:tcBorders>
          </w:tcPr>
          <w:p w:rsidR="0070375D" w:rsidRPr="005E274A" w:rsidRDefault="0070375D" w:rsidP="005E274A">
            <w:pPr>
              <w:pStyle w:val="TableofFigures"/>
              <w:rPr>
                <w:b/>
                <w:bCs/>
                <w:color w:val="000000"/>
                <w:lang w:eastAsia="en-AU"/>
              </w:rPr>
            </w:pPr>
            <w:r w:rsidRPr="005E274A">
              <w:rPr>
                <w:b/>
                <w:bCs/>
                <w:color w:val="000000"/>
                <w:lang w:eastAsia="en-AU"/>
              </w:rPr>
              <w:t xml:space="preserve">      123.5 </w:t>
            </w:r>
          </w:p>
        </w:tc>
        <w:tc>
          <w:tcPr>
            <w:tcW w:w="858" w:type="dxa"/>
            <w:tcBorders>
              <w:top w:val="single" w:sz="6" w:space="0" w:color="auto"/>
              <w:left w:val="nil"/>
              <w:bottom w:val="single" w:sz="12" w:space="0" w:color="auto"/>
              <w:right w:val="nil"/>
            </w:tcBorders>
          </w:tcPr>
          <w:p w:rsidR="0070375D" w:rsidRPr="005E274A" w:rsidRDefault="0070375D" w:rsidP="005E274A">
            <w:pPr>
              <w:pStyle w:val="TableofFigures"/>
              <w:rPr>
                <w:b/>
                <w:bCs/>
                <w:color w:val="000000"/>
                <w:lang w:eastAsia="en-AU"/>
              </w:rPr>
            </w:pPr>
            <w:r w:rsidRPr="005E274A">
              <w:rPr>
                <w:b/>
                <w:bCs/>
                <w:color w:val="000000"/>
                <w:lang w:eastAsia="en-AU"/>
              </w:rPr>
              <w:t xml:space="preserve">      128.3 </w:t>
            </w:r>
          </w:p>
        </w:tc>
        <w:tc>
          <w:tcPr>
            <w:tcW w:w="859" w:type="dxa"/>
            <w:tcBorders>
              <w:top w:val="single" w:sz="6" w:space="0" w:color="auto"/>
              <w:left w:val="nil"/>
              <w:bottom w:val="single" w:sz="12" w:space="0" w:color="auto"/>
              <w:right w:val="nil"/>
            </w:tcBorders>
          </w:tcPr>
          <w:p w:rsidR="0070375D" w:rsidRPr="005E274A" w:rsidRDefault="0070375D" w:rsidP="005E274A">
            <w:pPr>
              <w:pStyle w:val="TableofFigures"/>
              <w:rPr>
                <w:b/>
                <w:bCs/>
                <w:color w:val="000000"/>
                <w:lang w:eastAsia="en-AU"/>
              </w:rPr>
            </w:pPr>
            <w:r w:rsidRPr="005E274A">
              <w:rPr>
                <w:b/>
                <w:bCs/>
                <w:color w:val="000000"/>
                <w:lang w:eastAsia="en-AU"/>
              </w:rPr>
              <w:t xml:space="preserve">      132.5 </w:t>
            </w:r>
          </w:p>
        </w:tc>
        <w:tc>
          <w:tcPr>
            <w:tcW w:w="859" w:type="dxa"/>
            <w:tcBorders>
              <w:top w:val="single" w:sz="6" w:space="0" w:color="auto"/>
              <w:left w:val="nil"/>
              <w:bottom w:val="single" w:sz="12" w:space="0" w:color="auto"/>
              <w:right w:val="nil"/>
            </w:tcBorders>
          </w:tcPr>
          <w:p w:rsidR="0070375D" w:rsidRPr="005E274A" w:rsidRDefault="0070375D" w:rsidP="005E274A">
            <w:pPr>
              <w:pStyle w:val="TableofFigures"/>
              <w:rPr>
                <w:b/>
                <w:bCs/>
                <w:color w:val="000000"/>
                <w:lang w:eastAsia="en-AU"/>
              </w:rPr>
            </w:pPr>
            <w:r w:rsidRPr="005E274A">
              <w:rPr>
                <w:b/>
                <w:bCs/>
                <w:color w:val="000000"/>
                <w:lang w:eastAsia="en-AU"/>
              </w:rPr>
              <w:t xml:space="preserve">      137.0 </w:t>
            </w:r>
          </w:p>
        </w:tc>
      </w:tr>
    </w:tbl>
    <w:p w:rsidR="0070375D" w:rsidRDefault="0070375D" w:rsidP="00297A48">
      <w:pPr>
        <w:pStyle w:val="Source"/>
      </w:pPr>
      <w:r>
        <w:t>Source: Department of Treasury and Finance</w:t>
      </w:r>
    </w:p>
    <w:p w:rsidR="0070375D" w:rsidRDefault="0070375D" w:rsidP="00114958">
      <w:pPr>
        <w:pStyle w:val="Notes"/>
      </w:pPr>
      <w:r>
        <w:t>Notes:</w:t>
      </w:r>
    </w:p>
    <w:p w:rsidR="0070375D" w:rsidRDefault="0070375D" w:rsidP="00114958">
      <w:pPr>
        <w:pStyle w:val="Notes"/>
      </w:pPr>
      <w:r>
        <w:t>(a)</w:t>
      </w:r>
      <w:r>
        <w:tab/>
        <w:t>Financial assets include cash and deposits, advances paid, investments, loans and placements, receivables, and investments accounted for using the equity method.</w:t>
      </w:r>
    </w:p>
    <w:p w:rsidR="0070375D" w:rsidRDefault="0070375D" w:rsidP="00114958">
      <w:pPr>
        <w:pStyle w:val="Notes"/>
      </w:pPr>
      <w:r>
        <w:t>(b)</w:t>
      </w:r>
      <w:r>
        <w:tab/>
        <w:t>T</w:t>
      </w:r>
      <w:r w:rsidRPr="00F221DC">
        <w:t>he 2011</w:t>
      </w:r>
      <w:r w:rsidR="00276239">
        <w:noBreakHyphen/>
      </w:r>
      <w:r w:rsidRPr="00F221DC">
        <w:t>12 figure has been restated due to a revision of the State Electricity Corporation</w:t>
      </w:r>
      <w:r>
        <w:t xml:space="preserve"> </w:t>
      </w:r>
      <w:r w:rsidRPr="00F221DC">
        <w:t>of Victoria</w:t>
      </w:r>
      <w:r w:rsidR="00276239">
        <w:t>’</w:t>
      </w:r>
      <w:r w:rsidRPr="00F221DC">
        <w:t>s investment in Snowy Hydro Ltd</w:t>
      </w:r>
      <w:r>
        <w:t>.</w:t>
      </w:r>
    </w:p>
    <w:p w:rsidR="0070375D" w:rsidRDefault="0070375D" w:rsidP="00114958">
      <w:pPr>
        <w:pStyle w:val="Notes"/>
      </w:pPr>
      <w:r>
        <w:t>(c)</w:t>
      </w:r>
      <w:r>
        <w:tab/>
        <w:t>Non</w:t>
      </w:r>
      <w:r w:rsidR="00276239">
        <w:noBreakHyphen/>
      </w:r>
      <w:r>
        <w:t>financial assets include inventories, non</w:t>
      </w:r>
      <w:r w:rsidR="00276239">
        <w:noBreakHyphen/>
      </w:r>
      <w:r>
        <w:t>financial assets held for sale, land, buildings, infrastructure, plant and equipment, and other non</w:t>
      </w:r>
      <w:r w:rsidR="00276239">
        <w:noBreakHyphen/>
      </w:r>
      <w:r>
        <w:t>financial assets.</w:t>
      </w:r>
    </w:p>
    <w:p w:rsidR="0070375D" w:rsidRDefault="0070375D" w:rsidP="00733B8A"/>
    <w:p w:rsidR="0070375D" w:rsidRDefault="0070375D" w:rsidP="0044448D">
      <w:r>
        <w:t>The State</w:t>
      </w:r>
      <w:r w:rsidR="00276239">
        <w:t>’</w:t>
      </w:r>
      <w:r>
        <w:t xml:space="preserve">s financial position is forecast to strengthen over the budget and forward estimates period. Ninety per cent of the increase in net assets is explained by the NFPS movements discussed earlier. The remainder is mainly due to actual and forecast increases in investment values in the PFC sector. </w:t>
      </w:r>
    </w:p>
    <w:p w:rsidR="0070375D" w:rsidRDefault="0070375D" w:rsidP="00D5763F"/>
    <w:p w:rsidR="0070375D" w:rsidRDefault="0070375D">
      <w:pPr>
        <w:spacing w:after="0"/>
      </w:pPr>
      <w:r>
        <w:br w:type="page"/>
      </w:r>
    </w:p>
    <w:p w:rsidR="0070375D" w:rsidRDefault="0070375D" w:rsidP="00D5763F"/>
    <w:p w:rsidR="0070375D" w:rsidRDefault="0070375D" w:rsidP="00D5763F"/>
    <w:p w:rsidR="0070375D" w:rsidRDefault="0070375D" w:rsidP="00497606"/>
    <w:p w:rsidR="0070375D" w:rsidRDefault="0070375D" w:rsidP="009B7F27">
      <w:pPr>
        <w:sectPr w:rsidR="0070375D" w:rsidSect="004816CA">
          <w:footerReference w:type="even" r:id="rId43"/>
          <w:footerReference w:type="default" r:id="rId44"/>
          <w:type w:val="oddPage"/>
          <w:pgSz w:w="9979" w:h="14170" w:code="34"/>
          <w:pgMar w:top="1138" w:right="1138" w:bottom="1138" w:left="1138" w:header="720" w:footer="720" w:gutter="0"/>
          <w:cols w:space="708"/>
          <w:docGrid w:linePitch="360"/>
        </w:sectPr>
      </w:pPr>
    </w:p>
    <w:p w:rsidR="0070375D" w:rsidRDefault="0070375D" w:rsidP="00E151EA">
      <w:pPr>
        <w:pStyle w:val="ChapterHeading"/>
      </w:pPr>
      <w:bookmarkStart w:id="66" w:name="_Toc355372036"/>
      <w:r>
        <w:lastRenderedPageBreak/>
        <w:t>Appendix A – Sensitivity analysis table</w:t>
      </w:r>
      <w:bookmarkEnd w:id="66"/>
    </w:p>
    <w:p w:rsidR="0070375D" w:rsidRDefault="0070375D" w:rsidP="00F21BBD">
      <w:r>
        <w:fldChar w:fldCharType="begin"/>
      </w:r>
      <w:r>
        <w:instrText xml:space="preserve"> XE "</w:instrText>
      </w:r>
      <w:r w:rsidRPr="00444D2D">
        <w:instrText>Sensitivity analysis</w:instrText>
      </w:r>
      <w:r>
        <w:instrText xml:space="preserve">" </w:instrText>
      </w:r>
      <w:r>
        <w:fldChar w:fldCharType="end"/>
      </w:r>
      <w:r>
        <w:t xml:space="preserve">The economic forecasts and assumptions underpinning the </w:t>
      </w:r>
      <w:r w:rsidRPr="00946425">
        <w:rPr>
          <w:i/>
        </w:rPr>
        <w:t>2013</w:t>
      </w:r>
      <w:r w:rsidR="00276239">
        <w:rPr>
          <w:i/>
        </w:rPr>
        <w:noBreakHyphen/>
      </w:r>
      <w:r>
        <w:rPr>
          <w:i/>
        </w:rPr>
        <w:t>14 </w:t>
      </w:r>
      <w:r w:rsidRPr="00946425">
        <w:rPr>
          <w:i/>
        </w:rPr>
        <w:t>Budget</w:t>
      </w:r>
      <w:r>
        <w:t xml:space="preserve"> are subject to variation. This section analyses the impact of variations in these parameters on income, expenses and the net result from transactions for the general government sector.</w:t>
      </w:r>
    </w:p>
    <w:p w:rsidR="0070375D" w:rsidRDefault="0070375D" w:rsidP="008E36D0">
      <w:r>
        <w:t>Two types of sensitivity analysis are presented. First, the fiscal impact of independent variations in key economic variables is considered. Such analysis may be useful, for example, in considering the impact of forecast error in any individual economic parameter on fiscal aggregates. Second, the impact of variations in multiple economic variables is considered with reference to recent historical examples. Such analysis attempts to capture some, though not all, of the interrelationships between economic variables. This is likely to provide a better understanding of the fiscal impact where the general economic environment is materially different from forecast.</w:t>
      </w:r>
    </w:p>
    <w:p w:rsidR="0070375D" w:rsidRDefault="0070375D" w:rsidP="00145452">
      <w:r>
        <w:t>While sensitivity analysis provides a useful rule of thumb indication of the fiscal impact of variations in economic conditions, care should be exercised in using these results. The relationship between economic and fiscal aggregates is complex, and typically depends on the specific characteristics of the economic shock. For example, a property</w:t>
      </w:r>
      <w:r w:rsidR="00276239">
        <w:noBreakHyphen/>
      </w:r>
      <w:r>
        <w:t>led economic downturn is likely to have a very different fiscal impact to one concentrated in the retail sector, even if the overall impact on gross state product (GSP) and employment is similar.</w:t>
      </w:r>
    </w:p>
    <w:p w:rsidR="0070375D" w:rsidRDefault="0070375D" w:rsidP="00145452">
      <w:pPr>
        <w:pStyle w:val="Heading1"/>
      </w:pPr>
      <w:bookmarkStart w:id="67" w:name="_Toc355372037"/>
      <w:r w:rsidRPr="00145452">
        <w:t>Sensitivity to independent variations in major economic parameters</w:t>
      </w:r>
      <w:bookmarkEnd w:id="67"/>
    </w:p>
    <w:p w:rsidR="0070375D" w:rsidRDefault="0070375D" w:rsidP="00145452">
      <w:r>
        <w:t>The major economic variables that affect Victoria</w:t>
      </w:r>
      <w:r w:rsidR="00276239">
        <w:t>’</w:t>
      </w:r>
      <w:r>
        <w:t>s net result from transactions are economic growth, employment, consumer prices, wages, enterprise bargaining agreements, domestic and overseas share prices, property prices and volumes and interest rates.</w:t>
      </w:r>
    </w:p>
    <w:p w:rsidR="0070375D" w:rsidRDefault="0070375D" w:rsidP="00145452">
      <w:r>
        <w:t>Table A.1 presents the sensitivity of the net result from transactions (and where relevant, the net result) to a one per cent increase in each variable in isolation from any other changes. The impacts shown in the table are broadly symmetrical. That is, the estimated fiscal impact would apply equally in the opposite direction if a one per cent decrease in each variable were considered.</w:t>
      </w:r>
    </w:p>
    <w:p w:rsidR="0070375D" w:rsidRDefault="0070375D" w:rsidP="00145452">
      <w:r>
        <w:t>Note also that the fiscal impacts presented in Table A.1 are estimated with a degree of error. The practical implication of this is that there is a range around the estimates that describes the likely fiscal impact of variations in the relevant economic parameter.</w:t>
      </w:r>
    </w:p>
    <w:p w:rsidR="0070375D" w:rsidRDefault="0070375D" w:rsidP="008E36D0">
      <w:pPr>
        <w:pStyle w:val="Tableheading"/>
        <w:rPr>
          <w:vertAlign w:val="superscript"/>
        </w:rPr>
      </w:pPr>
      <w:r>
        <w:lastRenderedPageBreak/>
        <w:t>Table A.1:</w:t>
      </w:r>
      <w:r>
        <w:tab/>
      </w:r>
      <w:r w:rsidRPr="008E36D0">
        <w:t>Sensitivity</w:t>
      </w:r>
      <w:r w:rsidRPr="00145452">
        <w:t xml:space="preserve"> of key fiscal aggregates to selected economic indicators being 1</w:t>
      </w:r>
      <w:r>
        <w:t> per cent</w:t>
      </w:r>
      <w:r w:rsidRPr="00145452">
        <w:t xml:space="preserve"> higher than expecte</w:t>
      </w:r>
      <w:r>
        <w:t>d in 2013</w:t>
      </w:r>
      <w:r w:rsidR="00276239">
        <w:noBreakHyphen/>
      </w:r>
      <w:r w:rsidRPr="00145452">
        <w:t>1</w:t>
      </w:r>
      <w:r>
        <w:t>4</w:t>
      </w:r>
      <w:r w:rsidRPr="00145452">
        <w:rPr>
          <w:vertAlign w:val="superscript"/>
        </w:rPr>
        <w:t>(a)(b)(c)</w:t>
      </w:r>
    </w:p>
    <w:p w:rsidR="0070375D" w:rsidRPr="003D4D90" w:rsidRDefault="0070375D" w:rsidP="003D4D90">
      <w:pPr>
        <w:pStyle w:val="million"/>
        <w:rPr>
          <w:rFonts w:ascii="Times New Roman" w:hAnsi="Times New Roman"/>
          <w:sz w:val="20"/>
          <w:lang w:eastAsia="en-AU"/>
        </w:rPr>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4244"/>
        <w:gridCol w:w="883"/>
        <w:gridCol w:w="883"/>
        <w:gridCol w:w="883"/>
        <w:gridCol w:w="883"/>
      </w:tblGrid>
      <w:tr w:rsidR="0070375D" w:rsidRPr="003D4D90" w:rsidTr="00427B0C">
        <w:tc>
          <w:tcPr>
            <w:tcW w:w="4244" w:type="dxa"/>
            <w:tcBorders>
              <w:top w:val="single" w:sz="4" w:space="0" w:color="auto"/>
              <w:left w:val="single" w:sz="4" w:space="0" w:color="auto"/>
              <w:right w:val="nil"/>
            </w:tcBorders>
            <w:shd w:val="clear" w:color="auto" w:fill="000000"/>
          </w:tcPr>
          <w:p w:rsidR="0070375D" w:rsidRPr="003D4D90" w:rsidRDefault="0070375D" w:rsidP="003D4D90">
            <w:pPr>
              <w:pStyle w:val="Tabletext"/>
              <w:rPr>
                <w:lang w:eastAsia="en-AU"/>
              </w:rPr>
            </w:pPr>
          </w:p>
        </w:tc>
        <w:tc>
          <w:tcPr>
            <w:tcW w:w="883" w:type="dxa"/>
            <w:tcBorders>
              <w:top w:val="single" w:sz="4" w:space="0" w:color="auto"/>
              <w:left w:val="nil"/>
              <w:right w:val="nil"/>
            </w:tcBorders>
            <w:shd w:val="clear" w:color="auto" w:fill="000000"/>
          </w:tcPr>
          <w:p w:rsidR="0070375D" w:rsidRPr="003D4D90" w:rsidRDefault="0070375D" w:rsidP="003D4D90">
            <w:pPr>
              <w:pStyle w:val="Tabletextheading"/>
              <w:rPr>
                <w:lang w:eastAsia="en-AU"/>
              </w:rPr>
            </w:pPr>
            <w:r w:rsidRPr="003D4D90">
              <w:rPr>
                <w:lang w:eastAsia="en-AU"/>
              </w:rPr>
              <w:t>2013</w:t>
            </w:r>
            <w:r w:rsidR="00276239">
              <w:rPr>
                <w:lang w:eastAsia="en-AU"/>
              </w:rPr>
              <w:noBreakHyphen/>
            </w:r>
            <w:r w:rsidRPr="003D4D90">
              <w:rPr>
                <w:lang w:eastAsia="en-AU"/>
              </w:rPr>
              <w:t>14 Estimate</w:t>
            </w:r>
          </w:p>
        </w:tc>
        <w:tc>
          <w:tcPr>
            <w:tcW w:w="883" w:type="dxa"/>
            <w:tcBorders>
              <w:top w:val="single" w:sz="4" w:space="0" w:color="auto"/>
              <w:left w:val="nil"/>
              <w:right w:val="nil"/>
            </w:tcBorders>
            <w:shd w:val="clear" w:color="auto" w:fill="000000"/>
          </w:tcPr>
          <w:p w:rsidR="0070375D" w:rsidRPr="003D4D90" w:rsidRDefault="0070375D" w:rsidP="003D4D90">
            <w:pPr>
              <w:pStyle w:val="Tabletextheading"/>
              <w:rPr>
                <w:lang w:eastAsia="en-AU"/>
              </w:rPr>
            </w:pPr>
            <w:r w:rsidRPr="003D4D90">
              <w:rPr>
                <w:lang w:eastAsia="en-AU"/>
              </w:rPr>
              <w:t>2014</w:t>
            </w:r>
            <w:r w:rsidR="00276239">
              <w:rPr>
                <w:lang w:eastAsia="en-AU"/>
              </w:rPr>
              <w:noBreakHyphen/>
            </w:r>
            <w:r w:rsidRPr="003D4D90">
              <w:rPr>
                <w:lang w:eastAsia="en-AU"/>
              </w:rPr>
              <w:t>15 Estimate</w:t>
            </w:r>
          </w:p>
        </w:tc>
        <w:tc>
          <w:tcPr>
            <w:tcW w:w="883" w:type="dxa"/>
            <w:tcBorders>
              <w:top w:val="single" w:sz="4" w:space="0" w:color="auto"/>
              <w:left w:val="nil"/>
              <w:right w:val="nil"/>
            </w:tcBorders>
            <w:shd w:val="clear" w:color="auto" w:fill="000000"/>
          </w:tcPr>
          <w:p w:rsidR="0070375D" w:rsidRPr="003D4D90" w:rsidRDefault="0070375D" w:rsidP="003D4D90">
            <w:pPr>
              <w:pStyle w:val="Tabletextheading"/>
              <w:rPr>
                <w:lang w:eastAsia="en-AU"/>
              </w:rPr>
            </w:pPr>
            <w:r w:rsidRPr="003D4D90">
              <w:rPr>
                <w:lang w:eastAsia="en-AU"/>
              </w:rPr>
              <w:t>2015</w:t>
            </w:r>
            <w:r w:rsidR="00276239">
              <w:rPr>
                <w:lang w:eastAsia="en-AU"/>
              </w:rPr>
              <w:noBreakHyphen/>
            </w:r>
            <w:r w:rsidRPr="003D4D90">
              <w:rPr>
                <w:lang w:eastAsia="en-AU"/>
              </w:rPr>
              <w:t>16 Estimate</w:t>
            </w:r>
          </w:p>
        </w:tc>
        <w:tc>
          <w:tcPr>
            <w:tcW w:w="883" w:type="dxa"/>
            <w:tcBorders>
              <w:top w:val="single" w:sz="4" w:space="0" w:color="auto"/>
              <w:left w:val="nil"/>
              <w:right w:val="single" w:sz="4" w:space="0" w:color="auto"/>
            </w:tcBorders>
            <w:shd w:val="clear" w:color="auto" w:fill="000000"/>
          </w:tcPr>
          <w:p w:rsidR="0070375D" w:rsidRPr="003D4D90" w:rsidRDefault="0070375D" w:rsidP="003D4D90">
            <w:pPr>
              <w:pStyle w:val="Tabletextheading"/>
              <w:rPr>
                <w:lang w:eastAsia="en-AU"/>
              </w:rPr>
            </w:pPr>
            <w:r w:rsidRPr="003D4D90">
              <w:rPr>
                <w:lang w:eastAsia="en-AU"/>
              </w:rPr>
              <w:t>2016</w:t>
            </w:r>
            <w:r w:rsidR="00276239">
              <w:rPr>
                <w:lang w:eastAsia="en-AU"/>
              </w:rPr>
              <w:noBreakHyphen/>
            </w:r>
            <w:r w:rsidRPr="003D4D90">
              <w:rPr>
                <w:lang w:eastAsia="en-AU"/>
              </w:rPr>
              <w:t>17 Estimate</w:t>
            </w:r>
          </w:p>
        </w:tc>
      </w:tr>
      <w:tr w:rsidR="0070375D" w:rsidRPr="003D4D90" w:rsidTr="00427B0C">
        <w:tc>
          <w:tcPr>
            <w:tcW w:w="4244" w:type="dxa"/>
            <w:tcBorders>
              <w:right w:val="nil"/>
            </w:tcBorders>
            <w:shd w:val="clear" w:color="auto" w:fill="auto"/>
          </w:tcPr>
          <w:p w:rsidR="0070375D" w:rsidRPr="003D4D90" w:rsidRDefault="0070375D" w:rsidP="003D4D90">
            <w:pPr>
              <w:pStyle w:val="Tabletext"/>
              <w:rPr>
                <w:b/>
                <w:bCs/>
                <w:color w:val="000000"/>
                <w:lang w:eastAsia="en-AU"/>
              </w:rPr>
            </w:pPr>
            <w:r w:rsidRPr="003D4D90">
              <w:rPr>
                <w:b/>
                <w:bCs/>
                <w:color w:val="000000"/>
                <w:lang w:eastAsia="en-AU"/>
              </w:rPr>
              <w:t>GSP</w:t>
            </w:r>
          </w:p>
        </w:tc>
        <w:tc>
          <w:tcPr>
            <w:tcW w:w="883" w:type="dxa"/>
            <w:tcBorders>
              <w:left w:val="nil"/>
              <w:right w:val="nil"/>
            </w:tcBorders>
            <w:shd w:val="clear" w:color="auto" w:fill="auto"/>
          </w:tcPr>
          <w:p w:rsidR="0070375D" w:rsidRPr="003D4D90" w:rsidRDefault="0070375D" w:rsidP="003D4D90">
            <w:pPr>
              <w:pStyle w:val="Tabletextheading"/>
              <w:rPr>
                <w:color w:val="000000"/>
                <w:lang w:eastAsia="en-AU"/>
              </w:rPr>
            </w:pPr>
          </w:p>
        </w:tc>
        <w:tc>
          <w:tcPr>
            <w:tcW w:w="883" w:type="dxa"/>
            <w:tcBorders>
              <w:left w:val="nil"/>
              <w:right w:val="nil"/>
            </w:tcBorders>
            <w:shd w:val="clear" w:color="auto" w:fill="auto"/>
          </w:tcPr>
          <w:p w:rsidR="0070375D" w:rsidRPr="003D4D90" w:rsidRDefault="0070375D" w:rsidP="003D4D90">
            <w:pPr>
              <w:pStyle w:val="Tabletextheading"/>
              <w:rPr>
                <w:color w:val="000000"/>
                <w:lang w:eastAsia="en-AU"/>
              </w:rPr>
            </w:pPr>
          </w:p>
        </w:tc>
        <w:tc>
          <w:tcPr>
            <w:tcW w:w="883" w:type="dxa"/>
            <w:tcBorders>
              <w:left w:val="nil"/>
              <w:right w:val="nil"/>
            </w:tcBorders>
            <w:shd w:val="clear" w:color="auto" w:fill="auto"/>
          </w:tcPr>
          <w:p w:rsidR="0070375D" w:rsidRPr="003D4D90" w:rsidRDefault="0070375D" w:rsidP="003D4D90">
            <w:pPr>
              <w:pStyle w:val="Tabletextheading"/>
              <w:rPr>
                <w:color w:val="000000"/>
                <w:lang w:eastAsia="en-AU"/>
              </w:rPr>
            </w:pPr>
          </w:p>
        </w:tc>
        <w:tc>
          <w:tcPr>
            <w:tcW w:w="883" w:type="dxa"/>
            <w:tcBorders>
              <w:left w:val="nil"/>
            </w:tcBorders>
            <w:shd w:val="clear" w:color="auto" w:fill="auto"/>
          </w:tcPr>
          <w:p w:rsidR="0070375D" w:rsidRPr="003D4D90" w:rsidRDefault="0070375D" w:rsidP="003D4D90">
            <w:pPr>
              <w:pStyle w:val="Tabletextheading"/>
              <w:rPr>
                <w:color w:val="000000"/>
                <w:lang w:eastAsia="en-AU"/>
              </w:rPr>
            </w:pPr>
          </w:p>
        </w:tc>
      </w:tr>
      <w:tr w:rsidR="0070375D" w:rsidRPr="003D4D90" w:rsidTr="00427B0C">
        <w:tc>
          <w:tcPr>
            <w:tcW w:w="4244" w:type="dxa"/>
            <w:tcBorders>
              <w:left w:val="nil"/>
              <w:bottom w:val="nil"/>
              <w:right w:val="nil"/>
            </w:tcBorders>
          </w:tcPr>
          <w:p w:rsidR="0070375D" w:rsidRPr="003D4D90" w:rsidRDefault="0070375D" w:rsidP="003D4D90">
            <w:pPr>
              <w:pStyle w:val="Tabletext"/>
              <w:rPr>
                <w:color w:val="000000"/>
                <w:lang w:eastAsia="en-AU"/>
              </w:rPr>
            </w:pPr>
            <w:r w:rsidRPr="003D4D90">
              <w:rPr>
                <w:color w:val="000000"/>
                <w:lang w:eastAsia="en-AU"/>
              </w:rPr>
              <w:t>Income from transactions</w:t>
            </w:r>
          </w:p>
        </w:tc>
        <w:tc>
          <w:tcPr>
            <w:tcW w:w="883" w:type="dxa"/>
            <w:tcBorders>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180</w:t>
            </w:r>
          </w:p>
        </w:tc>
        <w:tc>
          <w:tcPr>
            <w:tcW w:w="883" w:type="dxa"/>
            <w:tcBorders>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186</w:t>
            </w:r>
          </w:p>
        </w:tc>
        <w:tc>
          <w:tcPr>
            <w:tcW w:w="883" w:type="dxa"/>
            <w:tcBorders>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198</w:t>
            </w:r>
          </w:p>
        </w:tc>
        <w:tc>
          <w:tcPr>
            <w:tcW w:w="883" w:type="dxa"/>
            <w:tcBorders>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211</w:t>
            </w:r>
          </w:p>
        </w:tc>
      </w:tr>
      <w:tr w:rsidR="0070375D" w:rsidRPr="003D4D90" w:rsidTr="00427B0C">
        <w:tc>
          <w:tcPr>
            <w:tcW w:w="4244" w:type="dxa"/>
            <w:tcBorders>
              <w:top w:val="nil"/>
              <w:left w:val="nil"/>
              <w:bottom w:val="nil"/>
              <w:right w:val="nil"/>
            </w:tcBorders>
          </w:tcPr>
          <w:p w:rsidR="0070375D" w:rsidRPr="003D4D90" w:rsidRDefault="0070375D" w:rsidP="003D4D90">
            <w:pPr>
              <w:pStyle w:val="Tabletext"/>
              <w:rPr>
                <w:color w:val="000000"/>
                <w:lang w:eastAsia="en-AU"/>
              </w:rPr>
            </w:pPr>
            <w:r w:rsidRPr="003D4D90">
              <w:rPr>
                <w:color w:val="000000"/>
                <w:lang w:eastAsia="en-AU"/>
              </w:rPr>
              <w:t>Expenses from transactions</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8</w:t>
            </w:r>
          </w:p>
        </w:tc>
        <w:tc>
          <w:tcPr>
            <w:tcW w:w="883" w:type="dxa"/>
            <w:tcBorders>
              <w:top w:val="nil"/>
              <w:left w:val="nil"/>
              <w:bottom w:val="nil"/>
              <w:right w:val="nil"/>
            </w:tcBorders>
            <w:shd w:val="solid" w:color="FFFFFF" w:fill="auto"/>
          </w:tcPr>
          <w:p w:rsidR="0070375D" w:rsidRPr="003D4D90" w:rsidRDefault="00276239" w:rsidP="003D4D90">
            <w:pPr>
              <w:pStyle w:val="TableofFigures"/>
              <w:rPr>
                <w:color w:val="000000"/>
                <w:lang w:eastAsia="en-AU"/>
              </w:rPr>
            </w:pPr>
            <w:r>
              <w:rPr>
                <w:color w:val="000000"/>
                <w:lang w:eastAsia="en-AU"/>
              </w:rPr>
              <w:noBreakHyphen/>
            </w:r>
            <w:r w:rsidR="0070375D" w:rsidRPr="003D4D90">
              <w:rPr>
                <w:color w:val="000000"/>
                <w:lang w:eastAsia="en-AU"/>
              </w:rPr>
              <w:t>1</w:t>
            </w:r>
          </w:p>
        </w:tc>
        <w:tc>
          <w:tcPr>
            <w:tcW w:w="883" w:type="dxa"/>
            <w:tcBorders>
              <w:top w:val="nil"/>
              <w:left w:val="nil"/>
              <w:bottom w:val="nil"/>
              <w:right w:val="nil"/>
            </w:tcBorders>
            <w:shd w:val="solid" w:color="FFFFFF" w:fill="auto"/>
          </w:tcPr>
          <w:p w:rsidR="0070375D" w:rsidRPr="003D4D90" w:rsidRDefault="00276239" w:rsidP="003D4D90">
            <w:pPr>
              <w:pStyle w:val="TableofFigures"/>
              <w:rPr>
                <w:color w:val="000000"/>
                <w:lang w:eastAsia="en-AU"/>
              </w:rPr>
            </w:pPr>
            <w:r>
              <w:rPr>
                <w:color w:val="000000"/>
                <w:lang w:eastAsia="en-AU"/>
              </w:rPr>
              <w:noBreakHyphen/>
            </w:r>
            <w:r w:rsidR="0070375D" w:rsidRPr="003D4D90">
              <w:rPr>
                <w:color w:val="000000"/>
                <w:lang w:eastAsia="en-AU"/>
              </w:rPr>
              <w:t>9</w:t>
            </w:r>
          </w:p>
        </w:tc>
        <w:tc>
          <w:tcPr>
            <w:tcW w:w="883" w:type="dxa"/>
            <w:tcBorders>
              <w:top w:val="nil"/>
              <w:left w:val="nil"/>
              <w:bottom w:val="nil"/>
              <w:right w:val="nil"/>
            </w:tcBorders>
            <w:shd w:val="solid" w:color="FFFFFF" w:fill="auto"/>
          </w:tcPr>
          <w:p w:rsidR="0070375D" w:rsidRPr="003D4D90" w:rsidRDefault="00276239" w:rsidP="003D4D90">
            <w:pPr>
              <w:pStyle w:val="TableofFigures"/>
              <w:rPr>
                <w:color w:val="000000"/>
                <w:lang w:eastAsia="en-AU"/>
              </w:rPr>
            </w:pPr>
            <w:r>
              <w:rPr>
                <w:color w:val="000000"/>
                <w:lang w:eastAsia="en-AU"/>
              </w:rPr>
              <w:noBreakHyphen/>
            </w:r>
            <w:r w:rsidR="0070375D" w:rsidRPr="003D4D90">
              <w:rPr>
                <w:color w:val="000000"/>
                <w:lang w:eastAsia="en-AU"/>
              </w:rPr>
              <w:t>17</w:t>
            </w:r>
          </w:p>
        </w:tc>
      </w:tr>
      <w:tr w:rsidR="0070375D" w:rsidRPr="003D4D90" w:rsidTr="00427B0C">
        <w:tc>
          <w:tcPr>
            <w:tcW w:w="4244" w:type="dxa"/>
            <w:tcBorders>
              <w:top w:val="single" w:sz="6" w:space="0" w:color="auto"/>
              <w:left w:val="nil"/>
              <w:bottom w:val="single" w:sz="12" w:space="0" w:color="auto"/>
              <w:right w:val="nil"/>
            </w:tcBorders>
          </w:tcPr>
          <w:p w:rsidR="0070375D" w:rsidRPr="003D4D90" w:rsidRDefault="0070375D" w:rsidP="003D4D90">
            <w:pPr>
              <w:pStyle w:val="Tabletext"/>
              <w:rPr>
                <w:b/>
                <w:bCs/>
                <w:color w:val="000000"/>
                <w:lang w:eastAsia="en-AU"/>
              </w:rPr>
            </w:pPr>
            <w:r w:rsidRPr="003D4D90">
              <w:rPr>
                <w:b/>
                <w:bCs/>
                <w:color w:val="000000"/>
                <w:lang w:eastAsia="en-AU"/>
              </w:rPr>
              <w:t>Net result from transactions</w:t>
            </w:r>
          </w:p>
        </w:tc>
        <w:tc>
          <w:tcPr>
            <w:tcW w:w="883" w:type="dxa"/>
            <w:tcBorders>
              <w:top w:val="single" w:sz="6" w:space="0" w:color="auto"/>
              <w:left w:val="nil"/>
              <w:bottom w:val="single" w:sz="12" w:space="0" w:color="auto"/>
              <w:right w:val="nil"/>
            </w:tcBorders>
            <w:shd w:val="solid" w:color="FFFFFF" w:fill="auto"/>
          </w:tcPr>
          <w:p w:rsidR="0070375D" w:rsidRPr="003D4D90" w:rsidRDefault="0070375D" w:rsidP="003D4D90">
            <w:pPr>
              <w:pStyle w:val="TableofFigures"/>
              <w:rPr>
                <w:b/>
                <w:bCs/>
                <w:color w:val="000000"/>
                <w:lang w:eastAsia="en-AU"/>
              </w:rPr>
            </w:pPr>
            <w:r w:rsidRPr="003D4D90">
              <w:rPr>
                <w:b/>
                <w:bCs/>
                <w:color w:val="000000"/>
                <w:lang w:eastAsia="en-AU"/>
              </w:rPr>
              <w:t>172</w:t>
            </w:r>
          </w:p>
        </w:tc>
        <w:tc>
          <w:tcPr>
            <w:tcW w:w="883" w:type="dxa"/>
            <w:tcBorders>
              <w:top w:val="single" w:sz="6" w:space="0" w:color="auto"/>
              <w:left w:val="nil"/>
              <w:bottom w:val="single" w:sz="12" w:space="0" w:color="auto"/>
              <w:right w:val="nil"/>
            </w:tcBorders>
            <w:shd w:val="solid" w:color="FFFFFF" w:fill="auto"/>
          </w:tcPr>
          <w:p w:rsidR="0070375D" w:rsidRPr="003D4D90" w:rsidRDefault="0070375D" w:rsidP="003D4D90">
            <w:pPr>
              <w:pStyle w:val="TableofFigures"/>
              <w:rPr>
                <w:b/>
                <w:bCs/>
                <w:color w:val="000000"/>
                <w:lang w:eastAsia="en-AU"/>
              </w:rPr>
            </w:pPr>
            <w:r w:rsidRPr="003D4D90">
              <w:rPr>
                <w:b/>
                <w:bCs/>
                <w:color w:val="000000"/>
                <w:lang w:eastAsia="en-AU"/>
              </w:rPr>
              <w:t>187</w:t>
            </w:r>
          </w:p>
        </w:tc>
        <w:tc>
          <w:tcPr>
            <w:tcW w:w="883" w:type="dxa"/>
            <w:tcBorders>
              <w:top w:val="single" w:sz="6" w:space="0" w:color="auto"/>
              <w:left w:val="nil"/>
              <w:bottom w:val="single" w:sz="12" w:space="0" w:color="auto"/>
              <w:right w:val="nil"/>
            </w:tcBorders>
            <w:shd w:val="solid" w:color="FFFFFF" w:fill="auto"/>
          </w:tcPr>
          <w:p w:rsidR="0070375D" w:rsidRPr="003D4D90" w:rsidRDefault="0070375D" w:rsidP="003D4D90">
            <w:pPr>
              <w:pStyle w:val="TableofFigures"/>
              <w:rPr>
                <w:b/>
                <w:bCs/>
                <w:color w:val="000000"/>
                <w:lang w:eastAsia="en-AU"/>
              </w:rPr>
            </w:pPr>
            <w:r w:rsidRPr="003D4D90">
              <w:rPr>
                <w:b/>
                <w:bCs/>
                <w:color w:val="000000"/>
                <w:lang w:eastAsia="en-AU"/>
              </w:rPr>
              <w:t>206</w:t>
            </w:r>
          </w:p>
        </w:tc>
        <w:tc>
          <w:tcPr>
            <w:tcW w:w="883" w:type="dxa"/>
            <w:tcBorders>
              <w:top w:val="single" w:sz="6" w:space="0" w:color="auto"/>
              <w:left w:val="nil"/>
              <w:bottom w:val="single" w:sz="12" w:space="0" w:color="auto"/>
              <w:right w:val="nil"/>
            </w:tcBorders>
            <w:shd w:val="solid" w:color="FFFFFF" w:fill="auto"/>
          </w:tcPr>
          <w:p w:rsidR="0070375D" w:rsidRPr="003D4D90" w:rsidRDefault="0070375D" w:rsidP="003D4D90">
            <w:pPr>
              <w:pStyle w:val="TableofFigures"/>
              <w:rPr>
                <w:b/>
                <w:bCs/>
                <w:color w:val="000000"/>
                <w:lang w:eastAsia="en-AU"/>
              </w:rPr>
            </w:pPr>
            <w:r w:rsidRPr="003D4D90">
              <w:rPr>
                <w:b/>
                <w:bCs/>
                <w:color w:val="000000"/>
                <w:lang w:eastAsia="en-AU"/>
              </w:rPr>
              <w:t>228</w:t>
            </w:r>
          </w:p>
        </w:tc>
      </w:tr>
      <w:tr w:rsidR="0070375D" w:rsidRPr="003D4D90" w:rsidTr="00427B0C">
        <w:tc>
          <w:tcPr>
            <w:tcW w:w="4244" w:type="dxa"/>
            <w:tcBorders>
              <w:top w:val="nil"/>
              <w:left w:val="nil"/>
              <w:bottom w:val="nil"/>
              <w:right w:val="nil"/>
            </w:tcBorders>
          </w:tcPr>
          <w:p w:rsidR="0070375D" w:rsidRPr="003D4D90" w:rsidRDefault="0070375D" w:rsidP="003D4D90">
            <w:pPr>
              <w:pStyle w:val="Tabletext"/>
              <w:rPr>
                <w:b/>
                <w:bCs/>
                <w:color w:val="000000"/>
                <w:lang w:eastAsia="en-AU"/>
              </w:rPr>
            </w:pPr>
            <w:r w:rsidRPr="003D4D90">
              <w:rPr>
                <w:b/>
                <w:bCs/>
                <w:color w:val="000000"/>
                <w:lang w:eastAsia="en-AU"/>
              </w:rPr>
              <w:t>Employment</w:t>
            </w:r>
          </w:p>
        </w:tc>
        <w:tc>
          <w:tcPr>
            <w:tcW w:w="883" w:type="dxa"/>
            <w:tcBorders>
              <w:top w:val="nil"/>
              <w:left w:val="nil"/>
              <w:bottom w:val="nil"/>
              <w:right w:val="nil"/>
            </w:tcBorders>
          </w:tcPr>
          <w:p w:rsidR="0070375D" w:rsidRPr="003D4D90" w:rsidRDefault="0070375D" w:rsidP="003D4D90">
            <w:pPr>
              <w:pStyle w:val="TableofFigures"/>
              <w:rPr>
                <w:color w:val="000000"/>
                <w:lang w:eastAsia="en-AU"/>
              </w:rPr>
            </w:pPr>
          </w:p>
        </w:tc>
        <w:tc>
          <w:tcPr>
            <w:tcW w:w="883" w:type="dxa"/>
            <w:tcBorders>
              <w:top w:val="nil"/>
              <w:left w:val="nil"/>
              <w:bottom w:val="nil"/>
              <w:right w:val="nil"/>
            </w:tcBorders>
          </w:tcPr>
          <w:p w:rsidR="0070375D" w:rsidRPr="003D4D90" w:rsidRDefault="0070375D" w:rsidP="003D4D90">
            <w:pPr>
              <w:pStyle w:val="TableofFigures"/>
              <w:rPr>
                <w:color w:val="000000"/>
                <w:lang w:eastAsia="en-AU"/>
              </w:rPr>
            </w:pPr>
          </w:p>
        </w:tc>
        <w:tc>
          <w:tcPr>
            <w:tcW w:w="883" w:type="dxa"/>
            <w:tcBorders>
              <w:top w:val="nil"/>
              <w:left w:val="nil"/>
              <w:bottom w:val="nil"/>
              <w:right w:val="nil"/>
            </w:tcBorders>
          </w:tcPr>
          <w:p w:rsidR="0070375D" w:rsidRPr="003D4D90" w:rsidRDefault="0070375D" w:rsidP="003D4D90">
            <w:pPr>
              <w:pStyle w:val="TableofFigures"/>
              <w:rPr>
                <w:color w:val="000000"/>
                <w:lang w:eastAsia="en-AU"/>
              </w:rPr>
            </w:pPr>
          </w:p>
        </w:tc>
        <w:tc>
          <w:tcPr>
            <w:tcW w:w="883" w:type="dxa"/>
            <w:tcBorders>
              <w:top w:val="nil"/>
              <w:left w:val="nil"/>
              <w:bottom w:val="nil"/>
              <w:right w:val="nil"/>
            </w:tcBorders>
          </w:tcPr>
          <w:p w:rsidR="0070375D" w:rsidRPr="003D4D90" w:rsidRDefault="0070375D" w:rsidP="003D4D90">
            <w:pPr>
              <w:pStyle w:val="TableofFigures"/>
              <w:rPr>
                <w:color w:val="000000"/>
                <w:lang w:eastAsia="en-AU"/>
              </w:rPr>
            </w:pPr>
          </w:p>
        </w:tc>
      </w:tr>
      <w:tr w:rsidR="0070375D" w:rsidRPr="003D4D90" w:rsidTr="00427B0C">
        <w:tc>
          <w:tcPr>
            <w:tcW w:w="4244" w:type="dxa"/>
            <w:tcBorders>
              <w:top w:val="nil"/>
              <w:left w:val="nil"/>
              <w:bottom w:val="nil"/>
              <w:right w:val="nil"/>
            </w:tcBorders>
          </w:tcPr>
          <w:p w:rsidR="0070375D" w:rsidRPr="003D4D90" w:rsidRDefault="0070375D" w:rsidP="003D4D90">
            <w:pPr>
              <w:pStyle w:val="Tabletext"/>
              <w:rPr>
                <w:color w:val="000000"/>
                <w:lang w:eastAsia="en-AU"/>
              </w:rPr>
            </w:pPr>
            <w:r w:rsidRPr="003D4D90">
              <w:rPr>
                <w:color w:val="000000"/>
                <w:lang w:eastAsia="en-AU"/>
              </w:rPr>
              <w:t>Income from transactions</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51</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54</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57</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60</w:t>
            </w:r>
          </w:p>
        </w:tc>
      </w:tr>
      <w:tr w:rsidR="0070375D" w:rsidRPr="003D4D90" w:rsidTr="00427B0C">
        <w:tc>
          <w:tcPr>
            <w:tcW w:w="4244" w:type="dxa"/>
            <w:tcBorders>
              <w:top w:val="nil"/>
              <w:left w:val="nil"/>
              <w:bottom w:val="nil"/>
              <w:right w:val="nil"/>
            </w:tcBorders>
          </w:tcPr>
          <w:p w:rsidR="0070375D" w:rsidRPr="003D4D90" w:rsidRDefault="0070375D" w:rsidP="003D4D90">
            <w:pPr>
              <w:pStyle w:val="Tabletext"/>
              <w:rPr>
                <w:color w:val="000000"/>
                <w:lang w:eastAsia="en-AU"/>
              </w:rPr>
            </w:pPr>
            <w:r w:rsidRPr="003D4D90">
              <w:rPr>
                <w:color w:val="000000"/>
                <w:lang w:eastAsia="en-AU"/>
              </w:rPr>
              <w:t>Expenses from transactions</w:t>
            </w:r>
          </w:p>
        </w:tc>
        <w:tc>
          <w:tcPr>
            <w:tcW w:w="883" w:type="dxa"/>
            <w:tcBorders>
              <w:top w:val="nil"/>
              <w:left w:val="nil"/>
              <w:bottom w:val="nil"/>
              <w:right w:val="nil"/>
            </w:tcBorders>
            <w:shd w:val="solid" w:color="FFFFFF" w:fill="auto"/>
          </w:tcPr>
          <w:p w:rsidR="0070375D" w:rsidRPr="003D4D90" w:rsidRDefault="00276239" w:rsidP="003D4D90">
            <w:pPr>
              <w:pStyle w:val="TableofFigures"/>
              <w:rPr>
                <w:color w:val="000000"/>
                <w:lang w:eastAsia="en-AU"/>
              </w:rPr>
            </w:pPr>
            <w:r>
              <w:rPr>
                <w:color w:val="000000"/>
                <w:lang w:eastAsia="en-AU"/>
              </w:rPr>
              <w:noBreakHyphen/>
            </w:r>
            <w:r w:rsidR="0070375D" w:rsidRPr="003D4D90">
              <w:rPr>
                <w:color w:val="000000"/>
                <w:lang w:eastAsia="en-AU"/>
              </w:rPr>
              <w:t>1</w:t>
            </w:r>
          </w:p>
        </w:tc>
        <w:tc>
          <w:tcPr>
            <w:tcW w:w="883" w:type="dxa"/>
            <w:tcBorders>
              <w:top w:val="nil"/>
              <w:left w:val="nil"/>
              <w:bottom w:val="nil"/>
              <w:right w:val="nil"/>
            </w:tcBorders>
            <w:shd w:val="solid" w:color="FFFFFF" w:fill="auto"/>
          </w:tcPr>
          <w:p w:rsidR="0070375D" w:rsidRPr="003D4D90" w:rsidRDefault="00276239" w:rsidP="003D4D90">
            <w:pPr>
              <w:pStyle w:val="TableofFigures"/>
              <w:rPr>
                <w:color w:val="000000"/>
                <w:lang w:eastAsia="en-AU"/>
              </w:rPr>
            </w:pPr>
            <w:r>
              <w:rPr>
                <w:color w:val="000000"/>
                <w:lang w:eastAsia="en-AU"/>
              </w:rPr>
              <w:noBreakHyphen/>
            </w:r>
            <w:r w:rsidR="0070375D" w:rsidRPr="003D4D90">
              <w:rPr>
                <w:color w:val="000000"/>
                <w:lang w:eastAsia="en-AU"/>
              </w:rPr>
              <w:t>4</w:t>
            </w:r>
          </w:p>
        </w:tc>
        <w:tc>
          <w:tcPr>
            <w:tcW w:w="883" w:type="dxa"/>
            <w:tcBorders>
              <w:top w:val="nil"/>
              <w:left w:val="nil"/>
              <w:bottom w:val="nil"/>
              <w:right w:val="nil"/>
            </w:tcBorders>
            <w:shd w:val="solid" w:color="FFFFFF" w:fill="auto"/>
          </w:tcPr>
          <w:p w:rsidR="0070375D" w:rsidRPr="003D4D90" w:rsidRDefault="00276239" w:rsidP="003D4D90">
            <w:pPr>
              <w:pStyle w:val="TableofFigures"/>
              <w:rPr>
                <w:color w:val="000000"/>
                <w:lang w:eastAsia="en-AU"/>
              </w:rPr>
            </w:pPr>
            <w:r>
              <w:rPr>
                <w:color w:val="000000"/>
                <w:lang w:eastAsia="en-AU"/>
              </w:rPr>
              <w:noBreakHyphen/>
            </w:r>
            <w:r w:rsidR="0070375D" w:rsidRPr="003D4D90">
              <w:rPr>
                <w:color w:val="000000"/>
                <w:lang w:eastAsia="en-AU"/>
              </w:rPr>
              <w:t>7</w:t>
            </w:r>
          </w:p>
        </w:tc>
        <w:tc>
          <w:tcPr>
            <w:tcW w:w="883" w:type="dxa"/>
            <w:tcBorders>
              <w:top w:val="nil"/>
              <w:left w:val="nil"/>
              <w:bottom w:val="nil"/>
              <w:right w:val="nil"/>
            </w:tcBorders>
            <w:shd w:val="solid" w:color="FFFFFF" w:fill="auto"/>
          </w:tcPr>
          <w:p w:rsidR="0070375D" w:rsidRPr="003D4D90" w:rsidRDefault="00276239" w:rsidP="003D4D90">
            <w:pPr>
              <w:pStyle w:val="TableofFigures"/>
              <w:rPr>
                <w:color w:val="000000"/>
                <w:lang w:eastAsia="en-AU"/>
              </w:rPr>
            </w:pPr>
            <w:r>
              <w:rPr>
                <w:color w:val="000000"/>
                <w:lang w:eastAsia="en-AU"/>
              </w:rPr>
              <w:noBreakHyphen/>
            </w:r>
            <w:r w:rsidR="0070375D" w:rsidRPr="003D4D90">
              <w:rPr>
                <w:color w:val="000000"/>
                <w:lang w:eastAsia="en-AU"/>
              </w:rPr>
              <w:t>9</w:t>
            </w:r>
          </w:p>
        </w:tc>
      </w:tr>
      <w:tr w:rsidR="0070375D" w:rsidRPr="003D4D90" w:rsidTr="00427B0C">
        <w:tc>
          <w:tcPr>
            <w:tcW w:w="4244" w:type="dxa"/>
            <w:tcBorders>
              <w:top w:val="single" w:sz="6" w:space="0" w:color="auto"/>
              <w:left w:val="nil"/>
              <w:bottom w:val="single" w:sz="12" w:space="0" w:color="auto"/>
              <w:right w:val="nil"/>
            </w:tcBorders>
          </w:tcPr>
          <w:p w:rsidR="0070375D" w:rsidRPr="003D4D90" w:rsidRDefault="0070375D" w:rsidP="003D4D90">
            <w:pPr>
              <w:pStyle w:val="Tabletext"/>
              <w:rPr>
                <w:b/>
                <w:bCs/>
                <w:color w:val="000000"/>
                <w:lang w:eastAsia="en-AU"/>
              </w:rPr>
            </w:pPr>
            <w:r w:rsidRPr="003D4D90">
              <w:rPr>
                <w:b/>
                <w:bCs/>
                <w:color w:val="000000"/>
                <w:lang w:eastAsia="en-AU"/>
              </w:rPr>
              <w:t>Net result from transactions</w:t>
            </w:r>
          </w:p>
        </w:tc>
        <w:tc>
          <w:tcPr>
            <w:tcW w:w="883" w:type="dxa"/>
            <w:tcBorders>
              <w:top w:val="single" w:sz="6" w:space="0" w:color="auto"/>
              <w:left w:val="nil"/>
              <w:bottom w:val="single" w:sz="12" w:space="0" w:color="auto"/>
              <w:right w:val="nil"/>
            </w:tcBorders>
            <w:shd w:val="solid" w:color="FFFFFF" w:fill="auto"/>
          </w:tcPr>
          <w:p w:rsidR="0070375D" w:rsidRPr="003D4D90" w:rsidRDefault="0070375D" w:rsidP="003D4D90">
            <w:pPr>
              <w:pStyle w:val="TableofFigures"/>
              <w:rPr>
                <w:b/>
                <w:bCs/>
                <w:color w:val="000000"/>
                <w:lang w:eastAsia="en-AU"/>
              </w:rPr>
            </w:pPr>
            <w:r w:rsidRPr="003D4D90">
              <w:rPr>
                <w:b/>
                <w:bCs/>
                <w:color w:val="000000"/>
                <w:lang w:eastAsia="en-AU"/>
              </w:rPr>
              <w:t>52</w:t>
            </w:r>
          </w:p>
        </w:tc>
        <w:tc>
          <w:tcPr>
            <w:tcW w:w="883" w:type="dxa"/>
            <w:tcBorders>
              <w:top w:val="single" w:sz="6" w:space="0" w:color="auto"/>
              <w:left w:val="nil"/>
              <w:bottom w:val="single" w:sz="12" w:space="0" w:color="auto"/>
              <w:right w:val="nil"/>
            </w:tcBorders>
            <w:shd w:val="solid" w:color="FFFFFF" w:fill="auto"/>
          </w:tcPr>
          <w:p w:rsidR="0070375D" w:rsidRPr="003D4D90" w:rsidRDefault="0070375D" w:rsidP="003D4D90">
            <w:pPr>
              <w:pStyle w:val="TableofFigures"/>
              <w:rPr>
                <w:b/>
                <w:bCs/>
                <w:color w:val="000000"/>
                <w:lang w:eastAsia="en-AU"/>
              </w:rPr>
            </w:pPr>
            <w:r w:rsidRPr="003D4D90">
              <w:rPr>
                <w:b/>
                <w:bCs/>
                <w:color w:val="000000"/>
                <w:lang w:eastAsia="en-AU"/>
              </w:rPr>
              <w:t>58</w:t>
            </w:r>
          </w:p>
        </w:tc>
        <w:tc>
          <w:tcPr>
            <w:tcW w:w="883" w:type="dxa"/>
            <w:tcBorders>
              <w:top w:val="single" w:sz="6" w:space="0" w:color="auto"/>
              <w:left w:val="nil"/>
              <w:bottom w:val="single" w:sz="12" w:space="0" w:color="auto"/>
              <w:right w:val="nil"/>
            </w:tcBorders>
            <w:shd w:val="solid" w:color="FFFFFF" w:fill="auto"/>
          </w:tcPr>
          <w:p w:rsidR="0070375D" w:rsidRPr="003D4D90" w:rsidRDefault="0070375D" w:rsidP="003D4D90">
            <w:pPr>
              <w:pStyle w:val="TableofFigures"/>
              <w:rPr>
                <w:b/>
                <w:bCs/>
                <w:color w:val="000000"/>
                <w:lang w:eastAsia="en-AU"/>
              </w:rPr>
            </w:pPr>
            <w:r w:rsidRPr="003D4D90">
              <w:rPr>
                <w:b/>
                <w:bCs/>
                <w:color w:val="000000"/>
                <w:lang w:eastAsia="en-AU"/>
              </w:rPr>
              <w:t>64</w:t>
            </w:r>
          </w:p>
        </w:tc>
        <w:tc>
          <w:tcPr>
            <w:tcW w:w="883" w:type="dxa"/>
            <w:tcBorders>
              <w:top w:val="single" w:sz="6" w:space="0" w:color="auto"/>
              <w:left w:val="nil"/>
              <w:bottom w:val="single" w:sz="12" w:space="0" w:color="auto"/>
              <w:right w:val="nil"/>
            </w:tcBorders>
            <w:shd w:val="solid" w:color="FFFFFF" w:fill="auto"/>
          </w:tcPr>
          <w:p w:rsidR="0070375D" w:rsidRPr="003D4D90" w:rsidRDefault="0070375D" w:rsidP="003D4D90">
            <w:pPr>
              <w:pStyle w:val="TableofFigures"/>
              <w:rPr>
                <w:b/>
                <w:bCs/>
                <w:color w:val="000000"/>
                <w:lang w:eastAsia="en-AU"/>
              </w:rPr>
            </w:pPr>
            <w:r w:rsidRPr="003D4D90">
              <w:rPr>
                <w:b/>
                <w:bCs/>
                <w:color w:val="000000"/>
                <w:lang w:eastAsia="en-AU"/>
              </w:rPr>
              <w:t>70</w:t>
            </w:r>
          </w:p>
        </w:tc>
      </w:tr>
      <w:tr w:rsidR="0070375D" w:rsidRPr="003D4D90" w:rsidTr="00427B0C">
        <w:tc>
          <w:tcPr>
            <w:tcW w:w="4244" w:type="dxa"/>
            <w:tcBorders>
              <w:top w:val="nil"/>
              <w:left w:val="nil"/>
              <w:bottom w:val="nil"/>
              <w:right w:val="nil"/>
            </w:tcBorders>
          </w:tcPr>
          <w:p w:rsidR="0070375D" w:rsidRPr="003D4D90" w:rsidRDefault="0070375D" w:rsidP="003D4D90">
            <w:pPr>
              <w:pStyle w:val="Tabletext"/>
              <w:rPr>
                <w:b/>
                <w:bCs/>
                <w:color w:val="000000"/>
                <w:vertAlign w:val="superscript"/>
                <w:lang w:eastAsia="en-AU"/>
              </w:rPr>
            </w:pPr>
            <w:r w:rsidRPr="003D4D90">
              <w:rPr>
                <w:b/>
                <w:bCs/>
                <w:color w:val="000000"/>
                <w:lang w:eastAsia="en-AU"/>
              </w:rPr>
              <w:t xml:space="preserve">Consumer prices </w:t>
            </w:r>
            <w:r w:rsidRPr="003D4D90">
              <w:rPr>
                <w:b/>
                <w:bCs/>
                <w:color w:val="000000"/>
                <w:vertAlign w:val="superscript"/>
                <w:lang w:eastAsia="en-AU"/>
              </w:rPr>
              <w:t>(d)</w:t>
            </w:r>
          </w:p>
        </w:tc>
        <w:tc>
          <w:tcPr>
            <w:tcW w:w="883" w:type="dxa"/>
            <w:tcBorders>
              <w:top w:val="nil"/>
              <w:left w:val="nil"/>
              <w:bottom w:val="nil"/>
              <w:right w:val="nil"/>
            </w:tcBorders>
          </w:tcPr>
          <w:p w:rsidR="0070375D" w:rsidRPr="003D4D90" w:rsidRDefault="0070375D" w:rsidP="003D4D90">
            <w:pPr>
              <w:pStyle w:val="TableofFigures"/>
              <w:rPr>
                <w:color w:val="000000"/>
                <w:lang w:eastAsia="en-AU"/>
              </w:rPr>
            </w:pPr>
          </w:p>
        </w:tc>
        <w:tc>
          <w:tcPr>
            <w:tcW w:w="883" w:type="dxa"/>
            <w:tcBorders>
              <w:top w:val="nil"/>
              <w:left w:val="nil"/>
              <w:bottom w:val="nil"/>
              <w:right w:val="nil"/>
            </w:tcBorders>
          </w:tcPr>
          <w:p w:rsidR="0070375D" w:rsidRPr="003D4D90" w:rsidRDefault="0070375D" w:rsidP="003D4D90">
            <w:pPr>
              <w:pStyle w:val="TableofFigures"/>
              <w:rPr>
                <w:color w:val="000000"/>
                <w:lang w:eastAsia="en-AU"/>
              </w:rPr>
            </w:pPr>
          </w:p>
        </w:tc>
        <w:tc>
          <w:tcPr>
            <w:tcW w:w="883" w:type="dxa"/>
            <w:tcBorders>
              <w:top w:val="nil"/>
              <w:left w:val="nil"/>
              <w:bottom w:val="nil"/>
              <w:right w:val="nil"/>
            </w:tcBorders>
          </w:tcPr>
          <w:p w:rsidR="0070375D" w:rsidRPr="003D4D90" w:rsidRDefault="0070375D" w:rsidP="003D4D90">
            <w:pPr>
              <w:pStyle w:val="TableofFigures"/>
              <w:rPr>
                <w:color w:val="000000"/>
                <w:lang w:eastAsia="en-AU"/>
              </w:rPr>
            </w:pPr>
          </w:p>
        </w:tc>
        <w:tc>
          <w:tcPr>
            <w:tcW w:w="883" w:type="dxa"/>
            <w:tcBorders>
              <w:top w:val="nil"/>
              <w:left w:val="nil"/>
              <w:bottom w:val="nil"/>
              <w:right w:val="nil"/>
            </w:tcBorders>
          </w:tcPr>
          <w:p w:rsidR="0070375D" w:rsidRPr="003D4D90" w:rsidRDefault="0070375D" w:rsidP="003D4D90">
            <w:pPr>
              <w:pStyle w:val="TableofFigures"/>
              <w:rPr>
                <w:color w:val="000000"/>
                <w:lang w:eastAsia="en-AU"/>
              </w:rPr>
            </w:pPr>
          </w:p>
        </w:tc>
      </w:tr>
      <w:tr w:rsidR="0070375D" w:rsidRPr="003D4D90" w:rsidTr="00427B0C">
        <w:tc>
          <w:tcPr>
            <w:tcW w:w="4244" w:type="dxa"/>
            <w:tcBorders>
              <w:top w:val="nil"/>
              <w:left w:val="nil"/>
              <w:bottom w:val="nil"/>
              <w:right w:val="nil"/>
            </w:tcBorders>
          </w:tcPr>
          <w:p w:rsidR="0070375D" w:rsidRPr="003D4D90" w:rsidRDefault="0070375D" w:rsidP="003D4D90">
            <w:pPr>
              <w:pStyle w:val="Tabletext"/>
              <w:rPr>
                <w:color w:val="000000"/>
                <w:lang w:eastAsia="en-AU"/>
              </w:rPr>
            </w:pPr>
            <w:r w:rsidRPr="003D4D90">
              <w:rPr>
                <w:color w:val="000000"/>
                <w:lang w:eastAsia="en-AU"/>
              </w:rPr>
              <w:t>Income from transactions</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303</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314</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331</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348</w:t>
            </w:r>
          </w:p>
        </w:tc>
      </w:tr>
      <w:tr w:rsidR="0070375D" w:rsidRPr="003D4D90" w:rsidTr="00427B0C">
        <w:tc>
          <w:tcPr>
            <w:tcW w:w="4244" w:type="dxa"/>
            <w:tcBorders>
              <w:top w:val="nil"/>
              <w:left w:val="nil"/>
              <w:bottom w:val="nil"/>
              <w:right w:val="nil"/>
            </w:tcBorders>
          </w:tcPr>
          <w:p w:rsidR="0070375D" w:rsidRPr="003D4D90" w:rsidRDefault="0070375D" w:rsidP="003D4D90">
            <w:pPr>
              <w:pStyle w:val="Tabletext"/>
              <w:rPr>
                <w:color w:val="000000"/>
                <w:lang w:eastAsia="en-AU"/>
              </w:rPr>
            </w:pPr>
            <w:r w:rsidRPr="003D4D90">
              <w:rPr>
                <w:color w:val="000000"/>
                <w:lang w:eastAsia="en-AU"/>
              </w:rPr>
              <w:t>Expenses from transactions</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62</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62</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53</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40</w:t>
            </w:r>
          </w:p>
        </w:tc>
      </w:tr>
      <w:tr w:rsidR="0070375D" w:rsidRPr="003D4D90" w:rsidTr="00427B0C">
        <w:tc>
          <w:tcPr>
            <w:tcW w:w="4244" w:type="dxa"/>
            <w:tcBorders>
              <w:top w:val="single" w:sz="6" w:space="0" w:color="auto"/>
              <w:left w:val="nil"/>
              <w:bottom w:val="single" w:sz="6" w:space="0" w:color="auto"/>
              <w:right w:val="nil"/>
            </w:tcBorders>
          </w:tcPr>
          <w:p w:rsidR="0070375D" w:rsidRPr="003D4D90" w:rsidRDefault="0070375D" w:rsidP="003D4D90">
            <w:pPr>
              <w:pStyle w:val="Tabletext"/>
              <w:rPr>
                <w:b/>
                <w:bCs/>
                <w:color w:val="000000"/>
                <w:lang w:eastAsia="en-AU"/>
              </w:rPr>
            </w:pPr>
            <w:r w:rsidRPr="003D4D90">
              <w:rPr>
                <w:b/>
                <w:bCs/>
                <w:color w:val="000000"/>
                <w:lang w:eastAsia="en-AU"/>
              </w:rPr>
              <w:t>Net result from transactions</w:t>
            </w:r>
          </w:p>
        </w:tc>
        <w:tc>
          <w:tcPr>
            <w:tcW w:w="883" w:type="dxa"/>
            <w:tcBorders>
              <w:top w:val="single" w:sz="6" w:space="0" w:color="auto"/>
              <w:left w:val="nil"/>
              <w:bottom w:val="single" w:sz="6" w:space="0" w:color="auto"/>
              <w:right w:val="nil"/>
            </w:tcBorders>
            <w:shd w:val="solid" w:color="FFFFFF" w:fill="auto"/>
          </w:tcPr>
          <w:p w:rsidR="0070375D" w:rsidRPr="003D4D90" w:rsidRDefault="0070375D" w:rsidP="003D4D90">
            <w:pPr>
              <w:pStyle w:val="TableofFigures"/>
              <w:rPr>
                <w:b/>
                <w:bCs/>
                <w:color w:val="000000"/>
                <w:lang w:eastAsia="en-AU"/>
              </w:rPr>
            </w:pPr>
            <w:r w:rsidRPr="003D4D90">
              <w:rPr>
                <w:b/>
                <w:bCs/>
                <w:color w:val="000000"/>
                <w:lang w:eastAsia="en-AU"/>
              </w:rPr>
              <w:t>241</w:t>
            </w:r>
          </w:p>
        </w:tc>
        <w:tc>
          <w:tcPr>
            <w:tcW w:w="883" w:type="dxa"/>
            <w:tcBorders>
              <w:top w:val="single" w:sz="6" w:space="0" w:color="auto"/>
              <w:left w:val="nil"/>
              <w:bottom w:val="single" w:sz="6" w:space="0" w:color="auto"/>
              <w:right w:val="nil"/>
            </w:tcBorders>
            <w:shd w:val="solid" w:color="FFFFFF" w:fill="auto"/>
          </w:tcPr>
          <w:p w:rsidR="0070375D" w:rsidRPr="003D4D90" w:rsidRDefault="0070375D" w:rsidP="003D4D90">
            <w:pPr>
              <w:pStyle w:val="TableofFigures"/>
              <w:rPr>
                <w:b/>
                <w:bCs/>
                <w:color w:val="000000"/>
                <w:lang w:eastAsia="en-AU"/>
              </w:rPr>
            </w:pPr>
            <w:r w:rsidRPr="003D4D90">
              <w:rPr>
                <w:b/>
                <w:bCs/>
                <w:color w:val="000000"/>
                <w:lang w:eastAsia="en-AU"/>
              </w:rPr>
              <w:t>252</w:t>
            </w:r>
          </w:p>
        </w:tc>
        <w:tc>
          <w:tcPr>
            <w:tcW w:w="883" w:type="dxa"/>
            <w:tcBorders>
              <w:top w:val="single" w:sz="6" w:space="0" w:color="auto"/>
              <w:left w:val="nil"/>
              <w:bottom w:val="single" w:sz="6" w:space="0" w:color="auto"/>
              <w:right w:val="nil"/>
            </w:tcBorders>
            <w:shd w:val="solid" w:color="FFFFFF" w:fill="auto"/>
          </w:tcPr>
          <w:p w:rsidR="0070375D" w:rsidRPr="003D4D90" w:rsidRDefault="0070375D" w:rsidP="003D4D90">
            <w:pPr>
              <w:pStyle w:val="TableofFigures"/>
              <w:rPr>
                <w:b/>
                <w:bCs/>
                <w:color w:val="000000"/>
                <w:lang w:eastAsia="en-AU"/>
              </w:rPr>
            </w:pPr>
            <w:r w:rsidRPr="003D4D90">
              <w:rPr>
                <w:b/>
                <w:bCs/>
                <w:color w:val="000000"/>
                <w:lang w:eastAsia="en-AU"/>
              </w:rPr>
              <w:t>279</w:t>
            </w:r>
          </w:p>
        </w:tc>
        <w:tc>
          <w:tcPr>
            <w:tcW w:w="883" w:type="dxa"/>
            <w:tcBorders>
              <w:top w:val="single" w:sz="6" w:space="0" w:color="auto"/>
              <w:left w:val="nil"/>
              <w:bottom w:val="single" w:sz="6" w:space="0" w:color="auto"/>
              <w:right w:val="nil"/>
            </w:tcBorders>
            <w:shd w:val="solid" w:color="FFFFFF" w:fill="auto"/>
          </w:tcPr>
          <w:p w:rsidR="0070375D" w:rsidRPr="003D4D90" w:rsidRDefault="0070375D" w:rsidP="003D4D90">
            <w:pPr>
              <w:pStyle w:val="TableofFigures"/>
              <w:rPr>
                <w:b/>
                <w:bCs/>
                <w:color w:val="000000"/>
                <w:lang w:eastAsia="en-AU"/>
              </w:rPr>
            </w:pPr>
            <w:r w:rsidRPr="003D4D90">
              <w:rPr>
                <w:b/>
                <w:bCs/>
                <w:color w:val="000000"/>
                <w:lang w:eastAsia="en-AU"/>
              </w:rPr>
              <w:t>308</w:t>
            </w:r>
          </w:p>
        </w:tc>
      </w:tr>
      <w:tr w:rsidR="0070375D" w:rsidRPr="003D4D90" w:rsidTr="00427B0C">
        <w:tc>
          <w:tcPr>
            <w:tcW w:w="4244" w:type="dxa"/>
            <w:tcBorders>
              <w:top w:val="nil"/>
              <w:left w:val="nil"/>
              <w:bottom w:val="nil"/>
              <w:right w:val="nil"/>
            </w:tcBorders>
          </w:tcPr>
          <w:p w:rsidR="0070375D" w:rsidRPr="003D4D90" w:rsidRDefault="0070375D" w:rsidP="003D4D90">
            <w:pPr>
              <w:pStyle w:val="Tabletext"/>
              <w:rPr>
                <w:color w:val="000000"/>
                <w:lang w:eastAsia="en-AU"/>
              </w:rPr>
            </w:pPr>
            <w:r w:rsidRPr="003D4D90">
              <w:rPr>
                <w:color w:val="000000"/>
                <w:lang w:eastAsia="en-AU"/>
              </w:rPr>
              <w:t>Other economic flows</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1</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1</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1</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1</w:t>
            </w:r>
          </w:p>
        </w:tc>
      </w:tr>
      <w:tr w:rsidR="0070375D" w:rsidRPr="003D4D90" w:rsidTr="00427B0C">
        <w:tc>
          <w:tcPr>
            <w:tcW w:w="4244" w:type="dxa"/>
            <w:tcBorders>
              <w:top w:val="single" w:sz="6" w:space="0" w:color="auto"/>
              <w:left w:val="nil"/>
              <w:bottom w:val="single" w:sz="12" w:space="0" w:color="auto"/>
              <w:right w:val="nil"/>
            </w:tcBorders>
          </w:tcPr>
          <w:p w:rsidR="0070375D" w:rsidRPr="003D4D90" w:rsidRDefault="0070375D" w:rsidP="003D4D90">
            <w:pPr>
              <w:pStyle w:val="Tabletext"/>
              <w:rPr>
                <w:b/>
                <w:bCs/>
                <w:color w:val="000000"/>
                <w:lang w:eastAsia="en-AU"/>
              </w:rPr>
            </w:pPr>
            <w:r w:rsidRPr="003D4D90">
              <w:rPr>
                <w:b/>
                <w:bCs/>
                <w:color w:val="000000"/>
                <w:lang w:eastAsia="en-AU"/>
              </w:rPr>
              <w:t>Net result</w:t>
            </w:r>
          </w:p>
        </w:tc>
        <w:tc>
          <w:tcPr>
            <w:tcW w:w="883" w:type="dxa"/>
            <w:tcBorders>
              <w:top w:val="single" w:sz="6" w:space="0" w:color="auto"/>
              <w:left w:val="nil"/>
              <w:bottom w:val="single" w:sz="12" w:space="0" w:color="auto"/>
              <w:right w:val="nil"/>
            </w:tcBorders>
            <w:shd w:val="solid" w:color="FFFFFF" w:fill="auto"/>
          </w:tcPr>
          <w:p w:rsidR="0070375D" w:rsidRPr="003D4D90" w:rsidRDefault="0070375D" w:rsidP="003D4D90">
            <w:pPr>
              <w:pStyle w:val="TableofFigures"/>
              <w:rPr>
                <w:b/>
                <w:bCs/>
                <w:color w:val="000000"/>
                <w:lang w:eastAsia="en-AU"/>
              </w:rPr>
            </w:pPr>
            <w:r w:rsidRPr="003D4D90">
              <w:rPr>
                <w:b/>
                <w:bCs/>
                <w:color w:val="000000"/>
                <w:lang w:eastAsia="en-AU"/>
              </w:rPr>
              <w:t>242</w:t>
            </w:r>
          </w:p>
        </w:tc>
        <w:tc>
          <w:tcPr>
            <w:tcW w:w="883" w:type="dxa"/>
            <w:tcBorders>
              <w:top w:val="single" w:sz="6" w:space="0" w:color="auto"/>
              <w:left w:val="nil"/>
              <w:bottom w:val="single" w:sz="12" w:space="0" w:color="auto"/>
              <w:right w:val="nil"/>
            </w:tcBorders>
            <w:shd w:val="solid" w:color="FFFFFF" w:fill="auto"/>
          </w:tcPr>
          <w:p w:rsidR="0070375D" w:rsidRPr="003D4D90" w:rsidRDefault="0070375D" w:rsidP="003D4D90">
            <w:pPr>
              <w:pStyle w:val="TableofFigures"/>
              <w:rPr>
                <w:b/>
                <w:bCs/>
                <w:color w:val="000000"/>
                <w:lang w:eastAsia="en-AU"/>
              </w:rPr>
            </w:pPr>
            <w:r w:rsidRPr="003D4D90">
              <w:rPr>
                <w:b/>
                <w:bCs/>
                <w:color w:val="000000"/>
                <w:lang w:eastAsia="en-AU"/>
              </w:rPr>
              <w:t>253</w:t>
            </w:r>
          </w:p>
        </w:tc>
        <w:tc>
          <w:tcPr>
            <w:tcW w:w="883" w:type="dxa"/>
            <w:tcBorders>
              <w:top w:val="single" w:sz="6" w:space="0" w:color="auto"/>
              <w:left w:val="nil"/>
              <w:bottom w:val="single" w:sz="12" w:space="0" w:color="auto"/>
              <w:right w:val="nil"/>
            </w:tcBorders>
            <w:shd w:val="solid" w:color="FFFFFF" w:fill="auto"/>
          </w:tcPr>
          <w:p w:rsidR="0070375D" w:rsidRPr="003D4D90" w:rsidRDefault="0070375D" w:rsidP="003D4D90">
            <w:pPr>
              <w:pStyle w:val="TableofFigures"/>
              <w:rPr>
                <w:b/>
                <w:bCs/>
                <w:color w:val="000000"/>
                <w:lang w:eastAsia="en-AU"/>
              </w:rPr>
            </w:pPr>
            <w:r w:rsidRPr="003D4D90">
              <w:rPr>
                <w:b/>
                <w:bCs/>
                <w:color w:val="000000"/>
                <w:lang w:eastAsia="en-AU"/>
              </w:rPr>
              <w:t>279</w:t>
            </w:r>
          </w:p>
        </w:tc>
        <w:tc>
          <w:tcPr>
            <w:tcW w:w="883" w:type="dxa"/>
            <w:tcBorders>
              <w:top w:val="single" w:sz="6" w:space="0" w:color="auto"/>
              <w:left w:val="nil"/>
              <w:bottom w:val="single" w:sz="12" w:space="0" w:color="auto"/>
              <w:right w:val="nil"/>
            </w:tcBorders>
            <w:shd w:val="solid" w:color="FFFFFF" w:fill="auto"/>
          </w:tcPr>
          <w:p w:rsidR="0070375D" w:rsidRPr="003D4D90" w:rsidRDefault="0070375D" w:rsidP="003D4D90">
            <w:pPr>
              <w:pStyle w:val="TableofFigures"/>
              <w:rPr>
                <w:b/>
                <w:bCs/>
                <w:color w:val="000000"/>
                <w:lang w:eastAsia="en-AU"/>
              </w:rPr>
            </w:pPr>
            <w:r w:rsidRPr="003D4D90">
              <w:rPr>
                <w:b/>
                <w:bCs/>
                <w:color w:val="000000"/>
                <w:lang w:eastAsia="en-AU"/>
              </w:rPr>
              <w:t>309</w:t>
            </w:r>
          </w:p>
        </w:tc>
      </w:tr>
      <w:tr w:rsidR="0070375D" w:rsidRPr="003D4D90" w:rsidTr="00427B0C">
        <w:tc>
          <w:tcPr>
            <w:tcW w:w="4244" w:type="dxa"/>
            <w:tcBorders>
              <w:top w:val="nil"/>
              <w:left w:val="nil"/>
              <w:bottom w:val="nil"/>
              <w:right w:val="nil"/>
            </w:tcBorders>
          </w:tcPr>
          <w:p w:rsidR="0070375D" w:rsidRPr="003D4D90" w:rsidRDefault="0070375D" w:rsidP="003D4D90">
            <w:pPr>
              <w:pStyle w:val="Tabletext"/>
              <w:rPr>
                <w:b/>
                <w:bCs/>
                <w:color w:val="000000"/>
                <w:lang w:eastAsia="en-AU"/>
              </w:rPr>
            </w:pPr>
            <w:r w:rsidRPr="003D4D90">
              <w:rPr>
                <w:b/>
                <w:bCs/>
                <w:color w:val="000000"/>
                <w:lang w:eastAsia="en-AU"/>
              </w:rPr>
              <w:t xml:space="preserve">Average weekly earnings </w:t>
            </w:r>
          </w:p>
        </w:tc>
        <w:tc>
          <w:tcPr>
            <w:tcW w:w="883" w:type="dxa"/>
            <w:tcBorders>
              <w:top w:val="nil"/>
              <w:left w:val="nil"/>
              <w:bottom w:val="nil"/>
              <w:right w:val="nil"/>
            </w:tcBorders>
          </w:tcPr>
          <w:p w:rsidR="0070375D" w:rsidRPr="003D4D90" w:rsidRDefault="0070375D" w:rsidP="003D4D90">
            <w:pPr>
              <w:pStyle w:val="TableofFigures"/>
              <w:rPr>
                <w:color w:val="000000"/>
                <w:lang w:eastAsia="en-AU"/>
              </w:rPr>
            </w:pPr>
          </w:p>
        </w:tc>
        <w:tc>
          <w:tcPr>
            <w:tcW w:w="883" w:type="dxa"/>
            <w:tcBorders>
              <w:top w:val="nil"/>
              <w:left w:val="nil"/>
              <w:bottom w:val="nil"/>
              <w:right w:val="nil"/>
            </w:tcBorders>
          </w:tcPr>
          <w:p w:rsidR="0070375D" w:rsidRPr="003D4D90" w:rsidRDefault="0070375D" w:rsidP="003D4D90">
            <w:pPr>
              <w:pStyle w:val="TableofFigures"/>
              <w:rPr>
                <w:color w:val="000000"/>
                <w:lang w:eastAsia="en-AU"/>
              </w:rPr>
            </w:pPr>
          </w:p>
        </w:tc>
        <w:tc>
          <w:tcPr>
            <w:tcW w:w="883" w:type="dxa"/>
            <w:tcBorders>
              <w:top w:val="nil"/>
              <w:left w:val="nil"/>
              <w:bottom w:val="nil"/>
              <w:right w:val="nil"/>
            </w:tcBorders>
          </w:tcPr>
          <w:p w:rsidR="0070375D" w:rsidRPr="003D4D90" w:rsidRDefault="0070375D" w:rsidP="003D4D90">
            <w:pPr>
              <w:pStyle w:val="TableofFigures"/>
              <w:rPr>
                <w:color w:val="000000"/>
                <w:lang w:eastAsia="en-AU"/>
              </w:rPr>
            </w:pPr>
          </w:p>
        </w:tc>
        <w:tc>
          <w:tcPr>
            <w:tcW w:w="883" w:type="dxa"/>
            <w:tcBorders>
              <w:top w:val="nil"/>
              <w:left w:val="nil"/>
              <w:bottom w:val="nil"/>
              <w:right w:val="nil"/>
            </w:tcBorders>
          </w:tcPr>
          <w:p w:rsidR="0070375D" w:rsidRPr="003D4D90" w:rsidRDefault="0070375D" w:rsidP="003D4D90">
            <w:pPr>
              <w:pStyle w:val="TableofFigures"/>
              <w:rPr>
                <w:color w:val="000000"/>
                <w:lang w:eastAsia="en-AU"/>
              </w:rPr>
            </w:pPr>
          </w:p>
        </w:tc>
      </w:tr>
      <w:tr w:rsidR="0070375D" w:rsidRPr="003D4D90" w:rsidTr="00427B0C">
        <w:tc>
          <w:tcPr>
            <w:tcW w:w="4244" w:type="dxa"/>
            <w:tcBorders>
              <w:top w:val="nil"/>
              <w:left w:val="nil"/>
              <w:bottom w:val="nil"/>
              <w:right w:val="nil"/>
            </w:tcBorders>
          </w:tcPr>
          <w:p w:rsidR="0070375D" w:rsidRPr="003D4D90" w:rsidRDefault="0070375D" w:rsidP="003D4D90">
            <w:pPr>
              <w:pStyle w:val="Tabletext"/>
              <w:rPr>
                <w:color w:val="000000"/>
                <w:lang w:eastAsia="en-AU"/>
              </w:rPr>
            </w:pPr>
            <w:r w:rsidRPr="003D4D90">
              <w:rPr>
                <w:color w:val="000000"/>
                <w:lang w:eastAsia="en-AU"/>
              </w:rPr>
              <w:t>Income from transactions</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44</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47</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49</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52</w:t>
            </w:r>
          </w:p>
        </w:tc>
      </w:tr>
      <w:tr w:rsidR="0070375D" w:rsidRPr="003D4D90" w:rsidTr="00427B0C">
        <w:tc>
          <w:tcPr>
            <w:tcW w:w="4244" w:type="dxa"/>
            <w:tcBorders>
              <w:top w:val="nil"/>
              <w:left w:val="nil"/>
              <w:bottom w:val="nil"/>
              <w:right w:val="nil"/>
            </w:tcBorders>
          </w:tcPr>
          <w:p w:rsidR="0070375D" w:rsidRPr="003D4D90" w:rsidRDefault="0070375D" w:rsidP="003D4D90">
            <w:pPr>
              <w:pStyle w:val="Tabletext"/>
              <w:rPr>
                <w:color w:val="000000"/>
                <w:lang w:eastAsia="en-AU"/>
              </w:rPr>
            </w:pPr>
            <w:r w:rsidRPr="003D4D90">
              <w:rPr>
                <w:color w:val="000000"/>
                <w:lang w:eastAsia="en-AU"/>
              </w:rPr>
              <w:t>Expenses from transactions</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6</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5</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3</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2</w:t>
            </w:r>
          </w:p>
        </w:tc>
      </w:tr>
      <w:tr w:rsidR="0070375D" w:rsidRPr="003D4D90" w:rsidTr="00427B0C">
        <w:tc>
          <w:tcPr>
            <w:tcW w:w="4244" w:type="dxa"/>
            <w:tcBorders>
              <w:top w:val="single" w:sz="6" w:space="0" w:color="auto"/>
              <w:left w:val="nil"/>
              <w:bottom w:val="single" w:sz="12" w:space="0" w:color="auto"/>
              <w:right w:val="nil"/>
            </w:tcBorders>
          </w:tcPr>
          <w:p w:rsidR="0070375D" w:rsidRPr="003D4D90" w:rsidRDefault="0070375D" w:rsidP="003D4D90">
            <w:pPr>
              <w:pStyle w:val="Tabletext"/>
              <w:rPr>
                <w:b/>
                <w:bCs/>
                <w:color w:val="000000"/>
                <w:lang w:eastAsia="en-AU"/>
              </w:rPr>
            </w:pPr>
            <w:r w:rsidRPr="003D4D90">
              <w:rPr>
                <w:b/>
                <w:bCs/>
                <w:color w:val="000000"/>
                <w:lang w:eastAsia="en-AU"/>
              </w:rPr>
              <w:t>Net result from transactions</w:t>
            </w:r>
          </w:p>
        </w:tc>
        <w:tc>
          <w:tcPr>
            <w:tcW w:w="883" w:type="dxa"/>
            <w:tcBorders>
              <w:top w:val="single" w:sz="6" w:space="0" w:color="auto"/>
              <w:left w:val="nil"/>
              <w:bottom w:val="single" w:sz="12" w:space="0" w:color="auto"/>
              <w:right w:val="nil"/>
            </w:tcBorders>
            <w:shd w:val="solid" w:color="FFFFFF" w:fill="auto"/>
          </w:tcPr>
          <w:p w:rsidR="0070375D" w:rsidRPr="003D4D90" w:rsidRDefault="0070375D" w:rsidP="003D4D90">
            <w:pPr>
              <w:pStyle w:val="TableofFigures"/>
              <w:rPr>
                <w:b/>
                <w:bCs/>
                <w:color w:val="000000"/>
                <w:lang w:eastAsia="en-AU"/>
              </w:rPr>
            </w:pPr>
            <w:r w:rsidRPr="003D4D90">
              <w:rPr>
                <w:b/>
                <w:bCs/>
                <w:color w:val="000000"/>
                <w:lang w:eastAsia="en-AU"/>
              </w:rPr>
              <w:t>38</w:t>
            </w:r>
          </w:p>
        </w:tc>
        <w:tc>
          <w:tcPr>
            <w:tcW w:w="883" w:type="dxa"/>
            <w:tcBorders>
              <w:top w:val="single" w:sz="6" w:space="0" w:color="auto"/>
              <w:left w:val="nil"/>
              <w:bottom w:val="single" w:sz="12" w:space="0" w:color="auto"/>
              <w:right w:val="nil"/>
            </w:tcBorders>
            <w:shd w:val="solid" w:color="FFFFFF" w:fill="auto"/>
          </w:tcPr>
          <w:p w:rsidR="0070375D" w:rsidRPr="003D4D90" w:rsidRDefault="0070375D" w:rsidP="003D4D90">
            <w:pPr>
              <w:pStyle w:val="TableofFigures"/>
              <w:rPr>
                <w:b/>
                <w:bCs/>
                <w:color w:val="000000"/>
                <w:lang w:eastAsia="en-AU"/>
              </w:rPr>
            </w:pPr>
            <w:r w:rsidRPr="003D4D90">
              <w:rPr>
                <w:b/>
                <w:bCs/>
                <w:color w:val="000000"/>
                <w:lang w:eastAsia="en-AU"/>
              </w:rPr>
              <w:t>42</w:t>
            </w:r>
          </w:p>
        </w:tc>
        <w:tc>
          <w:tcPr>
            <w:tcW w:w="883" w:type="dxa"/>
            <w:tcBorders>
              <w:top w:val="single" w:sz="6" w:space="0" w:color="auto"/>
              <w:left w:val="nil"/>
              <w:bottom w:val="single" w:sz="12" w:space="0" w:color="auto"/>
              <w:right w:val="nil"/>
            </w:tcBorders>
            <w:shd w:val="solid" w:color="FFFFFF" w:fill="auto"/>
          </w:tcPr>
          <w:p w:rsidR="0070375D" w:rsidRPr="003D4D90" w:rsidRDefault="0070375D" w:rsidP="003D4D90">
            <w:pPr>
              <w:pStyle w:val="TableofFigures"/>
              <w:rPr>
                <w:b/>
                <w:bCs/>
                <w:color w:val="000000"/>
                <w:lang w:eastAsia="en-AU"/>
              </w:rPr>
            </w:pPr>
            <w:r w:rsidRPr="003D4D90">
              <w:rPr>
                <w:b/>
                <w:bCs/>
                <w:color w:val="000000"/>
                <w:lang w:eastAsia="en-AU"/>
              </w:rPr>
              <w:t>46</w:t>
            </w:r>
          </w:p>
        </w:tc>
        <w:tc>
          <w:tcPr>
            <w:tcW w:w="883" w:type="dxa"/>
            <w:tcBorders>
              <w:top w:val="single" w:sz="6" w:space="0" w:color="auto"/>
              <w:left w:val="nil"/>
              <w:bottom w:val="single" w:sz="12" w:space="0" w:color="auto"/>
              <w:right w:val="nil"/>
            </w:tcBorders>
            <w:shd w:val="solid" w:color="FFFFFF" w:fill="auto"/>
          </w:tcPr>
          <w:p w:rsidR="0070375D" w:rsidRPr="003D4D90" w:rsidRDefault="0070375D" w:rsidP="003D4D90">
            <w:pPr>
              <w:pStyle w:val="TableofFigures"/>
              <w:rPr>
                <w:b/>
                <w:bCs/>
                <w:color w:val="000000"/>
                <w:lang w:eastAsia="en-AU"/>
              </w:rPr>
            </w:pPr>
            <w:r w:rsidRPr="003D4D90">
              <w:rPr>
                <w:b/>
                <w:bCs/>
                <w:color w:val="000000"/>
                <w:lang w:eastAsia="en-AU"/>
              </w:rPr>
              <w:t>50</w:t>
            </w:r>
          </w:p>
        </w:tc>
      </w:tr>
      <w:tr w:rsidR="0070375D" w:rsidRPr="003D4D90" w:rsidTr="00427B0C">
        <w:tc>
          <w:tcPr>
            <w:tcW w:w="4244" w:type="dxa"/>
            <w:tcBorders>
              <w:top w:val="nil"/>
              <w:left w:val="nil"/>
              <w:bottom w:val="nil"/>
              <w:right w:val="nil"/>
            </w:tcBorders>
          </w:tcPr>
          <w:p w:rsidR="0070375D" w:rsidRPr="003D4D90" w:rsidRDefault="0070375D" w:rsidP="003D4D90">
            <w:pPr>
              <w:pStyle w:val="Tabletext"/>
              <w:rPr>
                <w:b/>
                <w:bCs/>
                <w:color w:val="000000"/>
                <w:vertAlign w:val="superscript"/>
                <w:lang w:eastAsia="en-AU"/>
              </w:rPr>
            </w:pPr>
            <w:r w:rsidRPr="003D4D90">
              <w:rPr>
                <w:b/>
                <w:bCs/>
                <w:color w:val="000000"/>
                <w:lang w:eastAsia="en-AU"/>
              </w:rPr>
              <w:t xml:space="preserve">Enterprise bargaining agreements </w:t>
            </w:r>
            <w:r w:rsidRPr="003D4D90">
              <w:rPr>
                <w:b/>
                <w:bCs/>
                <w:color w:val="000000"/>
                <w:vertAlign w:val="superscript"/>
                <w:lang w:eastAsia="en-AU"/>
              </w:rPr>
              <w:t>(e)</w:t>
            </w:r>
          </w:p>
        </w:tc>
        <w:tc>
          <w:tcPr>
            <w:tcW w:w="883" w:type="dxa"/>
            <w:tcBorders>
              <w:top w:val="nil"/>
              <w:left w:val="nil"/>
              <w:bottom w:val="nil"/>
              <w:right w:val="nil"/>
            </w:tcBorders>
          </w:tcPr>
          <w:p w:rsidR="0070375D" w:rsidRPr="003D4D90" w:rsidRDefault="0070375D" w:rsidP="003D4D90">
            <w:pPr>
              <w:pStyle w:val="TableofFigures"/>
              <w:rPr>
                <w:color w:val="000000"/>
                <w:lang w:eastAsia="en-AU"/>
              </w:rPr>
            </w:pPr>
          </w:p>
        </w:tc>
        <w:tc>
          <w:tcPr>
            <w:tcW w:w="883" w:type="dxa"/>
            <w:tcBorders>
              <w:top w:val="nil"/>
              <w:left w:val="nil"/>
              <w:bottom w:val="nil"/>
              <w:right w:val="nil"/>
            </w:tcBorders>
          </w:tcPr>
          <w:p w:rsidR="0070375D" w:rsidRPr="003D4D90" w:rsidRDefault="0070375D" w:rsidP="003D4D90">
            <w:pPr>
              <w:pStyle w:val="TableofFigures"/>
              <w:rPr>
                <w:color w:val="000000"/>
                <w:lang w:eastAsia="en-AU"/>
              </w:rPr>
            </w:pPr>
          </w:p>
        </w:tc>
        <w:tc>
          <w:tcPr>
            <w:tcW w:w="883" w:type="dxa"/>
            <w:tcBorders>
              <w:top w:val="nil"/>
              <w:left w:val="nil"/>
              <w:bottom w:val="nil"/>
              <w:right w:val="nil"/>
            </w:tcBorders>
          </w:tcPr>
          <w:p w:rsidR="0070375D" w:rsidRPr="003D4D90" w:rsidRDefault="0070375D" w:rsidP="003D4D90">
            <w:pPr>
              <w:pStyle w:val="TableofFigures"/>
              <w:rPr>
                <w:color w:val="000000"/>
                <w:lang w:eastAsia="en-AU"/>
              </w:rPr>
            </w:pPr>
          </w:p>
        </w:tc>
        <w:tc>
          <w:tcPr>
            <w:tcW w:w="883" w:type="dxa"/>
            <w:tcBorders>
              <w:top w:val="nil"/>
              <w:left w:val="nil"/>
              <w:bottom w:val="nil"/>
              <w:right w:val="nil"/>
            </w:tcBorders>
          </w:tcPr>
          <w:p w:rsidR="0070375D" w:rsidRPr="003D4D90" w:rsidRDefault="0070375D" w:rsidP="003D4D90">
            <w:pPr>
              <w:pStyle w:val="TableofFigures"/>
              <w:rPr>
                <w:color w:val="000000"/>
                <w:lang w:eastAsia="en-AU"/>
              </w:rPr>
            </w:pPr>
          </w:p>
        </w:tc>
      </w:tr>
      <w:tr w:rsidR="0070375D" w:rsidRPr="003D4D90" w:rsidTr="00427B0C">
        <w:tc>
          <w:tcPr>
            <w:tcW w:w="4244" w:type="dxa"/>
            <w:tcBorders>
              <w:top w:val="nil"/>
              <w:left w:val="nil"/>
              <w:bottom w:val="nil"/>
              <w:right w:val="nil"/>
            </w:tcBorders>
          </w:tcPr>
          <w:p w:rsidR="0070375D" w:rsidRPr="003D4D90" w:rsidRDefault="0070375D" w:rsidP="003D4D90">
            <w:pPr>
              <w:pStyle w:val="Tabletext"/>
              <w:rPr>
                <w:color w:val="000000"/>
                <w:lang w:eastAsia="en-AU"/>
              </w:rPr>
            </w:pPr>
            <w:r w:rsidRPr="003D4D90">
              <w:rPr>
                <w:color w:val="000000"/>
                <w:lang w:eastAsia="en-AU"/>
              </w:rPr>
              <w:t>Income from transactions</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28</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30</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31</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32</w:t>
            </w:r>
          </w:p>
        </w:tc>
      </w:tr>
      <w:tr w:rsidR="0070375D" w:rsidRPr="003D4D90" w:rsidTr="00427B0C">
        <w:tc>
          <w:tcPr>
            <w:tcW w:w="4244" w:type="dxa"/>
            <w:tcBorders>
              <w:top w:val="nil"/>
              <w:left w:val="nil"/>
              <w:bottom w:val="nil"/>
              <w:right w:val="nil"/>
            </w:tcBorders>
          </w:tcPr>
          <w:p w:rsidR="0070375D" w:rsidRPr="003D4D90" w:rsidRDefault="0070375D" w:rsidP="003D4D90">
            <w:pPr>
              <w:pStyle w:val="Tabletext"/>
              <w:rPr>
                <w:color w:val="000000"/>
                <w:lang w:eastAsia="en-AU"/>
              </w:rPr>
            </w:pPr>
            <w:r w:rsidRPr="003D4D90">
              <w:rPr>
                <w:color w:val="000000"/>
                <w:lang w:eastAsia="en-AU"/>
              </w:rPr>
              <w:t>Expenses from transactions</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192</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236</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253</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268</w:t>
            </w:r>
          </w:p>
        </w:tc>
      </w:tr>
      <w:tr w:rsidR="0070375D" w:rsidRPr="003D4D90" w:rsidTr="00427B0C">
        <w:tc>
          <w:tcPr>
            <w:tcW w:w="4244" w:type="dxa"/>
            <w:tcBorders>
              <w:top w:val="single" w:sz="6" w:space="0" w:color="auto"/>
              <w:left w:val="nil"/>
              <w:bottom w:val="single" w:sz="12" w:space="0" w:color="auto"/>
              <w:right w:val="nil"/>
            </w:tcBorders>
          </w:tcPr>
          <w:p w:rsidR="0070375D" w:rsidRPr="003D4D90" w:rsidRDefault="0070375D" w:rsidP="003D4D90">
            <w:pPr>
              <w:pStyle w:val="Tabletext"/>
              <w:rPr>
                <w:b/>
                <w:bCs/>
                <w:color w:val="000000"/>
                <w:lang w:eastAsia="en-AU"/>
              </w:rPr>
            </w:pPr>
            <w:r w:rsidRPr="003D4D90">
              <w:rPr>
                <w:b/>
                <w:bCs/>
                <w:color w:val="000000"/>
                <w:lang w:eastAsia="en-AU"/>
              </w:rPr>
              <w:t>Net result from transactions</w:t>
            </w:r>
          </w:p>
        </w:tc>
        <w:tc>
          <w:tcPr>
            <w:tcW w:w="883" w:type="dxa"/>
            <w:tcBorders>
              <w:top w:val="single" w:sz="6" w:space="0" w:color="auto"/>
              <w:left w:val="nil"/>
              <w:bottom w:val="single" w:sz="12" w:space="0" w:color="auto"/>
              <w:right w:val="nil"/>
            </w:tcBorders>
            <w:shd w:val="solid" w:color="FFFFFF" w:fill="auto"/>
          </w:tcPr>
          <w:p w:rsidR="0070375D" w:rsidRPr="003D4D90" w:rsidRDefault="00276239" w:rsidP="003D4D90">
            <w:pPr>
              <w:pStyle w:val="TableofFigures"/>
              <w:rPr>
                <w:b/>
                <w:bCs/>
                <w:color w:val="000000"/>
                <w:lang w:eastAsia="en-AU"/>
              </w:rPr>
            </w:pPr>
            <w:r>
              <w:rPr>
                <w:b/>
                <w:bCs/>
                <w:color w:val="000000"/>
                <w:lang w:eastAsia="en-AU"/>
              </w:rPr>
              <w:noBreakHyphen/>
            </w:r>
            <w:r w:rsidR="0070375D" w:rsidRPr="003D4D90">
              <w:rPr>
                <w:b/>
                <w:bCs/>
                <w:color w:val="000000"/>
                <w:lang w:eastAsia="en-AU"/>
              </w:rPr>
              <w:t>164</w:t>
            </w:r>
          </w:p>
        </w:tc>
        <w:tc>
          <w:tcPr>
            <w:tcW w:w="883" w:type="dxa"/>
            <w:tcBorders>
              <w:top w:val="single" w:sz="6" w:space="0" w:color="auto"/>
              <w:left w:val="nil"/>
              <w:bottom w:val="single" w:sz="12" w:space="0" w:color="auto"/>
              <w:right w:val="nil"/>
            </w:tcBorders>
            <w:shd w:val="solid" w:color="FFFFFF" w:fill="auto"/>
          </w:tcPr>
          <w:p w:rsidR="0070375D" w:rsidRPr="003D4D90" w:rsidRDefault="00276239" w:rsidP="003D4D90">
            <w:pPr>
              <w:pStyle w:val="TableofFigures"/>
              <w:rPr>
                <w:b/>
                <w:bCs/>
                <w:color w:val="000000"/>
                <w:lang w:eastAsia="en-AU"/>
              </w:rPr>
            </w:pPr>
            <w:r>
              <w:rPr>
                <w:b/>
                <w:bCs/>
                <w:color w:val="000000"/>
                <w:lang w:eastAsia="en-AU"/>
              </w:rPr>
              <w:noBreakHyphen/>
            </w:r>
            <w:r w:rsidR="0070375D" w:rsidRPr="003D4D90">
              <w:rPr>
                <w:b/>
                <w:bCs/>
                <w:color w:val="000000"/>
                <w:lang w:eastAsia="en-AU"/>
              </w:rPr>
              <w:t>207</w:t>
            </w:r>
          </w:p>
        </w:tc>
        <w:tc>
          <w:tcPr>
            <w:tcW w:w="883" w:type="dxa"/>
            <w:tcBorders>
              <w:top w:val="single" w:sz="6" w:space="0" w:color="auto"/>
              <w:left w:val="nil"/>
              <w:bottom w:val="single" w:sz="12" w:space="0" w:color="auto"/>
              <w:right w:val="nil"/>
            </w:tcBorders>
            <w:shd w:val="solid" w:color="FFFFFF" w:fill="auto"/>
          </w:tcPr>
          <w:p w:rsidR="0070375D" w:rsidRPr="003D4D90" w:rsidRDefault="00276239" w:rsidP="003D4D90">
            <w:pPr>
              <w:pStyle w:val="TableofFigures"/>
              <w:rPr>
                <w:b/>
                <w:bCs/>
                <w:color w:val="000000"/>
                <w:lang w:eastAsia="en-AU"/>
              </w:rPr>
            </w:pPr>
            <w:r>
              <w:rPr>
                <w:b/>
                <w:bCs/>
                <w:color w:val="000000"/>
                <w:lang w:eastAsia="en-AU"/>
              </w:rPr>
              <w:noBreakHyphen/>
            </w:r>
            <w:r w:rsidR="0070375D" w:rsidRPr="003D4D90">
              <w:rPr>
                <w:b/>
                <w:bCs/>
                <w:color w:val="000000"/>
                <w:lang w:eastAsia="en-AU"/>
              </w:rPr>
              <w:t>221</w:t>
            </w:r>
          </w:p>
        </w:tc>
        <w:tc>
          <w:tcPr>
            <w:tcW w:w="883" w:type="dxa"/>
            <w:tcBorders>
              <w:top w:val="single" w:sz="6" w:space="0" w:color="auto"/>
              <w:left w:val="nil"/>
              <w:bottom w:val="single" w:sz="12" w:space="0" w:color="auto"/>
              <w:right w:val="nil"/>
            </w:tcBorders>
            <w:shd w:val="solid" w:color="FFFFFF" w:fill="auto"/>
          </w:tcPr>
          <w:p w:rsidR="0070375D" w:rsidRPr="003D4D90" w:rsidRDefault="00276239" w:rsidP="003D4D90">
            <w:pPr>
              <w:pStyle w:val="TableofFigures"/>
              <w:rPr>
                <w:b/>
                <w:bCs/>
                <w:color w:val="000000"/>
                <w:lang w:eastAsia="en-AU"/>
              </w:rPr>
            </w:pPr>
            <w:r>
              <w:rPr>
                <w:b/>
                <w:bCs/>
                <w:color w:val="000000"/>
                <w:lang w:eastAsia="en-AU"/>
              </w:rPr>
              <w:noBreakHyphen/>
            </w:r>
            <w:r w:rsidR="0070375D" w:rsidRPr="003D4D90">
              <w:rPr>
                <w:b/>
                <w:bCs/>
                <w:color w:val="000000"/>
                <w:lang w:eastAsia="en-AU"/>
              </w:rPr>
              <w:t>236</w:t>
            </w:r>
          </w:p>
        </w:tc>
      </w:tr>
      <w:tr w:rsidR="0070375D" w:rsidRPr="003D4D90" w:rsidTr="00427B0C">
        <w:tc>
          <w:tcPr>
            <w:tcW w:w="4244" w:type="dxa"/>
            <w:tcBorders>
              <w:top w:val="nil"/>
              <w:left w:val="nil"/>
              <w:bottom w:val="nil"/>
              <w:right w:val="nil"/>
            </w:tcBorders>
          </w:tcPr>
          <w:p w:rsidR="0070375D" w:rsidRPr="003D4D90" w:rsidRDefault="0070375D" w:rsidP="003D4D90">
            <w:pPr>
              <w:pStyle w:val="Tabletext"/>
              <w:rPr>
                <w:b/>
                <w:bCs/>
                <w:color w:val="000000"/>
                <w:lang w:eastAsia="en-AU"/>
              </w:rPr>
            </w:pPr>
            <w:r w:rsidRPr="003D4D90">
              <w:rPr>
                <w:b/>
                <w:bCs/>
                <w:color w:val="000000"/>
                <w:lang w:eastAsia="en-AU"/>
              </w:rPr>
              <w:t xml:space="preserve">Domestic share prices </w:t>
            </w:r>
          </w:p>
        </w:tc>
        <w:tc>
          <w:tcPr>
            <w:tcW w:w="883" w:type="dxa"/>
            <w:tcBorders>
              <w:top w:val="nil"/>
              <w:left w:val="nil"/>
              <w:bottom w:val="nil"/>
              <w:right w:val="nil"/>
            </w:tcBorders>
          </w:tcPr>
          <w:p w:rsidR="0070375D" w:rsidRPr="003D4D90" w:rsidRDefault="0070375D" w:rsidP="003D4D90">
            <w:pPr>
              <w:pStyle w:val="TableofFigures"/>
              <w:rPr>
                <w:color w:val="000000"/>
                <w:lang w:eastAsia="en-AU"/>
              </w:rPr>
            </w:pPr>
          </w:p>
        </w:tc>
        <w:tc>
          <w:tcPr>
            <w:tcW w:w="883" w:type="dxa"/>
            <w:tcBorders>
              <w:top w:val="nil"/>
              <w:left w:val="nil"/>
              <w:bottom w:val="nil"/>
              <w:right w:val="nil"/>
            </w:tcBorders>
          </w:tcPr>
          <w:p w:rsidR="0070375D" w:rsidRPr="003D4D90" w:rsidRDefault="0070375D" w:rsidP="003D4D90">
            <w:pPr>
              <w:pStyle w:val="TableofFigures"/>
              <w:rPr>
                <w:color w:val="000000"/>
                <w:lang w:eastAsia="en-AU"/>
              </w:rPr>
            </w:pPr>
          </w:p>
        </w:tc>
        <w:tc>
          <w:tcPr>
            <w:tcW w:w="883" w:type="dxa"/>
            <w:tcBorders>
              <w:top w:val="nil"/>
              <w:left w:val="nil"/>
              <w:bottom w:val="nil"/>
              <w:right w:val="nil"/>
            </w:tcBorders>
          </w:tcPr>
          <w:p w:rsidR="0070375D" w:rsidRPr="003D4D90" w:rsidRDefault="0070375D" w:rsidP="003D4D90">
            <w:pPr>
              <w:pStyle w:val="TableofFigures"/>
              <w:rPr>
                <w:color w:val="000000"/>
                <w:lang w:eastAsia="en-AU"/>
              </w:rPr>
            </w:pPr>
          </w:p>
        </w:tc>
        <w:tc>
          <w:tcPr>
            <w:tcW w:w="883" w:type="dxa"/>
            <w:tcBorders>
              <w:top w:val="nil"/>
              <w:left w:val="nil"/>
              <w:bottom w:val="nil"/>
              <w:right w:val="nil"/>
            </w:tcBorders>
          </w:tcPr>
          <w:p w:rsidR="0070375D" w:rsidRPr="003D4D90" w:rsidRDefault="0070375D" w:rsidP="003D4D90">
            <w:pPr>
              <w:pStyle w:val="TableofFigures"/>
              <w:rPr>
                <w:color w:val="000000"/>
                <w:lang w:eastAsia="en-AU"/>
              </w:rPr>
            </w:pPr>
          </w:p>
        </w:tc>
      </w:tr>
      <w:tr w:rsidR="0070375D" w:rsidRPr="003D4D90" w:rsidTr="00427B0C">
        <w:tc>
          <w:tcPr>
            <w:tcW w:w="4244" w:type="dxa"/>
            <w:tcBorders>
              <w:top w:val="nil"/>
              <w:left w:val="nil"/>
              <w:bottom w:val="nil"/>
              <w:right w:val="nil"/>
            </w:tcBorders>
          </w:tcPr>
          <w:p w:rsidR="0070375D" w:rsidRPr="003D4D90" w:rsidRDefault="0070375D" w:rsidP="003D4D90">
            <w:pPr>
              <w:pStyle w:val="Tabletext"/>
              <w:rPr>
                <w:color w:val="000000"/>
                <w:lang w:eastAsia="en-AU"/>
              </w:rPr>
            </w:pPr>
            <w:r w:rsidRPr="003D4D90">
              <w:rPr>
                <w:color w:val="000000"/>
                <w:lang w:eastAsia="en-AU"/>
              </w:rPr>
              <w:t>Income from transactions</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w:t>
            </w:r>
          </w:p>
        </w:tc>
      </w:tr>
      <w:tr w:rsidR="0070375D" w:rsidRPr="003D4D90" w:rsidTr="00427B0C">
        <w:tc>
          <w:tcPr>
            <w:tcW w:w="4244" w:type="dxa"/>
            <w:tcBorders>
              <w:top w:val="nil"/>
              <w:left w:val="nil"/>
              <w:bottom w:val="nil"/>
              <w:right w:val="nil"/>
            </w:tcBorders>
          </w:tcPr>
          <w:p w:rsidR="0070375D" w:rsidRPr="003D4D90" w:rsidRDefault="0070375D" w:rsidP="003D4D90">
            <w:pPr>
              <w:pStyle w:val="Tabletext"/>
              <w:rPr>
                <w:color w:val="000000"/>
                <w:lang w:eastAsia="en-AU"/>
              </w:rPr>
            </w:pPr>
            <w:r w:rsidRPr="003D4D90">
              <w:rPr>
                <w:color w:val="000000"/>
                <w:lang w:eastAsia="en-AU"/>
              </w:rPr>
              <w:t>Expenses from transactions</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w:t>
            </w:r>
          </w:p>
        </w:tc>
        <w:tc>
          <w:tcPr>
            <w:tcW w:w="883" w:type="dxa"/>
            <w:tcBorders>
              <w:top w:val="nil"/>
              <w:left w:val="nil"/>
              <w:bottom w:val="nil"/>
              <w:right w:val="nil"/>
            </w:tcBorders>
            <w:shd w:val="solid" w:color="FFFFFF" w:fill="auto"/>
          </w:tcPr>
          <w:p w:rsidR="0070375D" w:rsidRPr="003D4D90" w:rsidRDefault="00276239" w:rsidP="003D4D90">
            <w:pPr>
              <w:pStyle w:val="TableofFigures"/>
              <w:rPr>
                <w:color w:val="000000"/>
                <w:lang w:eastAsia="en-AU"/>
              </w:rPr>
            </w:pPr>
            <w:r>
              <w:rPr>
                <w:color w:val="000000"/>
                <w:lang w:eastAsia="en-AU"/>
              </w:rPr>
              <w:noBreakHyphen/>
            </w:r>
            <w:r w:rsidR="0070375D" w:rsidRPr="003D4D90">
              <w:rPr>
                <w:color w:val="000000"/>
                <w:lang w:eastAsia="en-AU"/>
              </w:rPr>
              <w:t>2</w:t>
            </w:r>
          </w:p>
        </w:tc>
        <w:tc>
          <w:tcPr>
            <w:tcW w:w="883" w:type="dxa"/>
            <w:tcBorders>
              <w:top w:val="nil"/>
              <w:left w:val="nil"/>
              <w:bottom w:val="nil"/>
              <w:right w:val="nil"/>
            </w:tcBorders>
            <w:shd w:val="solid" w:color="FFFFFF" w:fill="auto"/>
          </w:tcPr>
          <w:p w:rsidR="0070375D" w:rsidRPr="003D4D90" w:rsidRDefault="00276239" w:rsidP="003D4D90">
            <w:pPr>
              <w:pStyle w:val="TableofFigures"/>
              <w:rPr>
                <w:color w:val="000000"/>
                <w:lang w:eastAsia="en-AU"/>
              </w:rPr>
            </w:pPr>
            <w:r>
              <w:rPr>
                <w:color w:val="000000"/>
                <w:lang w:eastAsia="en-AU"/>
              </w:rPr>
              <w:noBreakHyphen/>
            </w:r>
            <w:r w:rsidR="0070375D" w:rsidRPr="003D4D90">
              <w:rPr>
                <w:color w:val="000000"/>
                <w:lang w:eastAsia="en-AU"/>
              </w:rPr>
              <w:t>2</w:t>
            </w:r>
          </w:p>
        </w:tc>
        <w:tc>
          <w:tcPr>
            <w:tcW w:w="883" w:type="dxa"/>
            <w:tcBorders>
              <w:top w:val="nil"/>
              <w:left w:val="nil"/>
              <w:bottom w:val="nil"/>
              <w:right w:val="nil"/>
            </w:tcBorders>
            <w:shd w:val="solid" w:color="FFFFFF" w:fill="auto"/>
          </w:tcPr>
          <w:p w:rsidR="0070375D" w:rsidRPr="003D4D90" w:rsidRDefault="00276239" w:rsidP="003D4D90">
            <w:pPr>
              <w:pStyle w:val="TableofFigures"/>
              <w:rPr>
                <w:color w:val="000000"/>
                <w:lang w:eastAsia="en-AU"/>
              </w:rPr>
            </w:pPr>
            <w:r>
              <w:rPr>
                <w:color w:val="000000"/>
                <w:lang w:eastAsia="en-AU"/>
              </w:rPr>
              <w:noBreakHyphen/>
            </w:r>
            <w:r w:rsidR="0070375D" w:rsidRPr="003D4D90">
              <w:rPr>
                <w:color w:val="000000"/>
                <w:lang w:eastAsia="en-AU"/>
              </w:rPr>
              <w:t>2</w:t>
            </w:r>
          </w:p>
        </w:tc>
      </w:tr>
      <w:tr w:rsidR="0070375D" w:rsidRPr="003D4D90" w:rsidTr="00427B0C">
        <w:tc>
          <w:tcPr>
            <w:tcW w:w="4244" w:type="dxa"/>
            <w:tcBorders>
              <w:top w:val="single" w:sz="6" w:space="0" w:color="auto"/>
              <w:left w:val="nil"/>
              <w:bottom w:val="single" w:sz="12" w:space="0" w:color="auto"/>
              <w:right w:val="nil"/>
            </w:tcBorders>
          </w:tcPr>
          <w:p w:rsidR="0070375D" w:rsidRPr="003D4D90" w:rsidRDefault="0070375D" w:rsidP="003D4D90">
            <w:pPr>
              <w:pStyle w:val="Tabletext"/>
              <w:rPr>
                <w:b/>
                <w:bCs/>
                <w:color w:val="000000"/>
                <w:lang w:eastAsia="en-AU"/>
              </w:rPr>
            </w:pPr>
            <w:r w:rsidRPr="003D4D90">
              <w:rPr>
                <w:b/>
                <w:bCs/>
                <w:color w:val="000000"/>
                <w:lang w:eastAsia="en-AU"/>
              </w:rPr>
              <w:t>Net result from transactions</w:t>
            </w:r>
          </w:p>
        </w:tc>
        <w:tc>
          <w:tcPr>
            <w:tcW w:w="883" w:type="dxa"/>
            <w:tcBorders>
              <w:top w:val="single" w:sz="6" w:space="0" w:color="auto"/>
              <w:left w:val="nil"/>
              <w:bottom w:val="single" w:sz="12" w:space="0" w:color="auto"/>
              <w:right w:val="nil"/>
            </w:tcBorders>
            <w:shd w:val="solid" w:color="FFFFFF" w:fill="auto"/>
          </w:tcPr>
          <w:p w:rsidR="0070375D" w:rsidRPr="003D4D90" w:rsidRDefault="0070375D" w:rsidP="003D4D90">
            <w:pPr>
              <w:pStyle w:val="TableofFigures"/>
              <w:rPr>
                <w:b/>
                <w:bCs/>
                <w:color w:val="000000"/>
                <w:lang w:eastAsia="en-AU"/>
              </w:rPr>
            </w:pPr>
            <w:r w:rsidRPr="003D4D90">
              <w:rPr>
                <w:b/>
                <w:bCs/>
                <w:color w:val="000000"/>
                <w:lang w:eastAsia="en-AU"/>
              </w:rPr>
              <w:t>..</w:t>
            </w:r>
          </w:p>
        </w:tc>
        <w:tc>
          <w:tcPr>
            <w:tcW w:w="883" w:type="dxa"/>
            <w:tcBorders>
              <w:top w:val="single" w:sz="6" w:space="0" w:color="auto"/>
              <w:left w:val="nil"/>
              <w:bottom w:val="single" w:sz="12" w:space="0" w:color="auto"/>
              <w:right w:val="nil"/>
            </w:tcBorders>
            <w:shd w:val="solid" w:color="FFFFFF" w:fill="auto"/>
          </w:tcPr>
          <w:p w:rsidR="0070375D" w:rsidRPr="003D4D90" w:rsidRDefault="0070375D" w:rsidP="003D4D90">
            <w:pPr>
              <w:pStyle w:val="TableofFigures"/>
              <w:rPr>
                <w:b/>
                <w:bCs/>
                <w:color w:val="000000"/>
                <w:lang w:eastAsia="en-AU"/>
              </w:rPr>
            </w:pPr>
            <w:r w:rsidRPr="003D4D90">
              <w:rPr>
                <w:b/>
                <w:bCs/>
                <w:color w:val="000000"/>
                <w:lang w:eastAsia="en-AU"/>
              </w:rPr>
              <w:t>2</w:t>
            </w:r>
          </w:p>
        </w:tc>
        <w:tc>
          <w:tcPr>
            <w:tcW w:w="883" w:type="dxa"/>
            <w:tcBorders>
              <w:top w:val="single" w:sz="6" w:space="0" w:color="auto"/>
              <w:left w:val="nil"/>
              <w:bottom w:val="single" w:sz="12" w:space="0" w:color="auto"/>
              <w:right w:val="nil"/>
            </w:tcBorders>
            <w:shd w:val="solid" w:color="FFFFFF" w:fill="auto"/>
          </w:tcPr>
          <w:p w:rsidR="0070375D" w:rsidRPr="003D4D90" w:rsidRDefault="0070375D" w:rsidP="003D4D90">
            <w:pPr>
              <w:pStyle w:val="TableofFigures"/>
              <w:rPr>
                <w:b/>
                <w:bCs/>
                <w:color w:val="000000"/>
                <w:lang w:eastAsia="en-AU"/>
              </w:rPr>
            </w:pPr>
            <w:r w:rsidRPr="003D4D90">
              <w:rPr>
                <w:b/>
                <w:bCs/>
                <w:color w:val="000000"/>
                <w:lang w:eastAsia="en-AU"/>
              </w:rPr>
              <w:t>2</w:t>
            </w:r>
          </w:p>
        </w:tc>
        <w:tc>
          <w:tcPr>
            <w:tcW w:w="883" w:type="dxa"/>
            <w:tcBorders>
              <w:top w:val="single" w:sz="6" w:space="0" w:color="auto"/>
              <w:left w:val="nil"/>
              <w:bottom w:val="single" w:sz="12" w:space="0" w:color="auto"/>
              <w:right w:val="nil"/>
            </w:tcBorders>
            <w:shd w:val="solid" w:color="FFFFFF" w:fill="auto"/>
          </w:tcPr>
          <w:p w:rsidR="0070375D" w:rsidRPr="003D4D90" w:rsidRDefault="0070375D" w:rsidP="003D4D90">
            <w:pPr>
              <w:pStyle w:val="TableofFigures"/>
              <w:rPr>
                <w:b/>
                <w:bCs/>
                <w:color w:val="000000"/>
                <w:lang w:eastAsia="en-AU"/>
              </w:rPr>
            </w:pPr>
            <w:r w:rsidRPr="003D4D90">
              <w:rPr>
                <w:b/>
                <w:bCs/>
                <w:color w:val="000000"/>
                <w:lang w:eastAsia="en-AU"/>
              </w:rPr>
              <w:t>2</w:t>
            </w:r>
          </w:p>
        </w:tc>
      </w:tr>
      <w:tr w:rsidR="0070375D" w:rsidRPr="003D4D90" w:rsidTr="00427B0C">
        <w:tc>
          <w:tcPr>
            <w:tcW w:w="4244" w:type="dxa"/>
            <w:tcBorders>
              <w:top w:val="nil"/>
              <w:left w:val="nil"/>
              <w:bottom w:val="nil"/>
              <w:right w:val="nil"/>
            </w:tcBorders>
          </w:tcPr>
          <w:p w:rsidR="0070375D" w:rsidRPr="003D4D90" w:rsidRDefault="0070375D" w:rsidP="003D4D90">
            <w:pPr>
              <w:pStyle w:val="Tabletext"/>
              <w:rPr>
                <w:b/>
                <w:bCs/>
                <w:color w:val="000000"/>
                <w:lang w:eastAsia="en-AU"/>
              </w:rPr>
            </w:pPr>
            <w:r w:rsidRPr="003D4D90">
              <w:rPr>
                <w:b/>
                <w:bCs/>
                <w:color w:val="000000"/>
                <w:lang w:eastAsia="en-AU"/>
              </w:rPr>
              <w:t xml:space="preserve">Overseas share prices </w:t>
            </w:r>
          </w:p>
        </w:tc>
        <w:tc>
          <w:tcPr>
            <w:tcW w:w="883" w:type="dxa"/>
            <w:tcBorders>
              <w:top w:val="nil"/>
              <w:left w:val="nil"/>
              <w:bottom w:val="nil"/>
              <w:right w:val="nil"/>
            </w:tcBorders>
          </w:tcPr>
          <w:p w:rsidR="0070375D" w:rsidRPr="003D4D90" w:rsidRDefault="0070375D" w:rsidP="003D4D90">
            <w:pPr>
              <w:pStyle w:val="TableofFigures"/>
              <w:rPr>
                <w:color w:val="000000"/>
                <w:lang w:eastAsia="en-AU"/>
              </w:rPr>
            </w:pPr>
          </w:p>
        </w:tc>
        <w:tc>
          <w:tcPr>
            <w:tcW w:w="883" w:type="dxa"/>
            <w:tcBorders>
              <w:top w:val="nil"/>
              <w:left w:val="nil"/>
              <w:bottom w:val="nil"/>
              <w:right w:val="nil"/>
            </w:tcBorders>
          </w:tcPr>
          <w:p w:rsidR="0070375D" w:rsidRPr="003D4D90" w:rsidRDefault="0070375D" w:rsidP="003D4D90">
            <w:pPr>
              <w:pStyle w:val="TableofFigures"/>
              <w:rPr>
                <w:color w:val="000000"/>
                <w:lang w:eastAsia="en-AU"/>
              </w:rPr>
            </w:pPr>
          </w:p>
        </w:tc>
        <w:tc>
          <w:tcPr>
            <w:tcW w:w="883" w:type="dxa"/>
            <w:tcBorders>
              <w:top w:val="nil"/>
              <w:left w:val="nil"/>
              <w:bottom w:val="nil"/>
              <w:right w:val="nil"/>
            </w:tcBorders>
          </w:tcPr>
          <w:p w:rsidR="0070375D" w:rsidRPr="003D4D90" w:rsidRDefault="0070375D" w:rsidP="003D4D90">
            <w:pPr>
              <w:pStyle w:val="TableofFigures"/>
              <w:rPr>
                <w:color w:val="000000"/>
                <w:lang w:eastAsia="en-AU"/>
              </w:rPr>
            </w:pPr>
          </w:p>
        </w:tc>
        <w:tc>
          <w:tcPr>
            <w:tcW w:w="883" w:type="dxa"/>
            <w:tcBorders>
              <w:top w:val="nil"/>
              <w:left w:val="nil"/>
              <w:bottom w:val="nil"/>
              <w:right w:val="nil"/>
            </w:tcBorders>
          </w:tcPr>
          <w:p w:rsidR="0070375D" w:rsidRPr="003D4D90" w:rsidRDefault="0070375D" w:rsidP="003D4D90">
            <w:pPr>
              <w:pStyle w:val="TableofFigures"/>
              <w:rPr>
                <w:color w:val="000000"/>
                <w:lang w:eastAsia="en-AU"/>
              </w:rPr>
            </w:pPr>
          </w:p>
        </w:tc>
      </w:tr>
      <w:tr w:rsidR="0070375D" w:rsidRPr="003D4D90" w:rsidTr="00427B0C">
        <w:tc>
          <w:tcPr>
            <w:tcW w:w="4244" w:type="dxa"/>
            <w:tcBorders>
              <w:top w:val="nil"/>
              <w:left w:val="nil"/>
              <w:bottom w:val="nil"/>
              <w:right w:val="nil"/>
            </w:tcBorders>
          </w:tcPr>
          <w:p w:rsidR="0070375D" w:rsidRPr="003D4D90" w:rsidRDefault="0070375D" w:rsidP="003D4D90">
            <w:pPr>
              <w:pStyle w:val="Tabletext"/>
              <w:rPr>
                <w:color w:val="000000"/>
                <w:lang w:eastAsia="en-AU"/>
              </w:rPr>
            </w:pPr>
            <w:r w:rsidRPr="003D4D90">
              <w:rPr>
                <w:color w:val="000000"/>
                <w:lang w:eastAsia="en-AU"/>
              </w:rPr>
              <w:t>Income from transactions</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w:t>
            </w:r>
          </w:p>
        </w:tc>
      </w:tr>
      <w:tr w:rsidR="0070375D" w:rsidRPr="003D4D90" w:rsidTr="00427B0C">
        <w:tc>
          <w:tcPr>
            <w:tcW w:w="4244" w:type="dxa"/>
            <w:tcBorders>
              <w:top w:val="nil"/>
              <w:left w:val="nil"/>
              <w:bottom w:val="nil"/>
              <w:right w:val="nil"/>
            </w:tcBorders>
          </w:tcPr>
          <w:p w:rsidR="0070375D" w:rsidRPr="003D4D90" w:rsidRDefault="0070375D" w:rsidP="003D4D90">
            <w:pPr>
              <w:pStyle w:val="Tabletext"/>
              <w:rPr>
                <w:color w:val="000000"/>
                <w:lang w:eastAsia="en-AU"/>
              </w:rPr>
            </w:pPr>
            <w:r w:rsidRPr="003D4D90">
              <w:rPr>
                <w:color w:val="000000"/>
                <w:lang w:eastAsia="en-AU"/>
              </w:rPr>
              <w:t>Expenses from transactions</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w:t>
            </w:r>
          </w:p>
        </w:tc>
        <w:tc>
          <w:tcPr>
            <w:tcW w:w="883" w:type="dxa"/>
            <w:tcBorders>
              <w:top w:val="nil"/>
              <w:left w:val="nil"/>
              <w:bottom w:val="nil"/>
              <w:right w:val="nil"/>
            </w:tcBorders>
            <w:shd w:val="solid" w:color="FFFFFF" w:fill="auto"/>
          </w:tcPr>
          <w:p w:rsidR="0070375D" w:rsidRPr="003D4D90" w:rsidRDefault="00276239" w:rsidP="003D4D90">
            <w:pPr>
              <w:pStyle w:val="TableofFigures"/>
              <w:rPr>
                <w:color w:val="000000"/>
                <w:lang w:eastAsia="en-AU"/>
              </w:rPr>
            </w:pPr>
            <w:r>
              <w:rPr>
                <w:color w:val="000000"/>
                <w:lang w:eastAsia="en-AU"/>
              </w:rPr>
              <w:noBreakHyphen/>
            </w:r>
            <w:r w:rsidR="0070375D" w:rsidRPr="003D4D90">
              <w:rPr>
                <w:color w:val="000000"/>
                <w:lang w:eastAsia="en-AU"/>
              </w:rPr>
              <w:t>2</w:t>
            </w:r>
          </w:p>
        </w:tc>
        <w:tc>
          <w:tcPr>
            <w:tcW w:w="883" w:type="dxa"/>
            <w:tcBorders>
              <w:top w:val="nil"/>
              <w:left w:val="nil"/>
              <w:bottom w:val="nil"/>
              <w:right w:val="nil"/>
            </w:tcBorders>
            <w:shd w:val="solid" w:color="FFFFFF" w:fill="auto"/>
          </w:tcPr>
          <w:p w:rsidR="0070375D" w:rsidRPr="003D4D90" w:rsidRDefault="00276239" w:rsidP="003D4D90">
            <w:pPr>
              <w:pStyle w:val="TableofFigures"/>
              <w:rPr>
                <w:color w:val="000000"/>
                <w:lang w:eastAsia="en-AU"/>
              </w:rPr>
            </w:pPr>
            <w:r>
              <w:rPr>
                <w:color w:val="000000"/>
                <w:lang w:eastAsia="en-AU"/>
              </w:rPr>
              <w:noBreakHyphen/>
            </w:r>
            <w:r w:rsidR="0070375D" w:rsidRPr="003D4D90">
              <w:rPr>
                <w:color w:val="000000"/>
                <w:lang w:eastAsia="en-AU"/>
              </w:rPr>
              <w:t>2</w:t>
            </w:r>
          </w:p>
        </w:tc>
        <w:tc>
          <w:tcPr>
            <w:tcW w:w="883" w:type="dxa"/>
            <w:tcBorders>
              <w:top w:val="nil"/>
              <w:left w:val="nil"/>
              <w:bottom w:val="nil"/>
              <w:right w:val="nil"/>
            </w:tcBorders>
            <w:shd w:val="solid" w:color="FFFFFF" w:fill="auto"/>
          </w:tcPr>
          <w:p w:rsidR="0070375D" w:rsidRPr="003D4D90" w:rsidRDefault="00276239" w:rsidP="003D4D90">
            <w:pPr>
              <w:pStyle w:val="TableofFigures"/>
              <w:rPr>
                <w:color w:val="000000"/>
                <w:lang w:eastAsia="en-AU"/>
              </w:rPr>
            </w:pPr>
            <w:r>
              <w:rPr>
                <w:color w:val="000000"/>
                <w:lang w:eastAsia="en-AU"/>
              </w:rPr>
              <w:noBreakHyphen/>
            </w:r>
            <w:r w:rsidR="0070375D" w:rsidRPr="003D4D90">
              <w:rPr>
                <w:color w:val="000000"/>
                <w:lang w:eastAsia="en-AU"/>
              </w:rPr>
              <w:t>2</w:t>
            </w:r>
          </w:p>
        </w:tc>
      </w:tr>
      <w:tr w:rsidR="0070375D" w:rsidRPr="003D4D90" w:rsidTr="00427B0C">
        <w:tc>
          <w:tcPr>
            <w:tcW w:w="4244" w:type="dxa"/>
            <w:tcBorders>
              <w:top w:val="single" w:sz="6" w:space="0" w:color="auto"/>
              <w:left w:val="nil"/>
              <w:bottom w:val="single" w:sz="12" w:space="0" w:color="auto"/>
              <w:right w:val="nil"/>
            </w:tcBorders>
          </w:tcPr>
          <w:p w:rsidR="0070375D" w:rsidRPr="003D4D90" w:rsidRDefault="0070375D" w:rsidP="003D4D90">
            <w:pPr>
              <w:pStyle w:val="Tabletext"/>
              <w:rPr>
                <w:b/>
                <w:bCs/>
                <w:color w:val="000000"/>
                <w:lang w:eastAsia="en-AU"/>
              </w:rPr>
            </w:pPr>
            <w:r w:rsidRPr="003D4D90">
              <w:rPr>
                <w:b/>
                <w:bCs/>
                <w:color w:val="000000"/>
                <w:lang w:eastAsia="en-AU"/>
              </w:rPr>
              <w:t>Net result from transactions</w:t>
            </w:r>
          </w:p>
        </w:tc>
        <w:tc>
          <w:tcPr>
            <w:tcW w:w="883" w:type="dxa"/>
            <w:tcBorders>
              <w:top w:val="single" w:sz="6" w:space="0" w:color="auto"/>
              <w:left w:val="nil"/>
              <w:bottom w:val="single" w:sz="12" w:space="0" w:color="auto"/>
              <w:right w:val="nil"/>
            </w:tcBorders>
            <w:shd w:val="solid" w:color="FFFFFF" w:fill="auto"/>
          </w:tcPr>
          <w:p w:rsidR="0070375D" w:rsidRPr="003D4D90" w:rsidRDefault="0070375D" w:rsidP="003D4D90">
            <w:pPr>
              <w:pStyle w:val="TableofFigures"/>
              <w:rPr>
                <w:b/>
                <w:bCs/>
                <w:color w:val="000000"/>
                <w:lang w:eastAsia="en-AU"/>
              </w:rPr>
            </w:pPr>
            <w:r w:rsidRPr="003D4D90">
              <w:rPr>
                <w:b/>
                <w:bCs/>
                <w:color w:val="000000"/>
                <w:lang w:eastAsia="en-AU"/>
              </w:rPr>
              <w:t>..</w:t>
            </w:r>
          </w:p>
        </w:tc>
        <w:tc>
          <w:tcPr>
            <w:tcW w:w="883" w:type="dxa"/>
            <w:tcBorders>
              <w:top w:val="single" w:sz="6" w:space="0" w:color="auto"/>
              <w:left w:val="nil"/>
              <w:bottom w:val="single" w:sz="12" w:space="0" w:color="auto"/>
              <w:right w:val="nil"/>
            </w:tcBorders>
            <w:shd w:val="solid" w:color="FFFFFF" w:fill="auto"/>
          </w:tcPr>
          <w:p w:rsidR="0070375D" w:rsidRPr="003D4D90" w:rsidRDefault="0070375D" w:rsidP="003D4D90">
            <w:pPr>
              <w:pStyle w:val="TableofFigures"/>
              <w:rPr>
                <w:b/>
                <w:bCs/>
                <w:color w:val="000000"/>
                <w:lang w:eastAsia="en-AU"/>
              </w:rPr>
            </w:pPr>
            <w:r w:rsidRPr="003D4D90">
              <w:rPr>
                <w:b/>
                <w:bCs/>
                <w:color w:val="000000"/>
                <w:lang w:eastAsia="en-AU"/>
              </w:rPr>
              <w:t>2</w:t>
            </w:r>
          </w:p>
        </w:tc>
        <w:tc>
          <w:tcPr>
            <w:tcW w:w="883" w:type="dxa"/>
            <w:tcBorders>
              <w:top w:val="single" w:sz="6" w:space="0" w:color="auto"/>
              <w:left w:val="nil"/>
              <w:bottom w:val="single" w:sz="12" w:space="0" w:color="auto"/>
              <w:right w:val="nil"/>
            </w:tcBorders>
            <w:shd w:val="solid" w:color="FFFFFF" w:fill="auto"/>
          </w:tcPr>
          <w:p w:rsidR="0070375D" w:rsidRPr="003D4D90" w:rsidRDefault="0070375D" w:rsidP="003D4D90">
            <w:pPr>
              <w:pStyle w:val="TableofFigures"/>
              <w:rPr>
                <w:b/>
                <w:bCs/>
                <w:color w:val="000000"/>
                <w:lang w:eastAsia="en-AU"/>
              </w:rPr>
            </w:pPr>
            <w:r w:rsidRPr="003D4D90">
              <w:rPr>
                <w:b/>
                <w:bCs/>
                <w:color w:val="000000"/>
                <w:lang w:eastAsia="en-AU"/>
              </w:rPr>
              <w:t>2</w:t>
            </w:r>
          </w:p>
        </w:tc>
        <w:tc>
          <w:tcPr>
            <w:tcW w:w="883" w:type="dxa"/>
            <w:tcBorders>
              <w:top w:val="single" w:sz="6" w:space="0" w:color="auto"/>
              <w:left w:val="nil"/>
              <w:bottom w:val="single" w:sz="12" w:space="0" w:color="auto"/>
              <w:right w:val="nil"/>
            </w:tcBorders>
            <w:shd w:val="solid" w:color="FFFFFF" w:fill="auto"/>
          </w:tcPr>
          <w:p w:rsidR="0070375D" w:rsidRPr="003D4D90" w:rsidRDefault="0070375D" w:rsidP="003D4D90">
            <w:pPr>
              <w:pStyle w:val="TableofFigures"/>
              <w:rPr>
                <w:b/>
                <w:bCs/>
                <w:color w:val="000000"/>
                <w:lang w:eastAsia="en-AU"/>
              </w:rPr>
            </w:pPr>
            <w:r w:rsidRPr="003D4D90">
              <w:rPr>
                <w:b/>
                <w:bCs/>
                <w:color w:val="000000"/>
                <w:lang w:eastAsia="en-AU"/>
              </w:rPr>
              <w:t>2</w:t>
            </w:r>
          </w:p>
        </w:tc>
      </w:tr>
      <w:tr w:rsidR="0070375D" w:rsidRPr="003D4D90" w:rsidTr="00427B0C">
        <w:tc>
          <w:tcPr>
            <w:tcW w:w="4244" w:type="dxa"/>
            <w:tcBorders>
              <w:top w:val="nil"/>
              <w:left w:val="nil"/>
              <w:bottom w:val="nil"/>
              <w:right w:val="nil"/>
            </w:tcBorders>
          </w:tcPr>
          <w:p w:rsidR="0070375D" w:rsidRPr="003D4D90" w:rsidRDefault="0070375D" w:rsidP="003D4D90">
            <w:pPr>
              <w:pStyle w:val="Tabletext"/>
              <w:rPr>
                <w:b/>
                <w:bCs/>
                <w:color w:val="000000"/>
                <w:lang w:eastAsia="en-AU"/>
              </w:rPr>
            </w:pPr>
            <w:r w:rsidRPr="003D4D90">
              <w:rPr>
                <w:b/>
                <w:bCs/>
                <w:color w:val="000000"/>
                <w:lang w:eastAsia="en-AU"/>
              </w:rPr>
              <w:t>Property prices</w:t>
            </w:r>
          </w:p>
        </w:tc>
        <w:tc>
          <w:tcPr>
            <w:tcW w:w="883" w:type="dxa"/>
            <w:tcBorders>
              <w:top w:val="nil"/>
              <w:left w:val="nil"/>
              <w:bottom w:val="nil"/>
              <w:right w:val="nil"/>
            </w:tcBorders>
          </w:tcPr>
          <w:p w:rsidR="0070375D" w:rsidRPr="003D4D90" w:rsidRDefault="0070375D" w:rsidP="003D4D90">
            <w:pPr>
              <w:pStyle w:val="TableofFigures"/>
              <w:rPr>
                <w:color w:val="000000"/>
                <w:lang w:eastAsia="en-AU"/>
              </w:rPr>
            </w:pPr>
          </w:p>
        </w:tc>
        <w:tc>
          <w:tcPr>
            <w:tcW w:w="883" w:type="dxa"/>
            <w:tcBorders>
              <w:top w:val="nil"/>
              <w:left w:val="nil"/>
              <w:bottom w:val="nil"/>
              <w:right w:val="nil"/>
            </w:tcBorders>
          </w:tcPr>
          <w:p w:rsidR="0070375D" w:rsidRPr="003D4D90" w:rsidRDefault="0070375D" w:rsidP="003D4D90">
            <w:pPr>
              <w:pStyle w:val="TableofFigures"/>
              <w:rPr>
                <w:color w:val="000000"/>
                <w:lang w:eastAsia="en-AU"/>
              </w:rPr>
            </w:pPr>
          </w:p>
        </w:tc>
        <w:tc>
          <w:tcPr>
            <w:tcW w:w="883" w:type="dxa"/>
            <w:tcBorders>
              <w:top w:val="nil"/>
              <w:left w:val="nil"/>
              <w:bottom w:val="nil"/>
              <w:right w:val="nil"/>
            </w:tcBorders>
          </w:tcPr>
          <w:p w:rsidR="0070375D" w:rsidRPr="003D4D90" w:rsidRDefault="0070375D" w:rsidP="003D4D90">
            <w:pPr>
              <w:pStyle w:val="TableofFigures"/>
              <w:rPr>
                <w:color w:val="000000"/>
                <w:lang w:eastAsia="en-AU"/>
              </w:rPr>
            </w:pPr>
          </w:p>
        </w:tc>
        <w:tc>
          <w:tcPr>
            <w:tcW w:w="883" w:type="dxa"/>
            <w:tcBorders>
              <w:top w:val="nil"/>
              <w:left w:val="nil"/>
              <w:bottom w:val="nil"/>
              <w:right w:val="nil"/>
            </w:tcBorders>
          </w:tcPr>
          <w:p w:rsidR="0070375D" w:rsidRPr="003D4D90" w:rsidRDefault="0070375D" w:rsidP="003D4D90">
            <w:pPr>
              <w:pStyle w:val="TableofFigures"/>
              <w:rPr>
                <w:color w:val="000000"/>
                <w:lang w:eastAsia="en-AU"/>
              </w:rPr>
            </w:pPr>
          </w:p>
        </w:tc>
      </w:tr>
      <w:tr w:rsidR="0070375D" w:rsidRPr="003D4D90" w:rsidTr="00427B0C">
        <w:tc>
          <w:tcPr>
            <w:tcW w:w="4244" w:type="dxa"/>
            <w:tcBorders>
              <w:top w:val="nil"/>
              <w:left w:val="nil"/>
              <w:bottom w:val="nil"/>
              <w:right w:val="nil"/>
            </w:tcBorders>
          </w:tcPr>
          <w:p w:rsidR="0070375D" w:rsidRPr="003D4D90" w:rsidRDefault="0070375D" w:rsidP="003D4D90">
            <w:pPr>
              <w:pStyle w:val="Tabletext"/>
              <w:rPr>
                <w:color w:val="000000"/>
                <w:lang w:eastAsia="en-AU"/>
              </w:rPr>
            </w:pPr>
            <w:r w:rsidRPr="003D4D90">
              <w:rPr>
                <w:color w:val="000000"/>
                <w:lang w:eastAsia="en-AU"/>
              </w:rPr>
              <w:t>Income from transactions</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42</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52</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54</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58</w:t>
            </w:r>
          </w:p>
        </w:tc>
      </w:tr>
      <w:tr w:rsidR="0070375D" w:rsidRPr="003D4D90" w:rsidTr="00427B0C">
        <w:tc>
          <w:tcPr>
            <w:tcW w:w="4244" w:type="dxa"/>
            <w:tcBorders>
              <w:top w:val="nil"/>
              <w:left w:val="nil"/>
              <w:bottom w:val="nil"/>
              <w:right w:val="nil"/>
            </w:tcBorders>
          </w:tcPr>
          <w:p w:rsidR="0070375D" w:rsidRPr="003D4D90" w:rsidRDefault="0070375D" w:rsidP="003D4D90">
            <w:pPr>
              <w:pStyle w:val="Tabletext"/>
              <w:rPr>
                <w:color w:val="000000"/>
                <w:lang w:eastAsia="en-AU"/>
              </w:rPr>
            </w:pPr>
            <w:r w:rsidRPr="003D4D90">
              <w:rPr>
                <w:color w:val="000000"/>
                <w:lang w:eastAsia="en-AU"/>
              </w:rPr>
              <w:t>Expenses from transactions</w:t>
            </w:r>
          </w:p>
        </w:tc>
        <w:tc>
          <w:tcPr>
            <w:tcW w:w="883" w:type="dxa"/>
            <w:tcBorders>
              <w:top w:val="nil"/>
              <w:left w:val="nil"/>
              <w:bottom w:val="nil"/>
              <w:right w:val="nil"/>
            </w:tcBorders>
            <w:shd w:val="solid" w:color="FFFFFF" w:fill="auto"/>
          </w:tcPr>
          <w:p w:rsidR="0070375D" w:rsidRPr="003D4D90" w:rsidRDefault="00276239" w:rsidP="003D4D90">
            <w:pPr>
              <w:pStyle w:val="TableofFigures"/>
              <w:rPr>
                <w:color w:val="000000"/>
                <w:lang w:eastAsia="en-AU"/>
              </w:rPr>
            </w:pPr>
            <w:r>
              <w:rPr>
                <w:color w:val="000000"/>
                <w:lang w:eastAsia="en-AU"/>
              </w:rPr>
              <w:noBreakHyphen/>
            </w:r>
            <w:r w:rsidR="0070375D" w:rsidRPr="003D4D90">
              <w:rPr>
                <w:color w:val="000000"/>
                <w:lang w:eastAsia="en-AU"/>
              </w:rPr>
              <w:t>1</w:t>
            </w:r>
          </w:p>
        </w:tc>
        <w:tc>
          <w:tcPr>
            <w:tcW w:w="883" w:type="dxa"/>
            <w:tcBorders>
              <w:top w:val="nil"/>
              <w:left w:val="nil"/>
              <w:bottom w:val="nil"/>
              <w:right w:val="nil"/>
            </w:tcBorders>
            <w:shd w:val="solid" w:color="FFFFFF" w:fill="auto"/>
          </w:tcPr>
          <w:p w:rsidR="0070375D" w:rsidRPr="003D4D90" w:rsidRDefault="00276239" w:rsidP="003D4D90">
            <w:pPr>
              <w:pStyle w:val="TableofFigures"/>
              <w:rPr>
                <w:color w:val="000000"/>
                <w:lang w:eastAsia="en-AU"/>
              </w:rPr>
            </w:pPr>
            <w:r>
              <w:rPr>
                <w:color w:val="000000"/>
                <w:lang w:eastAsia="en-AU"/>
              </w:rPr>
              <w:noBreakHyphen/>
            </w:r>
            <w:r w:rsidR="0070375D" w:rsidRPr="003D4D90">
              <w:rPr>
                <w:color w:val="000000"/>
                <w:lang w:eastAsia="en-AU"/>
              </w:rPr>
              <w:t>4</w:t>
            </w:r>
          </w:p>
        </w:tc>
        <w:tc>
          <w:tcPr>
            <w:tcW w:w="883" w:type="dxa"/>
            <w:tcBorders>
              <w:top w:val="nil"/>
              <w:left w:val="nil"/>
              <w:bottom w:val="nil"/>
              <w:right w:val="nil"/>
            </w:tcBorders>
            <w:shd w:val="solid" w:color="FFFFFF" w:fill="auto"/>
          </w:tcPr>
          <w:p w:rsidR="0070375D" w:rsidRPr="003D4D90" w:rsidRDefault="00276239" w:rsidP="003D4D90">
            <w:pPr>
              <w:pStyle w:val="TableofFigures"/>
              <w:rPr>
                <w:color w:val="000000"/>
                <w:lang w:eastAsia="en-AU"/>
              </w:rPr>
            </w:pPr>
            <w:r>
              <w:rPr>
                <w:color w:val="000000"/>
                <w:lang w:eastAsia="en-AU"/>
              </w:rPr>
              <w:noBreakHyphen/>
            </w:r>
            <w:r w:rsidR="0070375D" w:rsidRPr="003D4D90">
              <w:rPr>
                <w:color w:val="000000"/>
                <w:lang w:eastAsia="en-AU"/>
              </w:rPr>
              <w:t>7</w:t>
            </w:r>
          </w:p>
        </w:tc>
        <w:tc>
          <w:tcPr>
            <w:tcW w:w="883" w:type="dxa"/>
            <w:tcBorders>
              <w:top w:val="nil"/>
              <w:left w:val="nil"/>
              <w:bottom w:val="nil"/>
              <w:right w:val="nil"/>
            </w:tcBorders>
            <w:shd w:val="solid" w:color="FFFFFF" w:fill="auto"/>
          </w:tcPr>
          <w:p w:rsidR="0070375D" w:rsidRPr="003D4D90" w:rsidRDefault="00276239" w:rsidP="003D4D90">
            <w:pPr>
              <w:pStyle w:val="TableofFigures"/>
              <w:rPr>
                <w:color w:val="000000"/>
                <w:lang w:eastAsia="en-AU"/>
              </w:rPr>
            </w:pPr>
            <w:r>
              <w:rPr>
                <w:color w:val="000000"/>
                <w:lang w:eastAsia="en-AU"/>
              </w:rPr>
              <w:noBreakHyphen/>
            </w:r>
            <w:r w:rsidR="0070375D" w:rsidRPr="003D4D90">
              <w:rPr>
                <w:color w:val="000000"/>
                <w:lang w:eastAsia="en-AU"/>
              </w:rPr>
              <w:t>9</w:t>
            </w:r>
          </w:p>
        </w:tc>
      </w:tr>
      <w:tr w:rsidR="0070375D" w:rsidRPr="003D4D90" w:rsidTr="00427B0C">
        <w:tc>
          <w:tcPr>
            <w:tcW w:w="4244" w:type="dxa"/>
            <w:tcBorders>
              <w:top w:val="single" w:sz="6" w:space="0" w:color="auto"/>
              <w:left w:val="nil"/>
              <w:bottom w:val="single" w:sz="6" w:space="0" w:color="auto"/>
              <w:right w:val="nil"/>
            </w:tcBorders>
          </w:tcPr>
          <w:p w:rsidR="0070375D" w:rsidRPr="003D4D90" w:rsidRDefault="0070375D" w:rsidP="003D4D90">
            <w:pPr>
              <w:pStyle w:val="Tabletext"/>
              <w:rPr>
                <w:b/>
                <w:bCs/>
                <w:color w:val="000000"/>
                <w:lang w:eastAsia="en-AU"/>
              </w:rPr>
            </w:pPr>
            <w:r w:rsidRPr="003D4D90">
              <w:rPr>
                <w:b/>
                <w:bCs/>
                <w:color w:val="000000"/>
                <w:lang w:eastAsia="en-AU"/>
              </w:rPr>
              <w:t>Net result from transactions</w:t>
            </w:r>
          </w:p>
        </w:tc>
        <w:tc>
          <w:tcPr>
            <w:tcW w:w="883" w:type="dxa"/>
            <w:tcBorders>
              <w:top w:val="single" w:sz="6" w:space="0" w:color="auto"/>
              <w:left w:val="nil"/>
              <w:bottom w:val="single" w:sz="6" w:space="0" w:color="auto"/>
              <w:right w:val="nil"/>
            </w:tcBorders>
            <w:shd w:val="solid" w:color="FFFFFF" w:fill="auto"/>
          </w:tcPr>
          <w:p w:rsidR="0070375D" w:rsidRPr="003D4D90" w:rsidRDefault="0070375D" w:rsidP="003D4D90">
            <w:pPr>
              <w:pStyle w:val="TableofFigures"/>
              <w:rPr>
                <w:b/>
                <w:bCs/>
                <w:color w:val="000000"/>
                <w:lang w:eastAsia="en-AU"/>
              </w:rPr>
            </w:pPr>
            <w:r w:rsidRPr="003D4D90">
              <w:rPr>
                <w:b/>
                <w:bCs/>
                <w:color w:val="000000"/>
                <w:lang w:eastAsia="en-AU"/>
              </w:rPr>
              <w:t>43</w:t>
            </w:r>
          </w:p>
        </w:tc>
        <w:tc>
          <w:tcPr>
            <w:tcW w:w="883" w:type="dxa"/>
            <w:tcBorders>
              <w:top w:val="single" w:sz="6" w:space="0" w:color="auto"/>
              <w:left w:val="nil"/>
              <w:bottom w:val="single" w:sz="6" w:space="0" w:color="auto"/>
              <w:right w:val="nil"/>
            </w:tcBorders>
            <w:shd w:val="solid" w:color="FFFFFF" w:fill="auto"/>
          </w:tcPr>
          <w:p w:rsidR="0070375D" w:rsidRPr="003D4D90" w:rsidRDefault="0070375D" w:rsidP="003D4D90">
            <w:pPr>
              <w:pStyle w:val="TableofFigures"/>
              <w:rPr>
                <w:b/>
                <w:bCs/>
                <w:color w:val="000000"/>
                <w:lang w:eastAsia="en-AU"/>
              </w:rPr>
            </w:pPr>
            <w:r w:rsidRPr="003D4D90">
              <w:rPr>
                <w:b/>
                <w:bCs/>
                <w:color w:val="000000"/>
                <w:lang w:eastAsia="en-AU"/>
              </w:rPr>
              <w:t>56</w:t>
            </w:r>
          </w:p>
        </w:tc>
        <w:tc>
          <w:tcPr>
            <w:tcW w:w="883" w:type="dxa"/>
            <w:tcBorders>
              <w:top w:val="single" w:sz="6" w:space="0" w:color="auto"/>
              <w:left w:val="nil"/>
              <w:bottom w:val="single" w:sz="6" w:space="0" w:color="auto"/>
              <w:right w:val="nil"/>
            </w:tcBorders>
            <w:shd w:val="solid" w:color="FFFFFF" w:fill="auto"/>
          </w:tcPr>
          <w:p w:rsidR="0070375D" w:rsidRPr="003D4D90" w:rsidRDefault="0070375D" w:rsidP="003D4D90">
            <w:pPr>
              <w:pStyle w:val="TableofFigures"/>
              <w:rPr>
                <w:b/>
                <w:bCs/>
                <w:color w:val="000000"/>
                <w:lang w:eastAsia="en-AU"/>
              </w:rPr>
            </w:pPr>
            <w:r w:rsidRPr="003D4D90">
              <w:rPr>
                <w:b/>
                <w:bCs/>
                <w:color w:val="000000"/>
                <w:lang w:eastAsia="en-AU"/>
              </w:rPr>
              <w:t>61</w:t>
            </w:r>
          </w:p>
        </w:tc>
        <w:tc>
          <w:tcPr>
            <w:tcW w:w="883" w:type="dxa"/>
            <w:tcBorders>
              <w:top w:val="single" w:sz="6" w:space="0" w:color="auto"/>
              <w:left w:val="nil"/>
              <w:bottom w:val="single" w:sz="6" w:space="0" w:color="auto"/>
              <w:right w:val="nil"/>
            </w:tcBorders>
            <w:shd w:val="solid" w:color="FFFFFF" w:fill="auto"/>
          </w:tcPr>
          <w:p w:rsidR="0070375D" w:rsidRPr="003D4D90" w:rsidRDefault="0070375D" w:rsidP="003D4D90">
            <w:pPr>
              <w:pStyle w:val="TableofFigures"/>
              <w:rPr>
                <w:b/>
                <w:bCs/>
                <w:color w:val="000000"/>
                <w:lang w:eastAsia="en-AU"/>
              </w:rPr>
            </w:pPr>
            <w:r w:rsidRPr="003D4D90">
              <w:rPr>
                <w:b/>
                <w:bCs/>
                <w:color w:val="000000"/>
                <w:lang w:eastAsia="en-AU"/>
              </w:rPr>
              <w:t>67</w:t>
            </w:r>
          </w:p>
        </w:tc>
      </w:tr>
      <w:tr w:rsidR="0070375D" w:rsidRPr="003D4D90" w:rsidTr="00427B0C">
        <w:tc>
          <w:tcPr>
            <w:tcW w:w="4244" w:type="dxa"/>
            <w:tcBorders>
              <w:top w:val="nil"/>
              <w:left w:val="nil"/>
              <w:bottom w:val="nil"/>
              <w:right w:val="nil"/>
            </w:tcBorders>
          </w:tcPr>
          <w:p w:rsidR="0070375D" w:rsidRPr="003D4D90" w:rsidRDefault="0070375D" w:rsidP="003D4D90">
            <w:pPr>
              <w:pStyle w:val="Tabletext"/>
              <w:rPr>
                <w:color w:val="000000"/>
                <w:lang w:eastAsia="en-AU"/>
              </w:rPr>
            </w:pPr>
            <w:r w:rsidRPr="003D4D90">
              <w:rPr>
                <w:color w:val="000000"/>
                <w:lang w:eastAsia="en-AU"/>
              </w:rPr>
              <w:t>Other economic flows</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2</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2</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3</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2</w:t>
            </w:r>
          </w:p>
        </w:tc>
      </w:tr>
      <w:tr w:rsidR="0070375D" w:rsidRPr="003D4D90" w:rsidTr="00427B0C">
        <w:tc>
          <w:tcPr>
            <w:tcW w:w="4244" w:type="dxa"/>
            <w:tcBorders>
              <w:top w:val="single" w:sz="6" w:space="0" w:color="auto"/>
              <w:left w:val="nil"/>
              <w:bottom w:val="single" w:sz="12" w:space="0" w:color="auto"/>
              <w:right w:val="nil"/>
            </w:tcBorders>
          </w:tcPr>
          <w:p w:rsidR="0070375D" w:rsidRPr="003D4D90" w:rsidRDefault="0070375D" w:rsidP="003D4D90">
            <w:pPr>
              <w:pStyle w:val="Tabletext"/>
              <w:rPr>
                <w:b/>
                <w:bCs/>
                <w:color w:val="000000"/>
                <w:lang w:eastAsia="en-AU"/>
              </w:rPr>
            </w:pPr>
            <w:r w:rsidRPr="003D4D90">
              <w:rPr>
                <w:b/>
                <w:bCs/>
                <w:color w:val="000000"/>
                <w:lang w:eastAsia="en-AU"/>
              </w:rPr>
              <w:t>Net result</w:t>
            </w:r>
          </w:p>
        </w:tc>
        <w:tc>
          <w:tcPr>
            <w:tcW w:w="883" w:type="dxa"/>
            <w:tcBorders>
              <w:top w:val="single" w:sz="6" w:space="0" w:color="auto"/>
              <w:left w:val="nil"/>
              <w:bottom w:val="single" w:sz="12" w:space="0" w:color="auto"/>
              <w:right w:val="nil"/>
            </w:tcBorders>
            <w:shd w:val="solid" w:color="FFFFFF" w:fill="auto"/>
          </w:tcPr>
          <w:p w:rsidR="0070375D" w:rsidRPr="003D4D90" w:rsidRDefault="0070375D" w:rsidP="003D4D90">
            <w:pPr>
              <w:pStyle w:val="TableofFigures"/>
              <w:rPr>
                <w:b/>
                <w:bCs/>
                <w:color w:val="000000"/>
                <w:lang w:eastAsia="en-AU"/>
              </w:rPr>
            </w:pPr>
            <w:r w:rsidRPr="003D4D90">
              <w:rPr>
                <w:b/>
                <w:bCs/>
                <w:color w:val="000000"/>
                <w:lang w:eastAsia="en-AU"/>
              </w:rPr>
              <w:t>45</w:t>
            </w:r>
          </w:p>
        </w:tc>
        <w:tc>
          <w:tcPr>
            <w:tcW w:w="883" w:type="dxa"/>
            <w:tcBorders>
              <w:top w:val="single" w:sz="6" w:space="0" w:color="auto"/>
              <w:left w:val="nil"/>
              <w:bottom w:val="single" w:sz="12" w:space="0" w:color="auto"/>
              <w:right w:val="nil"/>
            </w:tcBorders>
            <w:shd w:val="solid" w:color="FFFFFF" w:fill="auto"/>
          </w:tcPr>
          <w:p w:rsidR="0070375D" w:rsidRPr="003D4D90" w:rsidRDefault="0070375D" w:rsidP="003D4D90">
            <w:pPr>
              <w:pStyle w:val="TableofFigures"/>
              <w:rPr>
                <w:b/>
                <w:bCs/>
                <w:color w:val="000000"/>
                <w:lang w:eastAsia="en-AU"/>
              </w:rPr>
            </w:pPr>
            <w:r w:rsidRPr="003D4D90">
              <w:rPr>
                <w:b/>
                <w:bCs/>
                <w:color w:val="000000"/>
                <w:lang w:eastAsia="en-AU"/>
              </w:rPr>
              <w:t>58</w:t>
            </w:r>
          </w:p>
        </w:tc>
        <w:tc>
          <w:tcPr>
            <w:tcW w:w="883" w:type="dxa"/>
            <w:tcBorders>
              <w:top w:val="single" w:sz="6" w:space="0" w:color="auto"/>
              <w:left w:val="nil"/>
              <w:bottom w:val="single" w:sz="12" w:space="0" w:color="auto"/>
              <w:right w:val="nil"/>
            </w:tcBorders>
            <w:shd w:val="solid" w:color="FFFFFF" w:fill="auto"/>
          </w:tcPr>
          <w:p w:rsidR="0070375D" w:rsidRPr="003D4D90" w:rsidRDefault="0070375D" w:rsidP="003D4D90">
            <w:pPr>
              <w:pStyle w:val="TableofFigures"/>
              <w:rPr>
                <w:b/>
                <w:bCs/>
                <w:color w:val="000000"/>
                <w:lang w:eastAsia="en-AU"/>
              </w:rPr>
            </w:pPr>
            <w:r w:rsidRPr="003D4D90">
              <w:rPr>
                <w:b/>
                <w:bCs/>
                <w:color w:val="000000"/>
                <w:lang w:eastAsia="en-AU"/>
              </w:rPr>
              <w:t>63</w:t>
            </w:r>
          </w:p>
        </w:tc>
        <w:tc>
          <w:tcPr>
            <w:tcW w:w="883" w:type="dxa"/>
            <w:tcBorders>
              <w:top w:val="single" w:sz="6" w:space="0" w:color="auto"/>
              <w:left w:val="nil"/>
              <w:bottom w:val="single" w:sz="12" w:space="0" w:color="auto"/>
              <w:right w:val="nil"/>
            </w:tcBorders>
            <w:shd w:val="solid" w:color="FFFFFF" w:fill="auto"/>
          </w:tcPr>
          <w:p w:rsidR="0070375D" w:rsidRPr="003D4D90" w:rsidRDefault="0070375D" w:rsidP="003D4D90">
            <w:pPr>
              <w:pStyle w:val="TableofFigures"/>
              <w:rPr>
                <w:b/>
                <w:bCs/>
                <w:color w:val="000000"/>
                <w:lang w:eastAsia="en-AU"/>
              </w:rPr>
            </w:pPr>
            <w:r w:rsidRPr="003D4D90">
              <w:rPr>
                <w:b/>
                <w:bCs/>
                <w:color w:val="000000"/>
                <w:lang w:eastAsia="en-AU"/>
              </w:rPr>
              <w:t>69</w:t>
            </w:r>
          </w:p>
        </w:tc>
      </w:tr>
      <w:tr w:rsidR="0070375D" w:rsidRPr="003D4D90" w:rsidTr="00427B0C">
        <w:tc>
          <w:tcPr>
            <w:tcW w:w="4244" w:type="dxa"/>
            <w:tcBorders>
              <w:top w:val="nil"/>
              <w:left w:val="nil"/>
              <w:bottom w:val="nil"/>
              <w:right w:val="nil"/>
            </w:tcBorders>
          </w:tcPr>
          <w:p w:rsidR="0070375D" w:rsidRPr="003D4D90" w:rsidRDefault="0070375D" w:rsidP="003D4D90">
            <w:pPr>
              <w:pStyle w:val="Tabletext"/>
              <w:rPr>
                <w:b/>
                <w:bCs/>
                <w:color w:val="000000"/>
                <w:lang w:eastAsia="en-AU"/>
              </w:rPr>
            </w:pPr>
            <w:r w:rsidRPr="003D4D90">
              <w:rPr>
                <w:b/>
                <w:bCs/>
                <w:color w:val="000000"/>
                <w:lang w:eastAsia="en-AU"/>
              </w:rPr>
              <w:t>Property volumes</w:t>
            </w:r>
          </w:p>
        </w:tc>
        <w:tc>
          <w:tcPr>
            <w:tcW w:w="883" w:type="dxa"/>
            <w:tcBorders>
              <w:top w:val="nil"/>
              <w:left w:val="nil"/>
              <w:bottom w:val="nil"/>
              <w:right w:val="nil"/>
            </w:tcBorders>
          </w:tcPr>
          <w:p w:rsidR="0070375D" w:rsidRPr="003D4D90" w:rsidRDefault="0070375D" w:rsidP="003D4D90">
            <w:pPr>
              <w:pStyle w:val="TableofFigures"/>
              <w:rPr>
                <w:color w:val="000000"/>
                <w:lang w:eastAsia="en-AU"/>
              </w:rPr>
            </w:pPr>
          </w:p>
        </w:tc>
        <w:tc>
          <w:tcPr>
            <w:tcW w:w="883" w:type="dxa"/>
            <w:tcBorders>
              <w:top w:val="nil"/>
              <w:left w:val="nil"/>
              <w:bottom w:val="nil"/>
              <w:right w:val="nil"/>
            </w:tcBorders>
          </w:tcPr>
          <w:p w:rsidR="0070375D" w:rsidRPr="003D4D90" w:rsidRDefault="0070375D" w:rsidP="003D4D90">
            <w:pPr>
              <w:pStyle w:val="TableofFigures"/>
              <w:rPr>
                <w:color w:val="000000"/>
                <w:lang w:eastAsia="en-AU"/>
              </w:rPr>
            </w:pPr>
          </w:p>
        </w:tc>
        <w:tc>
          <w:tcPr>
            <w:tcW w:w="883" w:type="dxa"/>
            <w:tcBorders>
              <w:top w:val="nil"/>
              <w:left w:val="nil"/>
              <w:bottom w:val="nil"/>
              <w:right w:val="nil"/>
            </w:tcBorders>
          </w:tcPr>
          <w:p w:rsidR="0070375D" w:rsidRPr="003D4D90" w:rsidRDefault="0070375D" w:rsidP="003D4D90">
            <w:pPr>
              <w:pStyle w:val="TableofFigures"/>
              <w:rPr>
                <w:color w:val="000000"/>
                <w:lang w:eastAsia="en-AU"/>
              </w:rPr>
            </w:pPr>
          </w:p>
        </w:tc>
        <w:tc>
          <w:tcPr>
            <w:tcW w:w="883" w:type="dxa"/>
            <w:tcBorders>
              <w:top w:val="nil"/>
              <w:left w:val="nil"/>
              <w:bottom w:val="nil"/>
              <w:right w:val="nil"/>
            </w:tcBorders>
          </w:tcPr>
          <w:p w:rsidR="0070375D" w:rsidRPr="003D4D90" w:rsidRDefault="0070375D" w:rsidP="003D4D90">
            <w:pPr>
              <w:pStyle w:val="TableofFigures"/>
              <w:rPr>
                <w:color w:val="000000"/>
                <w:lang w:eastAsia="en-AU"/>
              </w:rPr>
            </w:pPr>
          </w:p>
        </w:tc>
      </w:tr>
      <w:tr w:rsidR="0070375D" w:rsidRPr="003D4D90" w:rsidTr="00427B0C">
        <w:tc>
          <w:tcPr>
            <w:tcW w:w="4244" w:type="dxa"/>
            <w:tcBorders>
              <w:top w:val="nil"/>
              <w:left w:val="nil"/>
              <w:bottom w:val="nil"/>
              <w:right w:val="nil"/>
            </w:tcBorders>
          </w:tcPr>
          <w:p w:rsidR="0070375D" w:rsidRPr="003D4D90" w:rsidRDefault="0070375D" w:rsidP="003D4D90">
            <w:pPr>
              <w:pStyle w:val="Tabletext"/>
              <w:rPr>
                <w:color w:val="000000"/>
                <w:lang w:eastAsia="en-AU"/>
              </w:rPr>
            </w:pPr>
            <w:r w:rsidRPr="003D4D90">
              <w:rPr>
                <w:color w:val="000000"/>
                <w:lang w:eastAsia="en-AU"/>
              </w:rPr>
              <w:t>Income from transactions</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36</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39</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41</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43</w:t>
            </w:r>
          </w:p>
        </w:tc>
      </w:tr>
      <w:tr w:rsidR="0070375D" w:rsidRPr="003D4D90" w:rsidTr="00427B0C">
        <w:tc>
          <w:tcPr>
            <w:tcW w:w="4244" w:type="dxa"/>
            <w:tcBorders>
              <w:top w:val="nil"/>
              <w:left w:val="nil"/>
              <w:bottom w:val="nil"/>
              <w:right w:val="nil"/>
            </w:tcBorders>
          </w:tcPr>
          <w:p w:rsidR="0070375D" w:rsidRPr="003D4D90" w:rsidRDefault="0070375D" w:rsidP="003D4D90">
            <w:pPr>
              <w:pStyle w:val="Tabletext"/>
              <w:rPr>
                <w:color w:val="000000"/>
                <w:lang w:eastAsia="en-AU"/>
              </w:rPr>
            </w:pPr>
            <w:r w:rsidRPr="003D4D90">
              <w:rPr>
                <w:color w:val="000000"/>
                <w:lang w:eastAsia="en-AU"/>
              </w:rPr>
              <w:t>Expenses from transactions</w:t>
            </w:r>
          </w:p>
        </w:tc>
        <w:tc>
          <w:tcPr>
            <w:tcW w:w="883" w:type="dxa"/>
            <w:tcBorders>
              <w:top w:val="nil"/>
              <w:left w:val="nil"/>
              <w:bottom w:val="nil"/>
              <w:right w:val="nil"/>
            </w:tcBorders>
            <w:shd w:val="solid" w:color="FFFFFF" w:fill="auto"/>
          </w:tcPr>
          <w:p w:rsidR="0070375D" w:rsidRPr="003D4D90" w:rsidRDefault="00276239" w:rsidP="003D4D90">
            <w:pPr>
              <w:pStyle w:val="TableofFigures"/>
              <w:rPr>
                <w:color w:val="000000"/>
                <w:lang w:eastAsia="en-AU"/>
              </w:rPr>
            </w:pPr>
            <w:r>
              <w:rPr>
                <w:color w:val="000000"/>
                <w:lang w:eastAsia="en-AU"/>
              </w:rPr>
              <w:noBreakHyphen/>
            </w:r>
            <w:r w:rsidR="0070375D" w:rsidRPr="003D4D90">
              <w:rPr>
                <w:color w:val="000000"/>
                <w:lang w:eastAsia="en-AU"/>
              </w:rPr>
              <w:t>1</w:t>
            </w:r>
          </w:p>
        </w:tc>
        <w:tc>
          <w:tcPr>
            <w:tcW w:w="883" w:type="dxa"/>
            <w:tcBorders>
              <w:top w:val="nil"/>
              <w:left w:val="nil"/>
              <w:bottom w:val="nil"/>
              <w:right w:val="nil"/>
            </w:tcBorders>
            <w:shd w:val="solid" w:color="FFFFFF" w:fill="auto"/>
          </w:tcPr>
          <w:p w:rsidR="0070375D" w:rsidRPr="003D4D90" w:rsidRDefault="00276239" w:rsidP="003D4D90">
            <w:pPr>
              <w:pStyle w:val="TableofFigures"/>
              <w:rPr>
                <w:color w:val="000000"/>
                <w:lang w:eastAsia="en-AU"/>
              </w:rPr>
            </w:pPr>
            <w:r>
              <w:rPr>
                <w:color w:val="000000"/>
                <w:lang w:eastAsia="en-AU"/>
              </w:rPr>
              <w:noBreakHyphen/>
            </w:r>
            <w:r w:rsidR="0070375D" w:rsidRPr="003D4D90">
              <w:rPr>
                <w:color w:val="000000"/>
                <w:lang w:eastAsia="en-AU"/>
              </w:rPr>
              <w:t>3</w:t>
            </w:r>
          </w:p>
        </w:tc>
        <w:tc>
          <w:tcPr>
            <w:tcW w:w="883" w:type="dxa"/>
            <w:tcBorders>
              <w:top w:val="nil"/>
              <w:left w:val="nil"/>
              <w:bottom w:val="nil"/>
              <w:right w:val="nil"/>
            </w:tcBorders>
            <w:shd w:val="solid" w:color="FFFFFF" w:fill="auto"/>
          </w:tcPr>
          <w:p w:rsidR="0070375D" w:rsidRPr="003D4D90" w:rsidRDefault="00276239" w:rsidP="003D4D90">
            <w:pPr>
              <w:pStyle w:val="TableofFigures"/>
              <w:rPr>
                <w:color w:val="000000"/>
                <w:lang w:eastAsia="en-AU"/>
              </w:rPr>
            </w:pPr>
            <w:r>
              <w:rPr>
                <w:color w:val="000000"/>
                <w:lang w:eastAsia="en-AU"/>
              </w:rPr>
              <w:noBreakHyphen/>
            </w:r>
            <w:r w:rsidR="0070375D" w:rsidRPr="003D4D90">
              <w:rPr>
                <w:color w:val="000000"/>
                <w:lang w:eastAsia="en-AU"/>
              </w:rPr>
              <w:t>5</w:t>
            </w:r>
          </w:p>
        </w:tc>
        <w:tc>
          <w:tcPr>
            <w:tcW w:w="883" w:type="dxa"/>
            <w:tcBorders>
              <w:top w:val="nil"/>
              <w:left w:val="nil"/>
              <w:bottom w:val="nil"/>
              <w:right w:val="nil"/>
            </w:tcBorders>
            <w:shd w:val="solid" w:color="FFFFFF" w:fill="auto"/>
          </w:tcPr>
          <w:p w:rsidR="0070375D" w:rsidRPr="003D4D90" w:rsidRDefault="00276239" w:rsidP="003D4D90">
            <w:pPr>
              <w:pStyle w:val="TableofFigures"/>
              <w:rPr>
                <w:color w:val="000000"/>
                <w:lang w:eastAsia="en-AU"/>
              </w:rPr>
            </w:pPr>
            <w:r>
              <w:rPr>
                <w:color w:val="000000"/>
                <w:lang w:eastAsia="en-AU"/>
              </w:rPr>
              <w:noBreakHyphen/>
            </w:r>
            <w:r w:rsidR="0070375D" w:rsidRPr="003D4D90">
              <w:rPr>
                <w:color w:val="000000"/>
                <w:lang w:eastAsia="en-AU"/>
              </w:rPr>
              <w:t>7</w:t>
            </w:r>
          </w:p>
        </w:tc>
      </w:tr>
      <w:tr w:rsidR="0070375D" w:rsidRPr="003D4D90" w:rsidTr="00427B0C">
        <w:tc>
          <w:tcPr>
            <w:tcW w:w="4244" w:type="dxa"/>
            <w:tcBorders>
              <w:top w:val="single" w:sz="6" w:space="0" w:color="auto"/>
              <w:left w:val="nil"/>
              <w:bottom w:val="single" w:sz="12" w:space="0" w:color="auto"/>
              <w:right w:val="nil"/>
            </w:tcBorders>
          </w:tcPr>
          <w:p w:rsidR="0070375D" w:rsidRPr="003D4D90" w:rsidRDefault="0070375D" w:rsidP="003D4D90">
            <w:pPr>
              <w:pStyle w:val="Tabletext"/>
              <w:rPr>
                <w:b/>
                <w:bCs/>
                <w:color w:val="000000"/>
                <w:lang w:eastAsia="en-AU"/>
              </w:rPr>
            </w:pPr>
            <w:r w:rsidRPr="003D4D90">
              <w:rPr>
                <w:b/>
                <w:bCs/>
                <w:color w:val="000000"/>
                <w:lang w:eastAsia="en-AU"/>
              </w:rPr>
              <w:t>Net result from transactions</w:t>
            </w:r>
          </w:p>
        </w:tc>
        <w:tc>
          <w:tcPr>
            <w:tcW w:w="883" w:type="dxa"/>
            <w:tcBorders>
              <w:top w:val="single" w:sz="6" w:space="0" w:color="auto"/>
              <w:left w:val="nil"/>
              <w:bottom w:val="single" w:sz="12" w:space="0" w:color="auto"/>
              <w:right w:val="nil"/>
            </w:tcBorders>
            <w:shd w:val="solid" w:color="FFFFFF" w:fill="auto"/>
          </w:tcPr>
          <w:p w:rsidR="0070375D" w:rsidRPr="003D4D90" w:rsidRDefault="0070375D" w:rsidP="003D4D90">
            <w:pPr>
              <w:pStyle w:val="TableofFigures"/>
              <w:rPr>
                <w:b/>
                <w:bCs/>
                <w:color w:val="000000"/>
                <w:lang w:eastAsia="en-AU"/>
              </w:rPr>
            </w:pPr>
            <w:r w:rsidRPr="003D4D90">
              <w:rPr>
                <w:b/>
                <w:bCs/>
                <w:color w:val="000000"/>
                <w:lang w:eastAsia="en-AU"/>
              </w:rPr>
              <w:t>37</w:t>
            </w:r>
          </w:p>
        </w:tc>
        <w:tc>
          <w:tcPr>
            <w:tcW w:w="883" w:type="dxa"/>
            <w:tcBorders>
              <w:top w:val="single" w:sz="6" w:space="0" w:color="auto"/>
              <w:left w:val="nil"/>
              <w:bottom w:val="single" w:sz="12" w:space="0" w:color="auto"/>
              <w:right w:val="nil"/>
            </w:tcBorders>
            <w:shd w:val="solid" w:color="FFFFFF" w:fill="auto"/>
          </w:tcPr>
          <w:p w:rsidR="0070375D" w:rsidRPr="003D4D90" w:rsidRDefault="0070375D" w:rsidP="003D4D90">
            <w:pPr>
              <w:pStyle w:val="TableofFigures"/>
              <w:rPr>
                <w:b/>
                <w:bCs/>
                <w:color w:val="000000"/>
                <w:lang w:eastAsia="en-AU"/>
              </w:rPr>
            </w:pPr>
            <w:r w:rsidRPr="003D4D90">
              <w:rPr>
                <w:b/>
                <w:bCs/>
                <w:color w:val="000000"/>
                <w:lang w:eastAsia="en-AU"/>
              </w:rPr>
              <w:t>41</w:t>
            </w:r>
          </w:p>
        </w:tc>
        <w:tc>
          <w:tcPr>
            <w:tcW w:w="883" w:type="dxa"/>
            <w:tcBorders>
              <w:top w:val="single" w:sz="6" w:space="0" w:color="auto"/>
              <w:left w:val="nil"/>
              <w:bottom w:val="single" w:sz="12" w:space="0" w:color="auto"/>
              <w:right w:val="nil"/>
            </w:tcBorders>
            <w:shd w:val="solid" w:color="FFFFFF" w:fill="auto"/>
          </w:tcPr>
          <w:p w:rsidR="0070375D" w:rsidRPr="003D4D90" w:rsidRDefault="0070375D" w:rsidP="003D4D90">
            <w:pPr>
              <w:pStyle w:val="TableofFigures"/>
              <w:rPr>
                <w:b/>
                <w:bCs/>
                <w:color w:val="000000"/>
                <w:lang w:eastAsia="en-AU"/>
              </w:rPr>
            </w:pPr>
            <w:r w:rsidRPr="003D4D90">
              <w:rPr>
                <w:b/>
                <w:bCs/>
                <w:color w:val="000000"/>
                <w:lang w:eastAsia="en-AU"/>
              </w:rPr>
              <w:t>46</w:t>
            </w:r>
          </w:p>
        </w:tc>
        <w:tc>
          <w:tcPr>
            <w:tcW w:w="883" w:type="dxa"/>
            <w:tcBorders>
              <w:top w:val="single" w:sz="6" w:space="0" w:color="auto"/>
              <w:left w:val="nil"/>
              <w:bottom w:val="single" w:sz="12" w:space="0" w:color="auto"/>
              <w:right w:val="nil"/>
            </w:tcBorders>
            <w:shd w:val="solid" w:color="FFFFFF" w:fill="auto"/>
          </w:tcPr>
          <w:p w:rsidR="0070375D" w:rsidRPr="003D4D90" w:rsidRDefault="0070375D" w:rsidP="003D4D90">
            <w:pPr>
              <w:pStyle w:val="TableofFigures"/>
              <w:rPr>
                <w:b/>
                <w:bCs/>
                <w:color w:val="000000"/>
                <w:lang w:eastAsia="en-AU"/>
              </w:rPr>
            </w:pPr>
            <w:r w:rsidRPr="003D4D90">
              <w:rPr>
                <w:b/>
                <w:bCs/>
                <w:color w:val="000000"/>
                <w:lang w:eastAsia="en-AU"/>
              </w:rPr>
              <w:t>50</w:t>
            </w:r>
          </w:p>
        </w:tc>
      </w:tr>
    </w:tbl>
    <w:p w:rsidR="00427B0C" w:rsidRDefault="00427B0C" w:rsidP="00427B0C">
      <w:pPr>
        <w:pStyle w:val="Notes"/>
      </w:pPr>
    </w:p>
    <w:p w:rsidR="00427B0C" w:rsidRDefault="00427B0C" w:rsidP="00427B0C">
      <w:pPr>
        <w:pStyle w:val="Tableheading"/>
        <w:rPr>
          <w:vertAlign w:val="superscript"/>
        </w:rPr>
      </w:pPr>
      <w:r>
        <w:lastRenderedPageBreak/>
        <w:t>Table A.1:</w:t>
      </w:r>
      <w:r>
        <w:tab/>
      </w:r>
      <w:r w:rsidRPr="008E36D0">
        <w:t>Sensitivity</w:t>
      </w:r>
      <w:r w:rsidRPr="00145452">
        <w:t xml:space="preserve"> of key fiscal aggregates to selected economic indicators being 1</w:t>
      </w:r>
      <w:r>
        <w:t> per cent</w:t>
      </w:r>
      <w:r w:rsidRPr="00145452">
        <w:t xml:space="preserve"> higher than expecte</w:t>
      </w:r>
      <w:r>
        <w:t>d in 2013</w:t>
      </w:r>
      <w:r w:rsidR="00276239">
        <w:noBreakHyphen/>
      </w:r>
      <w:r w:rsidRPr="00145452">
        <w:t>1</w:t>
      </w:r>
      <w:r>
        <w:t>4</w:t>
      </w:r>
      <w:r w:rsidRPr="00145452">
        <w:rPr>
          <w:vertAlign w:val="superscript"/>
        </w:rPr>
        <w:t>(a)(b)(c)</w:t>
      </w:r>
      <w:r w:rsidR="005B6685">
        <w:rPr>
          <w:vertAlign w:val="superscript"/>
        </w:rPr>
        <w:t xml:space="preserve"> </w:t>
      </w:r>
      <w:r w:rsidR="005B6685" w:rsidRPr="005B6685">
        <w:rPr>
          <w:i/>
        </w:rPr>
        <w:t>(continued)</w:t>
      </w:r>
    </w:p>
    <w:p w:rsidR="00427B0C" w:rsidRDefault="00427B0C" w:rsidP="00427B0C">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4244"/>
        <w:gridCol w:w="883"/>
        <w:gridCol w:w="883"/>
        <w:gridCol w:w="883"/>
        <w:gridCol w:w="883"/>
      </w:tblGrid>
      <w:tr w:rsidR="00427B0C" w:rsidRPr="003D4D90" w:rsidTr="00427B0C">
        <w:tc>
          <w:tcPr>
            <w:tcW w:w="4244" w:type="dxa"/>
            <w:tcBorders>
              <w:top w:val="nil"/>
              <w:left w:val="nil"/>
              <w:bottom w:val="nil"/>
              <w:right w:val="nil"/>
            </w:tcBorders>
            <w:shd w:val="clear" w:color="auto" w:fill="000000"/>
          </w:tcPr>
          <w:p w:rsidR="00427B0C" w:rsidRPr="00427B0C" w:rsidRDefault="00427B0C" w:rsidP="00427B0C">
            <w:pPr>
              <w:pStyle w:val="Tabletext"/>
              <w:ind w:left="187" w:hanging="187"/>
              <w:rPr>
                <w:b/>
                <w:bCs/>
                <w:color w:val="000000"/>
                <w:lang w:eastAsia="en-AU"/>
              </w:rPr>
            </w:pPr>
          </w:p>
        </w:tc>
        <w:tc>
          <w:tcPr>
            <w:tcW w:w="883" w:type="dxa"/>
            <w:tcBorders>
              <w:top w:val="nil"/>
              <w:left w:val="nil"/>
              <w:bottom w:val="nil"/>
              <w:right w:val="nil"/>
            </w:tcBorders>
            <w:shd w:val="clear" w:color="auto" w:fill="000000"/>
          </w:tcPr>
          <w:p w:rsidR="00427B0C" w:rsidRPr="00427B0C" w:rsidRDefault="00427B0C" w:rsidP="00427B0C">
            <w:pPr>
              <w:pStyle w:val="Tabletextheading"/>
              <w:rPr>
                <w:lang w:eastAsia="en-AU"/>
              </w:rPr>
            </w:pPr>
            <w:r w:rsidRPr="00427B0C">
              <w:rPr>
                <w:lang w:eastAsia="en-AU"/>
              </w:rPr>
              <w:t>2013</w:t>
            </w:r>
            <w:r w:rsidR="00276239">
              <w:rPr>
                <w:lang w:eastAsia="en-AU"/>
              </w:rPr>
              <w:noBreakHyphen/>
            </w:r>
            <w:r w:rsidRPr="00427B0C">
              <w:rPr>
                <w:lang w:eastAsia="en-AU"/>
              </w:rPr>
              <w:t>14 Estimate</w:t>
            </w:r>
          </w:p>
        </w:tc>
        <w:tc>
          <w:tcPr>
            <w:tcW w:w="883" w:type="dxa"/>
            <w:tcBorders>
              <w:top w:val="nil"/>
              <w:left w:val="nil"/>
              <w:bottom w:val="nil"/>
              <w:right w:val="nil"/>
            </w:tcBorders>
            <w:shd w:val="clear" w:color="auto" w:fill="000000"/>
          </w:tcPr>
          <w:p w:rsidR="00427B0C" w:rsidRPr="00427B0C" w:rsidRDefault="00427B0C" w:rsidP="00427B0C">
            <w:pPr>
              <w:pStyle w:val="Tabletextheading"/>
              <w:rPr>
                <w:lang w:eastAsia="en-AU"/>
              </w:rPr>
            </w:pPr>
            <w:r w:rsidRPr="00427B0C">
              <w:rPr>
                <w:lang w:eastAsia="en-AU"/>
              </w:rPr>
              <w:t>2014</w:t>
            </w:r>
            <w:r w:rsidR="00276239">
              <w:rPr>
                <w:lang w:eastAsia="en-AU"/>
              </w:rPr>
              <w:noBreakHyphen/>
            </w:r>
            <w:r w:rsidRPr="00427B0C">
              <w:rPr>
                <w:lang w:eastAsia="en-AU"/>
              </w:rPr>
              <w:t>15 Estimate</w:t>
            </w:r>
          </w:p>
        </w:tc>
        <w:tc>
          <w:tcPr>
            <w:tcW w:w="883" w:type="dxa"/>
            <w:tcBorders>
              <w:top w:val="nil"/>
              <w:left w:val="nil"/>
              <w:bottom w:val="nil"/>
              <w:right w:val="nil"/>
            </w:tcBorders>
            <w:shd w:val="clear" w:color="auto" w:fill="000000"/>
          </w:tcPr>
          <w:p w:rsidR="00427B0C" w:rsidRPr="00427B0C" w:rsidRDefault="00427B0C" w:rsidP="00427B0C">
            <w:pPr>
              <w:pStyle w:val="Tabletextheading"/>
              <w:rPr>
                <w:lang w:eastAsia="en-AU"/>
              </w:rPr>
            </w:pPr>
            <w:r w:rsidRPr="00427B0C">
              <w:rPr>
                <w:lang w:eastAsia="en-AU"/>
              </w:rPr>
              <w:t>2015</w:t>
            </w:r>
            <w:r w:rsidR="00276239">
              <w:rPr>
                <w:lang w:eastAsia="en-AU"/>
              </w:rPr>
              <w:noBreakHyphen/>
            </w:r>
            <w:r w:rsidRPr="00427B0C">
              <w:rPr>
                <w:lang w:eastAsia="en-AU"/>
              </w:rPr>
              <w:t>16 Estimate</w:t>
            </w:r>
          </w:p>
        </w:tc>
        <w:tc>
          <w:tcPr>
            <w:tcW w:w="883" w:type="dxa"/>
            <w:tcBorders>
              <w:top w:val="nil"/>
              <w:left w:val="nil"/>
              <w:bottom w:val="nil"/>
              <w:right w:val="nil"/>
            </w:tcBorders>
            <w:shd w:val="clear" w:color="auto" w:fill="000000"/>
          </w:tcPr>
          <w:p w:rsidR="00427B0C" w:rsidRPr="00427B0C" w:rsidRDefault="00427B0C" w:rsidP="00427B0C">
            <w:pPr>
              <w:pStyle w:val="Tabletextheading"/>
              <w:rPr>
                <w:lang w:eastAsia="en-AU"/>
              </w:rPr>
            </w:pPr>
            <w:r w:rsidRPr="00427B0C">
              <w:rPr>
                <w:lang w:eastAsia="en-AU"/>
              </w:rPr>
              <w:t>2016</w:t>
            </w:r>
            <w:r w:rsidR="00276239">
              <w:rPr>
                <w:lang w:eastAsia="en-AU"/>
              </w:rPr>
              <w:noBreakHyphen/>
            </w:r>
            <w:r w:rsidRPr="00427B0C">
              <w:rPr>
                <w:lang w:eastAsia="en-AU"/>
              </w:rPr>
              <w:t>17 Estimate</w:t>
            </w:r>
          </w:p>
        </w:tc>
      </w:tr>
      <w:tr w:rsidR="0070375D" w:rsidRPr="003D4D90" w:rsidTr="00427B0C">
        <w:tc>
          <w:tcPr>
            <w:tcW w:w="4244" w:type="dxa"/>
            <w:tcBorders>
              <w:top w:val="nil"/>
              <w:left w:val="nil"/>
              <w:bottom w:val="nil"/>
              <w:right w:val="nil"/>
            </w:tcBorders>
          </w:tcPr>
          <w:p w:rsidR="0070375D" w:rsidRPr="003D4D90" w:rsidRDefault="0070375D" w:rsidP="00427B0C">
            <w:pPr>
              <w:pStyle w:val="Tabletext"/>
              <w:ind w:left="187" w:hanging="187"/>
              <w:rPr>
                <w:b/>
                <w:bCs/>
                <w:color w:val="000000"/>
                <w:vertAlign w:val="superscript"/>
                <w:lang w:eastAsia="en-AU"/>
              </w:rPr>
            </w:pPr>
            <w:r w:rsidRPr="003D4D90">
              <w:rPr>
                <w:b/>
                <w:bCs/>
                <w:color w:val="000000"/>
                <w:lang w:eastAsia="en-AU"/>
              </w:rPr>
              <w:t xml:space="preserve">Interest rates </w:t>
            </w:r>
            <w:r w:rsidRPr="003D4D90">
              <w:rPr>
                <w:b/>
                <w:bCs/>
                <w:color w:val="000000"/>
                <w:vertAlign w:val="superscript"/>
                <w:lang w:eastAsia="en-AU"/>
              </w:rPr>
              <w:t>(f)</w:t>
            </w:r>
          </w:p>
        </w:tc>
        <w:tc>
          <w:tcPr>
            <w:tcW w:w="883" w:type="dxa"/>
            <w:tcBorders>
              <w:top w:val="nil"/>
              <w:left w:val="nil"/>
              <w:bottom w:val="nil"/>
              <w:right w:val="nil"/>
            </w:tcBorders>
          </w:tcPr>
          <w:p w:rsidR="0070375D" w:rsidRPr="003D4D90" w:rsidRDefault="0070375D" w:rsidP="003D4D90">
            <w:pPr>
              <w:pStyle w:val="TableofFigures"/>
              <w:rPr>
                <w:color w:val="000000"/>
                <w:lang w:eastAsia="en-AU"/>
              </w:rPr>
            </w:pPr>
          </w:p>
        </w:tc>
        <w:tc>
          <w:tcPr>
            <w:tcW w:w="883" w:type="dxa"/>
            <w:tcBorders>
              <w:top w:val="nil"/>
              <w:left w:val="nil"/>
              <w:bottom w:val="nil"/>
              <w:right w:val="nil"/>
            </w:tcBorders>
          </w:tcPr>
          <w:p w:rsidR="0070375D" w:rsidRPr="003D4D90" w:rsidRDefault="0070375D" w:rsidP="003D4D90">
            <w:pPr>
              <w:pStyle w:val="TableofFigures"/>
              <w:rPr>
                <w:color w:val="000000"/>
                <w:lang w:eastAsia="en-AU"/>
              </w:rPr>
            </w:pPr>
          </w:p>
        </w:tc>
        <w:tc>
          <w:tcPr>
            <w:tcW w:w="883" w:type="dxa"/>
            <w:tcBorders>
              <w:top w:val="nil"/>
              <w:left w:val="nil"/>
              <w:bottom w:val="nil"/>
              <w:right w:val="nil"/>
            </w:tcBorders>
          </w:tcPr>
          <w:p w:rsidR="0070375D" w:rsidRPr="003D4D90" w:rsidRDefault="0070375D" w:rsidP="003D4D90">
            <w:pPr>
              <w:pStyle w:val="TableofFigures"/>
              <w:rPr>
                <w:color w:val="000000"/>
                <w:lang w:eastAsia="en-AU"/>
              </w:rPr>
            </w:pPr>
          </w:p>
        </w:tc>
        <w:tc>
          <w:tcPr>
            <w:tcW w:w="883" w:type="dxa"/>
            <w:tcBorders>
              <w:top w:val="nil"/>
              <w:left w:val="nil"/>
              <w:bottom w:val="nil"/>
              <w:right w:val="nil"/>
            </w:tcBorders>
          </w:tcPr>
          <w:p w:rsidR="0070375D" w:rsidRPr="003D4D90" w:rsidRDefault="0070375D" w:rsidP="003D4D90">
            <w:pPr>
              <w:pStyle w:val="TableofFigures"/>
              <w:rPr>
                <w:color w:val="000000"/>
                <w:lang w:eastAsia="en-AU"/>
              </w:rPr>
            </w:pPr>
          </w:p>
        </w:tc>
      </w:tr>
      <w:tr w:rsidR="0070375D" w:rsidRPr="003D4D90" w:rsidTr="00427B0C">
        <w:tc>
          <w:tcPr>
            <w:tcW w:w="4244" w:type="dxa"/>
            <w:tcBorders>
              <w:top w:val="nil"/>
              <w:left w:val="nil"/>
              <w:bottom w:val="nil"/>
              <w:right w:val="nil"/>
            </w:tcBorders>
          </w:tcPr>
          <w:p w:rsidR="0070375D" w:rsidRPr="003D4D90" w:rsidRDefault="0070375D" w:rsidP="003D4D90">
            <w:pPr>
              <w:pStyle w:val="Tabletext"/>
              <w:rPr>
                <w:color w:val="000000"/>
                <w:lang w:eastAsia="en-AU"/>
              </w:rPr>
            </w:pPr>
            <w:r w:rsidRPr="003D4D90">
              <w:rPr>
                <w:color w:val="000000"/>
                <w:lang w:eastAsia="en-AU"/>
              </w:rPr>
              <w:t>Income from transactions</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69</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66</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68</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69</w:t>
            </w:r>
          </w:p>
        </w:tc>
      </w:tr>
      <w:tr w:rsidR="0070375D" w:rsidRPr="003D4D90" w:rsidTr="00427B0C">
        <w:tc>
          <w:tcPr>
            <w:tcW w:w="4244" w:type="dxa"/>
            <w:tcBorders>
              <w:top w:val="nil"/>
              <w:left w:val="nil"/>
              <w:bottom w:val="nil"/>
              <w:right w:val="nil"/>
            </w:tcBorders>
          </w:tcPr>
          <w:p w:rsidR="0070375D" w:rsidRPr="003D4D90" w:rsidRDefault="0070375D" w:rsidP="003D4D90">
            <w:pPr>
              <w:pStyle w:val="Tabletext"/>
              <w:rPr>
                <w:color w:val="000000"/>
                <w:lang w:eastAsia="en-AU"/>
              </w:rPr>
            </w:pPr>
            <w:r w:rsidRPr="003D4D90">
              <w:rPr>
                <w:color w:val="000000"/>
                <w:lang w:eastAsia="en-AU"/>
              </w:rPr>
              <w:t>Expenses from transactions</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30</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346</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378</w:t>
            </w:r>
          </w:p>
        </w:tc>
        <w:tc>
          <w:tcPr>
            <w:tcW w:w="883" w:type="dxa"/>
            <w:tcBorders>
              <w:top w:val="nil"/>
              <w:left w:val="nil"/>
              <w:bottom w:val="nil"/>
              <w:right w:val="nil"/>
            </w:tcBorders>
            <w:shd w:val="solid" w:color="FFFFFF" w:fill="auto"/>
          </w:tcPr>
          <w:p w:rsidR="0070375D" w:rsidRPr="003D4D90" w:rsidRDefault="0070375D" w:rsidP="003D4D90">
            <w:pPr>
              <w:pStyle w:val="TableofFigures"/>
              <w:rPr>
                <w:color w:val="000000"/>
                <w:lang w:eastAsia="en-AU"/>
              </w:rPr>
            </w:pPr>
            <w:r w:rsidRPr="003D4D90">
              <w:rPr>
                <w:color w:val="000000"/>
                <w:lang w:eastAsia="en-AU"/>
              </w:rPr>
              <w:t>399</w:t>
            </w:r>
          </w:p>
        </w:tc>
      </w:tr>
      <w:tr w:rsidR="0070375D" w:rsidRPr="003D4D90" w:rsidTr="00427B0C">
        <w:tc>
          <w:tcPr>
            <w:tcW w:w="4244" w:type="dxa"/>
            <w:tcBorders>
              <w:top w:val="single" w:sz="6" w:space="0" w:color="auto"/>
              <w:left w:val="nil"/>
              <w:bottom w:val="single" w:sz="12" w:space="0" w:color="auto"/>
              <w:right w:val="nil"/>
            </w:tcBorders>
          </w:tcPr>
          <w:p w:rsidR="0070375D" w:rsidRPr="003D4D90" w:rsidRDefault="0070375D" w:rsidP="003D4D90">
            <w:pPr>
              <w:pStyle w:val="Tabletext"/>
              <w:rPr>
                <w:b/>
                <w:bCs/>
                <w:color w:val="000000"/>
                <w:lang w:eastAsia="en-AU"/>
              </w:rPr>
            </w:pPr>
            <w:r w:rsidRPr="003D4D90">
              <w:rPr>
                <w:b/>
                <w:bCs/>
                <w:color w:val="000000"/>
                <w:lang w:eastAsia="en-AU"/>
              </w:rPr>
              <w:t>Net result from transactions</w:t>
            </w:r>
          </w:p>
        </w:tc>
        <w:tc>
          <w:tcPr>
            <w:tcW w:w="883" w:type="dxa"/>
            <w:tcBorders>
              <w:top w:val="single" w:sz="6" w:space="0" w:color="auto"/>
              <w:left w:val="nil"/>
              <w:bottom w:val="single" w:sz="12" w:space="0" w:color="auto"/>
              <w:right w:val="nil"/>
            </w:tcBorders>
            <w:shd w:val="solid" w:color="FFFFFF" w:fill="auto"/>
          </w:tcPr>
          <w:p w:rsidR="0070375D" w:rsidRPr="003D4D90" w:rsidRDefault="0070375D" w:rsidP="003D4D90">
            <w:pPr>
              <w:pStyle w:val="TableofFigures"/>
              <w:rPr>
                <w:b/>
                <w:bCs/>
                <w:color w:val="000000"/>
                <w:lang w:eastAsia="en-AU"/>
              </w:rPr>
            </w:pPr>
            <w:r w:rsidRPr="003D4D90">
              <w:rPr>
                <w:b/>
                <w:bCs/>
                <w:color w:val="000000"/>
                <w:lang w:eastAsia="en-AU"/>
              </w:rPr>
              <w:t>39</w:t>
            </w:r>
          </w:p>
        </w:tc>
        <w:tc>
          <w:tcPr>
            <w:tcW w:w="883" w:type="dxa"/>
            <w:tcBorders>
              <w:top w:val="single" w:sz="6" w:space="0" w:color="auto"/>
              <w:left w:val="nil"/>
              <w:bottom w:val="single" w:sz="12" w:space="0" w:color="auto"/>
              <w:right w:val="nil"/>
            </w:tcBorders>
            <w:shd w:val="solid" w:color="FFFFFF" w:fill="auto"/>
          </w:tcPr>
          <w:p w:rsidR="0070375D" w:rsidRPr="003D4D90" w:rsidRDefault="00276239" w:rsidP="003D4D90">
            <w:pPr>
              <w:pStyle w:val="TableofFigures"/>
              <w:rPr>
                <w:b/>
                <w:bCs/>
                <w:color w:val="000000"/>
                <w:lang w:eastAsia="en-AU"/>
              </w:rPr>
            </w:pPr>
            <w:r>
              <w:rPr>
                <w:b/>
                <w:bCs/>
                <w:color w:val="000000"/>
                <w:lang w:eastAsia="en-AU"/>
              </w:rPr>
              <w:noBreakHyphen/>
            </w:r>
            <w:r w:rsidR="0070375D" w:rsidRPr="003D4D90">
              <w:rPr>
                <w:b/>
                <w:bCs/>
                <w:color w:val="000000"/>
                <w:lang w:eastAsia="en-AU"/>
              </w:rPr>
              <w:t>280</w:t>
            </w:r>
          </w:p>
        </w:tc>
        <w:tc>
          <w:tcPr>
            <w:tcW w:w="883" w:type="dxa"/>
            <w:tcBorders>
              <w:top w:val="single" w:sz="6" w:space="0" w:color="auto"/>
              <w:left w:val="nil"/>
              <w:bottom w:val="single" w:sz="12" w:space="0" w:color="auto"/>
              <w:right w:val="nil"/>
            </w:tcBorders>
            <w:shd w:val="solid" w:color="FFFFFF" w:fill="auto"/>
          </w:tcPr>
          <w:p w:rsidR="0070375D" w:rsidRPr="003D4D90" w:rsidRDefault="00276239" w:rsidP="003D4D90">
            <w:pPr>
              <w:pStyle w:val="TableofFigures"/>
              <w:rPr>
                <w:b/>
                <w:bCs/>
                <w:color w:val="000000"/>
                <w:lang w:eastAsia="en-AU"/>
              </w:rPr>
            </w:pPr>
            <w:r>
              <w:rPr>
                <w:b/>
                <w:bCs/>
                <w:color w:val="000000"/>
                <w:lang w:eastAsia="en-AU"/>
              </w:rPr>
              <w:noBreakHyphen/>
            </w:r>
            <w:r w:rsidR="0070375D" w:rsidRPr="003D4D90">
              <w:rPr>
                <w:b/>
                <w:bCs/>
                <w:color w:val="000000"/>
                <w:lang w:eastAsia="en-AU"/>
              </w:rPr>
              <w:t>309</w:t>
            </w:r>
          </w:p>
        </w:tc>
        <w:tc>
          <w:tcPr>
            <w:tcW w:w="883" w:type="dxa"/>
            <w:tcBorders>
              <w:top w:val="single" w:sz="6" w:space="0" w:color="auto"/>
              <w:left w:val="nil"/>
              <w:bottom w:val="single" w:sz="12" w:space="0" w:color="auto"/>
              <w:right w:val="nil"/>
            </w:tcBorders>
            <w:shd w:val="solid" w:color="FFFFFF" w:fill="auto"/>
          </w:tcPr>
          <w:p w:rsidR="0070375D" w:rsidRPr="003D4D90" w:rsidRDefault="00276239" w:rsidP="003D4D90">
            <w:pPr>
              <w:pStyle w:val="TableofFigures"/>
              <w:rPr>
                <w:b/>
                <w:bCs/>
                <w:color w:val="000000"/>
                <w:lang w:eastAsia="en-AU"/>
              </w:rPr>
            </w:pPr>
            <w:r>
              <w:rPr>
                <w:b/>
                <w:bCs/>
                <w:color w:val="000000"/>
                <w:lang w:eastAsia="en-AU"/>
              </w:rPr>
              <w:noBreakHyphen/>
            </w:r>
            <w:r w:rsidR="0070375D" w:rsidRPr="003D4D90">
              <w:rPr>
                <w:b/>
                <w:bCs/>
                <w:color w:val="000000"/>
                <w:lang w:eastAsia="en-AU"/>
              </w:rPr>
              <w:t>330</w:t>
            </w:r>
          </w:p>
        </w:tc>
      </w:tr>
    </w:tbl>
    <w:p w:rsidR="0070375D" w:rsidRDefault="0070375D" w:rsidP="008E36D0">
      <w:pPr>
        <w:pStyle w:val="Source"/>
      </w:pPr>
      <w:r>
        <w:t xml:space="preserve">Source: </w:t>
      </w:r>
      <w:r w:rsidRPr="008E36D0">
        <w:t>Department</w:t>
      </w:r>
      <w:r>
        <w:t xml:space="preserve"> of Treasury and Finance</w:t>
      </w:r>
    </w:p>
    <w:p w:rsidR="0070375D" w:rsidRDefault="0070375D" w:rsidP="008E36D0">
      <w:pPr>
        <w:pStyle w:val="Notes"/>
      </w:pPr>
      <w:r w:rsidRPr="008E36D0">
        <w:t>Notes</w:t>
      </w:r>
      <w:r>
        <w:t>:</w:t>
      </w:r>
    </w:p>
    <w:p w:rsidR="0070375D" w:rsidRDefault="0070375D" w:rsidP="008E36D0">
      <w:pPr>
        <w:pStyle w:val="Notes"/>
      </w:pPr>
      <w:r>
        <w:t>(a)</w:t>
      </w:r>
      <w:r>
        <w:tab/>
        <w:t>A positive number for income from transactions denotes an increase in revenue. A positive number for expenses from transactions denotes an increase in expenses (and hence a reduction in the net result from transactions and net result). A positive number for other economic flows represents an increase in revenue. A positive number for the net result from transactions and net result denotes a higher surplus or lower deficit. Numbers may not balance due to rounding.</w:t>
      </w:r>
    </w:p>
    <w:p w:rsidR="0070375D" w:rsidRDefault="0070375D" w:rsidP="00145452">
      <w:pPr>
        <w:pStyle w:val="Notes"/>
      </w:pPr>
      <w:r>
        <w:t>(b)</w:t>
      </w:r>
      <w:r>
        <w:tab/>
        <w:t>The sensitivity from a one per cent lower than expected outcome of an economic variable would, in most instances, simply be the opposite of the impact shown in the table. However, for some results the impacts of changes are not symmetrical and therefore care should be exercised when using the table to estimate the impact of lower than expected economic variables.</w:t>
      </w:r>
    </w:p>
    <w:p w:rsidR="0070375D" w:rsidRDefault="0070375D" w:rsidP="00145452">
      <w:pPr>
        <w:pStyle w:val="Notes"/>
      </w:pPr>
      <w:r>
        <w:t>(c)</w:t>
      </w:r>
      <w:r>
        <w:tab/>
        <w:t>Only reasonably quantifiable impacts have been included in the analysis.</w:t>
      </w:r>
    </w:p>
    <w:p w:rsidR="0070375D" w:rsidRDefault="0070375D" w:rsidP="00145452">
      <w:pPr>
        <w:pStyle w:val="Notes"/>
      </w:pPr>
      <w:r>
        <w:t>(d)</w:t>
      </w:r>
      <w:r>
        <w:tab/>
        <w:t xml:space="preserve">Incorporates the impact of the departmental funding model arrangements. It is assumed that an increase in consumer prices within the budget year does not affect employee entitlements. </w:t>
      </w:r>
    </w:p>
    <w:p w:rsidR="0070375D" w:rsidRDefault="0070375D" w:rsidP="00145452">
      <w:pPr>
        <w:pStyle w:val="Notes"/>
      </w:pPr>
      <w:r>
        <w:t>(e)</w:t>
      </w:r>
      <w:r>
        <w:tab/>
        <w:t>Represents a one per cent increase in all government enterprise bargaining agreements.</w:t>
      </w:r>
    </w:p>
    <w:p w:rsidR="0070375D" w:rsidRDefault="0070375D" w:rsidP="00145452">
      <w:pPr>
        <w:pStyle w:val="Notes"/>
      </w:pPr>
      <w:r>
        <w:t>(f)</w:t>
      </w:r>
      <w:r>
        <w:tab/>
        <w:t>Assumes interest rates are one percentage point higher across the entire term structure, i.e. short and long</w:t>
      </w:r>
      <w:r w:rsidR="00276239">
        <w:noBreakHyphen/>
      </w:r>
      <w:r>
        <w:t>term rates, over the forward estimates period.</w:t>
      </w:r>
    </w:p>
    <w:p w:rsidR="0070375D" w:rsidRDefault="0070375D" w:rsidP="00145452">
      <w:pPr>
        <w:pStyle w:val="Notes"/>
      </w:pPr>
    </w:p>
    <w:p w:rsidR="0070375D" w:rsidRDefault="0070375D" w:rsidP="008E36D0">
      <w:pPr>
        <w:pStyle w:val="Heading2"/>
      </w:pPr>
      <w:r w:rsidRPr="008E36D0">
        <w:t>Sensitivity</w:t>
      </w:r>
      <w:r>
        <w:t xml:space="preserve"> to economic growth</w:t>
      </w:r>
    </w:p>
    <w:p w:rsidR="0070375D" w:rsidRDefault="0070375D" w:rsidP="008E36D0">
      <w:r>
        <w:fldChar w:fldCharType="begin"/>
      </w:r>
      <w:r>
        <w:instrText xml:space="preserve"> XE "</w:instrText>
      </w:r>
      <w:r w:rsidRPr="000C50D3">
        <w:instrText>Sens</w:instrText>
      </w:r>
      <w:r>
        <w:instrText>i</w:instrText>
      </w:r>
      <w:r w:rsidRPr="000C50D3">
        <w:instrText>tivity analysis:Economic growth</w:instrText>
      </w:r>
      <w:r>
        <w:instrText xml:space="preserve">" </w:instrText>
      </w:r>
      <w:r>
        <w:fldChar w:fldCharType="end"/>
      </w:r>
      <w:r>
        <w:t>Higher than expected gross state product is associated with higher household consumption, leading to higher goods and services tax</w:t>
      </w:r>
      <w:r>
        <w:fldChar w:fldCharType="begin"/>
      </w:r>
      <w:r>
        <w:instrText xml:space="preserve"> XE "</w:instrText>
      </w:r>
      <w:r w:rsidRPr="00444D2D">
        <w:instrText>Goods and services tax</w:instrText>
      </w:r>
      <w:r>
        <w:instrText xml:space="preserve">" </w:instrText>
      </w:r>
      <w:r>
        <w:fldChar w:fldCharType="end"/>
      </w:r>
      <w:r>
        <w:t xml:space="preserve"> (GST) grants revenue and own sourced taxation revenue</w:t>
      </w:r>
      <w:r>
        <w:fldChar w:fldCharType="begin"/>
      </w:r>
      <w:r>
        <w:instrText xml:space="preserve"> XE "</w:instrText>
      </w:r>
      <w:r w:rsidRPr="00EC0F5B">
        <w:instrText>Taxation:Revenue</w:instrText>
      </w:r>
      <w:r>
        <w:instrText xml:space="preserve">" </w:instrText>
      </w:r>
      <w:r>
        <w:fldChar w:fldCharType="end"/>
      </w:r>
      <w:r>
        <w:t>. This increases the net result from transactions.</w:t>
      </w:r>
    </w:p>
    <w:p w:rsidR="0070375D" w:rsidRDefault="0070375D" w:rsidP="00145452">
      <w:pPr>
        <w:pStyle w:val="Heading2"/>
      </w:pPr>
      <w:r>
        <w:t>Sensitivity to employment</w:t>
      </w:r>
    </w:p>
    <w:p w:rsidR="0070375D" w:rsidRDefault="0070375D" w:rsidP="00145452">
      <w:r>
        <w:fldChar w:fldCharType="begin"/>
      </w:r>
      <w:r>
        <w:instrText xml:space="preserve"> XE "</w:instrText>
      </w:r>
      <w:r w:rsidRPr="000C50D3">
        <w:instrText>Sens</w:instrText>
      </w:r>
      <w:r>
        <w:instrText>i</w:instrText>
      </w:r>
      <w:r w:rsidRPr="000C50D3">
        <w:instrText>tivity analysis:</w:instrText>
      </w:r>
      <w:r>
        <w:instrText xml:space="preserve">Employment" </w:instrText>
      </w:r>
      <w:r>
        <w:fldChar w:fldCharType="end"/>
      </w:r>
      <w:r>
        <w:t>Higher than expected employment results in additional payroll tax</w:t>
      </w:r>
      <w:r>
        <w:fldChar w:fldCharType="begin"/>
      </w:r>
      <w:r>
        <w:instrText xml:space="preserve"> XE "</w:instrText>
      </w:r>
      <w:r w:rsidRPr="00EB68F4">
        <w:instrText>Taxation:Payroll</w:instrText>
      </w:r>
      <w:r>
        <w:instrText xml:space="preserve">" </w:instrText>
      </w:r>
      <w:r>
        <w:fldChar w:fldCharType="end"/>
      </w:r>
      <w:r>
        <w:t xml:space="preserve"> revenue and increases the net result from transactions.</w:t>
      </w:r>
    </w:p>
    <w:p w:rsidR="0070375D" w:rsidRDefault="0070375D" w:rsidP="00145452">
      <w:pPr>
        <w:pStyle w:val="Heading2"/>
      </w:pPr>
      <w:r>
        <w:t>Sensitivity to consumer prices</w:t>
      </w:r>
    </w:p>
    <w:p w:rsidR="0070375D" w:rsidRDefault="0070375D" w:rsidP="00145452">
      <w:r>
        <w:fldChar w:fldCharType="begin"/>
      </w:r>
      <w:r>
        <w:instrText xml:space="preserve"> XE "</w:instrText>
      </w:r>
      <w:r w:rsidRPr="000C50D3">
        <w:instrText>Sens</w:instrText>
      </w:r>
      <w:r>
        <w:instrText>i</w:instrText>
      </w:r>
      <w:r w:rsidRPr="000C50D3">
        <w:instrText>tivity analysis:</w:instrText>
      </w:r>
      <w:r>
        <w:instrText xml:space="preserve">Consumer prices" </w:instrText>
      </w:r>
      <w:r>
        <w:fldChar w:fldCharType="end"/>
      </w:r>
      <w:r>
        <w:t>Higher consumer prices lead to higher Commonwealth sourced revenue (due to indexation), and higher GST</w:t>
      </w:r>
      <w:r>
        <w:fldChar w:fldCharType="begin"/>
      </w:r>
      <w:r>
        <w:instrText xml:space="preserve"> XE "</w:instrText>
      </w:r>
      <w:r w:rsidRPr="00444D2D">
        <w:instrText>Goods and services tax</w:instrText>
      </w:r>
      <w:r>
        <w:instrText xml:space="preserve">" </w:instrText>
      </w:r>
      <w:r>
        <w:fldChar w:fldCharType="end"/>
      </w:r>
      <w:r>
        <w:t xml:space="preserve"> and own source taxation revenue</w:t>
      </w:r>
      <w:r>
        <w:fldChar w:fldCharType="begin"/>
      </w:r>
      <w:r>
        <w:instrText xml:space="preserve"> XE "</w:instrText>
      </w:r>
      <w:r w:rsidRPr="00E133E6">
        <w:instrText>Taxation:Revenue</w:instrText>
      </w:r>
      <w:r>
        <w:instrText xml:space="preserve">" </w:instrText>
      </w:r>
      <w:r>
        <w:fldChar w:fldCharType="end"/>
      </w:r>
      <w:r>
        <w:t>, as the value of tax bases rise in nominal terms. The higher revenue is partly offset by the higher cost of supplies and services, and some increases in outlays on grants</w:t>
      </w:r>
      <w:r>
        <w:fldChar w:fldCharType="begin"/>
      </w:r>
      <w:r>
        <w:instrText xml:space="preserve"> XE "</w:instrText>
      </w:r>
      <w:r w:rsidRPr="00D474FC">
        <w:instrText>Grants:Expenses</w:instrText>
      </w:r>
      <w:r>
        <w:instrText xml:space="preserve">" </w:instrText>
      </w:r>
      <w:r>
        <w:fldChar w:fldCharType="end"/>
      </w:r>
      <w:r>
        <w:t xml:space="preserve"> and transfers. </w:t>
      </w:r>
    </w:p>
    <w:p w:rsidR="0070375D" w:rsidRDefault="0070375D" w:rsidP="00145452">
      <w:r>
        <w:t>An increase in consumer prices also increases the superannuation expense</w:t>
      </w:r>
      <w:r>
        <w:fldChar w:fldCharType="begin"/>
      </w:r>
      <w:r>
        <w:instrText xml:space="preserve"> XE "</w:instrText>
      </w:r>
      <w:r w:rsidRPr="000639B8">
        <w:instrText>Superannuation:Expense</w:instrText>
      </w:r>
      <w:r>
        <w:instrText xml:space="preserve">" </w:instrText>
      </w:r>
      <w:r>
        <w:fldChar w:fldCharType="end"/>
      </w:r>
      <w:r>
        <w:t xml:space="preserve"> in the remaining out years.</w:t>
      </w:r>
    </w:p>
    <w:p w:rsidR="0070375D" w:rsidRDefault="0070375D" w:rsidP="00145452">
      <w:r>
        <w:t>Reflecting the operation of the departmental funding arrangements, the impact of the increase in expenses is limited to the extent that departments can fund it from increased revenue from specific purpose grants and sales of goods and services. Overall, there is a positive impact on the net result and the net result from transactions in the out years.</w:t>
      </w:r>
    </w:p>
    <w:p w:rsidR="0070375D" w:rsidRDefault="0070375D" w:rsidP="00D8197D">
      <w:pPr>
        <w:pStyle w:val="Heading2"/>
      </w:pPr>
      <w:r>
        <w:br w:type="page"/>
      </w:r>
      <w:r w:rsidRPr="00D8197D">
        <w:lastRenderedPageBreak/>
        <w:t>Sensitivity</w:t>
      </w:r>
      <w:r>
        <w:t xml:space="preserve"> to average weekly earnings</w:t>
      </w:r>
    </w:p>
    <w:p w:rsidR="0070375D" w:rsidRDefault="0070375D" w:rsidP="00145452">
      <w:r>
        <w:fldChar w:fldCharType="begin"/>
      </w:r>
      <w:r>
        <w:instrText xml:space="preserve"> XE "</w:instrText>
      </w:r>
      <w:r w:rsidRPr="000C50D3">
        <w:instrText>Sens</w:instrText>
      </w:r>
      <w:r>
        <w:instrText>i</w:instrText>
      </w:r>
      <w:r w:rsidRPr="000C50D3">
        <w:instrText>tivity analysis:</w:instrText>
      </w:r>
      <w:r>
        <w:instrText xml:space="preserve">Average weekly earnings" </w:instrText>
      </w:r>
      <w:r>
        <w:fldChar w:fldCharType="end"/>
      </w:r>
      <w:r>
        <w:t>A rise in the level of economy</w:t>
      </w:r>
      <w:r w:rsidR="00276239">
        <w:noBreakHyphen/>
      </w:r>
      <w:r>
        <w:t>wide wages results in higher payroll tax</w:t>
      </w:r>
      <w:r>
        <w:fldChar w:fldCharType="begin"/>
      </w:r>
      <w:r>
        <w:instrText xml:space="preserve"> XE "</w:instrText>
      </w:r>
      <w:r w:rsidRPr="008852C4">
        <w:instrText>Taxation:Payroll</w:instrText>
      </w:r>
      <w:r>
        <w:instrText xml:space="preserve">" </w:instrText>
      </w:r>
      <w:r>
        <w:fldChar w:fldCharType="end"/>
      </w:r>
      <w:r>
        <w:t xml:space="preserve"> revenue, contributing to an increase in the net result from transactions. All government enterprise bargaining agreements are assumed to be unchanged over the projection period.</w:t>
      </w:r>
    </w:p>
    <w:p w:rsidR="0070375D" w:rsidRDefault="0070375D" w:rsidP="00145452">
      <w:pPr>
        <w:pStyle w:val="Heading2"/>
      </w:pPr>
      <w:r>
        <w:t>Sensitivity to enterprise bargaining agreements</w:t>
      </w:r>
    </w:p>
    <w:p w:rsidR="0070375D" w:rsidRDefault="0070375D" w:rsidP="00145452">
      <w:r>
        <w:fldChar w:fldCharType="begin"/>
      </w:r>
      <w:r>
        <w:instrText xml:space="preserve"> XE "</w:instrText>
      </w:r>
      <w:r w:rsidRPr="000C50D3">
        <w:instrText>Sens</w:instrText>
      </w:r>
      <w:r>
        <w:instrText>i</w:instrText>
      </w:r>
      <w:r w:rsidRPr="000C50D3">
        <w:instrText>tivity analysis:</w:instrText>
      </w:r>
      <w:r>
        <w:instrText xml:space="preserve">Enterprise bargaining agreements" </w:instrText>
      </w:r>
      <w:r>
        <w:fldChar w:fldCharType="end"/>
      </w:r>
      <w:r>
        <w:t>In the short</w:t>
      </w:r>
      <w:r w:rsidR="00276239">
        <w:noBreakHyphen/>
      </w:r>
      <w:r>
        <w:t>term, enterprise bargaining agreements are fixed. Enterprise bargaining agreements can pose a substantial risk to Victoria</w:t>
      </w:r>
      <w:r w:rsidR="00276239">
        <w:t>’</w:t>
      </w:r>
      <w:r>
        <w:t>s budget position in the longer</w:t>
      </w:r>
      <w:r w:rsidR="00276239">
        <w:noBreakHyphen/>
      </w:r>
      <w:r>
        <w:t>term. If funded, an across the board increase in wages arising from an enterprise bargaining agreement, which exceeds the wages</w:t>
      </w:r>
      <w:r>
        <w:fldChar w:fldCharType="begin"/>
      </w:r>
      <w:r>
        <w:instrText xml:space="preserve"> XE "</w:instrText>
      </w:r>
      <w:r w:rsidRPr="0035444E">
        <w:instrText>Wages:Wages growth</w:instrText>
      </w:r>
      <w:r>
        <w:instrText xml:space="preserve">" </w:instrText>
      </w:r>
      <w:r>
        <w:fldChar w:fldCharType="end"/>
      </w:r>
      <w:r>
        <w:t xml:space="preserve"> policy guideline rate, results in a decline in the net result from transactions.</w:t>
      </w:r>
    </w:p>
    <w:p w:rsidR="0070375D" w:rsidRDefault="0070375D" w:rsidP="00145452">
      <w:r>
        <w:t>The increased employee entitlements increases the value of the superannuation liability</w:t>
      </w:r>
      <w:r>
        <w:fldChar w:fldCharType="begin"/>
      </w:r>
      <w:r>
        <w:instrText xml:space="preserve"> XE "</w:instrText>
      </w:r>
      <w:r w:rsidRPr="008C5C0F">
        <w:instrText>Superannuation:Liability</w:instrText>
      </w:r>
      <w:r>
        <w:instrText xml:space="preserve">" </w:instrText>
      </w:r>
      <w:r>
        <w:fldChar w:fldCharType="end"/>
      </w:r>
      <w:r>
        <w:t xml:space="preserve"> and flows through to an increase in the superannuation expense</w:t>
      </w:r>
      <w:r>
        <w:fldChar w:fldCharType="begin"/>
      </w:r>
      <w:r>
        <w:instrText xml:space="preserve"> XE "</w:instrText>
      </w:r>
      <w:r w:rsidRPr="00FD5C4F">
        <w:instrText>Superannuation:Expense</w:instrText>
      </w:r>
      <w:r>
        <w:instrText xml:space="preserve">" </w:instrText>
      </w:r>
      <w:r>
        <w:fldChar w:fldCharType="end"/>
      </w:r>
      <w:r>
        <w:t xml:space="preserve"> in the remaining out years.</w:t>
      </w:r>
    </w:p>
    <w:p w:rsidR="0070375D" w:rsidRDefault="0070375D" w:rsidP="00145452">
      <w:pPr>
        <w:pStyle w:val="Heading2"/>
      </w:pPr>
      <w:r>
        <w:t>Sensitivity to domestic and overseas share prices</w:t>
      </w:r>
    </w:p>
    <w:p w:rsidR="0070375D" w:rsidRDefault="0070375D" w:rsidP="00455B98">
      <w:r>
        <w:fldChar w:fldCharType="begin"/>
      </w:r>
      <w:r>
        <w:instrText xml:space="preserve"> XE "</w:instrText>
      </w:r>
      <w:r w:rsidRPr="000C50D3">
        <w:instrText>Sens</w:instrText>
      </w:r>
      <w:r>
        <w:instrText>i</w:instrText>
      </w:r>
      <w:r w:rsidRPr="000C50D3">
        <w:instrText>tivity analysis:</w:instrText>
      </w:r>
      <w:r>
        <w:instrText xml:space="preserve">Domestic and overseas share prices" </w:instrText>
      </w:r>
      <w:r>
        <w:fldChar w:fldCharType="end"/>
      </w:r>
      <w:r w:rsidRPr="00455B98">
        <w:t>A rise in share prices increases the net result of the State</w:t>
      </w:r>
      <w:r w:rsidR="00276239">
        <w:t>’</w:t>
      </w:r>
      <w:r w:rsidRPr="00455B98">
        <w:t>s public financial corporations</w:t>
      </w:r>
      <w:r>
        <w:fldChar w:fldCharType="begin"/>
      </w:r>
      <w:r>
        <w:instrText xml:space="preserve"> XE "</w:instrText>
      </w:r>
      <w:r w:rsidRPr="00896526">
        <w:instrText>Public financial corporations</w:instrText>
      </w:r>
      <w:r>
        <w:instrText xml:space="preserve">" </w:instrText>
      </w:r>
      <w:r>
        <w:fldChar w:fldCharType="end"/>
      </w:r>
      <w:r w:rsidRPr="00455B98">
        <w:t xml:space="preserve"> (PFCs). The associated impact would be an increase in the income tax equivalents</w:t>
      </w:r>
      <w:r>
        <w:fldChar w:fldCharType="begin"/>
      </w:r>
      <w:r>
        <w:instrText xml:space="preserve"> XE "</w:instrText>
      </w:r>
      <w:r w:rsidRPr="00896526">
        <w:instrText>Income tax equivalents</w:instrText>
      </w:r>
      <w:r>
        <w:instrText xml:space="preserve">" </w:instrText>
      </w:r>
      <w:r>
        <w:fldChar w:fldCharType="end"/>
      </w:r>
      <w:r w:rsidRPr="00455B98">
        <w:t xml:space="preserve"> (ITEs) of the Transport Accident Commission</w:t>
      </w:r>
      <w:r>
        <w:fldChar w:fldCharType="begin"/>
      </w:r>
      <w:r>
        <w:instrText xml:space="preserve"> XE "</w:instrText>
      </w:r>
      <w:r w:rsidRPr="00896526">
        <w:instrText>Transport Accident Commission</w:instrText>
      </w:r>
      <w:r>
        <w:instrText xml:space="preserve">" </w:instrText>
      </w:r>
      <w:r>
        <w:fldChar w:fldCharType="end"/>
      </w:r>
      <w:r w:rsidRPr="00455B98">
        <w:t xml:space="preserve"> (TAC) and Victorian WorkCover Authority</w:t>
      </w:r>
      <w:r>
        <w:fldChar w:fldCharType="begin"/>
      </w:r>
      <w:r>
        <w:instrText xml:space="preserve"> XE "</w:instrText>
      </w:r>
      <w:r w:rsidRPr="00896526">
        <w:instrText>Victorian WorkCover Authority</w:instrText>
      </w:r>
      <w:r>
        <w:instrText xml:space="preserve">" </w:instrText>
      </w:r>
      <w:r>
        <w:fldChar w:fldCharType="end"/>
      </w:r>
      <w:r w:rsidRPr="00455B98">
        <w:t xml:space="preserve"> (VWA). However as there have been substantial decreases in share and other asset prices in recent years, accumulated carry forward tax losses mean there is little or no impact of share prices on ITEs paid until the losses have been fully used. There is no immediate impact on dividends payable to the State.</w:t>
      </w:r>
    </w:p>
    <w:p w:rsidR="0070375D" w:rsidRDefault="0070375D" w:rsidP="00145452">
      <w:r>
        <w:t>An increase in domestic and international share prices also reduces the value of the superannuation liability</w:t>
      </w:r>
      <w:r>
        <w:fldChar w:fldCharType="begin"/>
      </w:r>
      <w:r>
        <w:instrText xml:space="preserve"> XE "</w:instrText>
      </w:r>
      <w:r w:rsidRPr="00D703B6">
        <w:instrText>Superannuation:Liability</w:instrText>
      </w:r>
      <w:r>
        <w:instrText xml:space="preserve">" </w:instrText>
      </w:r>
      <w:r>
        <w:fldChar w:fldCharType="end"/>
      </w:r>
      <w:r>
        <w:t xml:space="preserve"> due to the associated increase in superannuation fund assets. This then reduces the superannuation interest expense</w:t>
      </w:r>
      <w:r>
        <w:fldChar w:fldCharType="begin"/>
      </w:r>
      <w:r>
        <w:instrText xml:space="preserve"> XE "</w:instrText>
      </w:r>
      <w:r w:rsidRPr="0077061E">
        <w:instrText>Superannuation:Expense</w:instrText>
      </w:r>
      <w:r>
        <w:instrText xml:space="preserve">" </w:instrText>
      </w:r>
      <w:r>
        <w:fldChar w:fldCharType="end"/>
      </w:r>
      <w:r>
        <w:t xml:space="preserve"> beyond the budget year, thereby improving the net result from transactions in these years.</w:t>
      </w:r>
    </w:p>
    <w:p w:rsidR="0070375D" w:rsidRDefault="0070375D" w:rsidP="00145452">
      <w:pPr>
        <w:pStyle w:val="Heading2"/>
      </w:pPr>
      <w:r>
        <w:t>Sensitivity to property prices and volumes</w:t>
      </w:r>
    </w:p>
    <w:p w:rsidR="0070375D" w:rsidRDefault="0070375D" w:rsidP="00145452">
      <w:r>
        <w:fldChar w:fldCharType="begin"/>
      </w:r>
      <w:r>
        <w:instrText xml:space="preserve"> XE "</w:instrText>
      </w:r>
      <w:r w:rsidRPr="000C50D3">
        <w:instrText>Sens</w:instrText>
      </w:r>
      <w:r>
        <w:instrText>i</w:instrText>
      </w:r>
      <w:r w:rsidRPr="000C50D3">
        <w:instrText>tivity analysis:</w:instrText>
      </w:r>
      <w:r>
        <w:instrText xml:space="preserve">Property prices and volumes" </w:instrText>
      </w:r>
      <w:r>
        <w:fldChar w:fldCharType="end"/>
      </w:r>
      <w:r>
        <w:t>Higher property prices have an immediate impact on the net result from transactions through increased collections of land transfer duty</w:t>
      </w:r>
      <w:r>
        <w:fldChar w:fldCharType="begin"/>
      </w:r>
      <w:r>
        <w:instrText xml:space="preserve"> XE "</w:instrText>
      </w:r>
      <w:r w:rsidRPr="00BC4F14">
        <w:instrText>Taxation:Land transfer</w:instrText>
      </w:r>
      <w:r>
        <w:instrText xml:space="preserve">" </w:instrText>
      </w:r>
      <w:r>
        <w:fldChar w:fldCharType="end"/>
      </w:r>
      <w:r>
        <w:t>. At the same time, the value of the superannuation liability</w:t>
      </w:r>
      <w:r>
        <w:fldChar w:fldCharType="begin"/>
      </w:r>
      <w:r>
        <w:instrText xml:space="preserve"> XE "</w:instrText>
      </w:r>
      <w:r w:rsidRPr="00D703B6">
        <w:instrText>Superannuation:Liability</w:instrText>
      </w:r>
      <w:r>
        <w:instrText xml:space="preserve">" </w:instrText>
      </w:r>
      <w:r>
        <w:fldChar w:fldCharType="end"/>
      </w:r>
      <w:r>
        <w:t xml:space="preserve"> decreases, due to the increased value of property holdings in superannuation funds</w:t>
      </w:r>
      <w:r w:rsidR="00276239">
        <w:t>’</w:t>
      </w:r>
      <w:r>
        <w:t xml:space="preserve"> investment portfolios. In later years, higher property prices continue to raise land transfer duty and land tax</w:t>
      </w:r>
      <w:r>
        <w:fldChar w:fldCharType="begin"/>
      </w:r>
      <w:r>
        <w:instrText xml:space="preserve"> XE "</w:instrText>
      </w:r>
      <w:r w:rsidRPr="00C02F4D">
        <w:instrText>Taxation:Land tax</w:instrText>
      </w:r>
      <w:r>
        <w:instrText xml:space="preserve">" </w:instrText>
      </w:r>
      <w:r>
        <w:fldChar w:fldCharType="end"/>
      </w:r>
      <w:r>
        <w:t xml:space="preserve"> revenues, while the previous reduction in superannuation liability reduces ongoing superannuation expenses</w:t>
      </w:r>
      <w:r>
        <w:fldChar w:fldCharType="begin"/>
      </w:r>
      <w:r>
        <w:instrText xml:space="preserve"> XE "</w:instrText>
      </w:r>
      <w:r w:rsidRPr="0077061E">
        <w:instrText>Superannuation:Expense</w:instrText>
      </w:r>
      <w:r>
        <w:instrText xml:space="preserve">" </w:instrText>
      </w:r>
      <w:r>
        <w:fldChar w:fldCharType="end"/>
      </w:r>
      <w:r>
        <w:t>. All of these increase the net result from transactions.</w:t>
      </w:r>
    </w:p>
    <w:p w:rsidR="0070375D" w:rsidRDefault="0070375D" w:rsidP="00145452">
      <w:r>
        <w:t>Higher property transaction volumes increases land transfer duty</w:t>
      </w:r>
      <w:r>
        <w:fldChar w:fldCharType="begin"/>
      </w:r>
      <w:r>
        <w:instrText xml:space="preserve"> XE "</w:instrText>
      </w:r>
      <w:r w:rsidRPr="00BC4F14">
        <w:instrText>Taxation:Land transfer duty</w:instrText>
      </w:r>
      <w:r>
        <w:instrText xml:space="preserve">" </w:instrText>
      </w:r>
      <w:r>
        <w:fldChar w:fldCharType="end"/>
      </w:r>
      <w:r>
        <w:t xml:space="preserve"> receipts, leading to a rise in the net result from transactions.</w:t>
      </w:r>
    </w:p>
    <w:p w:rsidR="0070375D" w:rsidRDefault="0070375D" w:rsidP="00145452"/>
    <w:p w:rsidR="0070375D" w:rsidRDefault="0070375D" w:rsidP="00D8197D">
      <w:pPr>
        <w:pStyle w:val="Heading2"/>
      </w:pPr>
      <w:r>
        <w:br w:type="page"/>
      </w:r>
      <w:r>
        <w:lastRenderedPageBreak/>
        <w:t>Sensitivity to interest rates</w:t>
      </w:r>
    </w:p>
    <w:p w:rsidR="0070375D" w:rsidRDefault="0070375D" w:rsidP="00737BBF">
      <w:r>
        <w:fldChar w:fldCharType="begin"/>
      </w:r>
      <w:r>
        <w:instrText xml:space="preserve"> XE "</w:instrText>
      </w:r>
      <w:r w:rsidRPr="000C50D3">
        <w:instrText>Sens</w:instrText>
      </w:r>
      <w:r>
        <w:instrText>i</w:instrText>
      </w:r>
      <w:r w:rsidRPr="000C50D3">
        <w:instrText>tivity analysis:</w:instrText>
      </w:r>
      <w:r>
        <w:instrText xml:space="preserve">Interest rates" </w:instrText>
      </w:r>
      <w:r>
        <w:fldChar w:fldCharType="end"/>
      </w:r>
      <w:r>
        <w:t>An increase in interest rates reduces the valuation of long</w:t>
      </w:r>
      <w:r w:rsidR="00276239">
        <w:noBreakHyphen/>
      </w:r>
      <w:r>
        <w:t>term insurance liabilities of PFCs</w:t>
      </w:r>
      <w:r>
        <w:fldChar w:fldCharType="begin"/>
      </w:r>
      <w:r>
        <w:instrText xml:space="preserve"> XE "</w:instrText>
      </w:r>
      <w:r w:rsidRPr="00896526">
        <w:instrText>Public financial corporations</w:instrText>
      </w:r>
      <w:r>
        <w:instrText xml:space="preserve">" </w:instrText>
      </w:r>
      <w:r>
        <w:fldChar w:fldCharType="end"/>
      </w:r>
      <w:r>
        <w:t xml:space="preserve"> and increases the net profits of these entities. As dividends of the insurance agencies are based on performance from insurance operations, which excludes the impact of discount rate movements, the increase will have little direct impact on dividends. As ITEs</w:t>
      </w:r>
      <w:r>
        <w:fldChar w:fldCharType="begin"/>
      </w:r>
      <w:r>
        <w:instrText xml:space="preserve"> XE "</w:instrText>
      </w:r>
      <w:r w:rsidRPr="00896526">
        <w:instrText>Income tax equivalents</w:instrText>
      </w:r>
      <w:r>
        <w:instrText xml:space="preserve">" </w:instrText>
      </w:r>
      <w:r>
        <w:fldChar w:fldCharType="end"/>
      </w:r>
      <w:r>
        <w:t xml:space="preserve"> of the State</w:t>
      </w:r>
      <w:r w:rsidR="00276239">
        <w:t>’</w:t>
      </w:r>
      <w:r>
        <w:t>s insurance agencies are assessed on net profit, changes in interest rates will potentially impact general government ITEs. However, accumulated carry forward tax losses mean there is little or no impact on revenues through ITEs until those losses have been used.</w:t>
      </w:r>
    </w:p>
    <w:p w:rsidR="0070375D" w:rsidRDefault="0070375D" w:rsidP="00737BBF">
      <w:r>
        <w:t>Higher borrowing costs will result in reduced net profits of public non</w:t>
      </w:r>
      <w:r w:rsidR="00276239">
        <w:noBreakHyphen/>
      </w:r>
      <w:r>
        <w:t>financial corporations</w:t>
      </w:r>
      <w:r>
        <w:fldChar w:fldCharType="begin"/>
      </w:r>
      <w:r>
        <w:instrText xml:space="preserve"> XE "</w:instrText>
      </w:r>
      <w:r w:rsidRPr="00896526">
        <w:instrText xml:space="preserve">Public </w:instrText>
      </w:r>
      <w:r>
        <w:instrText>non</w:instrText>
      </w:r>
      <w:r>
        <w:noBreakHyphen/>
      </w:r>
      <w:r w:rsidRPr="00896526">
        <w:instrText>financial corporations</w:instrText>
      </w:r>
      <w:r>
        <w:instrText xml:space="preserve">" </w:instrText>
      </w:r>
      <w:r>
        <w:fldChar w:fldCharType="end"/>
      </w:r>
      <w:r>
        <w:t>, lowering dividends and ITEs</w:t>
      </w:r>
      <w:r>
        <w:fldChar w:fldCharType="begin"/>
      </w:r>
      <w:r>
        <w:instrText xml:space="preserve"> XE "</w:instrText>
      </w:r>
      <w:r w:rsidRPr="00843D69">
        <w:instrText>Dividends:ITEs and interest</w:instrText>
      </w:r>
      <w:r>
        <w:instrText xml:space="preserve">" </w:instrText>
      </w:r>
      <w:r>
        <w:fldChar w:fldCharType="end"/>
      </w:r>
      <w:r>
        <w:t xml:space="preserve"> payable to the State. An increase in the borrowing costs of the general government sector will reduce the net result from transactions.</w:t>
      </w:r>
    </w:p>
    <w:p w:rsidR="0070375D" w:rsidRDefault="0070375D" w:rsidP="00145452">
      <w:r>
        <w:t>An increase in interest rates also increases the superannuation expense</w:t>
      </w:r>
      <w:r>
        <w:fldChar w:fldCharType="begin"/>
      </w:r>
      <w:r>
        <w:instrText xml:space="preserve"> XE "</w:instrText>
      </w:r>
      <w:r w:rsidRPr="0077061E">
        <w:instrText>Superannuation:Expense</w:instrText>
      </w:r>
      <w:r>
        <w:instrText xml:space="preserve">" </w:instrText>
      </w:r>
      <w:r>
        <w:fldChar w:fldCharType="end"/>
      </w:r>
      <w:r>
        <w:t xml:space="preserve"> over the out years, thereby reducing the net result from transactions.</w:t>
      </w:r>
    </w:p>
    <w:p w:rsidR="0070375D" w:rsidRDefault="0070375D" w:rsidP="008E36D0">
      <w:pPr>
        <w:pStyle w:val="Heading1"/>
      </w:pPr>
      <w:bookmarkStart w:id="68" w:name="_Toc355372038"/>
      <w:r>
        <w:t>Sensitivity to variations in the economic outlook</w:t>
      </w:r>
      <w:bookmarkEnd w:id="68"/>
      <w:r>
        <w:t xml:space="preserve"> </w:t>
      </w:r>
    </w:p>
    <w:p w:rsidR="0070375D" w:rsidRDefault="0070375D" w:rsidP="00145452">
      <w:r>
        <w:t>The previous section considered the fiscal implications of independent variations in selected economic parameters. Typically, however, variations in economic parameters do not occur in isolation. For example, general economic conditions may differ from expectations, particularly in the event of an unanticipated economic or financial shock, causing most or all economic parameters to vary from forecasts.</w:t>
      </w:r>
    </w:p>
    <w:p w:rsidR="0070375D" w:rsidRDefault="0070375D" w:rsidP="00145452">
      <w:r>
        <w:t>This section considers two examples where general economic conditions varied significantly from expectations, resulting in the broad sweep of economic parameters being different from forecast. In the first example, in 2006</w:t>
      </w:r>
      <w:r w:rsidR="00276239">
        <w:noBreakHyphen/>
      </w:r>
      <w:r>
        <w:t>07, growth was significantly stronger than anticipated while in the second example, in 2008</w:t>
      </w:r>
      <w:r w:rsidR="00276239">
        <w:noBreakHyphen/>
      </w:r>
      <w:r>
        <w:t>09, the onset of the global financial crisis resulted in most economic and financial variables being lower than initially forecast.</w:t>
      </w:r>
    </w:p>
    <w:p w:rsidR="0070375D" w:rsidRDefault="0070375D" w:rsidP="00145452">
      <w:r>
        <w:t>The analysis confirms that the fiscal impact of variations in economic variables can be significantly greater than indicated by the sum of each variable</w:t>
      </w:r>
      <w:r w:rsidR="00276239">
        <w:t>’</w:t>
      </w:r>
      <w:r>
        <w:t>s individual impact. This highlights the point that the relationship between economic parameters and fiscal aggregates is complex and heavily influenced by the specific nature and characteristics of a given economic shock. Such shocks affect Victoria</w:t>
      </w:r>
      <w:r w:rsidR="00276239">
        <w:t>’</w:t>
      </w:r>
      <w:r>
        <w:t>s fiscal position to varying degrees, but given the composition of Victoria</w:t>
      </w:r>
      <w:r w:rsidR="00276239">
        <w:t>’</w:t>
      </w:r>
      <w:r>
        <w:t>s revenue base, property</w:t>
      </w:r>
      <w:r w:rsidR="00276239">
        <w:noBreakHyphen/>
      </w:r>
      <w:r>
        <w:t xml:space="preserve">related shocks are likely to have the largest impact on the fiscal situation. </w:t>
      </w:r>
    </w:p>
    <w:p w:rsidR="0070375D" w:rsidRDefault="0070375D" w:rsidP="00145452">
      <w:r>
        <w:t>The State</w:t>
      </w:r>
      <w:r w:rsidR="00276239">
        <w:t>’</w:t>
      </w:r>
      <w:r>
        <w:t xml:space="preserve">s fiscal position in any year is the product of economic trends and policy changes in that and previous years. Similarly, an economic shock in a year will affect fiscal outcomes in that and later years. </w:t>
      </w:r>
    </w:p>
    <w:p w:rsidR="0070375D" w:rsidRDefault="0070375D" w:rsidP="00145452">
      <w:r>
        <w:t>The outcomes for a particular year will diverge from forecast values because of forecast errors and policy changes. This analysis highlights the critical impact that government policy decisions have on the final result, which by nature cannot be captured by standard sensitivity analysis.</w:t>
      </w:r>
    </w:p>
    <w:p w:rsidR="0070375D" w:rsidRDefault="0070375D" w:rsidP="00D8197D">
      <w:pPr>
        <w:pStyle w:val="Heading2"/>
      </w:pPr>
      <w:r>
        <w:br w:type="page"/>
      </w:r>
      <w:r>
        <w:lastRenderedPageBreak/>
        <w:t>2006</w:t>
      </w:r>
      <w:r w:rsidR="00276239">
        <w:noBreakHyphen/>
      </w:r>
      <w:r>
        <w:t>07: Economic growth exceeding expectations</w:t>
      </w:r>
    </w:p>
    <w:p w:rsidR="0070375D" w:rsidRDefault="0070375D" w:rsidP="00145452">
      <w:r>
        <w:t>Table A.2 presents a situation where economic growth</w:t>
      </w:r>
      <w:r>
        <w:fldChar w:fldCharType="begin"/>
      </w:r>
      <w:r>
        <w:instrText xml:space="preserve"> XE "</w:instrText>
      </w:r>
      <w:r w:rsidRPr="00B72B31">
        <w:instrText>Economic growth:G</w:instrText>
      </w:r>
      <w:r>
        <w:instrText xml:space="preserve">ross state product" </w:instrText>
      </w:r>
      <w:r>
        <w:fldChar w:fldCharType="end"/>
      </w:r>
      <w:r>
        <w:t xml:space="preserve"> was underestimated. It shows the largest forecast error in the macroeconomic variables was employment</w:t>
      </w:r>
      <w:r>
        <w:fldChar w:fldCharType="begin"/>
      </w:r>
      <w:r>
        <w:instrText xml:space="preserve"> XE "</w:instrText>
      </w:r>
      <w:r w:rsidRPr="00466449">
        <w:instrText>Employment</w:instrText>
      </w:r>
      <w:r>
        <w:instrText xml:space="preserve">" </w:instrText>
      </w:r>
      <w:r>
        <w:fldChar w:fldCharType="end"/>
      </w:r>
      <w:r>
        <w:t>. Real GSP was also underestimated, and there were relatively minor errors in the forecasting of prices and wages.</w:t>
      </w:r>
    </w:p>
    <w:p w:rsidR="0070375D" w:rsidRDefault="0070375D" w:rsidP="00F21BBD">
      <w:pPr>
        <w:pStyle w:val="Tableheading"/>
      </w:pPr>
      <w:r>
        <w:t>Table </w:t>
      </w:r>
      <w:r w:rsidRPr="006A0309">
        <w:t>A.2:</w:t>
      </w:r>
      <w:r w:rsidRPr="006A0309">
        <w:tab/>
      </w:r>
      <w:r w:rsidRPr="00F21BBD">
        <w:t>Actual</w:t>
      </w:r>
      <w:r w:rsidRPr="006A0309">
        <w:t xml:space="preserve"> deviations to key economic variables from 2006</w:t>
      </w:r>
      <w:r w:rsidR="00276239">
        <w:noBreakHyphen/>
      </w:r>
      <w:r w:rsidRPr="006A0309">
        <w:t>07 budgeted</w:t>
      </w:r>
      <w:r w:rsidRPr="00145452">
        <w:t xml:space="preserve"> levels</w:t>
      </w:r>
    </w:p>
    <w:p w:rsidR="0070375D" w:rsidRPr="00C13B4E" w:rsidRDefault="0070375D" w:rsidP="00C13B4E">
      <w:pPr>
        <w:pStyle w:val="million"/>
      </w:pPr>
      <w:r w:rsidRPr="002A7989">
        <w:t>(per cent)</w:t>
      </w:r>
    </w:p>
    <w:tbl>
      <w:tblPr>
        <w:tblW w:w="7776" w:type="dxa"/>
        <w:tblInd w:w="29" w:type="dxa"/>
        <w:tblLayout w:type="fixed"/>
        <w:tblCellMar>
          <w:left w:w="43" w:type="dxa"/>
          <w:right w:w="43" w:type="dxa"/>
        </w:tblCellMar>
        <w:tblLook w:val="0000" w:firstRow="0" w:lastRow="0" w:firstColumn="0" w:lastColumn="0" w:noHBand="0" w:noVBand="0"/>
      </w:tblPr>
      <w:tblGrid>
        <w:gridCol w:w="4668"/>
        <w:gridCol w:w="1036"/>
        <w:gridCol w:w="1036"/>
        <w:gridCol w:w="1036"/>
      </w:tblGrid>
      <w:tr w:rsidR="0070375D" w:rsidRPr="00C13B4E" w:rsidTr="00C13B4E">
        <w:tc>
          <w:tcPr>
            <w:tcW w:w="4665" w:type="dxa"/>
            <w:tcBorders>
              <w:top w:val="single" w:sz="4" w:space="0" w:color="auto"/>
              <w:left w:val="single" w:sz="4" w:space="0" w:color="auto"/>
              <w:bottom w:val="single" w:sz="6" w:space="0" w:color="auto"/>
              <w:right w:val="nil"/>
            </w:tcBorders>
            <w:shd w:val="clear" w:color="auto" w:fill="000000"/>
          </w:tcPr>
          <w:p w:rsidR="0070375D" w:rsidRPr="00C13B4E" w:rsidRDefault="0070375D" w:rsidP="00C13B4E">
            <w:pPr>
              <w:pStyle w:val="Tabletext"/>
              <w:rPr>
                <w:lang w:eastAsia="en-AU"/>
              </w:rPr>
            </w:pPr>
            <w:r w:rsidRPr="00C13B4E">
              <w:rPr>
                <w:lang w:eastAsia="en-AU"/>
              </w:rPr>
              <w:t xml:space="preserve"> </w:t>
            </w:r>
          </w:p>
        </w:tc>
        <w:tc>
          <w:tcPr>
            <w:tcW w:w="1036" w:type="dxa"/>
            <w:tcBorders>
              <w:top w:val="single" w:sz="4" w:space="0" w:color="auto"/>
              <w:left w:val="nil"/>
              <w:bottom w:val="single" w:sz="6" w:space="0" w:color="auto"/>
              <w:right w:val="single" w:sz="6" w:space="0" w:color="auto"/>
            </w:tcBorders>
            <w:shd w:val="clear" w:color="auto" w:fill="000000"/>
          </w:tcPr>
          <w:p w:rsidR="0070375D" w:rsidRPr="00C13B4E" w:rsidRDefault="0070375D" w:rsidP="00C13B4E">
            <w:pPr>
              <w:pStyle w:val="Tabletextheading"/>
              <w:rPr>
                <w:lang w:eastAsia="en-AU"/>
              </w:rPr>
            </w:pPr>
            <w:r w:rsidRPr="00C13B4E">
              <w:rPr>
                <w:lang w:eastAsia="en-AU"/>
              </w:rPr>
              <w:t>2006</w:t>
            </w:r>
            <w:r w:rsidR="00276239">
              <w:rPr>
                <w:lang w:eastAsia="en-AU"/>
              </w:rPr>
              <w:noBreakHyphen/>
            </w:r>
            <w:r w:rsidRPr="00C13B4E">
              <w:rPr>
                <w:lang w:eastAsia="en-AU"/>
              </w:rPr>
              <w:t>07</w:t>
            </w:r>
          </w:p>
        </w:tc>
        <w:tc>
          <w:tcPr>
            <w:tcW w:w="1036" w:type="dxa"/>
            <w:tcBorders>
              <w:top w:val="single" w:sz="4" w:space="0" w:color="auto"/>
              <w:left w:val="nil"/>
              <w:bottom w:val="single" w:sz="6" w:space="0" w:color="auto"/>
              <w:right w:val="single" w:sz="6" w:space="0" w:color="auto"/>
            </w:tcBorders>
            <w:shd w:val="clear" w:color="auto" w:fill="000000"/>
          </w:tcPr>
          <w:p w:rsidR="0070375D" w:rsidRPr="00C13B4E" w:rsidRDefault="0070375D" w:rsidP="00C13B4E">
            <w:pPr>
              <w:pStyle w:val="Tabletextheading"/>
              <w:rPr>
                <w:lang w:eastAsia="en-AU"/>
              </w:rPr>
            </w:pPr>
            <w:r w:rsidRPr="00C13B4E">
              <w:rPr>
                <w:lang w:eastAsia="en-AU"/>
              </w:rPr>
              <w:t>2006</w:t>
            </w:r>
            <w:r w:rsidR="00276239">
              <w:rPr>
                <w:lang w:eastAsia="en-AU"/>
              </w:rPr>
              <w:noBreakHyphen/>
            </w:r>
            <w:r w:rsidRPr="00C13B4E">
              <w:rPr>
                <w:lang w:eastAsia="en-AU"/>
              </w:rPr>
              <w:t>07</w:t>
            </w:r>
          </w:p>
        </w:tc>
        <w:tc>
          <w:tcPr>
            <w:tcW w:w="1036" w:type="dxa"/>
            <w:tcBorders>
              <w:top w:val="single" w:sz="4" w:space="0" w:color="auto"/>
              <w:left w:val="nil"/>
              <w:bottom w:val="single" w:sz="6" w:space="0" w:color="auto"/>
              <w:right w:val="single" w:sz="4" w:space="0" w:color="auto"/>
            </w:tcBorders>
            <w:shd w:val="clear" w:color="auto" w:fill="000000"/>
          </w:tcPr>
          <w:p w:rsidR="0070375D" w:rsidRPr="00C13B4E" w:rsidRDefault="0070375D" w:rsidP="00C13B4E">
            <w:pPr>
              <w:pStyle w:val="Tabletextheading"/>
              <w:rPr>
                <w:lang w:eastAsia="en-AU"/>
              </w:rPr>
            </w:pPr>
            <w:r w:rsidRPr="00C13B4E">
              <w:rPr>
                <w:lang w:eastAsia="en-AU"/>
              </w:rPr>
              <w:t>Forecast</w:t>
            </w:r>
          </w:p>
        </w:tc>
      </w:tr>
      <w:tr w:rsidR="0070375D" w:rsidRPr="00C13B4E" w:rsidTr="00C13B4E">
        <w:tc>
          <w:tcPr>
            <w:tcW w:w="4665" w:type="dxa"/>
            <w:tcBorders>
              <w:top w:val="single" w:sz="6" w:space="0" w:color="auto"/>
              <w:left w:val="single" w:sz="4" w:space="0" w:color="auto"/>
              <w:bottom w:val="single" w:sz="4" w:space="0" w:color="auto"/>
              <w:right w:val="nil"/>
            </w:tcBorders>
            <w:shd w:val="clear" w:color="auto" w:fill="000000"/>
          </w:tcPr>
          <w:p w:rsidR="0070375D" w:rsidRPr="00C13B4E" w:rsidRDefault="0070375D" w:rsidP="00C13B4E">
            <w:pPr>
              <w:pStyle w:val="Tabletext"/>
              <w:rPr>
                <w:lang w:eastAsia="en-AU"/>
              </w:rPr>
            </w:pPr>
            <w:r w:rsidRPr="00C13B4E">
              <w:rPr>
                <w:lang w:eastAsia="en-AU"/>
              </w:rPr>
              <w:t xml:space="preserve"> </w:t>
            </w:r>
          </w:p>
        </w:tc>
        <w:tc>
          <w:tcPr>
            <w:tcW w:w="1036" w:type="dxa"/>
            <w:tcBorders>
              <w:top w:val="single" w:sz="6" w:space="0" w:color="auto"/>
              <w:left w:val="nil"/>
              <w:bottom w:val="single" w:sz="4" w:space="0" w:color="auto"/>
              <w:right w:val="single" w:sz="6" w:space="0" w:color="auto"/>
            </w:tcBorders>
            <w:shd w:val="clear" w:color="auto" w:fill="000000"/>
          </w:tcPr>
          <w:p w:rsidR="0070375D" w:rsidRPr="00C13B4E" w:rsidRDefault="0070375D" w:rsidP="00C13B4E">
            <w:pPr>
              <w:pStyle w:val="Tabletextheading"/>
              <w:rPr>
                <w:vertAlign w:val="superscript"/>
                <w:lang w:eastAsia="en-AU"/>
              </w:rPr>
            </w:pPr>
            <w:r w:rsidRPr="00C13B4E">
              <w:rPr>
                <w:lang w:eastAsia="en-AU"/>
              </w:rPr>
              <w:t xml:space="preserve">Budget </w:t>
            </w:r>
            <w:r w:rsidRPr="00C13B4E">
              <w:rPr>
                <w:vertAlign w:val="superscript"/>
                <w:lang w:eastAsia="en-AU"/>
              </w:rPr>
              <w:t>(a)</w:t>
            </w:r>
          </w:p>
        </w:tc>
        <w:tc>
          <w:tcPr>
            <w:tcW w:w="1036" w:type="dxa"/>
            <w:tcBorders>
              <w:top w:val="single" w:sz="6" w:space="0" w:color="auto"/>
              <w:left w:val="nil"/>
              <w:bottom w:val="single" w:sz="4" w:space="0" w:color="auto"/>
              <w:right w:val="single" w:sz="6" w:space="0" w:color="auto"/>
            </w:tcBorders>
            <w:shd w:val="clear" w:color="auto" w:fill="000000"/>
          </w:tcPr>
          <w:p w:rsidR="0070375D" w:rsidRPr="00C13B4E" w:rsidRDefault="0070375D" w:rsidP="00C13B4E">
            <w:pPr>
              <w:pStyle w:val="Tabletextheading"/>
              <w:rPr>
                <w:lang w:eastAsia="en-AU"/>
              </w:rPr>
            </w:pPr>
            <w:r w:rsidRPr="00C13B4E">
              <w:rPr>
                <w:lang w:eastAsia="en-AU"/>
              </w:rPr>
              <w:t>Actual</w:t>
            </w:r>
          </w:p>
        </w:tc>
        <w:tc>
          <w:tcPr>
            <w:tcW w:w="1036" w:type="dxa"/>
            <w:tcBorders>
              <w:top w:val="single" w:sz="6" w:space="0" w:color="auto"/>
              <w:left w:val="nil"/>
              <w:bottom w:val="single" w:sz="4" w:space="0" w:color="auto"/>
              <w:right w:val="single" w:sz="4" w:space="0" w:color="auto"/>
            </w:tcBorders>
            <w:shd w:val="clear" w:color="auto" w:fill="000000"/>
          </w:tcPr>
          <w:p w:rsidR="0070375D" w:rsidRPr="00C13B4E" w:rsidRDefault="0070375D" w:rsidP="00C13B4E">
            <w:pPr>
              <w:pStyle w:val="Tabletextheading"/>
              <w:rPr>
                <w:vertAlign w:val="superscript"/>
                <w:lang w:eastAsia="en-AU"/>
              </w:rPr>
            </w:pPr>
            <w:r w:rsidRPr="00C13B4E">
              <w:rPr>
                <w:lang w:eastAsia="en-AU"/>
              </w:rPr>
              <w:t xml:space="preserve">error </w:t>
            </w:r>
            <w:r w:rsidRPr="00C13B4E">
              <w:rPr>
                <w:vertAlign w:val="superscript"/>
                <w:lang w:eastAsia="en-AU"/>
              </w:rPr>
              <w:t>(b)</w:t>
            </w:r>
          </w:p>
        </w:tc>
      </w:tr>
      <w:tr w:rsidR="0070375D" w:rsidRPr="00C13B4E" w:rsidTr="00C13B4E">
        <w:tc>
          <w:tcPr>
            <w:tcW w:w="4665" w:type="dxa"/>
            <w:tcBorders>
              <w:top w:val="single" w:sz="4" w:space="0" w:color="auto"/>
              <w:left w:val="nil"/>
              <w:bottom w:val="nil"/>
              <w:right w:val="nil"/>
            </w:tcBorders>
          </w:tcPr>
          <w:p w:rsidR="0070375D" w:rsidRPr="00C13B4E" w:rsidRDefault="0070375D" w:rsidP="00C13B4E">
            <w:pPr>
              <w:pStyle w:val="Tabletext"/>
              <w:rPr>
                <w:color w:val="000000"/>
                <w:lang w:eastAsia="en-AU"/>
              </w:rPr>
            </w:pPr>
            <w:r w:rsidRPr="00C13B4E">
              <w:rPr>
                <w:color w:val="000000"/>
                <w:lang w:eastAsia="en-AU"/>
              </w:rPr>
              <w:t>Real GSP</w:t>
            </w:r>
          </w:p>
        </w:tc>
        <w:tc>
          <w:tcPr>
            <w:tcW w:w="1036" w:type="dxa"/>
            <w:tcBorders>
              <w:top w:val="single" w:sz="4" w:space="0" w:color="auto"/>
              <w:left w:val="nil"/>
              <w:bottom w:val="nil"/>
              <w:right w:val="nil"/>
            </w:tcBorders>
            <w:shd w:val="solid" w:color="FFFFFF" w:fill="auto"/>
          </w:tcPr>
          <w:p w:rsidR="0070375D" w:rsidRPr="00C13B4E" w:rsidRDefault="0070375D" w:rsidP="00C13B4E">
            <w:pPr>
              <w:pStyle w:val="TableofFigures"/>
              <w:rPr>
                <w:color w:val="000000"/>
                <w:lang w:eastAsia="en-AU"/>
              </w:rPr>
            </w:pPr>
            <w:r w:rsidRPr="00C13B4E">
              <w:rPr>
                <w:color w:val="000000"/>
                <w:lang w:eastAsia="en-AU"/>
              </w:rPr>
              <w:t>3.3</w:t>
            </w:r>
          </w:p>
        </w:tc>
        <w:tc>
          <w:tcPr>
            <w:tcW w:w="1036" w:type="dxa"/>
            <w:tcBorders>
              <w:top w:val="single" w:sz="4" w:space="0" w:color="auto"/>
              <w:left w:val="nil"/>
              <w:bottom w:val="nil"/>
              <w:right w:val="nil"/>
            </w:tcBorders>
            <w:shd w:val="clear" w:color="auto" w:fill="auto"/>
          </w:tcPr>
          <w:p w:rsidR="0070375D" w:rsidRPr="00C13B4E" w:rsidRDefault="0070375D" w:rsidP="00C13B4E">
            <w:pPr>
              <w:pStyle w:val="TableofFigures"/>
              <w:rPr>
                <w:color w:val="000000"/>
                <w:lang w:eastAsia="en-AU"/>
              </w:rPr>
            </w:pPr>
            <w:r w:rsidRPr="00C13B4E">
              <w:rPr>
                <w:color w:val="000000"/>
                <w:lang w:eastAsia="en-AU"/>
              </w:rPr>
              <w:t>3.8</w:t>
            </w:r>
          </w:p>
        </w:tc>
        <w:tc>
          <w:tcPr>
            <w:tcW w:w="1036" w:type="dxa"/>
            <w:tcBorders>
              <w:top w:val="single" w:sz="4" w:space="0" w:color="auto"/>
              <w:left w:val="nil"/>
              <w:bottom w:val="nil"/>
              <w:right w:val="nil"/>
            </w:tcBorders>
            <w:shd w:val="solid" w:color="FFFFFF" w:fill="auto"/>
          </w:tcPr>
          <w:p w:rsidR="0070375D" w:rsidRPr="00C13B4E" w:rsidRDefault="0070375D" w:rsidP="00C13B4E">
            <w:pPr>
              <w:pStyle w:val="TableofFigures"/>
              <w:rPr>
                <w:color w:val="000000"/>
                <w:lang w:eastAsia="en-AU"/>
              </w:rPr>
            </w:pPr>
            <w:r w:rsidRPr="00C13B4E">
              <w:rPr>
                <w:color w:val="000000"/>
                <w:lang w:eastAsia="en-AU"/>
              </w:rPr>
              <w:t>0.6</w:t>
            </w:r>
          </w:p>
        </w:tc>
      </w:tr>
      <w:tr w:rsidR="0070375D" w:rsidRPr="00C13B4E" w:rsidTr="00C13B4E">
        <w:tc>
          <w:tcPr>
            <w:tcW w:w="4665" w:type="dxa"/>
            <w:tcBorders>
              <w:top w:val="nil"/>
              <w:left w:val="nil"/>
              <w:bottom w:val="nil"/>
              <w:right w:val="nil"/>
            </w:tcBorders>
          </w:tcPr>
          <w:p w:rsidR="0070375D" w:rsidRPr="00C13B4E" w:rsidRDefault="0070375D" w:rsidP="00C13B4E">
            <w:pPr>
              <w:pStyle w:val="Tabletext"/>
              <w:rPr>
                <w:color w:val="000000"/>
                <w:lang w:eastAsia="en-AU"/>
              </w:rPr>
            </w:pPr>
            <w:r w:rsidRPr="00C13B4E">
              <w:rPr>
                <w:color w:val="000000"/>
                <w:lang w:eastAsia="en-AU"/>
              </w:rPr>
              <w:t>Employment</w:t>
            </w:r>
          </w:p>
        </w:tc>
        <w:tc>
          <w:tcPr>
            <w:tcW w:w="1036" w:type="dxa"/>
            <w:tcBorders>
              <w:top w:val="nil"/>
              <w:left w:val="nil"/>
              <w:bottom w:val="nil"/>
              <w:right w:val="nil"/>
            </w:tcBorders>
            <w:shd w:val="solid" w:color="FFFFFF" w:fill="auto"/>
          </w:tcPr>
          <w:p w:rsidR="0070375D" w:rsidRPr="00C13B4E" w:rsidRDefault="0070375D" w:rsidP="00C13B4E">
            <w:pPr>
              <w:pStyle w:val="TableofFigures"/>
              <w:rPr>
                <w:color w:val="000000"/>
                <w:lang w:eastAsia="en-AU"/>
              </w:rPr>
            </w:pPr>
            <w:r w:rsidRPr="00C13B4E">
              <w:rPr>
                <w:color w:val="000000"/>
                <w:lang w:eastAsia="en-AU"/>
              </w:rPr>
              <w:t>1.3</w:t>
            </w:r>
          </w:p>
        </w:tc>
        <w:tc>
          <w:tcPr>
            <w:tcW w:w="1036" w:type="dxa"/>
            <w:tcBorders>
              <w:top w:val="nil"/>
              <w:left w:val="nil"/>
              <w:bottom w:val="nil"/>
              <w:right w:val="nil"/>
            </w:tcBorders>
            <w:shd w:val="clear" w:color="auto" w:fill="auto"/>
          </w:tcPr>
          <w:p w:rsidR="0070375D" w:rsidRPr="00C13B4E" w:rsidRDefault="0070375D" w:rsidP="00C13B4E">
            <w:pPr>
              <w:pStyle w:val="TableofFigures"/>
              <w:rPr>
                <w:color w:val="000000"/>
                <w:lang w:eastAsia="en-AU"/>
              </w:rPr>
            </w:pPr>
            <w:r w:rsidRPr="00C13B4E">
              <w:rPr>
                <w:color w:val="000000"/>
                <w:lang w:eastAsia="en-AU"/>
              </w:rPr>
              <w:t>3.2</w:t>
            </w:r>
          </w:p>
        </w:tc>
        <w:tc>
          <w:tcPr>
            <w:tcW w:w="1036" w:type="dxa"/>
            <w:tcBorders>
              <w:top w:val="nil"/>
              <w:left w:val="nil"/>
              <w:bottom w:val="nil"/>
              <w:right w:val="nil"/>
            </w:tcBorders>
            <w:shd w:val="solid" w:color="FFFFFF" w:fill="auto"/>
          </w:tcPr>
          <w:p w:rsidR="0070375D" w:rsidRPr="00C13B4E" w:rsidRDefault="0070375D" w:rsidP="00C13B4E">
            <w:pPr>
              <w:pStyle w:val="TableofFigures"/>
              <w:rPr>
                <w:color w:val="000000"/>
                <w:lang w:eastAsia="en-AU"/>
              </w:rPr>
            </w:pPr>
            <w:r w:rsidRPr="00C13B4E">
              <w:rPr>
                <w:color w:val="000000"/>
                <w:lang w:eastAsia="en-AU"/>
              </w:rPr>
              <w:t>2.0</w:t>
            </w:r>
          </w:p>
        </w:tc>
      </w:tr>
      <w:tr w:rsidR="0070375D" w:rsidRPr="00C13B4E" w:rsidTr="00C13B4E">
        <w:tc>
          <w:tcPr>
            <w:tcW w:w="4665" w:type="dxa"/>
            <w:tcBorders>
              <w:top w:val="nil"/>
              <w:left w:val="nil"/>
              <w:bottom w:val="nil"/>
              <w:right w:val="nil"/>
            </w:tcBorders>
          </w:tcPr>
          <w:p w:rsidR="0070375D" w:rsidRPr="00C13B4E" w:rsidRDefault="0070375D" w:rsidP="00C13B4E">
            <w:pPr>
              <w:pStyle w:val="Tabletext"/>
              <w:rPr>
                <w:color w:val="000000"/>
                <w:lang w:eastAsia="en-AU"/>
              </w:rPr>
            </w:pPr>
            <w:r w:rsidRPr="00C13B4E">
              <w:rPr>
                <w:color w:val="000000"/>
                <w:lang w:eastAsia="en-AU"/>
              </w:rPr>
              <w:t>Consumer price index</w:t>
            </w:r>
          </w:p>
        </w:tc>
        <w:tc>
          <w:tcPr>
            <w:tcW w:w="1036" w:type="dxa"/>
            <w:tcBorders>
              <w:top w:val="nil"/>
              <w:left w:val="nil"/>
              <w:bottom w:val="nil"/>
              <w:right w:val="nil"/>
            </w:tcBorders>
            <w:shd w:val="solid" w:color="FFFFFF" w:fill="auto"/>
          </w:tcPr>
          <w:p w:rsidR="0070375D" w:rsidRPr="00C13B4E" w:rsidRDefault="0070375D" w:rsidP="00C13B4E">
            <w:pPr>
              <w:pStyle w:val="TableofFigures"/>
              <w:rPr>
                <w:color w:val="000000"/>
                <w:lang w:eastAsia="en-AU"/>
              </w:rPr>
            </w:pPr>
            <w:r w:rsidRPr="00C13B4E">
              <w:rPr>
                <w:color w:val="000000"/>
                <w:lang w:eastAsia="en-AU"/>
              </w:rPr>
              <w:t>2.5</w:t>
            </w:r>
          </w:p>
        </w:tc>
        <w:tc>
          <w:tcPr>
            <w:tcW w:w="1036" w:type="dxa"/>
            <w:tcBorders>
              <w:top w:val="nil"/>
              <w:left w:val="nil"/>
              <w:bottom w:val="nil"/>
              <w:right w:val="nil"/>
            </w:tcBorders>
            <w:shd w:val="clear" w:color="auto" w:fill="auto"/>
          </w:tcPr>
          <w:p w:rsidR="0070375D" w:rsidRPr="00C13B4E" w:rsidRDefault="0070375D" w:rsidP="00C13B4E">
            <w:pPr>
              <w:pStyle w:val="TableofFigures"/>
              <w:rPr>
                <w:color w:val="000000"/>
                <w:lang w:eastAsia="en-AU"/>
              </w:rPr>
            </w:pPr>
            <w:r w:rsidRPr="00C13B4E">
              <w:rPr>
                <w:color w:val="000000"/>
                <w:lang w:eastAsia="en-AU"/>
              </w:rPr>
              <w:t>2.6</w:t>
            </w:r>
          </w:p>
        </w:tc>
        <w:tc>
          <w:tcPr>
            <w:tcW w:w="1036" w:type="dxa"/>
            <w:tcBorders>
              <w:top w:val="nil"/>
              <w:left w:val="nil"/>
              <w:bottom w:val="nil"/>
              <w:right w:val="nil"/>
            </w:tcBorders>
            <w:shd w:val="solid" w:color="FFFFFF" w:fill="auto"/>
          </w:tcPr>
          <w:p w:rsidR="0070375D" w:rsidRPr="00C13B4E" w:rsidRDefault="0070375D" w:rsidP="00C13B4E">
            <w:pPr>
              <w:pStyle w:val="TableofFigures"/>
              <w:rPr>
                <w:color w:val="000000"/>
                <w:lang w:eastAsia="en-AU"/>
              </w:rPr>
            </w:pPr>
            <w:r w:rsidRPr="00C13B4E">
              <w:rPr>
                <w:color w:val="000000"/>
                <w:lang w:eastAsia="en-AU"/>
              </w:rPr>
              <w:t>0.1</w:t>
            </w:r>
          </w:p>
        </w:tc>
      </w:tr>
      <w:tr w:rsidR="0070375D" w:rsidRPr="00C13B4E" w:rsidTr="00C13B4E">
        <w:tc>
          <w:tcPr>
            <w:tcW w:w="4665" w:type="dxa"/>
            <w:tcBorders>
              <w:top w:val="nil"/>
              <w:left w:val="nil"/>
              <w:bottom w:val="single" w:sz="12" w:space="0" w:color="auto"/>
              <w:right w:val="nil"/>
            </w:tcBorders>
          </w:tcPr>
          <w:p w:rsidR="0070375D" w:rsidRPr="00C13B4E" w:rsidRDefault="0070375D" w:rsidP="00C13B4E">
            <w:pPr>
              <w:pStyle w:val="Tabletext"/>
              <w:rPr>
                <w:color w:val="000000"/>
                <w:vertAlign w:val="superscript"/>
                <w:lang w:eastAsia="en-AU"/>
              </w:rPr>
            </w:pPr>
            <w:r w:rsidRPr="00C13B4E">
              <w:rPr>
                <w:color w:val="000000"/>
                <w:lang w:eastAsia="en-AU"/>
              </w:rPr>
              <w:t xml:space="preserve">Wage price index </w:t>
            </w:r>
            <w:r w:rsidRPr="00C13B4E">
              <w:rPr>
                <w:color w:val="000000"/>
                <w:vertAlign w:val="superscript"/>
                <w:lang w:eastAsia="en-AU"/>
              </w:rPr>
              <w:t>(c)</w:t>
            </w:r>
          </w:p>
        </w:tc>
        <w:tc>
          <w:tcPr>
            <w:tcW w:w="1036" w:type="dxa"/>
            <w:tcBorders>
              <w:top w:val="nil"/>
              <w:left w:val="nil"/>
              <w:bottom w:val="single" w:sz="12" w:space="0" w:color="auto"/>
              <w:right w:val="nil"/>
            </w:tcBorders>
            <w:shd w:val="solid" w:color="FFFFFF" w:fill="auto"/>
          </w:tcPr>
          <w:p w:rsidR="0070375D" w:rsidRPr="00C13B4E" w:rsidRDefault="0070375D" w:rsidP="00C13B4E">
            <w:pPr>
              <w:pStyle w:val="TableofFigures"/>
              <w:rPr>
                <w:color w:val="000000"/>
                <w:lang w:eastAsia="en-AU"/>
              </w:rPr>
            </w:pPr>
            <w:r w:rsidRPr="00C13B4E">
              <w:rPr>
                <w:color w:val="000000"/>
                <w:lang w:eastAsia="en-AU"/>
              </w:rPr>
              <w:t>3.5</w:t>
            </w:r>
          </w:p>
        </w:tc>
        <w:tc>
          <w:tcPr>
            <w:tcW w:w="1036" w:type="dxa"/>
            <w:tcBorders>
              <w:top w:val="nil"/>
              <w:left w:val="nil"/>
              <w:bottom w:val="single" w:sz="12" w:space="0" w:color="auto"/>
              <w:right w:val="nil"/>
            </w:tcBorders>
            <w:shd w:val="clear" w:color="auto" w:fill="auto"/>
          </w:tcPr>
          <w:p w:rsidR="0070375D" w:rsidRPr="00C13B4E" w:rsidRDefault="0070375D" w:rsidP="00C13B4E">
            <w:pPr>
              <w:pStyle w:val="TableofFigures"/>
              <w:rPr>
                <w:color w:val="000000"/>
                <w:lang w:eastAsia="en-AU"/>
              </w:rPr>
            </w:pPr>
            <w:r w:rsidRPr="00C13B4E">
              <w:rPr>
                <w:color w:val="000000"/>
                <w:lang w:eastAsia="en-AU"/>
              </w:rPr>
              <w:t>3.6</w:t>
            </w:r>
          </w:p>
        </w:tc>
        <w:tc>
          <w:tcPr>
            <w:tcW w:w="1036" w:type="dxa"/>
            <w:tcBorders>
              <w:top w:val="nil"/>
              <w:left w:val="nil"/>
              <w:bottom w:val="single" w:sz="12" w:space="0" w:color="auto"/>
              <w:right w:val="nil"/>
            </w:tcBorders>
            <w:shd w:val="solid" w:color="FFFFFF" w:fill="auto"/>
          </w:tcPr>
          <w:p w:rsidR="0070375D" w:rsidRPr="00C13B4E" w:rsidRDefault="0070375D" w:rsidP="00C13B4E">
            <w:pPr>
              <w:pStyle w:val="TableofFigures"/>
              <w:rPr>
                <w:color w:val="000000"/>
                <w:lang w:eastAsia="en-AU"/>
              </w:rPr>
            </w:pPr>
            <w:r w:rsidRPr="00C13B4E">
              <w:rPr>
                <w:color w:val="000000"/>
                <w:lang w:eastAsia="en-AU"/>
              </w:rPr>
              <w:t>0.1</w:t>
            </w:r>
          </w:p>
        </w:tc>
      </w:tr>
    </w:tbl>
    <w:p w:rsidR="0070375D" w:rsidRDefault="0070375D" w:rsidP="00FF4165">
      <w:pPr>
        <w:pStyle w:val="Source"/>
      </w:pPr>
      <w:r>
        <w:t>Source: Department of Treasury and Finance</w:t>
      </w:r>
    </w:p>
    <w:p w:rsidR="0070375D" w:rsidRDefault="0070375D" w:rsidP="00145452">
      <w:pPr>
        <w:pStyle w:val="Notes"/>
      </w:pPr>
      <w:r>
        <w:t>Notes:</w:t>
      </w:r>
    </w:p>
    <w:p w:rsidR="0070375D" w:rsidRDefault="0070375D" w:rsidP="00145452">
      <w:pPr>
        <w:pStyle w:val="Notes"/>
      </w:pPr>
      <w:r>
        <w:t>(a)</w:t>
      </w:r>
      <w:r>
        <w:tab/>
        <w:t xml:space="preserve">Forecast in May 2006 for </w:t>
      </w:r>
      <w:r w:rsidRPr="00A250B8">
        <w:rPr>
          <w:i w:val="0"/>
        </w:rPr>
        <w:t>2006</w:t>
      </w:r>
      <w:r w:rsidR="00276239">
        <w:rPr>
          <w:i w:val="0"/>
        </w:rPr>
        <w:noBreakHyphen/>
      </w:r>
      <w:r w:rsidRPr="00A250B8">
        <w:rPr>
          <w:i w:val="0"/>
        </w:rPr>
        <w:t>07 Budget</w:t>
      </w:r>
      <w:r>
        <w:t>.</w:t>
      </w:r>
    </w:p>
    <w:p w:rsidR="0070375D" w:rsidRDefault="0070375D" w:rsidP="00145452">
      <w:pPr>
        <w:pStyle w:val="Notes"/>
      </w:pPr>
      <w:r>
        <w:t>(b)</w:t>
      </w:r>
      <w:r>
        <w:tab/>
        <w:t>Percentage point variation.</w:t>
      </w:r>
    </w:p>
    <w:p w:rsidR="0070375D" w:rsidRDefault="0070375D" w:rsidP="00145452">
      <w:pPr>
        <w:pStyle w:val="Notes"/>
      </w:pPr>
      <w:r>
        <w:t>(c)</w:t>
      </w:r>
      <w:r>
        <w:tab/>
        <w:t>Total hourly rate excluding bonuses.</w:t>
      </w:r>
    </w:p>
    <w:p w:rsidR="0070375D" w:rsidRDefault="0070375D" w:rsidP="00145452"/>
    <w:p w:rsidR="0070375D" w:rsidRDefault="0070375D" w:rsidP="00145452">
      <w:r>
        <w:t>The main areas of revenue forecast error in 2006</w:t>
      </w:r>
      <w:r w:rsidR="00276239">
        <w:noBreakHyphen/>
      </w:r>
      <w:r>
        <w:t>07 relate to the underestimation of land transfer duty</w:t>
      </w:r>
      <w:r>
        <w:fldChar w:fldCharType="begin"/>
      </w:r>
      <w:r>
        <w:instrText xml:space="preserve"> XE "</w:instrText>
      </w:r>
      <w:r w:rsidRPr="00BC4F14">
        <w:instrText>Taxation:Land transfer</w:instrText>
      </w:r>
      <w:r>
        <w:instrText xml:space="preserve">" </w:instrText>
      </w:r>
      <w:r>
        <w:fldChar w:fldCharType="end"/>
      </w:r>
      <w:r>
        <w:t xml:space="preserve"> and of other revenue, while payroll tax was close to forecast (Table A.3). Strong land transfer duty revenues largely reflect the property cycle. As land transfer duty is a transaction based tax, with the bulk of revenue collected from the residential property sector, collections are subject to the volatile nature of consumer sentiment. In 2006</w:t>
      </w:r>
      <w:r w:rsidR="00276239">
        <w:noBreakHyphen/>
      </w:r>
      <w:r>
        <w:t>07, both house prices and volumes were in growth phases, and in the second half of the financial year consumer sentiment was well above historical averages.</w:t>
      </w:r>
    </w:p>
    <w:p w:rsidR="0070375D" w:rsidRDefault="0070375D" w:rsidP="00145452">
      <w:r>
        <w:t>A significant portion of other revenue is composed of tied grants</w:t>
      </w:r>
      <w:r>
        <w:fldChar w:fldCharType="begin"/>
      </w:r>
      <w:r>
        <w:instrText xml:space="preserve"> XE "</w:instrText>
      </w:r>
      <w:r w:rsidRPr="00D76434">
        <w:instrText>Grants:Commonwealth</w:instrText>
      </w:r>
      <w:r>
        <w:instrText xml:space="preserve">" </w:instrText>
      </w:r>
      <w:r>
        <w:fldChar w:fldCharType="end"/>
      </w:r>
      <w:r>
        <w:t xml:space="preserve"> from the Commonwealth Government and largely comprises funding for health and education purposes. Forecasts are finalised around four months before the start of the relevant budget year and alternative arrangements may be made with the Commonwealth Government at any time during the ensuing 16 months to impact revenue from this source.</w:t>
      </w:r>
    </w:p>
    <w:p w:rsidR="0070375D" w:rsidRDefault="0070375D" w:rsidP="00FF4FE2">
      <w:r>
        <w:t>As payroll tax</w:t>
      </w:r>
      <w:r>
        <w:fldChar w:fldCharType="begin"/>
      </w:r>
      <w:r>
        <w:instrText xml:space="preserve"> XE "</w:instrText>
      </w:r>
      <w:r w:rsidRPr="008852C4">
        <w:instrText>Taxation:Payroll</w:instrText>
      </w:r>
      <w:r>
        <w:instrText xml:space="preserve">" </w:instrText>
      </w:r>
      <w:r>
        <w:fldChar w:fldCharType="end"/>
      </w:r>
      <w:r>
        <w:t xml:space="preserve"> is levied on the stock of employees, forecast error in growth is unlikely to have a large effect on revenue from this line. This proved to be the case in 2006</w:t>
      </w:r>
      <w:r w:rsidR="00276239">
        <w:noBreakHyphen/>
      </w:r>
      <w:r>
        <w:t>07. Despite growth in employment being two percentage points higher than anticipated, the 2006</w:t>
      </w:r>
      <w:r w:rsidR="00276239">
        <w:noBreakHyphen/>
      </w:r>
      <w:r>
        <w:t>07 outcome for payroll tax was largely consistent with budgeted estimates. This highlights a disconnect between Victoria</w:t>
      </w:r>
      <w:r w:rsidR="00276239">
        <w:t>’</w:t>
      </w:r>
      <w:r>
        <w:t>s labour market performance and payroll tax collections, and may occur because payroll tax is levied on a small share of Victorian businesses, which may not necessarily be drivers of growth at the time.</w:t>
      </w:r>
    </w:p>
    <w:p w:rsidR="0070375D" w:rsidRDefault="0070375D" w:rsidP="00145452">
      <w:pPr>
        <w:pStyle w:val="Tableheading"/>
      </w:pPr>
      <w:r>
        <w:br w:type="page"/>
      </w:r>
      <w:r>
        <w:lastRenderedPageBreak/>
        <w:t>Table A.3:</w:t>
      </w:r>
      <w:r>
        <w:tab/>
        <w:t>Actual deviations to key revenue lines from 2006</w:t>
      </w:r>
      <w:r w:rsidR="00276239">
        <w:noBreakHyphen/>
      </w:r>
      <w:r>
        <w:t>07 budgeted levels</w:t>
      </w:r>
    </w:p>
    <w:p w:rsidR="0070375D" w:rsidRPr="008F026A" w:rsidRDefault="0070375D" w:rsidP="008F026A">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4668"/>
        <w:gridCol w:w="1036"/>
        <w:gridCol w:w="1036"/>
        <w:gridCol w:w="1036"/>
      </w:tblGrid>
      <w:tr w:rsidR="0070375D" w:rsidRPr="008F026A" w:rsidTr="008F026A">
        <w:tc>
          <w:tcPr>
            <w:tcW w:w="4665" w:type="dxa"/>
            <w:tcBorders>
              <w:top w:val="single" w:sz="4" w:space="0" w:color="auto"/>
              <w:left w:val="single" w:sz="4" w:space="0" w:color="auto"/>
              <w:bottom w:val="single" w:sz="6" w:space="0" w:color="auto"/>
              <w:right w:val="nil"/>
            </w:tcBorders>
            <w:shd w:val="clear" w:color="auto" w:fill="000000"/>
          </w:tcPr>
          <w:p w:rsidR="0070375D" w:rsidRPr="008F026A" w:rsidRDefault="0070375D" w:rsidP="008F026A">
            <w:pPr>
              <w:pStyle w:val="Tabletext"/>
              <w:rPr>
                <w:lang w:eastAsia="en-AU"/>
              </w:rPr>
            </w:pPr>
          </w:p>
        </w:tc>
        <w:tc>
          <w:tcPr>
            <w:tcW w:w="1036" w:type="dxa"/>
            <w:tcBorders>
              <w:top w:val="single" w:sz="4" w:space="0" w:color="auto"/>
              <w:left w:val="nil"/>
              <w:bottom w:val="single" w:sz="6" w:space="0" w:color="auto"/>
              <w:right w:val="single" w:sz="6" w:space="0" w:color="auto"/>
            </w:tcBorders>
            <w:shd w:val="clear" w:color="auto" w:fill="000000"/>
          </w:tcPr>
          <w:p w:rsidR="0070375D" w:rsidRPr="008F026A" w:rsidRDefault="0070375D" w:rsidP="008F026A">
            <w:pPr>
              <w:pStyle w:val="Tabletextheading"/>
              <w:rPr>
                <w:lang w:eastAsia="en-AU"/>
              </w:rPr>
            </w:pPr>
            <w:r w:rsidRPr="008F026A">
              <w:rPr>
                <w:lang w:eastAsia="en-AU"/>
              </w:rPr>
              <w:t>2006</w:t>
            </w:r>
            <w:r w:rsidR="00276239">
              <w:rPr>
                <w:lang w:eastAsia="en-AU"/>
              </w:rPr>
              <w:noBreakHyphen/>
            </w:r>
            <w:r w:rsidRPr="008F026A">
              <w:rPr>
                <w:lang w:eastAsia="en-AU"/>
              </w:rPr>
              <w:t>07</w:t>
            </w:r>
          </w:p>
        </w:tc>
        <w:tc>
          <w:tcPr>
            <w:tcW w:w="1036" w:type="dxa"/>
            <w:tcBorders>
              <w:top w:val="single" w:sz="4" w:space="0" w:color="auto"/>
              <w:left w:val="nil"/>
              <w:bottom w:val="single" w:sz="6" w:space="0" w:color="auto"/>
              <w:right w:val="single" w:sz="6" w:space="0" w:color="auto"/>
            </w:tcBorders>
            <w:shd w:val="clear" w:color="auto" w:fill="000000"/>
          </w:tcPr>
          <w:p w:rsidR="0070375D" w:rsidRPr="008F026A" w:rsidRDefault="0070375D" w:rsidP="008F026A">
            <w:pPr>
              <w:pStyle w:val="Tabletextheading"/>
              <w:rPr>
                <w:lang w:eastAsia="en-AU"/>
              </w:rPr>
            </w:pPr>
            <w:r w:rsidRPr="008F026A">
              <w:rPr>
                <w:lang w:eastAsia="en-AU"/>
              </w:rPr>
              <w:t>2006</w:t>
            </w:r>
            <w:r w:rsidR="00276239">
              <w:rPr>
                <w:lang w:eastAsia="en-AU"/>
              </w:rPr>
              <w:noBreakHyphen/>
            </w:r>
            <w:r w:rsidRPr="008F026A">
              <w:rPr>
                <w:lang w:eastAsia="en-AU"/>
              </w:rPr>
              <w:t>07</w:t>
            </w:r>
          </w:p>
        </w:tc>
        <w:tc>
          <w:tcPr>
            <w:tcW w:w="1036" w:type="dxa"/>
            <w:tcBorders>
              <w:top w:val="single" w:sz="4" w:space="0" w:color="auto"/>
              <w:left w:val="nil"/>
              <w:bottom w:val="single" w:sz="6" w:space="0" w:color="auto"/>
              <w:right w:val="single" w:sz="4" w:space="0" w:color="auto"/>
            </w:tcBorders>
            <w:shd w:val="clear" w:color="auto" w:fill="000000"/>
          </w:tcPr>
          <w:p w:rsidR="0070375D" w:rsidRPr="008F026A" w:rsidRDefault="0070375D" w:rsidP="008F026A">
            <w:pPr>
              <w:pStyle w:val="Tabletextheading"/>
              <w:rPr>
                <w:lang w:eastAsia="en-AU"/>
              </w:rPr>
            </w:pPr>
            <w:r w:rsidRPr="008F026A">
              <w:rPr>
                <w:lang w:eastAsia="en-AU"/>
              </w:rPr>
              <w:t>Forecast</w:t>
            </w:r>
          </w:p>
        </w:tc>
      </w:tr>
      <w:tr w:rsidR="0070375D" w:rsidRPr="008F026A" w:rsidTr="008F026A">
        <w:tc>
          <w:tcPr>
            <w:tcW w:w="4665" w:type="dxa"/>
            <w:tcBorders>
              <w:top w:val="single" w:sz="6" w:space="0" w:color="auto"/>
              <w:left w:val="single" w:sz="4" w:space="0" w:color="auto"/>
              <w:bottom w:val="single" w:sz="4" w:space="0" w:color="auto"/>
              <w:right w:val="nil"/>
            </w:tcBorders>
            <w:shd w:val="clear" w:color="auto" w:fill="000000"/>
          </w:tcPr>
          <w:p w:rsidR="0070375D" w:rsidRPr="008F026A" w:rsidRDefault="0070375D" w:rsidP="008F026A">
            <w:pPr>
              <w:pStyle w:val="Tabletext"/>
              <w:rPr>
                <w:lang w:eastAsia="en-AU"/>
              </w:rPr>
            </w:pPr>
          </w:p>
        </w:tc>
        <w:tc>
          <w:tcPr>
            <w:tcW w:w="1036" w:type="dxa"/>
            <w:tcBorders>
              <w:top w:val="single" w:sz="6" w:space="0" w:color="auto"/>
              <w:left w:val="nil"/>
              <w:bottom w:val="single" w:sz="4" w:space="0" w:color="auto"/>
              <w:right w:val="single" w:sz="6" w:space="0" w:color="auto"/>
            </w:tcBorders>
            <w:shd w:val="clear" w:color="auto" w:fill="000000"/>
          </w:tcPr>
          <w:p w:rsidR="0070375D" w:rsidRPr="008F026A" w:rsidRDefault="0070375D" w:rsidP="008F026A">
            <w:pPr>
              <w:pStyle w:val="Tabletextheading"/>
              <w:rPr>
                <w:lang w:eastAsia="en-AU"/>
              </w:rPr>
            </w:pPr>
            <w:r w:rsidRPr="008F026A">
              <w:rPr>
                <w:lang w:eastAsia="en-AU"/>
              </w:rPr>
              <w:t>Budget</w:t>
            </w:r>
          </w:p>
        </w:tc>
        <w:tc>
          <w:tcPr>
            <w:tcW w:w="1036" w:type="dxa"/>
            <w:tcBorders>
              <w:top w:val="single" w:sz="6" w:space="0" w:color="auto"/>
              <w:left w:val="nil"/>
              <w:bottom w:val="single" w:sz="4" w:space="0" w:color="auto"/>
              <w:right w:val="single" w:sz="6" w:space="0" w:color="auto"/>
            </w:tcBorders>
            <w:shd w:val="clear" w:color="auto" w:fill="000000"/>
          </w:tcPr>
          <w:p w:rsidR="0070375D" w:rsidRPr="008F026A" w:rsidRDefault="0070375D" w:rsidP="008F026A">
            <w:pPr>
              <w:pStyle w:val="Tabletextheading"/>
              <w:rPr>
                <w:lang w:eastAsia="en-AU"/>
              </w:rPr>
            </w:pPr>
            <w:r w:rsidRPr="008F026A">
              <w:rPr>
                <w:lang w:eastAsia="en-AU"/>
              </w:rPr>
              <w:t>Actual</w:t>
            </w:r>
          </w:p>
        </w:tc>
        <w:tc>
          <w:tcPr>
            <w:tcW w:w="1036" w:type="dxa"/>
            <w:tcBorders>
              <w:top w:val="single" w:sz="6" w:space="0" w:color="auto"/>
              <w:left w:val="nil"/>
              <w:bottom w:val="single" w:sz="4" w:space="0" w:color="auto"/>
              <w:right w:val="single" w:sz="4" w:space="0" w:color="auto"/>
            </w:tcBorders>
            <w:shd w:val="clear" w:color="auto" w:fill="000000"/>
          </w:tcPr>
          <w:p w:rsidR="0070375D" w:rsidRPr="008F026A" w:rsidRDefault="0070375D" w:rsidP="008F026A">
            <w:pPr>
              <w:pStyle w:val="Tabletextheading"/>
              <w:rPr>
                <w:lang w:eastAsia="en-AU"/>
              </w:rPr>
            </w:pPr>
            <w:r w:rsidRPr="008F026A">
              <w:rPr>
                <w:lang w:eastAsia="en-AU"/>
              </w:rPr>
              <w:t>error</w:t>
            </w:r>
          </w:p>
        </w:tc>
      </w:tr>
      <w:tr w:rsidR="0070375D" w:rsidRPr="008F026A" w:rsidTr="008F026A">
        <w:tc>
          <w:tcPr>
            <w:tcW w:w="4665" w:type="dxa"/>
            <w:tcBorders>
              <w:top w:val="single" w:sz="4" w:space="0" w:color="auto"/>
              <w:left w:val="nil"/>
              <w:bottom w:val="nil"/>
              <w:right w:val="nil"/>
            </w:tcBorders>
          </w:tcPr>
          <w:p w:rsidR="0070375D" w:rsidRPr="008F026A" w:rsidRDefault="0070375D" w:rsidP="008F026A">
            <w:pPr>
              <w:pStyle w:val="Tabletext"/>
              <w:rPr>
                <w:lang w:eastAsia="en-AU"/>
              </w:rPr>
            </w:pPr>
            <w:r w:rsidRPr="008F026A">
              <w:rPr>
                <w:lang w:eastAsia="en-AU"/>
              </w:rPr>
              <w:t>Payroll taxes</w:t>
            </w:r>
          </w:p>
        </w:tc>
        <w:tc>
          <w:tcPr>
            <w:tcW w:w="1036" w:type="dxa"/>
            <w:tcBorders>
              <w:top w:val="single" w:sz="4" w:space="0" w:color="auto"/>
              <w:left w:val="nil"/>
              <w:bottom w:val="nil"/>
              <w:right w:val="nil"/>
            </w:tcBorders>
          </w:tcPr>
          <w:p w:rsidR="0070375D" w:rsidRPr="008F026A" w:rsidRDefault="0070375D" w:rsidP="008F026A">
            <w:pPr>
              <w:pStyle w:val="TableofFigures"/>
              <w:rPr>
                <w:lang w:eastAsia="en-AU"/>
              </w:rPr>
            </w:pPr>
            <w:r w:rsidRPr="008F026A">
              <w:rPr>
                <w:lang w:eastAsia="en-AU"/>
              </w:rPr>
              <w:t>3 418</w:t>
            </w:r>
          </w:p>
        </w:tc>
        <w:tc>
          <w:tcPr>
            <w:tcW w:w="1036" w:type="dxa"/>
            <w:tcBorders>
              <w:top w:val="single" w:sz="4" w:space="0" w:color="auto"/>
              <w:left w:val="nil"/>
              <w:bottom w:val="nil"/>
              <w:right w:val="nil"/>
            </w:tcBorders>
          </w:tcPr>
          <w:p w:rsidR="0070375D" w:rsidRPr="008F026A" w:rsidRDefault="0070375D" w:rsidP="008F026A">
            <w:pPr>
              <w:pStyle w:val="TableofFigures"/>
              <w:rPr>
                <w:lang w:eastAsia="en-AU"/>
              </w:rPr>
            </w:pPr>
            <w:r w:rsidRPr="008F026A">
              <w:rPr>
                <w:lang w:eastAsia="en-AU"/>
              </w:rPr>
              <w:t>3 479</w:t>
            </w:r>
          </w:p>
        </w:tc>
        <w:tc>
          <w:tcPr>
            <w:tcW w:w="1036" w:type="dxa"/>
            <w:tcBorders>
              <w:top w:val="single" w:sz="4" w:space="0" w:color="auto"/>
              <w:left w:val="nil"/>
              <w:bottom w:val="nil"/>
              <w:right w:val="nil"/>
            </w:tcBorders>
          </w:tcPr>
          <w:p w:rsidR="0070375D" w:rsidRPr="008F026A" w:rsidRDefault="0070375D" w:rsidP="008F026A">
            <w:pPr>
              <w:pStyle w:val="TableofFigures"/>
              <w:rPr>
                <w:lang w:eastAsia="en-AU"/>
              </w:rPr>
            </w:pPr>
            <w:r w:rsidRPr="008F026A">
              <w:rPr>
                <w:lang w:eastAsia="en-AU"/>
              </w:rPr>
              <w:t xml:space="preserve"> 61</w:t>
            </w:r>
          </w:p>
        </w:tc>
      </w:tr>
      <w:tr w:rsidR="0070375D" w:rsidRPr="008F026A" w:rsidTr="008F026A">
        <w:tc>
          <w:tcPr>
            <w:tcW w:w="4665" w:type="dxa"/>
            <w:tcBorders>
              <w:top w:val="nil"/>
              <w:left w:val="nil"/>
              <w:bottom w:val="nil"/>
              <w:right w:val="nil"/>
            </w:tcBorders>
          </w:tcPr>
          <w:p w:rsidR="0070375D" w:rsidRPr="008F026A" w:rsidRDefault="0070375D" w:rsidP="008F026A">
            <w:pPr>
              <w:pStyle w:val="Tabletext"/>
              <w:rPr>
                <w:lang w:eastAsia="en-AU"/>
              </w:rPr>
            </w:pPr>
            <w:r w:rsidRPr="008F026A">
              <w:rPr>
                <w:lang w:eastAsia="en-AU"/>
              </w:rPr>
              <w:t>Land transfer duty</w:t>
            </w:r>
          </w:p>
        </w:tc>
        <w:tc>
          <w:tcPr>
            <w:tcW w:w="1036" w:type="dxa"/>
            <w:tcBorders>
              <w:top w:val="nil"/>
              <w:left w:val="nil"/>
              <w:bottom w:val="nil"/>
              <w:right w:val="nil"/>
            </w:tcBorders>
          </w:tcPr>
          <w:p w:rsidR="0070375D" w:rsidRPr="008F026A" w:rsidRDefault="0070375D" w:rsidP="008F026A">
            <w:pPr>
              <w:pStyle w:val="TableofFigures"/>
              <w:rPr>
                <w:lang w:eastAsia="en-AU"/>
              </w:rPr>
            </w:pPr>
            <w:r w:rsidRPr="008F026A">
              <w:rPr>
                <w:lang w:eastAsia="en-AU"/>
              </w:rPr>
              <w:t>2 424</w:t>
            </w:r>
          </w:p>
        </w:tc>
        <w:tc>
          <w:tcPr>
            <w:tcW w:w="1036" w:type="dxa"/>
            <w:tcBorders>
              <w:top w:val="nil"/>
              <w:left w:val="nil"/>
              <w:bottom w:val="nil"/>
              <w:right w:val="nil"/>
            </w:tcBorders>
          </w:tcPr>
          <w:p w:rsidR="0070375D" w:rsidRPr="008F026A" w:rsidRDefault="0070375D" w:rsidP="008F026A">
            <w:pPr>
              <w:pStyle w:val="TableofFigures"/>
              <w:rPr>
                <w:lang w:eastAsia="en-AU"/>
              </w:rPr>
            </w:pPr>
            <w:r w:rsidRPr="008F026A">
              <w:rPr>
                <w:lang w:eastAsia="en-AU"/>
              </w:rPr>
              <w:t>2 961</w:t>
            </w:r>
          </w:p>
        </w:tc>
        <w:tc>
          <w:tcPr>
            <w:tcW w:w="1036" w:type="dxa"/>
            <w:tcBorders>
              <w:top w:val="nil"/>
              <w:left w:val="nil"/>
              <w:bottom w:val="nil"/>
              <w:right w:val="nil"/>
            </w:tcBorders>
          </w:tcPr>
          <w:p w:rsidR="0070375D" w:rsidRPr="008F026A" w:rsidRDefault="0070375D" w:rsidP="008F026A">
            <w:pPr>
              <w:pStyle w:val="TableofFigures"/>
              <w:rPr>
                <w:lang w:eastAsia="en-AU"/>
              </w:rPr>
            </w:pPr>
            <w:r w:rsidRPr="008F026A">
              <w:rPr>
                <w:lang w:eastAsia="en-AU"/>
              </w:rPr>
              <w:t xml:space="preserve"> 537</w:t>
            </w:r>
          </w:p>
        </w:tc>
      </w:tr>
      <w:tr w:rsidR="0070375D" w:rsidRPr="008F026A" w:rsidTr="008F026A">
        <w:tc>
          <w:tcPr>
            <w:tcW w:w="4665" w:type="dxa"/>
            <w:tcBorders>
              <w:top w:val="nil"/>
              <w:left w:val="nil"/>
              <w:bottom w:val="single" w:sz="6" w:space="0" w:color="auto"/>
              <w:right w:val="nil"/>
            </w:tcBorders>
          </w:tcPr>
          <w:p w:rsidR="0070375D" w:rsidRPr="008F026A" w:rsidRDefault="0070375D" w:rsidP="008F026A">
            <w:pPr>
              <w:pStyle w:val="Tabletext"/>
              <w:rPr>
                <w:lang w:eastAsia="en-AU"/>
              </w:rPr>
            </w:pPr>
            <w:r w:rsidRPr="008F026A">
              <w:rPr>
                <w:lang w:eastAsia="en-AU"/>
              </w:rPr>
              <w:t>Other own</w:t>
            </w:r>
            <w:r w:rsidR="00276239">
              <w:rPr>
                <w:lang w:eastAsia="en-AU"/>
              </w:rPr>
              <w:noBreakHyphen/>
            </w:r>
            <w:r w:rsidRPr="008F026A">
              <w:rPr>
                <w:lang w:eastAsia="en-AU"/>
              </w:rPr>
              <w:t>sourced revenue</w:t>
            </w:r>
          </w:p>
        </w:tc>
        <w:tc>
          <w:tcPr>
            <w:tcW w:w="1036" w:type="dxa"/>
            <w:tcBorders>
              <w:top w:val="nil"/>
              <w:left w:val="nil"/>
              <w:bottom w:val="single" w:sz="6" w:space="0" w:color="auto"/>
              <w:right w:val="nil"/>
            </w:tcBorders>
          </w:tcPr>
          <w:p w:rsidR="0070375D" w:rsidRPr="008F026A" w:rsidRDefault="0070375D" w:rsidP="008F026A">
            <w:pPr>
              <w:pStyle w:val="TableofFigures"/>
              <w:rPr>
                <w:lang w:eastAsia="en-AU"/>
              </w:rPr>
            </w:pPr>
            <w:r w:rsidRPr="008F026A">
              <w:rPr>
                <w:lang w:eastAsia="en-AU"/>
              </w:rPr>
              <w:t>5 129</w:t>
            </w:r>
          </w:p>
        </w:tc>
        <w:tc>
          <w:tcPr>
            <w:tcW w:w="1036" w:type="dxa"/>
            <w:tcBorders>
              <w:top w:val="nil"/>
              <w:left w:val="nil"/>
              <w:bottom w:val="single" w:sz="6" w:space="0" w:color="auto"/>
              <w:right w:val="nil"/>
            </w:tcBorders>
          </w:tcPr>
          <w:p w:rsidR="0070375D" w:rsidRPr="008F026A" w:rsidRDefault="0070375D" w:rsidP="008F026A">
            <w:pPr>
              <w:pStyle w:val="TableofFigures"/>
              <w:rPr>
                <w:lang w:eastAsia="en-AU"/>
              </w:rPr>
            </w:pPr>
            <w:r w:rsidRPr="008F026A">
              <w:rPr>
                <w:lang w:eastAsia="en-AU"/>
              </w:rPr>
              <w:t>5 262</w:t>
            </w:r>
          </w:p>
        </w:tc>
        <w:tc>
          <w:tcPr>
            <w:tcW w:w="1036" w:type="dxa"/>
            <w:tcBorders>
              <w:top w:val="nil"/>
              <w:left w:val="nil"/>
              <w:bottom w:val="single" w:sz="6" w:space="0" w:color="auto"/>
              <w:right w:val="nil"/>
            </w:tcBorders>
          </w:tcPr>
          <w:p w:rsidR="0070375D" w:rsidRPr="008F026A" w:rsidRDefault="0070375D" w:rsidP="008F026A">
            <w:pPr>
              <w:pStyle w:val="TableofFigures"/>
              <w:rPr>
                <w:lang w:eastAsia="en-AU"/>
              </w:rPr>
            </w:pPr>
            <w:r w:rsidRPr="008F026A">
              <w:rPr>
                <w:lang w:eastAsia="en-AU"/>
              </w:rPr>
              <w:t xml:space="preserve"> 133</w:t>
            </w:r>
          </w:p>
        </w:tc>
      </w:tr>
      <w:tr w:rsidR="0070375D" w:rsidRPr="008F026A" w:rsidTr="008F026A">
        <w:tc>
          <w:tcPr>
            <w:tcW w:w="4665" w:type="dxa"/>
            <w:tcBorders>
              <w:top w:val="nil"/>
              <w:left w:val="nil"/>
              <w:bottom w:val="nil"/>
              <w:right w:val="nil"/>
            </w:tcBorders>
          </w:tcPr>
          <w:p w:rsidR="0070375D" w:rsidRPr="008F026A" w:rsidRDefault="0070375D" w:rsidP="008F026A">
            <w:pPr>
              <w:pStyle w:val="Tabletext"/>
              <w:rPr>
                <w:b/>
                <w:bCs/>
                <w:lang w:eastAsia="en-AU"/>
              </w:rPr>
            </w:pPr>
            <w:r w:rsidRPr="008F026A">
              <w:rPr>
                <w:b/>
                <w:bCs/>
                <w:lang w:eastAsia="en-AU"/>
              </w:rPr>
              <w:t>Taxation revenue</w:t>
            </w:r>
          </w:p>
        </w:tc>
        <w:tc>
          <w:tcPr>
            <w:tcW w:w="1036" w:type="dxa"/>
            <w:tcBorders>
              <w:top w:val="nil"/>
              <w:left w:val="nil"/>
              <w:bottom w:val="nil"/>
              <w:right w:val="nil"/>
            </w:tcBorders>
          </w:tcPr>
          <w:p w:rsidR="0070375D" w:rsidRPr="008F026A" w:rsidRDefault="0070375D" w:rsidP="008F026A">
            <w:pPr>
              <w:pStyle w:val="TableofFigures"/>
              <w:rPr>
                <w:b/>
                <w:bCs/>
                <w:lang w:eastAsia="en-AU"/>
              </w:rPr>
            </w:pPr>
            <w:r w:rsidRPr="008F026A">
              <w:rPr>
                <w:b/>
                <w:bCs/>
                <w:lang w:eastAsia="en-AU"/>
              </w:rPr>
              <w:t>10 971</w:t>
            </w:r>
          </w:p>
        </w:tc>
        <w:tc>
          <w:tcPr>
            <w:tcW w:w="1036" w:type="dxa"/>
            <w:tcBorders>
              <w:top w:val="nil"/>
              <w:left w:val="nil"/>
              <w:bottom w:val="nil"/>
              <w:right w:val="nil"/>
            </w:tcBorders>
          </w:tcPr>
          <w:p w:rsidR="0070375D" w:rsidRPr="008F026A" w:rsidRDefault="0070375D" w:rsidP="008F026A">
            <w:pPr>
              <w:pStyle w:val="TableofFigures"/>
              <w:rPr>
                <w:b/>
                <w:bCs/>
                <w:lang w:eastAsia="en-AU"/>
              </w:rPr>
            </w:pPr>
            <w:r w:rsidRPr="008F026A">
              <w:rPr>
                <w:b/>
                <w:bCs/>
                <w:lang w:eastAsia="en-AU"/>
              </w:rPr>
              <w:t>11 702</w:t>
            </w:r>
          </w:p>
        </w:tc>
        <w:tc>
          <w:tcPr>
            <w:tcW w:w="1036" w:type="dxa"/>
            <w:tcBorders>
              <w:top w:val="nil"/>
              <w:left w:val="nil"/>
              <w:bottom w:val="nil"/>
              <w:right w:val="nil"/>
            </w:tcBorders>
          </w:tcPr>
          <w:p w:rsidR="0070375D" w:rsidRPr="008F026A" w:rsidRDefault="0070375D" w:rsidP="008F026A">
            <w:pPr>
              <w:pStyle w:val="TableofFigures"/>
              <w:rPr>
                <w:b/>
                <w:bCs/>
                <w:lang w:eastAsia="en-AU"/>
              </w:rPr>
            </w:pPr>
            <w:r w:rsidRPr="008F026A">
              <w:rPr>
                <w:b/>
                <w:bCs/>
                <w:lang w:eastAsia="en-AU"/>
              </w:rPr>
              <w:t xml:space="preserve"> 731</w:t>
            </w:r>
          </w:p>
        </w:tc>
      </w:tr>
      <w:tr w:rsidR="0070375D" w:rsidRPr="008F026A" w:rsidTr="008F026A">
        <w:tc>
          <w:tcPr>
            <w:tcW w:w="4665" w:type="dxa"/>
            <w:tcBorders>
              <w:top w:val="nil"/>
              <w:left w:val="nil"/>
              <w:bottom w:val="nil"/>
              <w:right w:val="nil"/>
            </w:tcBorders>
          </w:tcPr>
          <w:p w:rsidR="0070375D" w:rsidRPr="008F026A" w:rsidRDefault="0070375D" w:rsidP="008F026A">
            <w:pPr>
              <w:pStyle w:val="Tabletext"/>
              <w:rPr>
                <w:lang w:eastAsia="en-AU"/>
              </w:rPr>
            </w:pPr>
            <w:r w:rsidRPr="008F026A">
              <w:rPr>
                <w:lang w:eastAsia="en-AU"/>
              </w:rPr>
              <w:t>Other revenue</w:t>
            </w:r>
          </w:p>
        </w:tc>
        <w:tc>
          <w:tcPr>
            <w:tcW w:w="1036" w:type="dxa"/>
            <w:tcBorders>
              <w:top w:val="nil"/>
              <w:left w:val="nil"/>
              <w:bottom w:val="nil"/>
              <w:right w:val="nil"/>
            </w:tcBorders>
          </w:tcPr>
          <w:p w:rsidR="0070375D" w:rsidRPr="008F026A" w:rsidRDefault="0070375D" w:rsidP="008F026A">
            <w:pPr>
              <w:pStyle w:val="TableofFigures"/>
              <w:rPr>
                <w:lang w:eastAsia="en-AU"/>
              </w:rPr>
            </w:pPr>
            <w:r w:rsidRPr="008F026A">
              <w:rPr>
                <w:lang w:eastAsia="en-AU"/>
              </w:rPr>
              <w:t>13 002</w:t>
            </w:r>
          </w:p>
        </w:tc>
        <w:tc>
          <w:tcPr>
            <w:tcW w:w="1036" w:type="dxa"/>
            <w:tcBorders>
              <w:top w:val="nil"/>
              <w:left w:val="nil"/>
              <w:bottom w:val="nil"/>
              <w:right w:val="nil"/>
            </w:tcBorders>
          </w:tcPr>
          <w:p w:rsidR="0070375D" w:rsidRPr="008F026A" w:rsidRDefault="0070375D" w:rsidP="008F026A">
            <w:pPr>
              <w:pStyle w:val="TableofFigures"/>
              <w:rPr>
                <w:lang w:eastAsia="en-AU"/>
              </w:rPr>
            </w:pPr>
            <w:r w:rsidRPr="008F026A">
              <w:rPr>
                <w:lang w:eastAsia="en-AU"/>
              </w:rPr>
              <w:t>14 600</w:t>
            </w:r>
          </w:p>
        </w:tc>
        <w:tc>
          <w:tcPr>
            <w:tcW w:w="1036" w:type="dxa"/>
            <w:tcBorders>
              <w:top w:val="nil"/>
              <w:left w:val="nil"/>
              <w:bottom w:val="nil"/>
              <w:right w:val="nil"/>
            </w:tcBorders>
          </w:tcPr>
          <w:p w:rsidR="0070375D" w:rsidRPr="008F026A" w:rsidRDefault="0070375D" w:rsidP="008F026A">
            <w:pPr>
              <w:pStyle w:val="TableofFigures"/>
              <w:rPr>
                <w:lang w:eastAsia="en-AU"/>
              </w:rPr>
            </w:pPr>
            <w:r w:rsidRPr="008F026A">
              <w:rPr>
                <w:lang w:eastAsia="en-AU"/>
              </w:rPr>
              <w:t>1 598</w:t>
            </w:r>
          </w:p>
        </w:tc>
      </w:tr>
      <w:tr w:rsidR="0070375D" w:rsidRPr="008F026A" w:rsidTr="008F026A">
        <w:tc>
          <w:tcPr>
            <w:tcW w:w="4665" w:type="dxa"/>
            <w:tcBorders>
              <w:top w:val="nil"/>
              <w:left w:val="nil"/>
              <w:bottom w:val="single" w:sz="6" w:space="0" w:color="auto"/>
              <w:right w:val="nil"/>
            </w:tcBorders>
          </w:tcPr>
          <w:p w:rsidR="0070375D" w:rsidRPr="008F026A" w:rsidRDefault="0070375D" w:rsidP="008F026A">
            <w:pPr>
              <w:pStyle w:val="Tabletext"/>
              <w:rPr>
                <w:lang w:eastAsia="en-AU"/>
              </w:rPr>
            </w:pPr>
            <w:r w:rsidRPr="008F026A">
              <w:rPr>
                <w:lang w:eastAsia="en-AU"/>
              </w:rPr>
              <w:t>GST</w:t>
            </w:r>
          </w:p>
        </w:tc>
        <w:tc>
          <w:tcPr>
            <w:tcW w:w="1036" w:type="dxa"/>
            <w:tcBorders>
              <w:top w:val="nil"/>
              <w:left w:val="nil"/>
              <w:bottom w:val="single" w:sz="6" w:space="0" w:color="auto"/>
              <w:right w:val="nil"/>
            </w:tcBorders>
          </w:tcPr>
          <w:p w:rsidR="0070375D" w:rsidRPr="008F026A" w:rsidRDefault="0070375D" w:rsidP="008F026A">
            <w:pPr>
              <w:pStyle w:val="TableofFigures"/>
              <w:rPr>
                <w:lang w:eastAsia="en-AU"/>
              </w:rPr>
            </w:pPr>
            <w:r w:rsidRPr="008F026A">
              <w:rPr>
                <w:lang w:eastAsia="en-AU"/>
              </w:rPr>
              <w:t>8 469</w:t>
            </w:r>
          </w:p>
        </w:tc>
        <w:tc>
          <w:tcPr>
            <w:tcW w:w="1036" w:type="dxa"/>
            <w:tcBorders>
              <w:top w:val="nil"/>
              <w:left w:val="nil"/>
              <w:bottom w:val="single" w:sz="6" w:space="0" w:color="auto"/>
              <w:right w:val="nil"/>
            </w:tcBorders>
          </w:tcPr>
          <w:p w:rsidR="0070375D" w:rsidRPr="008F026A" w:rsidRDefault="0070375D" w:rsidP="008F026A">
            <w:pPr>
              <w:pStyle w:val="TableofFigures"/>
              <w:rPr>
                <w:lang w:eastAsia="en-AU"/>
              </w:rPr>
            </w:pPr>
            <w:r w:rsidRPr="008F026A">
              <w:rPr>
                <w:lang w:eastAsia="en-AU"/>
              </w:rPr>
              <w:t>8 584</w:t>
            </w:r>
          </w:p>
        </w:tc>
        <w:tc>
          <w:tcPr>
            <w:tcW w:w="1036" w:type="dxa"/>
            <w:tcBorders>
              <w:top w:val="nil"/>
              <w:left w:val="nil"/>
              <w:bottom w:val="single" w:sz="6" w:space="0" w:color="auto"/>
              <w:right w:val="nil"/>
            </w:tcBorders>
          </w:tcPr>
          <w:p w:rsidR="0070375D" w:rsidRPr="008F026A" w:rsidRDefault="0070375D" w:rsidP="008F026A">
            <w:pPr>
              <w:pStyle w:val="TableofFigures"/>
              <w:rPr>
                <w:lang w:eastAsia="en-AU"/>
              </w:rPr>
            </w:pPr>
            <w:r w:rsidRPr="008F026A">
              <w:rPr>
                <w:lang w:eastAsia="en-AU"/>
              </w:rPr>
              <w:t xml:space="preserve"> 114</w:t>
            </w:r>
          </w:p>
        </w:tc>
      </w:tr>
      <w:tr w:rsidR="0070375D" w:rsidRPr="008F026A" w:rsidTr="008F026A">
        <w:tc>
          <w:tcPr>
            <w:tcW w:w="4665" w:type="dxa"/>
            <w:tcBorders>
              <w:top w:val="nil"/>
              <w:left w:val="nil"/>
              <w:bottom w:val="nil"/>
              <w:right w:val="nil"/>
            </w:tcBorders>
          </w:tcPr>
          <w:p w:rsidR="0070375D" w:rsidRPr="008F026A" w:rsidRDefault="0070375D" w:rsidP="008F026A">
            <w:pPr>
              <w:pStyle w:val="Tabletext"/>
              <w:rPr>
                <w:b/>
                <w:bCs/>
                <w:lang w:eastAsia="en-AU"/>
              </w:rPr>
            </w:pPr>
            <w:r w:rsidRPr="008F026A">
              <w:rPr>
                <w:b/>
                <w:bCs/>
                <w:lang w:eastAsia="en-AU"/>
              </w:rPr>
              <w:t>Total revenue</w:t>
            </w:r>
          </w:p>
        </w:tc>
        <w:tc>
          <w:tcPr>
            <w:tcW w:w="1036" w:type="dxa"/>
            <w:tcBorders>
              <w:top w:val="nil"/>
              <w:left w:val="nil"/>
              <w:bottom w:val="nil"/>
              <w:right w:val="nil"/>
            </w:tcBorders>
          </w:tcPr>
          <w:p w:rsidR="0070375D" w:rsidRPr="008F026A" w:rsidRDefault="0070375D" w:rsidP="008F026A">
            <w:pPr>
              <w:pStyle w:val="TableofFigures"/>
              <w:rPr>
                <w:b/>
                <w:bCs/>
                <w:lang w:eastAsia="en-AU"/>
              </w:rPr>
            </w:pPr>
            <w:r w:rsidRPr="008F026A">
              <w:rPr>
                <w:b/>
                <w:bCs/>
                <w:lang w:eastAsia="en-AU"/>
              </w:rPr>
              <w:t>32 442</w:t>
            </w:r>
          </w:p>
        </w:tc>
        <w:tc>
          <w:tcPr>
            <w:tcW w:w="1036" w:type="dxa"/>
            <w:tcBorders>
              <w:top w:val="nil"/>
              <w:left w:val="nil"/>
              <w:bottom w:val="nil"/>
              <w:right w:val="nil"/>
            </w:tcBorders>
          </w:tcPr>
          <w:p w:rsidR="0070375D" w:rsidRPr="008F026A" w:rsidRDefault="0070375D" w:rsidP="008F026A">
            <w:pPr>
              <w:pStyle w:val="TableofFigures"/>
              <w:rPr>
                <w:b/>
                <w:bCs/>
                <w:lang w:eastAsia="en-AU"/>
              </w:rPr>
            </w:pPr>
            <w:r w:rsidRPr="008F026A">
              <w:rPr>
                <w:b/>
                <w:bCs/>
                <w:lang w:eastAsia="en-AU"/>
              </w:rPr>
              <w:t>34 886</w:t>
            </w:r>
          </w:p>
        </w:tc>
        <w:tc>
          <w:tcPr>
            <w:tcW w:w="1036" w:type="dxa"/>
            <w:tcBorders>
              <w:top w:val="nil"/>
              <w:left w:val="nil"/>
              <w:bottom w:val="nil"/>
              <w:right w:val="nil"/>
            </w:tcBorders>
          </w:tcPr>
          <w:p w:rsidR="0070375D" w:rsidRPr="008F026A" w:rsidRDefault="0070375D" w:rsidP="008F026A">
            <w:pPr>
              <w:pStyle w:val="TableofFigures"/>
              <w:rPr>
                <w:b/>
                <w:bCs/>
                <w:lang w:eastAsia="en-AU"/>
              </w:rPr>
            </w:pPr>
            <w:r w:rsidRPr="008F026A">
              <w:rPr>
                <w:b/>
                <w:bCs/>
                <w:lang w:eastAsia="en-AU"/>
              </w:rPr>
              <w:t>2 444</w:t>
            </w:r>
          </w:p>
        </w:tc>
      </w:tr>
      <w:tr w:rsidR="0070375D" w:rsidRPr="008F026A" w:rsidTr="008F026A">
        <w:tc>
          <w:tcPr>
            <w:tcW w:w="4665" w:type="dxa"/>
            <w:tcBorders>
              <w:top w:val="nil"/>
              <w:left w:val="nil"/>
              <w:bottom w:val="single" w:sz="6" w:space="0" w:color="auto"/>
              <w:right w:val="nil"/>
            </w:tcBorders>
          </w:tcPr>
          <w:p w:rsidR="0070375D" w:rsidRPr="008F026A" w:rsidRDefault="0070375D" w:rsidP="008F026A">
            <w:pPr>
              <w:pStyle w:val="Tabletext"/>
              <w:rPr>
                <w:b/>
                <w:bCs/>
                <w:lang w:eastAsia="en-AU"/>
              </w:rPr>
            </w:pPr>
            <w:r w:rsidRPr="008F026A">
              <w:rPr>
                <w:b/>
                <w:bCs/>
                <w:lang w:eastAsia="en-AU"/>
              </w:rPr>
              <w:t>Total expenses</w:t>
            </w:r>
          </w:p>
        </w:tc>
        <w:tc>
          <w:tcPr>
            <w:tcW w:w="1036" w:type="dxa"/>
            <w:tcBorders>
              <w:top w:val="nil"/>
              <w:left w:val="nil"/>
              <w:bottom w:val="single" w:sz="6" w:space="0" w:color="auto"/>
              <w:right w:val="nil"/>
            </w:tcBorders>
          </w:tcPr>
          <w:p w:rsidR="0070375D" w:rsidRPr="008F026A" w:rsidRDefault="0070375D" w:rsidP="008F026A">
            <w:pPr>
              <w:pStyle w:val="TableofFigures"/>
              <w:rPr>
                <w:b/>
                <w:bCs/>
                <w:lang w:eastAsia="en-AU"/>
              </w:rPr>
            </w:pPr>
            <w:r w:rsidRPr="008F026A">
              <w:rPr>
                <w:b/>
                <w:bCs/>
                <w:lang w:eastAsia="en-AU"/>
              </w:rPr>
              <w:t>32 125</w:t>
            </w:r>
          </w:p>
        </w:tc>
        <w:tc>
          <w:tcPr>
            <w:tcW w:w="1036" w:type="dxa"/>
            <w:tcBorders>
              <w:top w:val="nil"/>
              <w:left w:val="nil"/>
              <w:bottom w:val="single" w:sz="6" w:space="0" w:color="auto"/>
              <w:right w:val="nil"/>
            </w:tcBorders>
          </w:tcPr>
          <w:p w:rsidR="0070375D" w:rsidRPr="008F026A" w:rsidRDefault="0070375D" w:rsidP="008F026A">
            <w:pPr>
              <w:pStyle w:val="TableofFigures"/>
              <w:rPr>
                <w:b/>
                <w:bCs/>
                <w:lang w:eastAsia="en-AU"/>
              </w:rPr>
            </w:pPr>
            <w:r w:rsidRPr="008F026A">
              <w:rPr>
                <w:b/>
                <w:bCs/>
                <w:lang w:eastAsia="en-AU"/>
              </w:rPr>
              <w:t>33 551</w:t>
            </w:r>
          </w:p>
        </w:tc>
        <w:tc>
          <w:tcPr>
            <w:tcW w:w="1036" w:type="dxa"/>
            <w:tcBorders>
              <w:top w:val="nil"/>
              <w:left w:val="nil"/>
              <w:bottom w:val="single" w:sz="6" w:space="0" w:color="auto"/>
              <w:right w:val="nil"/>
            </w:tcBorders>
          </w:tcPr>
          <w:p w:rsidR="0070375D" w:rsidRPr="008F026A" w:rsidRDefault="0070375D" w:rsidP="008F026A">
            <w:pPr>
              <w:pStyle w:val="TableofFigures"/>
              <w:rPr>
                <w:b/>
                <w:bCs/>
                <w:lang w:eastAsia="en-AU"/>
              </w:rPr>
            </w:pPr>
            <w:r w:rsidRPr="008F026A">
              <w:rPr>
                <w:b/>
                <w:bCs/>
                <w:lang w:eastAsia="en-AU"/>
              </w:rPr>
              <w:t>1 426</w:t>
            </w:r>
          </w:p>
        </w:tc>
      </w:tr>
      <w:tr w:rsidR="0070375D" w:rsidRPr="008F026A" w:rsidTr="008F026A">
        <w:tc>
          <w:tcPr>
            <w:tcW w:w="4665" w:type="dxa"/>
            <w:tcBorders>
              <w:top w:val="single" w:sz="6" w:space="0" w:color="auto"/>
              <w:left w:val="nil"/>
              <w:bottom w:val="single" w:sz="12" w:space="0" w:color="auto"/>
              <w:right w:val="nil"/>
            </w:tcBorders>
          </w:tcPr>
          <w:p w:rsidR="0070375D" w:rsidRPr="008F026A" w:rsidRDefault="0070375D" w:rsidP="008F026A">
            <w:pPr>
              <w:pStyle w:val="Tabletext"/>
              <w:rPr>
                <w:b/>
                <w:bCs/>
                <w:lang w:eastAsia="en-AU"/>
              </w:rPr>
            </w:pPr>
            <w:r w:rsidRPr="008F026A">
              <w:rPr>
                <w:b/>
                <w:bCs/>
                <w:lang w:eastAsia="en-AU"/>
              </w:rPr>
              <w:t>Net result from transactions</w:t>
            </w:r>
          </w:p>
        </w:tc>
        <w:tc>
          <w:tcPr>
            <w:tcW w:w="1036" w:type="dxa"/>
            <w:tcBorders>
              <w:top w:val="nil"/>
              <w:left w:val="nil"/>
              <w:bottom w:val="single" w:sz="12" w:space="0" w:color="auto"/>
              <w:right w:val="nil"/>
            </w:tcBorders>
          </w:tcPr>
          <w:p w:rsidR="0070375D" w:rsidRPr="008F026A" w:rsidRDefault="0070375D" w:rsidP="008F026A">
            <w:pPr>
              <w:pStyle w:val="TableofFigures"/>
              <w:rPr>
                <w:b/>
                <w:bCs/>
                <w:lang w:eastAsia="en-AU"/>
              </w:rPr>
            </w:pPr>
            <w:r w:rsidRPr="008F026A">
              <w:rPr>
                <w:b/>
                <w:bCs/>
                <w:lang w:eastAsia="en-AU"/>
              </w:rPr>
              <w:t xml:space="preserve"> 317</w:t>
            </w:r>
          </w:p>
        </w:tc>
        <w:tc>
          <w:tcPr>
            <w:tcW w:w="1036" w:type="dxa"/>
            <w:tcBorders>
              <w:top w:val="nil"/>
              <w:left w:val="nil"/>
              <w:bottom w:val="single" w:sz="12" w:space="0" w:color="auto"/>
              <w:right w:val="nil"/>
            </w:tcBorders>
          </w:tcPr>
          <w:p w:rsidR="0070375D" w:rsidRPr="008F026A" w:rsidRDefault="0070375D" w:rsidP="008F026A">
            <w:pPr>
              <w:pStyle w:val="TableofFigures"/>
              <w:rPr>
                <w:b/>
                <w:bCs/>
                <w:lang w:eastAsia="en-AU"/>
              </w:rPr>
            </w:pPr>
            <w:r w:rsidRPr="008F026A">
              <w:rPr>
                <w:b/>
                <w:bCs/>
                <w:lang w:eastAsia="en-AU"/>
              </w:rPr>
              <w:t>1 335</w:t>
            </w:r>
          </w:p>
        </w:tc>
        <w:tc>
          <w:tcPr>
            <w:tcW w:w="1036" w:type="dxa"/>
            <w:tcBorders>
              <w:top w:val="nil"/>
              <w:left w:val="nil"/>
              <w:bottom w:val="single" w:sz="12" w:space="0" w:color="auto"/>
              <w:right w:val="nil"/>
            </w:tcBorders>
          </w:tcPr>
          <w:p w:rsidR="0070375D" w:rsidRPr="008F026A" w:rsidRDefault="0070375D" w:rsidP="008F026A">
            <w:pPr>
              <w:pStyle w:val="TableofFigures"/>
              <w:rPr>
                <w:b/>
                <w:bCs/>
                <w:lang w:eastAsia="en-AU"/>
              </w:rPr>
            </w:pPr>
            <w:r w:rsidRPr="008F026A">
              <w:rPr>
                <w:b/>
                <w:bCs/>
                <w:lang w:eastAsia="en-AU"/>
              </w:rPr>
              <w:t>1 018</w:t>
            </w:r>
          </w:p>
        </w:tc>
      </w:tr>
    </w:tbl>
    <w:p w:rsidR="0070375D" w:rsidRDefault="0070375D" w:rsidP="00FF4165">
      <w:pPr>
        <w:pStyle w:val="Source"/>
      </w:pPr>
      <w:r w:rsidRPr="00145452">
        <w:t>Source: Department of Treasury and Finance</w:t>
      </w:r>
    </w:p>
    <w:p w:rsidR="0070375D" w:rsidRPr="004D5733" w:rsidRDefault="0070375D" w:rsidP="004D5733">
      <w:pPr>
        <w:pStyle w:val="Notes"/>
      </w:pPr>
    </w:p>
    <w:p w:rsidR="0070375D" w:rsidRDefault="0070375D" w:rsidP="00145452">
      <w:pPr>
        <w:pStyle w:val="Heading2"/>
      </w:pPr>
      <w:bookmarkStart w:id="69" w:name="BP2AppGFC"/>
      <w:r>
        <w:t>2008</w:t>
      </w:r>
      <w:r w:rsidR="00276239">
        <w:noBreakHyphen/>
      </w:r>
      <w:r>
        <w:t>09: Global financial crisis</w:t>
      </w:r>
    </w:p>
    <w:p w:rsidR="0070375D" w:rsidRDefault="0070375D" w:rsidP="00145452">
      <w:r>
        <w:t>A situation where economic growth</w:t>
      </w:r>
      <w:r>
        <w:fldChar w:fldCharType="begin"/>
      </w:r>
      <w:r>
        <w:instrText xml:space="preserve"> XE "</w:instrText>
      </w:r>
      <w:r w:rsidRPr="00D04946">
        <w:instrText>Economic growth:</w:instrText>
      </w:r>
      <w:r>
        <w:instrText xml:space="preserve">Gross state product" </w:instrText>
      </w:r>
      <w:r>
        <w:fldChar w:fldCharType="end"/>
      </w:r>
      <w:r>
        <w:t xml:space="preserve"> was overestimated is shown in Table A.4. The largest forecast errors occurred in real GSP and consumption</w:t>
      </w:r>
      <w:r>
        <w:fldChar w:fldCharType="begin"/>
      </w:r>
      <w:r>
        <w:instrText xml:space="preserve"> XE "</w:instrText>
      </w:r>
      <w:r w:rsidRPr="00F7355F">
        <w:instrText>Consumer spending:Household spending</w:instrText>
      </w:r>
      <w:r>
        <w:instrText xml:space="preserve">" </w:instrText>
      </w:r>
      <w:r>
        <w:fldChar w:fldCharType="end"/>
      </w:r>
      <w:r>
        <w:t>. Relatively small errors occurred in employment</w:t>
      </w:r>
      <w:r>
        <w:fldChar w:fldCharType="begin"/>
      </w:r>
      <w:r>
        <w:instrText xml:space="preserve"> XE "</w:instrText>
      </w:r>
      <w:r w:rsidRPr="00466449">
        <w:instrText>Employment</w:instrText>
      </w:r>
      <w:r>
        <w:instrText xml:space="preserve">" </w:instrText>
      </w:r>
      <w:r>
        <w:fldChar w:fldCharType="end"/>
      </w:r>
      <w:r>
        <w:t xml:space="preserve"> as employers chose to reduce hours and accept productivity falls rather than lay off staff. Consumer prices and wages were less affected by the global financial crisis and consequently the level of forecast error was much lower for these variables.</w:t>
      </w:r>
    </w:p>
    <w:p w:rsidR="0070375D" w:rsidRDefault="0070375D" w:rsidP="00F21BBD">
      <w:pPr>
        <w:pStyle w:val="Tableheading"/>
      </w:pPr>
      <w:r>
        <w:t>Table A.4:</w:t>
      </w:r>
      <w:r>
        <w:tab/>
      </w:r>
      <w:r w:rsidRPr="00F21BBD">
        <w:t>Actual</w:t>
      </w:r>
      <w:r>
        <w:t xml:space="preserve"> deviations to key economic variables from 2008</w:t>
      </w:r>
      <w:r w:rsidR="00276239">
        <w:noBreakHyphen/>
      </w:r>
      <w:r>
        <w:t>09 budgeted levels</w:t>
      </w:r>
    </w:p>
    <w:p w:rsidR="0070375D" w:rsidRPr="00C13B4E" w:rsidRDefault="0070375D" w:rsidP="00C13B4E">
      <w:pPr>
        <w:pStyle w:val="million"/>
      </w:pPr>
      <w:r>
        <w:t>(per cent)</w:t>
      </w:r>
    </w:p>
    <w:tbl>
      <w:tblPr>
        <w:tblW w:w="7776" w:type="dxa"/>
        <w:tblInd w:w="29" w:type="dxa"/>
        <w:tblLayout w:type="fixed"/>
        <w:tblCellMar>
          <w:left w:w="43" w:type="dxa"/>
          <w:right w:w="43" w:type="dxa"/>
        </w:tblCellMar>
        <w:tblLook w:val="0000" w:firstRow="0" w:lastRow="0" w:firstColumn="0" w:lastColumn="0" w:noHBand="0" w:noVBand="0"/>
      </w:tblPr>
      <w:tblGrid>
        <w:gridCol w:w="4668"/>
        <w:gridCol w:w="1036"/>
        <w:gridCol w:w="1036"/>
        <w:gridCol w:w="1036"/>
      </w:tblGrid>
      <w:tr w:rsidR="0070375D" w:rsidRPr="00C13B4E" w:rsidTr="00C13B4E">
        <w:tc>
          <w:tcPr>
            <w:tcW w:w="4665" w:type="dxa"/>
            <w:tcBorders>
              <w:top w:val="single" w:sz="4" w:space="0" w:color="auto"/>
              <w:left w:val="single" w:sz="4" w:space="0" w:color="auto"/>
              <w:bottom w:val="single" w:sz="6" w:space="0" w:color="auto"/>
              <w:right w:val="nil"/>
            </w:tcBorders>
            <w:shd w:val="clear" w:color="auto" w:fill="000000"/>
          </w:tcPr>
          <w:p w:rsidR="0070375D" w:rsidRPr="00C13B4E" w:rsidRDefault="0070375D" w:rsidP="00C13B4E">
            <w:pPr>
              <w:pStyle w:val="Tabletext"/>
              <w:rPr>
                <w:lang w:eastAsia="en-AU"/>
              </w:rPr>
            </w:pPr>
            <w:r w:rsidRPr="00C13B4E">
              <w:rPr>
                <w:lang w:eastAsia="en-AU"/>
              </w:rPr>
              <w:t xml:space="preserve"> </w:t>
            </w:r>
          </w:p>
        </w:tc>
        <w:tc>
          <w:tcPr>
            <w:tcW w:w="1036" w:type="dxa"/>
            <w:tcBorders>
              <w:top w:val="single" w:sz="4" w:space="0" w:color="auto"/>
              <w:left w:val="nil"/>
              <w:bottom w:val="single" w:sz="6" w:space="0" w:color="auto"/>
              <w:right w:val="single" w:sz="6" w:space="0" w:color="auto"/>
            </w:tcBorders>
            <w:shd w:val="clear" w:color="auto" w:fill="000000"/>
          </w:tcPr>
          <w:p w:rsidR="0070375D" w:rsidRPr="00C13B4E" w:rsidRDefault="0070375D" w:rsidP="00C13B4E">
            <w:pPr>
              <w:pStyle w:val="Tabletextheading"/>
              <w:rPr>
                <w:lang w:eastAsia="en-AU"/>
              </w:rPr>
            </w:pPr>
            <w:r w:rsidRPr="00C13B4E">
              <w:rPr>
                <w:lang w:eastAsia="en-AU"/>
              </w:rPr>
              <w:t>2008</w:t>
            </w:r>
            <w:r w:rsidR="00276239">
              <w:rPr>
                <w:lang w:eastAsia="en-AU"/>
              </w:rPr>
              <w:noBreakHyphen/>
            </w:r>
            <w:r w:rsidRPr="00C13B4E">
              <w:rPr>
                <w:lang w:eastAsia="en-AU"/>
              </w:rPr>
              <w:t>09</w:t>
            </w:r>
          </w:p>
        </w:tc>
        <w:tc>
          <w:tcPr>
            <w:tcW w:w="1036" w:type="dxa"/>
            <w:tcBorders>
              <w:top w:val="single" w:sz="4" w:space="0" w:color="auto"/>
              <w:left w:val="nil"/>
              <w:bottom w:val="single" w:sz="6" w:space="0" w:color="auto"/>
              <w:right w:val="single" w:sz="6" w:space="0" w:color="auto"/>
            </w:tcBorders>
            <w:shd w:val="clear" w:color="auto" w:fill="000000"/>
          </w:tcPr>
          <w:p w:rsidR="0070375D" w:rsidRPr="00C13B4E" w:rsidRDefault="0070375D" w:rsidP="00C13B4E">
            <w:pPr>
              <w:pStyle w:val="Tabletextheading"/>
              <w:rPr>
                <w:lang w:eastAsia="en-AU"/>
              </w:rPr>
            </w:pPr>
            <w:r w:rsidRPr="00C13B4E">
              <w:rPr>
                <w:lang w:eastAsia="en-AU"/>
              </w:rPr>
              <w:t>2008</w:t>
            </w:r>
            <w:r w:rsidR="00276239">
              <w:rPr>
                <w:lang w:eastAsia="en-AU"/>
              </w:rPr>
              <w:noBreakHyphen/>
            </w:r>
            <w:r w:rsidRPr="00C13B4E">
              <w:rPr>
                <w:lang w:eastAsia="en-AU"/>
              </w:rPr>
              <w:t>09</w:t>
            </w:r>
          </w:p>
        </w:tc>
        <w:tc>
          <w:tcPr>
            <w:tcW w:w="1036" w:type="dxa"/>
            <w:tcBorders>
              <w:top w:val="single" w:sz="4" w:space="0" w:color="auto"/>
              <w:left w:val="nil"/>
              <w:bottom w:val="single" w:sz="6" w:space="0" w:color="auto"/>
              <w:right w:val="single" w:sz="4" w:space="0" w:color="auto"/>
            </w:tcBorders>
            <w:shd w:val="clear" w:color="auto" w:fill="000000"/>
          </w:tcPr>
          <w:p w:rsidR="0070375D" w:rsidRPr="00C13B4E" w:rsidRDefault="0070375D" w:rsidP="00C13B4E">
            <w:pPr>
              <w:pStyle w:val="Tabletextheading"/>
              <w:rPr>
                <w:lang w:eastAsia="en-AU"/>
              </w:rPr>
            </w:pPr>
            <w:r w:rsidRPr="00C13B4E">
              <w:rPr>
                <w:lang w:eastAsia="en-AU"/>
              </w:rPr>
              <w:t>Forecast</w:t>
            </w:r>
          </w:p>
        </w:tc>
      </w:tr>
      <w:tr w:rsidR="0070375D" w:rsidRPr="00C13B4E" w:rsidTr="00C13B4E">
        <w:tc>
          <w:tcPr>
            <w:tcW w:w="4665" w:type="dxa"/>
            <w:tcBorders>
              <w:top w:val="single" w:sz="6" w:space="0" w:color="auto"/>
              <w:left w:val="single" w:sz="4" w:space="0" w:color="auto"/>
              <w:bottom w:val="single" w:sz="4" w:space="0" w:color="auto"/>
              <w:right w:val="nil"/>
            </w:tcBorders>
            <w:shd w:val="clear" w:color="auto" w:fill="000000"/>
          </w:tcPr>
          <w:p w:rsidR="0070375D" w:rsidRPr="00C13B4E" w:rsidRDefault="0070375D" w:rsidP="00C13B4E">
            <w:pPr>
              <w:pStyle w:val="Tabletext"/>
              <w:rPr>
                <w:lang w:eastAsia="en-AU"/>
              </w:rPr>
            </w:pPr>
            <w:r w:rsidRPr="00C13B4E">
              <w:rPr>
                <w:lang w:eastAsia="en-AU"/>
              </w:rPr>
              <w:t xml:space="preserve"> </w:t>
            </w:r>
          </w:p>
        </w:tc>
        <w:tc>
          <w:tcPr>
            <w:tcW w:w="1036" w:type="dxa"/>
            <w:tcBorders>
              <w:top w:val="single" w:sz="6" w:space="0" w:color="auto"/>
              <w:left w:val="nil"/>
              <w:bottom w:val="single" w:sz="4" w:space="0" w:color="auto"/>
              <w:right w:val="single" w:sz="6" w:space="0" w:color="auto"/>
            </w:tcBorders>
            <w:shd w:val="clear" w:color="auto" w:fill="000000"/>
          </w:tcPr>
          <w:p w:rsidR="0070375D" w:rsidRPr="00C13B4E" w:rsidRDefault="0070375D" w:rsidP="00C13B4E">
            <w:pPr>
              <w:pStyle w:val="Tabletextheading"/>
              <w:rPr>
                <w:vertAlign w:val="superscript"/>
                <w:lang w:eastAsia="en-AU"/>
              </w:rPr>
            </w:pPr>
            <w:r w:rsidRPr="00C13B4E">
              <w:rPr>
                <w:lang w:eastAsia="en-AU"/>
              </w:rPr>
              <w:t xml:space="preserve">Budget </w:t>
            </w:r>
            <w:r w:rsidRPr="00C13B4E">
              <w:rPr>
                <w:vertAlign w:val="superscript"/>
                <w:lang w:eastAsia="en-AU"/>
              </w:rPr>
              <w:t>(a)</w:t>
            </w:r>
          </w:p>
        </w:tc>
        <w:tc>
          <w:tcPr>
            <w:tcW w:w="1036" w:type="dxa"/>
            <w:tcBorders>
              <w:top w:val="single" w:sz="6" w:space="0" w:color="auto"/>
              <w:left w:val="nil"/>
              <w:bottom w:val="single" w:sz="4" w:space="0" w:color="auto"/>
              <w:right w:val="single" w:sz="6" w:space="0" w:color="auto"/>
            </w:tcBorders>
            <w:shd w:val="clear" w:color="auto" w:fill="000000"/>
          </w:tcPr>
          <w:p w:rsidR="0070375D" w:rsidRPr="00C13B4E" w:rsidRDefault="0070375D" w:rsidP="00C13B4E">
            <w:pPr>
              <w:pStyle w:val="Tabletextheading"/>
              <w:rPr>
                <w:lang w:eastAsia="en-AU"/>
              </w:rPr>
            </w:pPr>
            <w:r w:rsidRPr="00C13B4E">
              <w:rPr>
                <w:lang w:eastAsia="en-AU"/>
              </w:rPr>
              <w:t>Actual</w:t>
            </w:r>
          </w:p>
        </w:tc>
        <w:tc>
          <w:tcPr>
            <w:tcW w:w="1036" w:type="dxa"/>
            <w:tcBorders>
              <w:top w:val="single" w:sz="6" w:space="0" w:color="auto"/>
              <w:left w:val="nil"/>
              <w:bottom w:val="single" w:sz="4" w:space="0" w:color="auto"/>
              <w:right w:val="single" w:sz="4" w:space="0" w:color="auto"/>
            </w:tcBorders>
            <w:shd w:val="clear" w:color="auto" w:fill="000000"/>
          </w:tcPr>
          <w:p w:rsidR="0070375D" w:rsidRPr="00C13B4E" w:rsidRDefault="0070375D" w:rsidP="00C13B4E">
            <w:pPr>
              <w:pStyle w:val="Tabletextheading"/>
              <w:rPr>
                <w:vertAlign w:val="superscript"/>
                <w:lang w:eastAsia="en-AU"/>
              </w:rPr>
            </w:pPr>
            <w:r w:rsidRPr="00C13B4E">
              <w:rPr>
                <w:lang w:eastAsia="en-AU"/>
              </w:rPr>
              <w:t xml:space="preserve">error </w:t>
            </w:r>
            <w:r w:rsidRPr="00C13B4E">
              <w:rPr>
                <w:vertAlign w:val="superscript"/>
                <w:lang w:eastAsia="en-AU"/>
              </w:rPr>
              <w:t>(b)</w:t>
            </w:r>
          </w:p>
        </w:tc>
      </w:tr>
      <w:tr w:rsidR="0070375D" w:rsidRPr="00C13B4E" w:rsidTr="00C13B4E">
        <w:tc>
          <w:tcPr>
            <w:tcW w:w="4665" w:type="dxa"/>
            <w:tcBorders>
              <w:top w:val="single" w:sz="4" w:space="0" w:color="auto"/>
              <w:left w:val="nil"/>
              <w:bottom w:val="nil"/>
              <w:right w:val="nil"/>
            </w:tcBorders>
          </w:tcPr>
          <w:p w:rsidR="0070375D" w:rsidRPr="00C13B4E" w:rsidRDefault="0070375D" w:rsidP="00C13B4E">
            <w:pPr>
              <w:pStyle w:val="Tabletext"/>
              <w:rPr>
                <w:color w:val="000000"/>
                <w:lang w:eastAsia="en-AU"/>
              </w:rPr>
            </w:pPr>
            <w:r w:rsidRPr="00C13B4E">
              <w:rPr>
                <w:color w:val="000000"/>
                <w:lang w:eastAsia="en-AU"/>
              </w:rPr>
              <w:t>Real GSP</w:t>
            </w:r>
          </w:p>
        </w:tc>
        <w:tc>
          <w:tcPr>
            <w:tcW w:w="1036" w:type="dxa"/>
            <w:tcBorders>
              <w:top w:val="single" w:sz="4" w:space="0" w:color="auto"/>
              <w:left w:val="nil"/>
              <w:bottom w:val="nil"/>
              <w:right w:val="nil"/>
            </w:tcBorders>
            <w:shd w:val="solid" w:color="FFFFFF" w:fill="auto"/>
          </w:tcPr>
          <w:p w:rsidR="0070375D" w:rsidRPr="00C13B4E" w:rsidRDefault="0070375D" w:rsidP="00C13B4E">
            <w:pPr>
              <w:pStyle w:val="TableofFigures"/>
              <w:rPr>
                <w:color w:val="000000"/>
                <w:lang w:eastAsia="en-AU"/>
              </w:rPr>
            </w:pPr>
            <w:r w:rsidRPr="00C13B4E">
              <w:rPr>
                <w:color w:val="000000"/>
                <w:lang w:eastAsia="en-AU"/>
              </w:rPr>
              <w:t>3.0</w:t>
            </w:r>
          </w:p>
        </w:tc>
        <w:tc>
          <w:tcPr>
            <w:tcW w:w="1036" w:type="dxa"/>
            <w:tcBorders>
              <w:top w:val="single" w:sz="4" w:space="0" w:color="auto"/>
              <w:left w:val="nil"/>
              <w:bottom w:val="nil"/>
              <w:right w:val="nil"/>
            </w:tcBorders>
            <w:shd w:val="solid" w:color="FFFFFF" w:fill="auto"/>
          </w:tcPr>
          <w:p w:rsidR="0070375D" w:rsidRPr="00C13B4E" w:rsidRDefault="0070375D" w:rsidP="00C13B4E">
            <w:pPr>
              <w:pStyle w:val="TableofFigures"/>
              <w:rPr>
                <w:color w:val="000000"/>
                <w:lang w:eastAsia="en-AU"/>
              </w:rPr>
            </w:pPr>
            <w:r w:rsidRPr="00C13B4E">
              <w:rPr>
                <w:color w:val="000000"/>
                <w:lang w:eastAsia="en-AU"/>
              </w:rPr>
              <w:t>1.1</w:t>
            </w:r>
          </w:p>
        </w:tc>
        <w:tc>
          <w:tcPr>
            <w:tcW w:w="1036" w:type="dxa"/>
            <w:tcBorders>
              <w:top w:val="single" w:sz="4" w:space="0" w:color="auto"/>
              <w:left w:val="nil"/>
              <w:bottom w:val="nil"/>
              <w:right w:val="nil"/>
            </w:tcBorders>
            <w:shd w:val="solid" w:color="FFFFFF" w:fill="auto"/>
          </w:tcPr>
          <w:p w:rsidR="0070375D" w:rsidRPr="00C13B4E" w:rsidRDefault="00276239" w:rsidP="00C13B4E">
            <w:pPr>
              <w:pStyle w:val="TableofFigures"/>
              <w:rPr>
                <w:color w:val="000000"/>
                <w:lang w:eastAsia="en-AU"/>
              </w:rPr>
            </w:pPr>
            <w:r>
              <w:rPr>
                <w:color w:val="000000"/>
                <w:lang w:eastAsia="en-AU"/>
              </w:rPr>
              <w:noBreakHyphen/>
            </w:r>
            <w:r w:rsidR="0070375D" w:rsidRPr="00C13B4E">
              <w:rPr>
                <w:color w:val="000000"/>
                <w:lang w:eastAsia="en-AU"/>
              </w:rPr>
              <w:t>1.9</w:t>
            </w:r>
          </w:p>
        </w:tc>
      </w:tr>
      <w:tr w:rsidR="0070375D" w:rsidRPr="00C13B4E" w:rsidTr="00C13B4E">
        <w:tc>
          <w:tcPr>
            <w:tcW w:w="4665" w:type="dxa"/>
            <w:tcBorders>
              <w:top w:val="nil"/>
              <w:left w:val="nil"/>
              <w:bottom w:val="nil"/>
              <w:right w:val="nil"/>
            </w:tcBorders>
          </w:tcPr>
          <w:p w:rsidR="0070375D" w:rsidRPr="00C13B4E" w:rsidRDefault="0070375D" w:rsidP="00C13B4E">
            <w:pPr>
              <w:pStyle w:val="Tabletext"/>
              <w:rPr>
                <w:color w:val="000000"/>
                <w:lang w:eastAsia="en-AU"/>
              </w:rPr>
            </w:pPr>
            <w:r w:rsidRPr="00C13B4E">
              <w:rPr>
                <w:color w:val="000000"/>
                <w:lang w:eastAsia="en-AU"/>
              </w:rPr>
              <w:t xml:space="preserve">  Consumption (unpublished)</w:t>
            </w:r>
          </w:p>
        </w:tc>
        <w:tc>
          <w:tcPr>
            <w:tcW w:w="1036" w:type="dxa"/>
            <w:tcBorders>
              <w:top w:val="nil"/>
              <w:left w:val="nil"/>
              <w:bottom w:val="nil"/>
              <w:right w:val="nil"/>
            </w:tcBorders>
            <w:shd w:val="solid" w:color="FFFFFF" w:fill="auto"/>
          </w:tcPr>
          <w:p w:rsidR="0070375D" w:rsidRPr="00C13B4E" w:rsidRDefault="0070375D" w:rsidP="00C13B4E">
            <w:pPr>
              <w:pStyle w:val="TableofFigures"/>
              <w:rPr>
                <w:color w:val="000000"/>
                <w:lang w:eastAsia="en-AU"/>
              </w:rPr>
            </w:pPr>
            <w:r w:rsidRPr="00C13B4E">
              <w:rPr>
                <w:color w:val="000000"/>
                <w:lang w:eastAsia="en-AU"/>
              </w:rPr>
              <w:t>2.8</w:t>
            </w:r>
          </w:p>
        </w:tc>
        <w:tc>
          <w:tcPr>
            <w:tcW w:w="1036" w:type="dxa"/>
            <w:tcBorders>
              <w:top w:val="nil"/>
              <w:left w:val="nil"/>
              <w:bottom w:val="nil"/>
              <w:right w:val="nil"/>
            </w:tcBorders>
            <w:shd w:val="solid" w:color="FFFFFF" w:fill="auto"/>
          </w:tcPr>
          <w:p w:rsidR="0070375D" w:rsidRPr="00C13B4E" w:rsidRDefault="0070375D" w:rsidP="00C13B4E">
            <w:pPr>
              <w:pStyle w:val="TableofFigures"/>
              <w:rPr>
                <w:color w:val="000000"/>
                <w:lang w:eastAsia="en-AU"/>
              </w:rPr>
            </w:pPr>
            <w:r w:rsidRPr="00C13B4E">
              <w:rPr>
                <w:color w:val="000000"/>
                <w:lang w:eastAsia="en-AU"/>
              </w:rPr>
              <w:t>0.3</w:t>
            </w:r>
          </w:p>
        </w:tc>
        <w:tc>
          <w:tcPr>
            <w:tcW w:w="1036" w:type="dxa"/>
            <w:tcBorders>
              <w:top w:val="nil"/>
              <w:left w:val="nil"/>
              <w:bottom w:val="nil"/>
              <w:right w:val="nil"/>
            </w:tcBorders>
            <w:shd w:val="solid" w:color="FFFFFF" w:fill="auto"/>
          </w:tcPr>
          <w:p w:rsidR="0070375D" w:rsidRPr="00C13B4E" w:rsidRDefault="00276239" w:rsidP="00C13B4E">
            <w:pPr>
              <w:pStyle w:val="TableofFigures"/>
              <w:rPr>
                <w:color w:val="000000"/>
                <w:lang w:eastAsia="en-AU"/>
              </w:rPr>
            </w:pPr>
            <w:r>
              <w:rPr>
                <w:color w:val="000000"/>
                <w:lang w:eastAsia="en-AU"/>
              </w:rPr>
              <w:noBreakHyphen/>
            </w:r>
            <w:r w:rsidR="0070375D" w:rsidRPr="00C13B4E">
              <w:rPr>
                <w:color w:val="000000"/>
                <w:lang w:eastAsia="en-AU"/>
              </w:rPr>
              <w:t>2.6</w:t>
            </w:r>
          </w:p>
        </w:tc>
      </w:tr>
      <w:tr w:rsidR="0070375D" w:rsidRPr="00C13B4E" w:rsidTr="00C13B4E">
        <w:tc>
          <w:tcPr>
            <w:tcW w:w="4665" w:type="dxa"/>
            <w:tcBorders>
              <w:top w:val="nil"/>
              <w:left w:val="nil"/>
              <w:bottom w:val="nil"/>
              <w:right w:val="nil"/>
            </w:tcBorders>
          </w:tcPr>
          <w:p w:rsidR="0070375D" w:rsidRPr="00C13B4E" w:rsidRDefault="0070375D" w:rsidP="00C13B4E">
            <w:pPr>
              <w:pStyle w:val="Tabletext"/>
              <w:rPr>
                <w:color w:val="000000"/>
                <w:lang w:eastAsia="en-AU"/>
              </w:rPr>
            </w:pPr>
            <w:r w:rsidRPr="00C13B4E">
              <w:rPr>
                <w:color w:val="000000"/>
                <w:lang w:eastAsia="en-AU"/>
              </w:rPr>
              <w:t>Employment</w:t>
            </w:r>
          </w:p>
        </w:tc>
        <w:tc>
          <w:tcPr>
            <w:tcW w:w="1036" w:type="dxa"/>
            <w:tcBorders>
              <w:top w:val="nil"/>
              <w:left w:val="nil"/>
              <w:bottom w:val="nil"/>
              <w:right w:val="nil"/>
            </w:tcBorders>
            <w:shd w:val="solid" w:color="FFFFFF" w:fill="auto"/>
          </w:tcPr>
          <w:p w:rsidR="0070375D" w:rsidRPr="00C13B4E" w:rsidRDefault="0070375D" w:rsidP="00C13B4E">
            <w:pPr>
              <w:pStyle w:val="TableofFigures"/>
              <w:rPr>
                <w:color w:val="000000"/>
                <w:lang w:eastAsia="en-AU"/>
              </w:rPr>
            </w:pPr>
            <w:r w:rsidRPr="00C13B4E">
              <w:rPr>
                <w:color w:val="000000"/>
                <w:lang w:eastAsia="en-AU"/>
              </w:rPr>
              <w:t>1.5</w:t>
            </w:r>
          </w:p>
        </w:tc>
        <w:tc>
          <w:tcPr>
            <w:tcW w:w="1036" w:type="dxa"/>
            <w:tcBorders>
              <w:top w:val="nil"/>
              <w:left w:val="nil"/>
              <w:bottom w:val="nil"/>
              <w:right w:val="nil"/>
            </w:tcBorders>
            <w:shd w:val="solid" w:color="FFFFFF" w:fill="auto"/>
          </w:tcPr>
          <w:p w:rsidR="0070375D" w:rsidRPr="00C13B4E" w:rsidRDefault="0070375D" w:rsidP="00C13B4E">
            <w:pPr>
              <w:pStyle w:val="TableofFigures"/>
              <w:rPr>
                <w:color w:val="000000"/>
                <w:lang w:eastAsia="en-AU"/>
              </w:rPr>
            </w:pPr>
            <w:r w:rsidRPr="00C13B4E">
              <w:rPr>
                <w:color w:val="000000"/>
                <w:lang w:eastAsia="en-AU"/>
              </w:rPr>
              <w:t>0.9</w:t>
            </w:r>
          </w:p>
        </w:tc>
        <w:tc>
          <w:tcPr>
            <w:tcW w:w="1036" w:type="dxa"/>
            <w:tcBorders>
              <w:top w:val="nil"/>
              <w:left w:val="nil"/>
              <w:bottom w:val="nil"/>
              <w:right w:val="nil"/>
            </w:tcBorders>
            <w:shd w:val="solid" w:color="FFFFFF" w:fill="auto"/>
          </w:tcPr>
          <w:p w:rsidR="0070375D" w:rsidRPr="00C13B4E" w:rsidRDefault="00276239" w:rsidP="00C13B4E">
            <w:pPr>
              <w:pStyle w:val="TableofFigures"/>
              <w:rPr>
                <w:color w:val="000000"/>
                <w:lang w:eastAsia="en-AU"/>
              </w:rPr>
            </w:pPr>
            <w:r>
              <w:rPr>
                <w:color w:val="000000"/>
                <w:lang w:eastAsia="en-AU"/>
              </w:rPr>
              <w:noBreakHyphen/>
            </w:r>
            <w:r w:rsidR="0070375D" w:rsidRPr="00C13B4E">
              <w:rPr>
                <w:color w:val="000000"/>
                <w:lang w:eastAsia="en-AU"/>
              </w:rPr>
              <w:t>0.6</w:t>
            </w:r>
          </w:p>
        </w:tc>
      </w:tr>
      <w:tr w:rsidR="0070375D" w:rsidRPr="00C13B4E" w:rsidTr="00C13B4E">
        <w:tc>
          <w:tcPr>
            <w:tcW w:w="4665" w:type="dxa"/>
            <w:tcBorders>
              <w:top w:val="nil"/>
              <w:left w:val="nil"/>
              <w:bottom w:val="nil"/>
              <w:right w:val="nil"/>
            </w:tcBorders>
          </w:tcPr>
          <w:p w:rsidR="0070375D" w:rsidRPr="00C13B4E" w:rsidRDefault="0070375D" w:rsidP="00C13B4E">
            <w:pPr>
              <w:pStyle w:val="Tabletext"/>
              <w:rPr>
                <w:color w:val="000000"/>
                <w:lang w:eastAsia="en-AU"/>
              </w:rPr>
            </w:pPr>
            <w:r w:rsidRPr="00C13B4E">
              <w:rPr>
                <w:color w:val="000000"/>
                <w:lang w:eastAsia="en-AU"/>
              </w:rPr>
              <w:t>Consumer price index</w:t>
            </w:r>
          </w:p>
        </w:tc>
        <w:tc>
          <w:tcPr>
            <w:tcW w:w="1036" w:type="dxa"/>
            <w:tcBorders>
              <w:top w:val="nil"/>
              <w:left w:val="nil"/>
              <w:bottom w:val="nil"/>
              <w:right w:val="nil"/>
            </w:tcBorders>
            <w:shd w:val="solid" w:color="FFFFFF" w:fill="auto"/>
          </w:tcPr>
          <w:p w:rsidR="0070375D" w:rsidRPr="00C13B4E" w:rsidRDefault="0070375D" w:rsidP="00C13B4E">
            <w:pPr>
              <w:pStyle w:val="TableofFigures"/>
              <w:rPr>
                <w:color w:val="000000"/>
                <w:lang w:eastAsia="en-AU"/>
              </w:rPr>
            </w:pPr>
            <w:r w:rsidRPr="00C13B4E">
              <w:rPr>
                <w:color w:val="000000"/>
                <w:lang w:eastAsia="en-AU"/>
              </w:rPr>
              <w:t>3.0</w:t>
            </w:r>
          </w:p>
        </w:tc>
        <w:tc>
          <w:tcPr>
            <w:tcW w:w="1036" w:type="dxa"/>
            <w:tcBorders>
              <w:top w:val="nil"/>
              <w:left w:val="nil"/>
              <w:bottom w:val="nil"/>
              <w:right w:val="nil"/>
            </w:tcBorders>
            <w:shd w:val="solid" w:color="FFFFFF" w:fill="auto"/>
          </w:tcPr>
          <w:p w:rsidR="0070375D" w:rsidRPr="00C13B4E" w:rsidRDefault="0070375D" w:rsidP="00C13B4E">
            <w:pPr>
              <w:pStyle w:val="TableofFigures"/>
              <w:rPr>
                <w:color w:val="000000"/>
                <w:lang w:eastAsia="en-AU"/>
              </w:rPr>
            </w:pPr>
            <w:r w:rsidRPr="00C13B4E">
              <w:rPr>
                <w:color w:val="000000"/>
                <w:lang w:eastAsia="en-AU"/>
              </w:rPr>
              <w:t>2.8</w:t>
            </w:r>
          </w:p>
        </w:tc>
        <w:tc>
          <w:tcPr>
            <w:tcW w:w="1036" w:type="dxa"/>
            <w:tcBorders>
              <w:top w:val="nil"/>
              <w:left w:val="nil"/>
              <w:bottom w:val="nil"/>
              <w:right w:val="nil"/>
            </w:tcBorders>
            <w:shd w:val="solid" w:color="FFFFFF" w:fill="auto"/>
          </w:tcPr>
          <w:p w:rsidR="0070375D" w:rsidRPr="00C13B4E" w:rsidRDefault="00276239" w:rsidP="00C13B4E">
            <w:pPr>
              <w:pStyle w:val="TableofFigures"/>
              <w:rPr>
                <w:color w:val="000000"/>
                <w:lang w:eastAsia="en-AU"/>
              </w:rPr>
            </w:pPr>
            <w:r>
              <w:rPr>
                <w:color w:val="000000"/>
                <w:lang w:eastAsia="en-AU"/>
              </w:rPr>
              <w:noBreakHyphen/>
            </w:r>
            <w:r w:rsidR="0070375D" w:rsidRPr="00C13B4E">
              <w:rPr>
                <w:color w:val="000000"/>
                <w:lang w:eastAsia="en-AU"/>
              </w:rPr>
              <w:t>0.2</w:t>
            </w:r>
          </w:p>
        </w:tc>
      </w:tr>
      <w:tr w:rsidR="0070375D" w:rsidRPr="00C13B4E" w:rsidTr="00C13B4E">
        <w:tc>
          <w:tcPr>
            <w:tcW w:w="4665" w:type="dxa"/>
            <w:tcBorders>
              <w:top w:val="nil"/>
              <w:left w:val="nil"/>
              <w:bottom w:val="single" w:sz="12" w:space="0" w:color="auto"/>
              <w:right w:val="nil"/>
            </w:tcBorders>
          </w:tcPr>
          <w:p w:rsidR="0070375D" w:rsidRPr="00C13B4E" w:rsidRDefault="0070375D" w:rsidP="00C13B4E">
            <w:pPr>
              <w:pStyle w:val="Tabletext"/>
              <w:rPr>
                <w:color w:val="000000"/>
                <w:vertAlign w:val="superscript"/>
                <w:lang w:eastAsia="en-AU"/>
              </w:rPr>
            </w:pPr>
            <w:r w:rsidRPr="00C13B4E">
              <w:rPr>
                <w:color w:val="000000"/>
                <w:lang w:eastAsia="en-AU"/>
              </w:rPr>
              <w:t xml:space="preserve">Wage price index </w:t>
            </w:r>
            <w:r w:rsidRPr="00C13B4E">
              <w:rPr>
                <w:color w:val="000000"/>
                <w:vertAlign w:val="superscript"/>
                <w:lang w:eastAsia="en-AU"/>
              </w:rPr>
              <w:t>(c)</w:t>
            </w:r>
          </w:p>
        </w:tc>
        <w:tc>
          <w:tcPr>
            <w:tcW w:w="1036" w:type="dxa"/>
            <w:tcBorders>
              <w:top w:val="nil"/>
              <w:left w:val="nil"/>
              <w:bottom w:val="single" w:sz="12" w:space="0" w:color="auto"/>
              <w:right w:val="nil"/>
            </w:tcBorders>
            <w:shd w:val="solid" w:color="FFFFFF" w:fill="auto"/>
          </w:tcPr>
          <w:p w:rsidR="0070375D" w:rsidRPr="00C13B4E" w:rsidRDefault="0070375D" w:rsidP="00C13B4E">
            <w:pPr>
              <w:pStyle w:val="TableofFigures"/>
              <w:rPr>
                <w:color w:val="000000"/>
                <w:lang w:eastAsia="en-AU"/>
              </w:rPr>
            </w:pPr>
            <w:r w:rsidRPr="00C13B4E">
              <w:rPr>
                <w:color w:val="000000"/>
                <w:lang w:eastAsia="en-AU"/>
              </w:rPr>
              <w:t>3.8</w:t>
            </w:r>
          </w:p>
        </w:tc>
        <w:tc>
          <w:tcPr>
            <w:tcW w:w="1036" w:type="dxa"/>
            <w:tcBorders>
              <w:top w:val="nil"/>
              <w:left w:val="nil"/>
              <w:bottom w:val="single" w:sz="12" w:space="0" w:color="auto"/>
              <w:right w:val="nil"/>
            </w:tcBorders>
            <w:shd w:val="solid" w:color="FFFFFF" w:fill="auto"/>
          </w:tcPr>
          <w:p w:rsidR="0070375D" w:rsidRPr="00C13B4E" w:rsidRDefault="0070375D" w:rsidP="00C13B4E">
            <w:pPr>
              <w:pStyle w:val="TableofFigures"/>
              <w:rPr>
                <w:color w:val="000000"/>
                <w:lang w:eastAsia="en-AU"/>
              </w:rPr>
            </w:pPr>
            <w:r w:rsidRPr="00C13B4E">
              <w:rPr>
                <w:color w:val="000000"/>
                <w:lang w:eastAsia="en-AU"/>
              </w:rPr>
              <w:t>4.0</w:t>
            </w:r>
          </w:p>
        </w:tc>
        <w:tc>
          <w:tcPr>
            <w:tcW w:w="1036" w:type="dxa"/>
            <w:tcBorders>
              <w:top w:val="nil"/>
              <w:left w:val="nil"/>
              <w:bottom w:val="single" w:sz="12" w:space="0" w:color="auto"/>
              <w:right w:val="nil"/>
            </w:tcBorders>
            <w:shd w:val="solid" w:color="FFFFFF" w:fill="auto"/>
          </w:tcPr>
          <w:p w:rsidR="0070375D" w:rsidRPr="00C13B4E" w:rsidRDefault="0070375D" w:rsidP="00C13B4E">
            <w:pPr>
              <w:pStyle w:val="TableofFigures"/>
              <w:rPr>
                <w:color w:val="000000"/>
                <w:lang w:eastAsia="en-AU"/>
              </w:rPr>
            </w:pPr>
            <w:r w:rsidRPr="00C13B4E">
              <w:rPr>
                <w:color w:val="000000"/>
                <w:lang w:eastAsia="en-AU"/>
              </w:rPr>
              <w:t>0.3</w:t>
            </w:r>
          </w:p>
        </w:tc>
      </w:tr>
    </w:tbl>
    <w:p w:rsidR="0070375D" w:rsidRDefault="0070375D" w:rsidP="00FF4165">
      <w:pPr>
        <w:pStyle w:val="Source"/>
      </w:pPr>
      <w:r>
        <w:t xml:space="preserve">Source: Department of </w:t>
      </w:r>
      <w:r w:rsidRPr="004D5733">
        <w:t>Treasury</w:t>
      </w:r>
      <w:r>
        <w:t xml:space="preserve"> and Finance</w:t>
      </w:r>
    </w:p>
    <w:p w:rsidR="0070375D" w:rsidRPr="004D5733" w:rsidRDefault="0070375D" w:rsidP="004D5733">
      <w:pPr>
        <w:pStyle w:val="Notes"/>
      </w:pPr>
      <w:r w:rsidRPr="004D5733">
        <w:t>Notes:</w:t>
      </w:r>
    </w:p>
    <w:p w:rsidR="0070375D" w:rsidRPr="004D5733" w:rsidRDefault="0070375D" w:rsidP="004D5733">
      <w:pPr>
        <w:pStyle w:val="Notes"/>
      </w:pPr>
      <w:r>
        <w:t>(a)</w:t>
      </w:r>
      <w:r w:rsidRPr="004D5733">
        <w:tab/>
        <w:t xml:space="preserve">Forecast in May 2008 for </w:t>
      </w:r>
      <w:r w:rsidRPr="00A250B8">
        <w:rPr>
          <w:i w:val="0"/>
        </w:rPr>
        <w:t>2008</w:t>
      </w:r>
      <w:r w:rsidR="00276239">
        <w:rPr>
          <w:i w:val="0"/>
        </w:rPr>
        <w:noBreakHyphen/>
      </w:r>
      <w:r w:rsidRPr="00A250B8">
        <w:rPr>
          <w:i w:val="0"/>
        </w:rPr>
        <w:t>09 Budget</w:t>
      </w:r>
      <w:r w:rsidRPr="004D5733">
        <w:t>.</w:t>
      </w:r>
    </w:p>
    <w:p w:rsidR="0070375D" w:rsidRPr="004D5733" w:rsidRDefault="0070375D" w:rsidP="004D5733">
      <w:pPr>
        <w:pStyle w:val="Notes"/>
      </w:pPr>
      <w:r w:rsidRPr="004D5733">
        <w:t>(b)</w:t>
      </w:r>
      <w:r w:rsidRPr="004D5733">
        <w:tab/>
        <w:t>Percentage point variation</w:t>
      </w:r>
      <w:r>
        <w:t>.</w:t>
      </w:r>
    </w:p>
    <w:p w:rsidR="0070375D" w:rsidRDefault="0070375D" w:rsidP="004D5733">
      <w:pPr>
        <w:pStyle w:val="Notes"/>
      </w:pPr>
      <w:r w:rsidRPr="004D5733">
        <w:t>(c)</w:t>
      </w:r>
      <w:r w:rsidRPr="004D5733">
        <w:tab/>
        <w:t>Total</w:t>
      </w:r>
      <w:r>
        <w:t xml:space="preserve"> hourly rate excluding bonuses.</w:t>
      </w:r>
    </w:p>
    <w:p w:rsidR="0070375D" w:rsidRDefault="0070375D" w:rsidP="004D5733">
      <w:pPr>
        <w:pStyle w:val="Notes"/>
      </w:pPr>
    </w:p>
    <w:p w:rsidR="0070375D" w:rsidRDefault="0070375D" w:rsidP="00145452"/>
    <w:p w:rsidR="0070375D" w:rsidRDefault="0070375D" w:rsidP="00145452">
      <w:r>
        <w:t xml:space="preserve">The impact of the global financial crisis on revenue is evident in Table A.5, which shows forecast revenue and expenditure compared to the actual outcome. Both revenue and expenditure were underestimated. However, expenditure was underestimated to a greater extent leading to a forecasting error of $576 million in the net result from transactions. </w:t>
      </w:r>
    </w:p>
    <w:p w:rsidR="0070375D" w:rsidRDefault="0070375D" w:rsidP="00145452">
      <w:r>
        <w:lastRenderedPageBreak/>
        <w:t>This increase in expenditure largely reflects the Commonwealth Government</w:t>
      </w:r>
      <w:r w:rsidR="00276239">
        <w:t>’</w:t>
      </w:r>
      <w:r>
        <w:t>s fiscal stimulus</w:t>
      </w:r>
      <w:r>
        <w:fldChar w:fldCharType="begin"/>
      </w:r>
      <w:r>
        <w:instrText xml:space="preserve"> XE "</w:instrText>
      </w:r>
      <w:r w:rsidRPr="00466449">
        <w:instrText>Fiscal stimulus</w:instrText>
      </w:r>
      <w:r>
        <w:instrText xml:space="preserve">" </w:instrText>
      </w:r>
      <w:r>
        <w:fldChar w:fldCharType="end"/>
      </w:r>
      <w:r>
        <w:t xml:space="preserve"> packages, such as the </w:t>
      </w:r>
      <w:r w:rsidRPr="00A250B8">
        <w:rPr>
          <w:i/>
        </w:rPr>
        <w:t>Building the Education Revolution</w:t>
      </w:r>
      <w:r>
        <w:t>, which was mostly distributed by the states.</w:t>
      </w:r>
    </w:p>
    <w:p w:rsidR="0070375D" w:rsidRDefault="0070375D" w:rsidP="00145452">
      <w:r>
        <w:t>Much of the overestimate in revenue can be attributed to the weak performance of the property market</w:t>
      </w:r>
      <w:r>
        <w:fldChar w:fldCharType="begin"/>
      </w:r>
      <w:r>
        <w:instrText xml:space="preserve"> XE "</w:instrText>
      </w:r>
      <w:r w:rsidRPr="00EE142F">
        <w:instrText>Taxation:Land transfer</w:instrText>
      </w:r>
      <w:r>
        <w:instrText xml:space="preserve">" </w:instrText>
      </w:r>
      <w:r>
        <w:fldChar w:fldCharType="end"/>
      </w:r>
      <w:r>
        <w:t>, where forecasts were over $900 million higher than the actual outcome. By contrast, the error in the forecast of revenue from employment taxes (payroll tax)</w:t>
      </w:r>
      <w:r>
        <w:fldChar w:fldCharType="begin"/>
      </w:r>
      <w:r>
        <w:instrText xml:space="preserve"> XE "</w:instrText>
      </w:r>
      <w:r w:rsidRPr="00217949">
        <w:instrText>Taxation:Payroll</w:instrText>
      </w:r>
      <w:r>
        <w:instrText xml:space="preserve">" </w:instrText>
      </w:r>
      <w:r>
        <w:fldChar w:fldCharType="end"/>
      </w:r>
      <w:r>
        <w:t xml:space="preserve"> was small and partly reflects the response of employers to hoard labour.</w:t>
      </w:r>
    </w:p>
    <w:p w:rsidR="0070375D" w:rsidRDefault="0070375D" w:rsidP="00145452">
      <w:r>
        <w:t>The pervading weak consumer sentiment</w:t>
      </w:r>
      <w:r>
        <w:fldChar w:fldCharType="begin"/>
      </w:r>
      <w:r>
        <w:instrText xml:space="preserve"> XE "</w:instrText>
      </w:r>
      <w:r w:rsidRPr="00466449">
        <w:instrText>Consumer sentiment</w:instrText>
      </w:r>
      <w:r>
        <w:instrText xml:space="preserve">" </w:instrText>
      </w:r>
      <w:r>
        <w:fldChar w:fldCharType="end"/>
      </w:r>
      <w:r>
        <w:t xml:space="preserve"> during the global financial crisis led to much weaker consumption growth, and consequently to a sizable forecast error for GST</w:t>
      </w:r>
      <w:r>
        <w:fldChar w:fldCharType="begin"/>
      </w:r>
      <w:r>
        <w:instrText xml:space="preserve"> XE "</w:instrText>
      </w:r>
      <w:r w:rsidRPr="00466449">
        <w:instrText>Goods and services tax</w:instrText>
      </w:r>
      <w:r>
        <w:instrText xml:space="preserve">" </w:instrText>
      </w:r>
      <w:r>
        <w:fldChar w:fldCharType="end"/>
      </w:r>
      <w:r>
        <w:t xml:space="preserve"> revenue. The global financial crisis seems to have created a structural shift in the economy, with the impacts felt over a number of years. Households have adjusted their behaviour and entered a phase of reducing debt. This has hastened the return of the household savings ratio to long</w:t>
      </w:r>
      <w:r w:rsidR="00276239">
        <w:noBreakHyphen/>
      </w:r>
      <w:r>
        <w:t>term averages, following a sustained period of near</w:t>
      </w:r>
      <w:r w:rsidR="00276239">
        <w:noBreakHyphen/>
      </w:r>
      <w:r>
        <w:t xml:space="preserve">zero savings. </w:t>
      </w:r>
    </w:p>
    <w:p w:rsidR="0070375D" w:rsidRDefault="0070375D" w:rsidP="00145452">
      <w:r>
        <w:t>The overestimation of land transfer duty and GST was dwarfed by underestimation of other revenues. A large share of this was the increased Commonwealth Government disbursements to the states as part of the stimulus package. However, these revenues were matched by increased expenditure as the Commonwealth Government</w:t>
      </w:r>
      <w:r w:rsidR="00276239">
        <w:t>’</w:t>
      </w:r>
      <w:r>
        <w:t>s stimulus payments were spent. Of the $3.2 billion forecast error for other revenues, approximately $2.1 billion is attributable to grants revenue other than GST.</w:t>
      </w:r>
    </w:p>
    <w:p w:rsidR="0070375D" w:rsidRDefault="0070375D" w:rsidP="00145452">
      <w:r>
        <w:t>This analysis reports the contemporaneous effect of macroeconomic shocks, whereas in many situations there will be enduring influences. While the national GST pool recovered from the lows in 2009</w:t>
      </w:r>
      <w:r w:rsidR="00276239">
        <w:noBreakHyphen/>
      </w:r>
      <w:r>
        <w:t>10 following the global financial crisis, since then national GST pool</w:t>
      </w:r>
      <w:r>
        <w:fldChar w:fldCharType="begin"/>
      </w:r>
      <w:r>
        <w:instrText xml:space="preserve"> XE "</w:instrText>
      </w:r>
      <w:r w:rsidRPr="00466449">
        <w:instrText>Goods and services tax</w:instrText>
      </w:r>
      <w:r>
        <w:instrText xml:space="preserve">" </w:instrText>
      </w:r>
      <w:r>
        <w:fldChar w:fldCharType="end"/>
      </w:r>
      <w:r>
        <w:t xml:space="preserve"> growth has remained below trend. This is consistent with the changes in household consumption. Similarly, following a recovery in land transfer volumes in 2009</w:t>
      </w:r>
      <w:r w:rsidR="00276239">
        <w:noBreakHyphen/>
      </w:r>
      <w:r>
        <w:t>10 the property market, turnover has returned to the low levels of the global financial crisis as potential house buyers remain cautious.</w:t>
      </w:r>
    </w:p>
    <w:p w:rsidR="0070375D" w:rsidRDefault="0070375D" w:rsidP="00145452">
      <w:pPr>
        <w:pStyle w:val="Tableheading"/>
      </w:pPr>
      <w:r>
        <w:t>Table A.5:</w:t>
      </w:r>
      <w:r>
        <w:tab/>
        <w:t>Actual deviations to key revenue lines from 2008</w:t>
      </w:r>
      <w:r w:rsidR="00276239">
        <w:noBreakHyphen/>
      </w:r>
      <w:r>
        <w:t>09 budgeted levels</w:t>
      </w:r>
    </w:p>
    <w:p w:rsidR="0070375D" w:rsidRPr="008F026A" w:rsidRDefault="0070375D" w:rsidP="008F026A">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4668"/>
        <w:gridCol w:w="1036"/>
        <w:gridCol w:w="1036"/>
        <w:gridCol w:w="1036"/>
      </w:tblGrid>
      <w:tr w:rsidR="0070375D" w:rsidRPr="008F026A" w:rsidTr="008F026A">
        <w:tc>
          <w:tcPr>
            <w:tcW w:w="4665" w:type="dxa"/>
            <w:tcBorders>
              <w:top w:val="single" w:sz="4" w:space="0" w:color="auto"/>
              <w:left w:val="single" w:sz="4" w:space="0" w:color="auto"/>
              <w:bottom w:val="single" w:sz="6" w:space="0" w:color="auto"/>
              <w:right w:val="nil"/>
            </w:tcBorders>
            <w:shd w:val="clear" w:color="auto" w:fill="000000"/>
          </w:tcPr>
          <w:p w:rsidR="0070375D" w:rsidRPr="008F026A" w:rsidRDefault="0070375D" w:rsidP="008F026A">
            <w:pPr>
              <w:pStyle w:val="Tabletext"/>
              <w:rPr>
                <w:lang w:eastAsia="en-AU"/>
              </w:rPr>
            </w:pPr>
          </w:p>
        </w:tc>
        <w:tc>
          <w:tcPr>
            <w:tcW w:w="1036" w:type="dxa"/>
            <w:tcBorders>
              <w:top w:val="single" w:sz="4" w:space="0" w:color="auto"/>
              <w:left w:val="nil"/>
              <w:bottom w:val="single" w:sz="6" w:space="0" w:color="auto"/>
              <w:right w:val="single" w:sz="6" w:space="0" w:color="auto"/>
            </w:tcBorders>
            <w:shd w:val="clear" w:color="auto" w:fill="000000"/>
          </w:tcPr>
          <w:p w:rsidR="0070375D" w:rsidRPr="008F026A" w:rsidRDefault="0070375D" w:rsidP="008F026A">
            <w:pPr>
              <w:pStyle w:val="Tabletextheading"/>
              <w:rPr>
                <w:lang w:eastAsia="en-AU"/>
              </w:rPr>
            </w:pPr>
            <w:r w:rsidRPr="008F026A">
              <w:rPr>
                <w:lang w:eastAsia="en-AU"/>
              </w:rPr>
              <w:t>2008</w:t>
            </w:r>
            <w:r w:rsidR="00276239">
              <w:rPr>
                <w:lang w:eastAsia="en-AU"/>
              </w:rPr>
              <w:noBreakHyphen/>
            </w:r>
            <w:r w:rsidRPr="008F026A">
              <w:rPr>
                <w:lang w:eastAsia="en-AU"/>
              </w:rPr>
              <w:t>09</w:t>
            </w:r>
          </w:p>
        </w:tc>
        <w:tc>
          <w:tcPr>
            <w:tcW w:w="1036" w:type="dxa"/>
            <w:tcBorders>
              <w:top w:val="single" w:sz="4" w:space="0" w:color="auto"/>
              <w:left w:val="nil"/>
              <w:bottom w:val="single" w:sz="6" w:space="0" w:color="auto"/>
              <w:right w:val="single" w:sz="6" w:space="0" w:color="auto"/>
            </w:tcBorders>
            <w:shd w:val="clear" w:color="auto" w:fill="000000"/>
          </w:tcPr>
          <w:p w:rsidR="0070375D" w:rsidRPr="008F026A" w:rsidRDefault="0070375D" w:rsidP="008F026A">
            <w:pPr>
              <w:pStyle w:val="Tabletextheading"/>
              <w:rPr>
                <w:lang w:eastAsia="en-AU"/>
              </w:rPr>
            </w:pPr>
            <w:r w:rsidRPr="008F026A">
              <w:rPr>
                <w:lang w:eastAsia="en-AU"/>
              </w:rPr>
              <w:t>2008</w:t>
            </w:r>
            <w:r w:rsidR="00276239">
              <w:rPr>
                <w:lang w:eastAsia="en-AU"/>
              </w:rPr>
              <w:noBreakHyphen/>
            </w:r>
            <w:r w:rsidRPr="008F026A">
              <w:rPr>
                <w:lang w:eastAsia="en-AU"/>
              </w:rPr>
              <w:t>09</w:t>
            </w:r>
          </w:p>
        </w:tc>
        <w:tc>
          <w:tcPr>
            <w:tcW w:w="1036" w:type="dxa"/>
            <w:tcBorders>
              <w:top w:val="single" w:sz="4" w:space="0" w:color="auto"/>
              <w:left w:val="nil"/>
              <w:bottom w:val="single" w:sz="6" w:space="0" w:color="auto"/>
              <w:right w:val="single" w:sz="4" w:space="0" w:color="auto"/>
            </w:tcBorders>
            <w:shd w:val="clear" w:color="auto" w:fill="000000"/>
          </w:tcPr>
          <w:p w:rsidR="0070375D" w:rsidRPr="008F026A" w:rsidRDefault="0070375D" w:rsidP="008F026A">
            <w:pPr>
              <w:pStyle w:val="Tabletextheading"/>
              <w:rPr>
                <w:lang w:eastAsia="en-AU"/>
              </w:rPr>
            </w:pPr>
            <w:r w:rsidRPr="008F026A">
              <w:rPr>
                <w:lang w:eastAsia="en-AU"/>
              </w:rPr>
              <w:t>Forecast</w:t>
            </w:r>
          </w:p>
        </w:tc>
      </w:tr>
      <w:tr w:rsidR="0070375D" w:rsidRPr="008F026A" w:rsidTr="008F026A">
        <w:tc>
          <w:tcPr>
            <w:tcW w:w="4665" w:type="dxa"/>
            <w:tcBorders>
              <w:top w:val="single" w:sz="6" w:space="0" w:color="auto"/>
              <w:left w:val="single" w:sz="4" w:space="0" w:color="auto"/>
              <w:bottom w:val="single" w:sz="4" w:space="0" w:color="auto"/>
              <w:right w:val="nil"/>
            </w:tcBorders>
            <w:shd w:val="clear" w:color="auto" w:fill="000000"/>
          </w:tcPr>
          <w:p w:rsidR="0070375D" w:rsidRPr="008F026A" w:rsidRDefault="0070375D" w:rsidP="008F026A">
            <w:pPr>
              <w:pStyle w:val="Tabletext"/>
              <w:rPr>
                <w:lang w:eastAsia="en-AU"/>
              </w:rPr>
            </w:pPr>
          </w:p>
        </w:tc>
        <w:tc>
          <w:tcPr>
            <w:tcW w:w="1036" w:type="dxa"/>
            <w:tcBorders>
              <w:top w:val="single" w:sz="6" w:space="0" w:color="auto"/>
              <w:left w:val="nil"/>
              <w:bottom w:val="single" w:sz="4" w:space="0" w:color="auto"/>
              <w:right w:val="single" w:sz="6" w:space="0" w:color="auto"/>
            </w:tcBorders>
            <w:shd w:val="clear" w:color="auto" w:fill="000000"/>
          </w:tcPr>
          <w:p w:rsidR="0070375D" w:rsidRPr="008F026A" w:rsidRDefault="0070375D" w:rsidP="008F026A">
            <w:pPr>
              <w:pStyle w:val="Tabletextheading"/>
              <w:rPr>
                <w:lang w:eastAsia="en-AU"/>
              </w:rPr>
            </w:pPr>
            <w:r w:rsidRPr="008F026A">
              <w:rPr>
                <w:lang w:eastAsia="en-AU"/>
              </w:rPr>
              <w:t>Budget</w:t>
            </w:r>
          </w:p>
        </w:tc>
        <w:tc>
          <w:tcPr>
            <w:tcW w:w="1036" w:type="dxa"/>
            <w:tcBorders>
              <w:top w:val="single" w:sz="6" w:space="0" w:color="auto"/>
              <w:left w:val="nil"/>
              <w:bottom w:val="single" w:sz="4" w:space="0" w:color="auto"/>
              <w:right w:val="single" w:sz="6" w:space="0" w:color="auto"/>
            </w:tcBorders>
            <w:shd w:val="clear" w:color="auto" w:fill="000000"/>
          </w:tcPr>
          <w:p w:rsidR="0070375D" w:rsidRPr="008F026A" w:rsidRDefault="0070375D" w:rsidP="008F026A">
            <w:pPr>
              <w:pStyle w:val="Tabletextheading"/>
              <w:rPr>
                <w:lang w:eastAsia="en-AU"/>
              </w:rPr>
            </w:pPr>
            <w:r w:rsidRPr="008F026A">
              <w:rPr>
                <w:lang w:eastAsia="en-AU"/>
              </w:rPr>
              <w:t>Actual</w:t>
            </w:r>
          </w:p>
        </w:tc>
        <w:tc>
          <w:tcPr>
            <w:tcW w:w="1036" w:type="dxa"/>
            <w:tcBorders>
              <w:top w:val="single" w:sz="6" w:space="0" w:color="auto"/>
              <w:left w:val="nil"/>
              <w:bottom w:val="single" w:sz="4" w:space="0" w:color="auto"/>
              <w:right w:val="single" w:sz="4" w:space="0" w:color="auto"/>
            </w:tcBorders>
            <w:shd w:val="clear" w:color="auto" w:fill="000000"/>
          </w:tcPr>
          <w:p w:rsidR="0070375D" w:rsidRPr="008F026A" w:rsidRDefault="0070375D" w:rsidP="008F026A">
            <w:pPr>
              <w:pStyle w:val="Tabletextheading"/>
              <w:rPr>
                <w:lang w:eastAsia="en-AU"/>
              </w:rPr>
            </w:pPr>
            <w:r w:rsidRPr="008F026A">
              <w:rPr>
                <w:lang w:eastAsia="en-AU"/>
              </w:rPr>
              <w:t>error</w:t>
            </w:r>
          </w:p>
        </w:tc>
      </w:tr>
      <w:tr w:rsidR="0070375D" w:rsidRPr="008F026A" w:rsidTr="008F026A">
        <w:tc>
          <w:tcPr>
            <w:tcW w:w="4665" w:type="dxa"/>
            <w:tcBorders>
              <w:top w:val="single" w:sz="4" w:space="0" w:color="auto"/>
              <w:left w:val="nil"/>
              <w:bottom w:val="nil"/>
              <w:right w:val="nil"/>
            </w:tcBorders>
          </w:tcPr>
          <w:p w:rsidR="0070375D" w:rsidRPr="008F026A" w:rsidRDefault="0070375D" w:rsidP="008F026A">
            <w:pPr>
              <w:pStyle w:val="Tabletext"/>
              <w:rPr>
                <w:lang w:eastAsia="en-AU"/>
              </w:rPr>
            </w:pPr>
            <w:r w:rsidRPr="008F026A">
              <w:rPr>
                <w:lang w:eastAsia="en-AU"/>
              </w:rPr>
              <w:t>Payroll taxes</w:t>
            </w:r>
          </w:p>
        </w:tc>
        <w:tc>
          <w:tcPr>
            <w:tcW w:w="1036" w:type="dxa"/>
            <w:tcBorders>
              <w:top w:val="single" w:sz="4" w:space="0" w:color="auto"/>
              <w:left w:val="nil"/>
              <w:bottom w:val="nil"/>
              <w:right w:val="nil"/>
            </w:tcBorders>
          </w:tcPr>
          <w:p w:rsidR="0070375D" w:rsidRPr="008F026A" w:rsidRDefault="0070375D" w:rsidP="008F026A">
            <w:pPr>
              <w:pStyle w:val="TableofFigures"/>
              <w:rPr>
                <w:lang w:eastAsia="en-AU"/>
              </w:rPr>
            </w:pPr>
            <w:r w:rsidRPr="008F026A">
              <w:rPr>
                <w:lang w:eastAsia="en-AU"/>
              </w:rPr>
              <w:t>3 963</w:t>
            </w:r>
          </w:p>
        </w:tc>
        <w:tc>
          <w:tcPr>
            <w:tcW w:w="1036" w:type="dxa"/>
            <w:tcBorders>
              <w:top w:val="single" w:sz="4" w:space="0" w:color="auto"/>
              <w:left w:val="nil"/>
              <w:bottom w:val="nil"/>
              <w:right w:val="nil"/>
            </w:tcBorders>
          </w:tcPr>
          <w:p w:rsidR="0070375D" w:rsidRPr="008F026A" w:rsidRDefault="0070375D" w:rsidP="008F026A">
            <w:pPr>
              <w:pStyle w:val="TableofFigures"/>
              <w:rPr>
                <w:lang w:eastAsia="en-AU"/>
              </w:rPr>
            </w:pPr>
            <w:r w:rsidRPr="008F026A">
              <w:rPr>
                <w:lang w:eastAsia="en-AU"/>
              </w:rPr>
              <w:t>3 980</w:t>
            </w:r>
          </w:p>
        </w:tc>
        <w:tc>
          <w:tcPr>
            <w:tcW w:w="1036" w:type="dxa"/>
            <w:tcBorders>
              <w:top w:val="single" w:sz="4" w:space="0" w:color="auto"/>
              <w:left w:val="nil"/>
              <w:bottom w:val="nil"/>
              <w:right w:val="nil"/>
            </w:tcBorders>
          </w:tcPr>
          <w:p w:rsidR="0070375D" w:rsidRPr="008F026A" w:rsidRDefault="0070375D" w:rsidP="008F026A">
            <w:pPr>
              <w:pStyle w:val="TableofFigures"/>
              <w:rPr>
                <w:lang w:eastAsia="en-AU"/>
              </w:rPr>
            </w:pPr>
            <w:r w:rsidRPr="008F026A">
              <w:rPr>
                <w:lang w:eastAsia="en-AU"/>
              </w:rPr>
              <w:t xml:space="preserve"> 17</w:t>
            </w:r>
          </w:p>
        </w:tc>
      </w:tr>
      <w:tr w:rsidR="0070375D" w:rsidRPr="008F026A" w:rsidTr="008F026A">
        <w:tc>
          <w:tcPr>
            <w:tcW w:w="4665" w:type="dxa"/>
            <w:tcBorders>
              <w:top w:val="nil"/>
              <w:left w:val="nil"/>
              <w:bottom w:val="nil"/>
              <w:right w:val="nil"/>
            </w:tcBorders>
          </w:tcPr>
          <w:p w:rsidR="0070375D" w:rsidRPr="008F026A" w:rsidRDefault="0070375D" w:rsidP="008F026A">
            <w:pPr>
              <w:pStyle w:val="Tabletext"/>
              <w:rPr>
                <w:lang w:eastAsia="en-AU"/>
              </w:rPr>
            </w:pPr>
            <w:r w:rsidRPr="008F026A">
              <w:rPr>
                <w:lang w:eastAsia="en-AU"/>
              </w:rPr>
              <w:t>Land transfer duty</w:t>
            </w:r>
          </w:p>
        </w:tc>
        <w:tc>
          <w:tcPr>
            <w:tcW w:w="1036" w:type="dxa"/>
            <w:tcBorders>
              <w:top w:val="nil"/>
              <w:left w:val="nil"/>
              <w:bottom w:val="nil"/>
              <w:right w:val="nil"/>
            </w:tcBorders>
          </w:tcPr>
          <w:p w:rsidR="0070375D" w:rsidRPr="008F026A" w:rsidRDefault="0070375D" w:rsidP="008F026A">
            <w:pPr>
              <w:pStyle w:val="TableofFigures"/>
              <w:rPr>
                <w:lang w:eastAsia="en-AU"/>
              </w:rPr>
            </w:pPr>
            <w:r w:rsidRPr="008F026A">
              <w:rPr>
                <w:lang w:eastAsia="en-AU"/>
              </w:rPr>
              <w:t>3 737</w:t>
            </w:r>
          </w:p>
        </w:tc>
        <w:tc>
          <w:tcPr>
            <w:tcW w:w="1036" w:type="dxa"/>
            <w:tcBorders>
              <w:top w:val="nil"/>
              <w:left w:val="nil"/>
              <w:bottom w:val="nil"/>
              <w:right w:val="nil"/>
            </w:tcBorders>
          </w:tcPr>
          <w:p w:rsidR="0070375D" w:rsidRPr="008F026A" w:rsidRDefault="0070375D" w:rsidP="008F026A">
            <w:pPr>
              <w:pStyle w:val="TableofFigures"/>
              <w:rPr>
                <w:lang w:eastAsia="en-AU"/>
              </w:rPr>
            </w:pPr>
            <w:r w:rsidRPr="008F026A">
              <w:rPr>
                <w:lang w:eastAsia="en-AU"/>
              </w:rPr>
              <w:t>2 801</w:t>
            </w:r>
          </w:p>
        </w:tc>
        <w:tc>
          <w:tcPr>
            <w:tcW w:w="1036" w:type="dxa"/>
            <w:tcBorders>
              <w:top w:val="nil"/>
              <w:left w:val="nil"/>
              <w:bottom w:val="nil"/>
              <w:right w:val="nil"/>
            </w:tcBorders>
          </w:tcPr>
          <w:p w:rsidR="0070375D" w:rsidRPr="008F026A" w:rsidRDefault="00276239" w:rsidP="008F026A">
            <w:pPr>
              <w:pStyle w:val="TableofFigures"/>
              <w:rPr>
                <w:lang w:eastAsia="en-AU"/>
              </w:rPr>
            </w:pPr>
            <w:r>
              <w:rPr>
                <w:lang w:eastAsia="en-AU"/>
              </w:rPr>
              <w:noBreakHyphen/>
            </w:r>
            <w:r w:rsidR="0070375D" w:rsidRPr="008F026A">
              <w:rPr>
                <w:lang w:eastAsia="en-AU"/>
              </w:rPr>
              <w:t xml:space="preserve"> 936</w:t>
            </w:r>
          </w:p>
        </w:tc>
      </w:tr>
      <w:tr w:rsidR="0070375D" w:rsidRPr="008F026A" w:rsidTr="008F026A">
        <w:tc>
          <w:tcPr>
            <w:tcW w:w="4665" w:type="dxa"/>
            <w:tcBorders>
              <w:top w:val="nil"/>
              <w:left w:val="nil"/>
              <w:bottom w:val="single" w:sz="6" w:space="0" w:color="auto"/>
              <w:right w:val="nil"/>
            </w:tcBorders>
          </w:tcPr>
          <w:p w:rsidR="0070375D" w:rsidRPr="008F026A" w:rsidRDefault="0070375D" w:rsidP="008F026A">
            <w:pPr>
              <w:pStyle w:val="Tabletext"/>
              <w:rPr>
                <w:lang w:eastAsia="en-AU"/>
              </w:rPr>
            </w:pPr>
            <w:r w:rsidRPr="008F026A">
              <w:rPr>
                <w:lang w:eastAsia="en-AU"/>
              </w:rPr>
              <w:t>Other own</w:t>
            </w:r>
            <w:r w:rsidR="00276239">
              <w:rPr>
                <w:lang w:eastAsia="en-AU"/>
              </w:rPr>
              <w:noBreakHyphen/>
            </w:r>
            <w:r w:rsidRPr="008F026A">
              <w:rPr>
                <w:lang w:eastAsia="en-AU"/>
              </w:rPr>
              <w:t>sourced revenue</w:t>
            </w:r>
          </w:p>
        </w:tc>
        <w:tc>
          <w:tcPr>
            <w:tcW w:w="1036" w:type="dxa"/>
            <w:tcBorders>
              <w:top w:val="nil"/>
              <w:left w:val="nil"/>
              <w:bottom w:val="single" w:sz="6" w:space="0" w:color="auto"/>
              <w:right w:val="nil"/>
            </w:tcBorders>
          </w:tcPr>
          <w:p w:rsidR="0070375D" w:rsidRPr="008F026A" w:rsidRDefault="0070375D" w:rsidP="008F026A">
            <w:pPr>
              <w:pStyle w:val="TableofFigures"/>
              <w:rPr>
                <w:lang w:eastAsia="en-AU"/>
              </w:rPr>
            </w:pPr>
            <w:r w:rsidRPr="008F026A">
              <w:rPr>
                <w:lang w:eastAsia="en-AU"/>
              </w:rPr>
              <w:t>5 683</w:t>
            </w:r>
          </w:p>
        </w:tc>
        <w:tc>
          <w:tcPr>
            <w:tcW w:w="1036" w:type="dxa"/>
            <w:tcBorders>
              <w:top w:val="nil"/>
              <w:left w:val="nil"/>
              <w:bottom w:val="single" w:sz="6" w:space="0" w:color="auto"/>
              <w:right w:val="nil"/>
            </w:tcBorders>
          </w:tcPr>
          <w:p w:rsidR="0070375D" w:rsidRPr="008F026A" w:rsidRDefault="0070375D" w:rsidP="008F026A">
            <w:pPr>
              <w:pStyle w:val="TableofFigures"/>
              <w:rPr>
                <w:lang w:eastAsia="en-AU"/>
              </w:rPr>
            </w:pPr>
            <w:r w:rsidRPr="008F026A">
              <w:rPr>
                <w:lang w:eastAsia="en-AU"/>
              </w:rPr>
              <w:t>5 846</w:t>
            </w:r>
          </w:p>
        </w:tc>
        <w:tc>
          <w:tcPr>
            <w:tcW w:w="1036" w:type="dxa"/>
            <w:tcBorders>
              <w:top w:val="nil"/>
              <w:left w:val="nil"/>
              <w:bottom w:val="single" w:sz="6" w:space="0" w:color="auto"/>
              <w:right w:val="nil"/>
            </w:tcBorders>
          </w:tcPr>
          <w:p w:rsidR="0070375D" w:rsidRPr="008F026A" w:rsidRDefault="0070375D" w:rsidP="008F026A">
            <w:pPr>
              <w:pStyle w:val="TableofFigures"/>
              <w:rPr>
                <w:lang w:eastAsia="en-AU"/>
              </w:rPr>
            </w:pPr>
            <w:r w:rsidRPr="008F026A">
              <w:rPr>
                <w:lang w:eastAsia="en-AU"/>
              </w:rPr>
              <w:t xml:space="preserve"> 163</w:t>
            </w:r>
          </w:p>
        </w:tc>
      </w:tr>
      <w:tr w:rsidR="0070375D" w:rsidRPr="008F026A" w:rsidTr="008F026A">
        <w:tc>
          <w:tcPr>
            <w:tcW w:w="4665" w:type="dxa"/>
            <w:tcBorders>
              <w:top w:val="nil"/>
              <w:left w:val="nil"/>
              <w:bottom w:val="nil"/>
              <w:right w:val="nil"/>
            </w:tcBorders>
          </w:tcPr>
          <w:p w:rsidR="0070375D" w:rsidRPr="008F026A" w:rsidRDefault="0070375D" w:rsidP="008F026A">
            <w:pPr>
              <w:pStyle w:val="Tabletext"/>
              <w:rPr>
                <w:b/>
                <w:bCs/>
                <w:lang w:eastAsia="en-AU"/>
              </w:rPr>
            </w:pPr>
            <w:r w:rsidRPr="008F026A">
              <w:rPr>
                <w:b/>
                <w:bCs/>
                <w:lang w:eastAsia="en-AU"/>
              </w:rPr>
              <w:t>Taxation revenue</w:t>
            </w:r>
          </w:p>
        </w:tc>
        <w:tc>
          <w:tcPr>
            <w:tcW w:w="1036" w:type="dxa"/>
            <w:tcBorders>
              <w:top w:val="nil"/>
              <w:left w:val="nil"/>
              <w:bottom w:val="nil"/>
              <w:right w:val="nil"/>
            </w:tcBorders>
          </w:tcPr>
          <w:p w:rsidR="0070375D" w:rsidRPr="008F026A" w:rsidRDefault="0070375D" w:rsidP="008F026A">
            <w:pPr>
              <w:pStyle w:val="TableofFigures"/>
              <w:rPr>
                <w:b/>
                <w:bCs/>
                <w:lang w:eastAsia="en-AU"/>
              </w:rPr>
            </w:pPr>
            <w:r w:rsidRPr="008F026A">
              <w:rPr>
                <w:b/>
                <w:bCs/>
                <w:lang w:eastAsia="en-AU"/>
              </w:rPr>
              <w:t>13 383</w:t>
            </w:r>
          </w:p>
        </w:tc>
        <w:tc>
          <w:tcPr>
            <w:tcW w:w="1036" w:type="dxa"/>
            <w:tcBorders>
              <w:top w:val="nil"/>
              <w:left w:val="nil"/>
              <w:bottom w:val="nil"/>
              <w:right w:val="nil"/>
            </w:tcBorders>
          </w:tcPr>
          <w:p w:rsidR="0070375D" w:rsidRPr="008F026A" w:rsidRDefault="0070375D" w:rsidP="008F026A">
            <w:pPr>
              <w:pStyle w:val="TableofFigures"/>
              <w:rPr>
                <w:b/>
                <w:bCs/>
                <w:lang w:eastAsia="en-AU"/>
              </w:rPr>
            </w:pPr>
            <w:r w:rsidRPr="008F026A">
              <w:rPr>
                <w:b/>
                <w:bCs/>
                <w:lang w:eastAsia="en-AU"/>
              </w:rPr>
              <w:t>12 627</w:t>
            </w:r>
          </w:p>
        </w:tc>
        <w:tc>
          <w:tcPr>
            <w:tcW w:w="1036" w:type="dxa"/>
            <w:tcBorders>
              <w:top w:val="nil"/>
              <w:left w:val="nil"/>
              <w:bottom w:val="nil"/>
              <w:right w:val="nil"/>
            </w:tcBorders>
          </w:tcPr>
          <w:p w:rsidR="0070375D" w:rsidRPr="008F026A" w:rsidRDefault="00276239" w:rsidP="008F026A">
            <w:pPr>
              <w:pStyle w:val="TableofFigures"/>
              <w:rPr>
                <w:b/>
                <w:bCs/>
                <w:lang w:eastAsia="en-AU"/>
              </w:rPr>
            </w:pPr>
            <w:r>
              <w:rPr>
                <w:b/>
                <w:bCs/>
                <w:lang w:eastAsia="en-AU"/>
              </w:rPr>
              <w:noBreakHyphen/>
            </w:r>
            <w:r w:rsidR="0070375D" w:rsidRPr="008F026A">
              <w:rPr>
                <w:b/>
                <w:bCs/>
                <w:lang w:eastAsia="en-AU"/>
              </w:rPr>
              <w:t xml:space="preserve"> 756</w:t>
            </w:r>
          </w:p>
        </w:tc>
      </w:tr>
      <w:tr w:rsidR="0070375D" w:rsidRPr="008F026A" w:rsidTr="008F026A">
        <w:tc>
          <w:tcPr>
            <w:tcW w:w="4665" w:type="dxa"/>
            <w:tcBorders>
              <w:top w:val="nil"/>
              <w:left w:val="nil"/>
              <w:bottom w:val="nil"/>
              <w:right w:val="nil"/>
            </w:tcBorders>
          </w:tcPr>
          <w:p w:rsidR="0070375D" w:rsidRPr="008F026A" w:rsidRDefault="0070375D" w:rsidP="008F026A">
            <w:pPr>
              <w:pStyle w:val="Tabletext"/>
              <w:rPr>
                <w:lang w:eastAsia="en-AU"/>
              </w:rPr>
            </w:pPr>
            <w:r w:rsidRPr="008F026A">
              <w:rPr>
                <w:lang w:eastAsia="en-AU"/>
              </w:rPr>
              <w:t>Other revenue</w:t>
            </w:r>
          </w:p>
        </w:tc>
        <w:tc>
          <w:tcPr>
            <w:tcW w:w="1036" w:type="dxa"/>
            <w:tcBorders>
              <w:top w:val="nil"/>
              <w:left w:val="nil"/>
              <w:bottom w:val="nil"/>
              <w:right w:val="nil"/>
            </w:tcBorders>
          </w:tcPr>
          <w:p w:rsidR="0070375D" w:rsidRPr="008F026A" w:rsidRDefault="0070375D" w:rsidP="008F026A">
            <w:pPr>
              <w:pStyle w:val="TableofFigures"/>
              <w:rPr>
                <w:lang w:eastAsia="en-AU"/>
              </w:rPr>
            </w:pPr>
            <w:r w:rsidRPr="008F026A">
              <w:rPr>
                <w:lang w:eastAsia="en-AU"/>
              </w:rPr>
              <w:t>14 146</w:t>
            </w:r>
          </w:p>
        </w:tc>
        <w:tc>
          <w:tcPr>
            <w:tcW w:w="1036" w:type="dxa"/>
            <w:tcBorders>
              <w:top w:val="nil"/>
              <w:left w:val="nil"/>
              <w:bottom w:val="nil"/>
              <w:right w:val="nil"/>
            </w:tcBorders>
          </w:tcPr>
          <w:p w:rsidR="0070375D" w:rsidRPr="008F026A" w:rsidRDefault="0070375D" w:rsidP="008F026A">
            <w:pPr>
              <w:pStyle w:val="TableofFigures"/>
              <w:rPr>
                <w:lang w:eastAsia="en-AU"/>
              </w:rPr>
            </w:pPr>
            <w:r w:rsidRPr="008F026A">
              <w:rPr>
                <w:lang w:eastAsia="en-AU"/>
              </w:rPr>
              <w:t>17 339</w:t>
            </w:r>
          </w:p>
        </w:tc>
        <w:tc>
          <w:tcPr>
            <w:tcW w:w="1036" w:type="dxa"/>
            <w:tcBorders>
              <w:top w:val="nil"/>
              <w:left w:val="nil"/>
              <w:bottom w:val="nil"/>
              <w:right w:val="nil"/>
            </w:tcBorders>
          </w:tcPr>
          <w:p w:rsidR="0070375D" w:rsidRPr="008F026A" w:rsidRDefault="0070375D" w:rsidP="008F026A">
            <w:pPr>
              <w:pStyle w:val="TableofFigures"/>
              <w:rPr>
                <w:lang w:eastAsia="en-AU"/>
              </w:rPr>
            </w:pPr>
            <w:r w:rsidRPr="008F026A">
              <w:rPr>
                <w:lang w:eastAsia="en-AU"/>
              </w:rPr>
              <w:t>3 193</w:t>
            </w:r>
          </w:p>
        </w:tc>
      </w:tr>
      <w:tr w:rsidR="0070375D" w:rsidRPr="008F026A" w:rsidTr="008F026A">
        <w:tc>
          <w:tcPr>
            <w:tcW w:w="4665" w:type="dxa"/>
            <w:tcBorders>
              <w:top w:val="nil"/>
              <w:left w:val="nil"/>
              <w:bottom w:val="single" w:sz="6" w:space="0" w:color="auto"/>
              <w:right w:val="nil"/>
            </w:tcBorders>
          </w:tcPr>
          <w:p w:rsidR="0070375D" w:rsidRPr="008F026A" w:rsidRDefault="0070375D" w:rsidP="008F026A">
            <w:pPr>
              <w:pStyle w:val="Tabletext"/>
              <w:rPr>
                <w:lang w:eastAsia="en-AU"/>
              </w:rPr>
            </w:pPr>
            <w:r w:rsidRPr="008F026A">
              <w:rPr>
                <w:lang w:eastAsia="en-AU"/>
              </w:rPr>
              <w:t>GST</w:t>
            </w:r>
          </w:p>
        </w:tc>
        <w:tc>
          <w:tcPr>
            <w:tcW w:w="1036" w:type="dxa"/>
            <w:tcBorders>
              <w:top w:val="nil"/>
              <w:left w:val="nil"/>
              <w:bottom w:val="single" w:sz="6" w:space="0" w:color="auto"/>
              <w:right w:val="nil"/>
            </w:tcBorders>
          </w:tcPr>
          <w:p w:rsidR="0070375D" w:rsidRPr="008F026A" w:rsidRDefault="0070375D" w:rsidP="008F026A">
            <w:pPr>
              <w:pStyle w:val="TableofFigures"/>
              <w:rPr>
                <w:lang w:eastAsia="en-AU"/>
              </w:rPr>
            </w:pPr>
            <w:r w:rsidRPr="008F026A">
              <w:rPr>
                <w:lang w:eastAsia="en-AU"/>
              </w:rPr>
              <w:t>10 281</w:t>
            </w:r>
          </w:p>
        </w:tc>
        <w:tc>
          <w:tcPr>
            <w:tcW w:w="1036" w:type="dxa"/>
            <w:tcBorders>
              <w:top w:val="nil"/>
              <w:left w:val="nil"/>
              <w:bottom w:val="single" w:sz="6" w:space="0" w:color="auto"/>
              <w:right w:val="nil"/>
            </w:tcBorders>
          </w:tcPr>
          <w:p w:rsidR="0070375D" w:rsidRPr="008F026A" w:rsidRDefault="0070375D" w:rsidP="008F026A">
            <w:pPr>
              <w:pStyle w:val="TableofFigures"/>
              <w:rPr>
                <w:lang w:eastAsia="en-AU"/>
              </w:rPr>
            </w:pPr>
            <w:r w:rsidRPr="008F026A">
              <w:rPr>
                <w:lang w:eastAsia="en-AU"/>
              </w:rPr>
              <w:t>9 319</w:t>
            </w:r>
          </w:p>
        </w:tc>
        <w:tc>
          <w:tcPr>
            <w:tcW w:w="1036" w:type="dxa"/>
            <w:tcBorders>
              <w:top w:val="nil"/>
              <w:left w:val="nil"/>
              <w:bottom w:val="single" w:sz="6" w:space="0" w:color="auto"/>
              <w:right w:val="nil"/>
            </w:tcBorders>
          </w:tcPr>
          <w:p w:rsidR="0070375D" w:rsidRPr="008F026A" w:rsidRDefault="00276239" w:rsidP="008F026A">
            <w:pPr>
              <w:pStyle w:val="TableofFigures"/>
              <w:rPr>
                <w:lang w:eastAsia="en-AU"/>
              </w:rPr>
            </w:pPr>
            <w:r>
              <w:rPr>
                <w:lang w:eastAsia="en-AU"/>
              </w:rPr>
              <w:noBreakHyphen/>
            </w:r>
            <w:r w:rsidR="0070375D" w:rsidRPr="008F026A">
              <w:rPr>
                <w:lang w:eastAsia="en-AU"/>
              </w:rPr>
              <w:t xml:space="preserve"> 962</w:t>
            </w:r>
          </w:p>
        </w:tc>
      </w:tr>
      <w:tr w:rsidR="0070375D" w:rsidRPr="008F026A" w:rsidTr="008F026A">
        <w:tc>
          <w:tcPr>
            <w:tcW w:w="4665" w:type="dxa"/>
            <w:tcBorders>
              <w:top w:val="nil"/>
              <w:left w:val="nil"/>
              <w:bottom w:val="nil"/>
              <w:right w:val="nil"/>
            </w:tcBorders>
          </w:tcPr>
          <w:p w:rsidR="0070375D" w:rsidRPr="008F026A" w:rsidRDefault="0070375D" w:rsidP="008F026A">
            <w:pPr>
              <w:pStyle w:val="Tabletext"/>
              <w:rPr>
                <w:b/>
                <w:bCs/>
                <w:lang w:eastAsia="en-AU"/>
              </w:rPr>
            </w:pPr>
            <w:r w:rsidRPr="008F026A">
              <w:rPr>
                <w:b/>
                <w:bCs/>
                <w:lang w:eastAsia="en-AU"/>
              </w:rPr>
              <w:t>Total revenue</w:t>
            </w:r>
          </w:p>
        </w:tc>
        <w:tc>
          <w:tcPr>
            <w:tcW w:w="1036" w:type="dxa"/>
            <w:tcBorders>
              <w:top w:val="nil"/>
              <w:left w:val="nil"/>
              <w:bottom w:val="nil"/>
              <w:right w:val="nil"/>
            </w:tcBorders>
          </w:tcPr>
          <w:p w:rsidR="0070375D" w:rsidRPr="008F026A" w:rsidRDefault="0070375D" w:rsidP="008F026A">
            <w:pPr>
              <w:pStyle w:val="TableofFigures"/>
              <w:rPr>
                <w:b/>
                <w:bCs/>
                <w:lang w:eastAsia="en-AU"/>
              </w:rPr>
            </w:pPr>
            <w:r w:rsidRPr="008F026A">
              <w:rPr>
                <w:b/>
                <w:bCs/>
                <w:lang w:eastAsia="en-AU"/>
              </w:rPr>
              <w:t>37 810</w:t>
            </w:r>
          </w:p>
        </w:tc>
        <w:tc>
          <w:tcPr>
            <w:tcW w:w="1036" w:type="dxa"/>
            <w:tcBorders>
              <w:top w:val="nil"/>
              <w:left w:val="nil"/>
              <w:bottom w:val="nil"/>
              <w:right w:val="nil"/>
            </w:tcBorders>
          </w:tcPr>
          <w:p w:rsidR="0070375D" w:rsidRPr="008F026A" w:rsidRDefault="0070375D" w:rsidP="008F026A">
            <w:pPr>
              <w:pStyle w:val="TableofFigures"/>
              <w:rPr>
                <w:b/>
                <w:bCs/>
                <w:lang w:eastAsia="en-AU"/>
              </w:rPr>
            </w:pPr>
            <w:r w:rsidRPr="008F026A">
              <w:rPr>
                <w:b/>
                <w:bCs/>
                <w:lang w:eastAsia="en-AU"/>
              </w:rPr>
              <w:t>39 285</w:t>
            </w:r>
          </w:p>
        </w:tc>
        <w:tc>
          <w:tcPr>
            <w:tcW w:w="1036" w:type="dxa"/>
            <w:tcBorders>
              <w:top w:val="nil"/>
              <w:left w:val="nil"/>
              <w:bottom w:val="nil"/>
              <w:right w:val="nil"/>
            </w:tcBorders>
          </w:tcPr>
          <w:p w:rsidR="0070375D" w:rsidRPr="008F026A" w:rsidRDefault="0070375D" w:rsidP="008F026A">
            <w:pPr>
              <w:pStyle w:val="TableofFigures"/>
              <w:rPr>
                <w:b/>
                <w:bCs/>
                <w:lang w:eastAsia="en-AU"/>
              </w:rPr>
            </w:pPr>
            <w:r w:rsidRPr="008F026A">
              <w:rPr>
                <w:b/>
                <w:bCs/>
                <w:lang w:eastAsia="en-AU"/>
              </w:rPr>
              <w:t>1 475</w:t>
            </w:r>
          </w:p>
        </w:tc>
      </w:tr>
      <w:tr w:rsidR="0070375D" w:rsidRPr="008F026A" w:rsidTr="008F026A">
        <w:tc>
          <w:tcPr>
            <w:tcW w:w="4665" w:type="dxa"/>
            <w:tcBorders>
              <w:top w:val="nil"/>
              <w:left w:val="nil"/>
              <w:bottom w:val="single" w:sz="6" w:space="0" w:color="auto"/>
              <w:right w:val="nil"/>
            </w:tcBorders>
          </w:tcPr>
          <w:p w:rsidR="0070375D" w:rsidRPr="008F026A" w:rsidRDefault="0070375D" w:rsidP="008F026A">
            <w:pPr>
              <w:pStyle w:val="Tabletext"/>
              <w:rPr>
                <w:b/>
                <w:bCs/>
                <w:lang w:eastAsia="en-AU"/>
              </w:rPr>
            </w:pPr>
            <w:r w:rsidRPr="008F026A">
              <w:rPr>
                <w:b/>
                <w:bCs/>
                <w:lang w:eastAsia="en-AU"/>
              </w:rPr>
              <w:t>Total expenses</w:t>
            </w:r>
          </w:p>
        </w:tc>
        <w:tc>
          <w:tcPr>
            <w:tcW w:w="1036" w:type="dxa"/>
            <w:tcBorders>
              <w:top w:val="nil"/>
              <w:left w:val="nil"/>
              <w:bottom w:val="single" w:sz="6" w:space="0" w:color="auto"/>
              <w:right w:val="nil"/>
            </w:tcBorders>
          </w:tcPr>
          <w:p w:rsidR="0070375D" w:rsidRPr="008F026A" w:rsidRDefault="0070375D" w:rsidP="008F026A">
            <w:pPr>
              <w:pStyle w:val="TableofFigures"/>
              <w:rPr>
                <w:b/>
                <w:bCs/>
                <w:lang w:eastAsia="en-AU"/>
              </w:rPr>
            </w:pPr>
            <w:r w:rsidRPr="008F026A">
              <w:rPr>
                <w:b/>
                <w:bCs/>
                <w:lang w:eastAsia="en-AU"/>
              </w:rPr>
              <w:t>36 982</w:t>
            </w:r>
          </w:p>
        </w:tc>
        <w:tc>
          <w:tcPr>
            <w:tcW w:w="1036" w:type="dxa"/>
            <w:tcBorders>
              <w:top w:val="nil"/>
              <w:left w:val="nil"/>
              <w:bottom w:val="single" w:sz="6" w:space="0" w:color="auto"/>
              <w:right w:val="nil"/>
            </w:tcBorders>
          </w:tcPr>
          <w:p w:rsidR="0070375D" w:rsidRPr="008F026A" w:rsidRDefault="0070375D" w:rsidP="008F026A">
            <w:pPr>
              <w:pStyle w:val="TableofFigures"/>
              <w:rPr>
                <w:b/>
                <w:bCs/>
                <w:lang w:eastAsia="en-AU"/>
              </w:rPr>
            </w:pPr>
            <w:r w:rsidRPr="008F026A">
              <w:rPr>
                <w:b/>
                <w:bCs/>
                <w:lang w:eastAsia="en-AU"/>
              </w:rPr>
              <w:t>39 034</w:t>
            </w:r>
          </w:p>
        </w:tc>
        <w:tc>
          <w:tcPr>
            <w:tcW w:w="1036" w:type="dxa"/>
            <w:tcBorders>
              <w:top w:val="nil"/>
              <w:left w:val="nil"/>
              <w:bottom w:val="single" w:sz="6" w:space="0" w:color="auto"/>
              <w:right w:val="nil"/>
            </w:tcBorders>
          </w:tcPr>
          <w:p w:rsidR="0070375D" w:rsidRPr="008F026A" w:rsidRDefault="0070375D" w:rsidP="008F026A">
            <w:pPr>
              <w:pStyle w:val="TableofFigures"/>
              <w:rPr>
                <w:b/>
                <w:bCs/>
                <w:lang w:eastAsia="en-AU"/>
              </w:rPr>
            </w:pPr>
            <w:r w:rsidRPr="008F026A">
              <w:rPr>
                <w:b/>
                <w:bCs/>
                <w:lang w:eastAsia="en-AU"/>
              </w:rPr>
              <w:t>2 051</w:t>
            </w:r>
          </w:p>
        </w:tc>
      </w:tr>
      <w:tr w:rsidR="0070375D" w:rsidRPr="008F026A" w:rsidTr="008F026A">
        <w:tc>
          <w:tcPr>
            <w:tcW w:w="4665" w:type="dxa"/>
            <w:tcBorders>
              <w:top w:val="single" w:sz="6" w:space="0" w:color="auto"/>
              <w:left w:val="nil"/>
              <w:bottom w:val="single" w:sz="12" w:space="0" w:color="auto"/>
              <w:right w:val="nil"/>
            </w:tcBorders>
          </w:tcPr>
          <w:p w:rsidR="0070375D" w:rsidRPr="008F026A" w:rsidRDefault="0070375D" w:rsidP="008F026A">
            <w:pPr>
              <w:pStyle w:val="Tabletext"/>
              <w:rPr>
                <w:b/>
                <w:bCs/>
                <w:lang w:eastAsia="en-AU"/>
              </w:rPr>
            </w:pPr>
            <w:r w:rsidRPr="008F026A">
              <w:rPr>
                <w:b/>
                <w:bCs/>
                <w:lang w:eastAsia="en-AU"/>
              </w:rPr>
              <w:t>Net result from transactions</w:t>
            </w:r>
          </w:p>
        </w:tc>
        <w:tc>
          <w:tcPr>
            <w:tcW w:w="1036" w:type="dxa"/>
            <w:tcBorders>
              <w:top w:val="nil"/>
              <w:left w:val="nil"/>
              <w:bottom w:val="single" w:sz="12" w:space="0" w:color="auto"/>
              <w:right w:val="nil"/>
            </w:tcBorders>
          </w:tcPr>
          <w:p w:rsidR="0070375D" w:rsidRPr="008F026A" w:rsidRDefault="0070375D" w:rsidP="008F026A">
            <w:pPr>
              <w:pStyle w:val="TableofFigures"/>
              <w:rPr>
                <w:b/>
                <w:bCs/>
                <w:lang w:eastAsia="en-AU"/>
              </w:rPr>
            </w:pPr>
            <w:r w:rsidRPr="008F026A">
              <w:rPr>
                <w:b/>
                <w:bCs/>
                <w:lang w:eastAsia="en-AU"/>
              </w:rPr>
              <w:t xml:space="preserve"> 828</w:t>
            </w:r>
          </w:p>
        </w:tc>
        <w:tc>
          <w:tcPr>
            <w:tcW w:w="1036" w:type="dxa"/>
            <w:tcBorders>
              <w:top w:val="nil"/>
              <w:left w:val="nil"/>
              <w:bottom w:val="single" w:sz="12" w:space="0" w:color="auto"/>
              <w:right w:val="nil"/>
            </w:tcBorders>
          </w:tcPr>
          <w:p w:rsidR="0070375D" w:rsidRPr="008F026A" w:rsidRDefault="0070375D" w:rsidP="008F026A">
            <w:pPr>
              <w:pStyle w:val="TableofFigures"/>
              <w:rPr>
                <w:b/>
                <w:bCs/>
                <w:lang w:eastAsia="en-AU"/>
              </w:rPr>
            </w:pPr>
            <w:r w:rsidRPr="008F026A">
              <w:rPr>
                <w:b/>
                <w:bCs/>
                <w:lang w:eastAsia="en-AU"/>
              </w:rPr>
              <w:t xml:space="preserve"> 251</w:t>
            </w:r>
          </w:p>
        </w:tc>
        <w:tc>
          <w:tcPr>
            <w:tcW w:w="1036" w:type="dxa"/>
            <w:tcBorders>
              <w:top w:val="nil"/>
              <w:left w:val="nil"/>
              <w:bottom w:val="single" w:sz="12" w:space="0" w:color="auto"/>
              <w:right w:val="nil"/>
            </w:tcBorders>
          </w:tcPr>
          <w:p w:rsidR="0070375D" w:rsidRPr="008F026A" w:rsidRDefault="00276239" w:rsidP="008F026A">
            <w:pPr>
              <w:pStyle w:val="TableofFigures"/>
              <w:rPr>
                <w:b/>
                <w:bCs/>
                <w:lang w:eastAsia="en-AU"/>
              </w:rPr>
            </w:pPr>
            <w:r>
              <w:rPr>
                <w:b/>
                <w:bCs/>
                <w:lang w:eastAsia="en-AU"/>
              </w:rPr>
              <w:noBreakHyphen/>
            </w:r>
            <w:r w:rsidR="0070375D" w:rsidRPr="008F026A">
              <w:rPr>
                <w:b/>
                <w:bCs/>
                <w:lang w:eastAsia="en-AU"/>
              </w:rPr>
              <w:t xml:space="preserve"> 576</w:t>
            </w:r>
          </w:p>
        </w:tc>
      </w:tr>
    </w:tbl>
    <w:p w:rsidR="0070375D" w:rsidRPr="00B369A7" w:rsidRDefault="0070375D" w:rsidP="00D8197D">
      <w:pPr>
        <w:pStyle w:val="Source"/>
      </w:pPr>
      <w:r>
        <w:t>S</w:t>
      </w:r>
      <w:r w:rsidRPr="00145452">
        <w:t>ource: Department of Treasury and Finance</w:t>
      </w:r>
      <w:r>
        <w:fldChar w:fldCharType="begin"/>
      </w:r>
      <w:r>
        <w:instrText xml:space="preserve"> XE "</w:instrText>
      </w:r>
      <w:r w:rsidRPr="00466449">
        <w:instrText>Global financial crisis</w:instrText>
      </w:r>
      <w:r>
        <w:instrText xml:space="preserve">" \r "BP2AppGFC" </w:instrText>
      </w:r>
      <w:r>
        <w:fldChar w:fldCharType="end"/>
      </w:r>
      <w:bookmarkEnd w:id="69"/>
    </w:p>
    <w:p w:rsidR="0070375D" w:rsidRDefault="0070375D" w:rsidP="00497606"/>
    <w:p w:rsidR="0070375D" w:rsidRDefault="0070375D" w:rsidP="009B7F27">
      <w:pPr>
        <w:sectPr w:rsidR="0070375D" w:rsidSect="004816CA">
          <w:footerReference w:type="even" r:id="rId45"/>
          <w:footerReference w:type="default" r:id="rId46"/>
          <w:type w:val="oddPage"/>
          <w:pgSz w:w="9979" w:h="14170" w:code="34"/>
          <w:pgMar w:top="1138" w:right="1138" w:bottom="1138" w:left="1138" w:header="720" w:footer="720" w:gutter="0"/>
          <w:cols w:space="708"/>
          <w:docGrid w:linePitch="360"/>
        </w:sectPr>
      </w:pPr>
    </w:p>
    <w:p w:rsidR="0070375D" w:rsidRDefault="0070375D" w:rsidP="00E151EA">
      <w:pPr>
        <w:pStyle w:val="ChapterHeading"/>
      </w:pPr>
      <w:bookmarkStart w:id="70" w:name="_Toc355372039"/>
      <w:r>
        <w:lastRenderedPageBreak/>
        <w:t>Style conventions</w:t>
      </w:r>
      <w:bookmarkEnd w:id="70"/>
    </w:p>
    <w:p w:rsidR="0070375D" w:rsidRPr="00EA50A2" w:rsidRDefault="0070375D" w:rsidP="00EA50A2">
      <w:r w:rsidRPr="00EA50A2">
        <w:t>Figures in the tables and in the text have been rounded. Discrepancies in tables between totals and sums of components reflect rounding. Percentage changes in all tables are based on the underlying unrounded amounts.</w:t>
      </w:r>
    </w:p>
    <w:p w:rsidR="0070375D" w:rsidRPr="00EA50A2" w:rsidRDefault="0070375D" w:rsidP="00EA50A2">
      <w:r w:rsidRPr="00EA50A2">
        <w:t>The notation used in the tables and charts is as follows:</w:t>
      </w:r>
    </w:p>
    <w:p w:rsidR="0070375D" w:rsidRPr="00EA50A2" w:rsidRDefault="0070375D" w:rsidP="00FC34FA">
      <w:pPr>
        <w:tabs>
          <w:tab w:val="left" w:pos="2520"/>
        </w:tabs>
        <w:ind w:left="720"/>
      </w:pPr>
      <w:r w:rsidRPr="00EA50A2">
        <w:t>LHS</w:t>
      </w:r>
      <w:r w:rsidRPr="00EA50A2">
        <w:tab/>
        <w:t>left</w:t>
      </w:r>
      <w:r w:rsidR="00276239">
        <w:noBreakHyphen/>
      </w:r>
      <w:r w:rsidRPr="00EA50A2">
        <w:t>hand</w:t>
      </w:r>
      <w:r w:rsidR="00276239">
        <w:noBreakHyphen/>
      </w:r>
      <w:r w:rsidRPr="00EA50A2">
        <w:t>side</w:t>
      </w:r>
    </w:p>
    <w:p w:rsidR="0070375D" w:rsidRPr="00EA50A2" w:rsidRDefault="0070375D" w:rsidP="00FC34FA">
      <w:pPr>
        <w:tabs>
          <w:tab w:val="left" w:pos="2520"/>
        </w:tabs>
        <w:ind w:left="720"/>
      </w:pPr>
      <w:r w:rsidRPr="00EA50A2">
        <w:t>RHS</w:t>
      </w:r>
      <w:r w:rsidRPr="00EA50A2">
        <w:tab/>
        <w:t>right</w:t>
      </w:r>
      <w:r w:rsidR="00276239">
        <w:noBreakHyphen/>
      </w:r>
      <w:r w:rsidRPr="00EA50A2">
        <w:t>hand</w:t>
      </w:r>
      <w:r w:rsidR="00276239">
        <w:noBreakHyphen/>
      </w:r>
      <w:r w:rsidRPr="00EA50A2">
        <w:t>side</w:t>
      </w:r>
    </w:p>
    <w:p w:rsidR="0070375D" w:rsidRPr="00EA50A2" w:rsidRDefault="0070375D" w:rsidP="00FC34FA">
      <w:pPr>
        <w:tabs>
          <w:tab w:val="left" w:pos="2520"/>
        </w:tabs>
        <w:ind w:left="720"/>
      </w:pPr>
      <w:r w:rsidRPr="00EA50A2">
        <w:t>na</w:t>
      </w:r>
      <w:r w:rsidRPr="00EA50A2">
        <w:tab/>
        <w:t>not available or not applicable</w:t>
      </w:r>
    </w:p>
    <w:p w:rsidR="0070375D" w:rsidRPr="00EA50A2" w:rsidRDefault="0070375D" w:rsidP="00FC34FA">
      <w:pPr>
        <w:tabs>
          <w:tab w:val="left" w:pos="2520"/>
        </w:tabs>
        <w:ind w:left="720"/>
      </w:pPr>
      <w:r w:rsidRPr="00EA50A2">
        <w:t>Cat. No.</w:t>
      </w:r>
      <w:r w:rsidRPr="00EA50A2">
        <w:tab/>
        <w:t>catalogue number</w:t>
      </w:r>
    </w:p>
    <w:p w:rsidR="0070375D" w:rsidRPr="00EA50A2" w:rsidRDefault="0070375D" w:rsidP="00FC34FA">
      <w:pPr>
        <w:tabs>
          <w:tab w:val="left" w:pos="2520"/>
        </w:tabs>
        <w:ind w:left="720"/>
      </w:pPr>
      <w:r w:rsidRPr="00EA50A2">
        <w:t>1</w:t>
      </w:r>
      <w:r>
        <w:t> billion</w:t>
      </w:r>
      <w:r w:rsidRPr="00EA50A2">
        <w:tab/>
        <w:t>1 000</w:t>
      </w:r>
      <w:r>
        <w:t> million</w:t>
      </w:r>
    </w:p>
    <w:p w:rsidR="0070375D" w:rsidRPr="00EA50A2" w:rsidRDefault="0070375D" w:rsidP="00FC34FA">
      <w:pPr>
        <w:tabs>
          <w:tab w:val="left" w:pos="2520"/>
        </w:tabs>
        <w:ind w:left="720"/>
      </w:pPr>
      <w:r w:rsidRPr="00EA50A2">
        <w:t>1 basis point</w:t>
      </w:r>
      <w:r w:rsidRPr="00EA50A2">
        <w:tab/>
        <w:t>0.01</w:t>
      </w:r>
      <w:r>
        <w:t> per cent</w:t>
      </w:r>
    </w:p>
    <w:p w:rsidR="0070375D" w:rsidRPr="00EA50A2" w:rsidRDefault="0070375D" w:rsidP="00FC34FA">
      <w:pPr>
        <w:tabs>
          <w:tab w:val="left" w:pos="2520"/>
        </w:tabs>
        <w:ind w:left="720"/>
      </w:pPr>
      <w:r w:rsidRPr="00EA50A2">
        <w:t>nm</w:t>
      </w:r>
      <w:r w:rsidRPr="00EA50A2">
        <w:tab/>
        <w:t>new measure</w:t>
      </w:r>
    </w:p>
    <w:p w:rsidR="0070375D" w:rsidRPr="00EA50A2" w:rsidRDefault="0070375D" w:rsidP="00FC34FA">
      <w:pPr>
        <w:tabs>
          <w:tab w:val="left" w:pos="2520"/>
        </w:tabs>
        <w:ind w:left="720"/>
      </w:pPr>
      <w:r w:rsidRPr="00EA50A2">
        <w:t>..</w:t>
      </w:r>
      <w:r w:rsidRPr="00EA50A2">
        <w:tab/>
        <w:t>zero, or rounded to zero</w:t>
      </w:r>
    </w:p>
    <w:p w:rsidR="0070375D" w:rsidRPr="00EA50A2" w:rsidRDefault="0070375D" w:rsidP="00FC34FA">
      <w:pPr>
        <w:tabs>
          <w:tab w:val="left" w:pos="2520"/>
        </w:tabs>
        <w:ind w:left="720"/>
      </w:pPr>
      <w:r w:rsidRPr="00EA50A2">
        <w:t>tbd</w:t>
      </w:r>
      <w:r w:rsidRPr="00EA50A2">
        <w:tab/>
        <w:t>to be determined</w:t>
      </w:r>
    </w:p>
    <w:p w:rsidR="0070375D" w:rsidRPr="00EA50A2" w:rsidRDefault="0070375D" w:rsidP="00FC34FA">
      <w:pPr>
        <w:tabs>
          <w:tab w:val="left" w:pos="2520"/>
        </w:tabs>
        <w:ind w:left="720"/>
      </w:pPr>
      <w:r w:rsidRPr="00EA50A2">
        <w:t>ongoing</w:t>
      </w:r>
      <w:r w:rsidRPr="00EA50A2">
        <w:tab/>
        <w:t>continuing output, program, project etc</w:t>
      </w:r>
    </w:p>
    <w:p w:rsidR="0070375D" w:rsidRPr="00EA50A2" w:rsidRDefault="0070375D" w:rsidP="00FC34FA">
      <w:pPr>
        <w:tabs>
          <w:tab w:val="left" w:pos="2520"/>
        </w:tabs>
        <w:ind w:left="720"/>
      </w:pPr>
      <w:r w:rsidRPr="00EA50A2">
        <w:t>(xxx.x)</w:t>
      </w:r>
      <w:r w:rsidRPr="00EA50A2">
        <w:tab/>
        <w:t>negative numbers</w:t>
      </w:r>
    </w:p>
    <w:p w:rsidR="0070375D" w:rsidRDefault="0070375D" w:rsidP="005954E5"/>
    <w:p w:rsidR="0070375D" w:rsidRDefault="0070375D" w:rsidP="005954E5">
      <w:r>
        <w:br w:type="page"/>
      </w:r>
    </w:p>
    <w:p w:rsidR="0070375D" w:rsidRDefault="0070375D" w:rsidP="005954E5"/>
    <w:p w:rsidR="0070375D" w:rsidRDefault="0070375D" w:rsidP="00497606"/>
    <w:p w:rsidR="0070375D" w:rsidRDefault="0070375D" w:rsidP="009B7F27">
      <w:pPr>
        <w:sectPr w:rsidR="0070375D" w:rsidSect="004816CA">
          <w:footerReference w:type="even" r:id="rId47"/>
          <w:footerReference w:type="default" r:id="rId48"/>
          <w:type w:val="oddPage"/>
          <w:pgSz w:w="9979" w:h="14170" w:code="34"/>
          <w:pgMar w:top="1138" w:right="1138" w:bottom="1138" w:left="1138" w:header="720" w:footer="720" w:gutter="0"/>
          <w:cols w:space="708"/>
          <w:docGrid w:linePitch="360"/>
        </w:sectPr>
      </w:pPr>
    </w:p>
    <w:p w:rsidR="0070375D" w:rsidRDefault="0070375D" w:rsidP="00E151EA">
      <w:pPr>
        <w:pStyle w:val="ChapterHeading"/>
      </w:pPr>
      <w:bookmarkStart w:id="71" w:name="_Toc355372040"/>
      <w:r>
        <w:lastRenderedPageBreak/>
        <w:t>Index</w:t>
      </w:r>
      <w:bookmarkEnd w:id="71"/>
    </w:p>
    <w:p w:rsidR="007E21C9" w:rsidRDefault="0070375D" w:rsidP="007A66F0">
      <w:pPr>
        <w:rPr>
          <w:noProof/>
        </w:rPr>
        <w:sectPr w:rsidR="007E21C9" w:rsidSect="007E21C9">
          <w:footerReference w:type="even" r:id="rId49"/>
          <w:footerReference w:type="default" r:id="rId50"/>
          <w:type w:val="oddPage"/>
          <w:pgSz w:w="9979" w:h="14170" w:code="34"/>
          <w:pgMar w:top="1138" w:right="1138" w:bottom="1138" w:left="1138" w:header="720" w:footer="720" w:gutter="0"/>
          <w:cols w:space="708"/>
          <w:docGrid w:linePitch="360"/>
        </w:sectPr>
      </w:pPr>
      <w:r>
        <w:fldChar w:fldCharType="begin" w:fldLock="1"/>
      </w:r>
      <w:r>
        <w:instrText xml:space="preserve"> INDEX \h "A" \c "2" \z "3081" </w:instrText>
      </w:r>
      <w:r>
        <w:fldChar w:fldCharType="separate"/>
      </w:r>
    </w:p>
    <w:p w:rsidR="007E21C9" w:rsidRDefault="007E21C9">
      <w:pPr>
        <w:pStyle w:val="IndexHeading"/>
        <w:keepNext/>
        <w:tabs>
          <w:tab w:val="right" w:leader="dot" w:pos="3481"/>
        </w:tabs>
        <w:rPr>
          <w:rFonts w:eastAsiaTheme="minorEastAsia" w:cstheme="minorBidi"/>
          <w:b w:val="0"/>
          <w:bCs w:val="0"/>
          <w:noProof/>
        </w:rPr>
      </w:pPr>
      <w:r>
        <w:rPr>
          <w:noProof/>
        </w:rPr>
        <w:lastRenderedPageBreak/>
        <w:t>A</w:t>
      </w:r>
    </w:p>
    <w:p w:rsidR="007E21C9" w:rsidRDefault="007E21C9">
      <w:pPr>
        <w:pStyle w:val="Index1"/>
        <w:tabs>
          <w:tab w:val="right" w:leader="dot" w:pos="3481"/>
        </w:tabs>
        <w:rPr>
          <w:noProof/>
        </w:rPr>
      </w:pPr>
      <w:r>
        <w:rPr>
          <w:noProof/>
        </w:rPr>
        <w:t>AASB 119</w:t>
      </w:r>
      <w:r w:rsidRPr="00152C20">
        <w:rPr>
          <w:i/>
          <w:noProof/>
        </w:rPr>
        <w:t xml:space="preserve"> Employee Benefits</w:t>
      </w:r>
      <w:r>
        <w:rPr>
          <w:noProof/>
        </w:rPr>
        <w:t xml:space="preserve">, 3, 44, 48, </w:t>
      </w:r>
      <w:r>
        <w:rPr>
          <w:noProof/>
        </w:rPr>
        <w:br/>
        <w:t>49–50, 64</w:t>
      </w:r>
    </w:p>
    <w:p w:rsidR="007E21C9" w:rsidRDefault="007E21C9">
      <w:pPr>
        <w:pStyle w:val="Index1"/>
        <w:tabs>
          <w:tab w:val="right" w:leader="dot" w:pos="3481"/>
        </w:tabs>
        <w:rPr>
          <w:noProof/>
        </w:rPr>
      </w:pPr>
      <w:r>
        <w:rPr>
          <w:noProof/>
        </w:rPr>
        <w:t>Agricultural production, 9, 15</w:t>
      </w:r>
    </w:p>
    <w:p w:rsidR="007E21C9" w:rsidRDefault="007E21C9">
      <w:pPr>
        <w:pStyle w:val="Index1"/>
        <w:tabs>
          <w:tab w:val="right" w:leader="dot" w:pos="3481"/>
        </w:tabs>
        <w:rPr>
          <w:noProof/>
        </w:rPr>
      </w:pPr>
      <w:r>
        <w:rPr>
          <w:noProof/>
        </w:rPr>
        <w:t>Asset</w:t>
      </w:r>
    </w:p>
    <w:p w:rsidR="007E21C9" w:rsidRDefault="007E21C9">
      <w:pPr>
        <w:pStyle w:val="Index2"/>
        <w:tabs>
          <w:tab w:val="right" w:leader="dot" w:pos="3481"/>
        </w:tabs>
        <w:rPr>
          <w:noProof/>
        </w:rPr>
      </w:pPr>
      <w:r>
        <w:rPr>
          <w:noProof/>
        </w:rPr>
        <w:t>Asset investment, 31</w:t>
      </w:r>
    </w:p>
    <w:p w:rsidR="007E21C9" w:rsidRDefault="007E21C9">
      <w:pPr>
        <w:pStyle w:val="Index2"/>
        <w:tabs>
          <w:tab w:val="right" w:leader="dot" w:pos="3481"/>
        </w:tabs>
        <w:rPr>
          <w:noProof/>
        </w:rPr>
      </w:pPr>
      <w:r>
        <w:rPr>
          <w:noProof/>
        </w:rPr>
        <w:t>Investment, 31</w:t>
      </w:r>
    </w:p>
    <w:p w:rsidR="007E21C9" w:rsidRDefault="007E21C9">
      <w:pPr>
        <w:pStyle w:val="Index1"/>
        <w:tabs>
          <w:tab w:val="right" w:leader="dot" w:pos="3481"/>
        </w:tabs>
        <w:rPr>
          <w:noProof/>
        </w:rPr>
      </w:pPr>
      <w:r>
        <w:rPr>
          <w:noProof/>
        </w:rPr>
        <w:t>Australian dollar, 1, 15, 17, 19, 23, 29</w:t>
      </w:r>
    </w:p>
    <w:p w:rsidR="007E21C9" w:rsidRDefault="007E21C9">
      <w:pPr>
        <w:pStyle w:val="IndexHeading"/>
        <w:keepNext/>
        <w:tabs>
          <w:tab w:val="right" w:leader="dot" w:pos="3481"/>
        </w:tabs>
        <w:rPr>
          <w:rFonts w:eastAsiaTheme="minorEastAsia" w:cstheme="minorBidi"/>
          <w:b w:val="0"/>
          <w:bCs w:val="0"/>
          <w:noProof/>
        </w:rPr>
      </w:pPr>
      <w:r>
        <w:rPr>
          <w:noProof/>
        </w:rPr>
        <w:t>B</w:t>
      </w:r>
    </w:p>
    <w:p w:rsidR="007E21C9" w:rsidRDefault="007E21C9">
      <w:pPr>
        <w:pStyle w:val="Index1"/>
        <w:tabs>
          <w:tab w:val="right" w:leader="dot" w:pos="3481"/>
        </w:tabs>
        <w:rPr>
          <w:noProof/>
        </w:rPr>
      </w:pPr>
      <w:r>
        <w:rPr>
          <w:noProof/>
        </w:rPr>
        <w:t>Bendigo Hospital, 1</w:t>
      </w:r>
    </w:p>
    <w:p w:rsidR="007E21C9" w:rsidRDefault="007E21C9">
      <w:pPr>
        <w:pStyle w:val="Index1"/>
        <w:tabs>
          <w:tab w:val="right" w:leader="dot" w:pos="3481"/>
        </w:tabs>
        <w:rPr>
          <w:noProof/>
        </w:rPr>
      </w:pPr>
      <w:r>
        <w:rPr>
          <w:noProof/>
        </w:rPr>
        <w:t>Box Hill Hospital, 1, 35</w:t>
      </w:r>
    </w:p>
    <w:p w:rsidR="007E21C9" w:rsidRDefault="007E21C9">
      <w:pPr>
        <w:pStyle w:val="Index1"/>
        <w:tabs>
          <w:tab w:val="right" w:leader="dot" w:pos="3481"/>
        </w:tabs>
        <w:rPr>
          <w:noProof/>
        </w:rPr>
      </w:pPr>
      <w:r>
        <w:rPr>
          <w:noProof/>
        </w:rPr>
        <w:t>Budget and forward estimates outlook, 45</w:t>
      </w:r>
    </w:p>
    <w:p w:rsidR="007E21C9" w:rsidRDefault="007E21C9">
      <w:pPr>
        <w:pStyle w:val="Index1"/>
        <w:tabs>
          <w:tab w:val="right" w:leader="dot" w:pos="3481"/>
        </w:tabs>
        <w:rPr>
          <w:noProof/>
        </w:rPr>
      </w:pPr>
      <w:r>
        <w:rPr>
          <w:noProof/>
        </w:rPr>
        <w:t>Business confidence, 31</w:t>
      </w:r>
    </w:p>
    <w:p w:rsidR="007E21C9" w:rsidRDefault="007E21C9">
      <w:pPr>
        <w:pStyle w:val="Index1"/>
        <w:tabs>
          <w:tab w:val="right" w:leader="dot" w:pos="3481"/>
        </w:tabs>
        <w:rPr>
          <w:noProof/>
        </w:rPr>
      </w:pPr>
      <w:r>
        <w:rPr>
          <w:noProof/>
        </w:rPr>
        <w:t>Business investment, 14</w:t>
      </w:r>
    </w:p>
    <w:p w:rsidR="007E21C9" w:rsidRDefault="007E21C9">
      <w:pPr>
        <w:pStyle w:val="IndexHeading"/>
        <w:keepNext/>
        <w:tabs>
          <w:tab w:val="right" w:leader="dot" w:pos="3481"/>
        </w:tabs>
        <w:rPr>
          <w:rFonts w:eastAsiaTheme="minorEastAsia" w:cstheme="minorBidi"/>
          <w:b w:val="0"/>
          <w:bCs w:val="0"/>
          <w:noProof/>
        </w:rPr>
      </w:pPr>
      <w:r>
        <w:rPr>
          <w:noProof/>
        </w:rPr>
        <w:t>C</w:t>
      </w:r>
    </w:p>
    <w:p w:rsidR="007E21C9" w:rsidRDefault="007E21C9">
      <w:pPr>
        <w:pStyle w:val="Index1"/>
        <w:tabs>
          <w:tab w:val="right" w:leader="dot" w:pos="3481"/>
        </w:tabs>
        <w:rPr>
          <w:noProof/>
        </w:rPr>
      </w:pPr>
      <w:r>
        <w:rPr>
          <w:noProof/>
        </w:rPr>
        <w:t>Capital expenditure, 31</w:t>
      </w:r>
    </w:p>
    <w:p w:rsidR="007E21C9" w:rsidRDefault="007E21C9">
      <w:pPr>
        <w:pStyle w:val="Index1"/>
        <w:tabs>
          <w:tab w:val="right" w:leader="dot" w:pos="3481"/>
        </w:tabs>
        <w:rPr>
          <w:noProof/>
        </w:rPr>
      </w:pPr>
      <w:r>
        <w:rPr>
          <w:noProof/>
        </w:rPr>
        <w:t>Capital investment, 1</w:t>
      </w:r>
    </w:p>
    <w:p w:rsidR="007E21C9" w:rsidRDefault="007E21C9">
      <w:pPr>
        <w:pStyle w:val="Index1"/>
        <w:tabs>
          <w:tab w:val="right" w:leader="dot" w:pos="3481"/>
        </w:tabs>
        <w:rPr>
          <w:noProof/>
        </w:rPr>
      </w:pPr>
      <w:r>
        <w:rPr>
          <w:noProof/>
        </w:rPr>
        <w:t>Commodity prices, 21</w:t>
      </w:r>
    </w:p>
    <w:p w:rsidR="007E21C9" w:rsidRDefault="007E21C9">
      <w:pPr>
        <w:pStyle w:val="Index1"/>
        <w:tabs>
          <w:tab w:val="right" w:leader="dot" w:pos="3481"/>
        </w:tabs>
        <w:rPr>
          <w:noProof/>
        </w:rPr>
      </w:pPr>
      <w:r>
        <w:rPr>
          <w:noProof/>
        </w:rPr>
        <w:t xml:space="preserve">Commonwealth – State financial relations, </w:t>
      </w:r>
      <w:r>
        <w:rPr>
          <w:noProof/>
        </w:rPr>
        <w:br/>
        <w:t>27–30</w:t>
      </w:r>
    </w:p>
    <w:p w:rsidR="007E21C9" w:rsidRDefault="007E21C9">
      <w:pPr>
        <w:pStyle w:val="Index1"/>
        <w:tabs>
          <w:tab w:val="right" w:leader="dot" w:pos="3481"/>
        </w:tabs>
        <w:rPr>
          <w:noProof/>
        </w:rPr>
      </w:pPr>
      <w:r>
        <w:rPr>
          <w:noProof/>
        </w:rPr>
        <w:t>Commonwealth’s fiscal stimulus, 14</w:t>
      </w:r>
    </w:p>
    <w:p w:rsidR="007E21C9" w:rsidRDefault="007E21C9">
      <w:pPr>
        <w:pStyle w:val="Index1"/>
        <w:tabs>
          <w:tab w:val="right" w:leader="dot" w:pos="3481"/>
        </w:tabs>
        <w:rPr>
          <w:noProof/>
        </w:rPr>
      </w:pPr>
      <w:r>
        <w:rPr>
          <w:noProof/>
        </w:rPr>
        <w:t>Concessions, 6</w:t>
      </w:r>
    </w:p>
    <w:p w:rsidR="007E21C9" w:rsidRDefault="007E21C9">
      <w:pPr>
        <w:pStyle w:val="Index1"/>
        <w:tabs>
          <w:tab w:val="right" w:leader="dot" w:pos="3481"/>
        </w:tabs>
        <w:rPr>
          <w:noProof/>
        </w:rPr>
      </w:pPr>
      <w:r>
        <w:rPr>
          <w:noProof/>
        </w:rPr>
        <w:t>Consumer price index, 13</w:t>
      </w:r>
    </w:p>
    <w:p w:rsidR="007E21C9" w:rsidRDefault="007E21C9">
      <w:pPr>
        <w:pStyle w:val="Index1"/>
        <w:tabs>
          <w:tab w:val="right" w:leader="dot" w:pos="3481"/>
        </w:tabs>
        <w:rPr>
          <w:noProof/>
        </w:rPr>
      </w:pPr>
      <w:r w:rsidRPr="00152C20">
        <w:rPr>
          <w:rFonts w:cs="Garamond"/>
          <w:noProof/>
          <w:color w:val="000000"/>
        </w:rPr>
        <w:t>Consumer sentiment</w:t>
      </w:r>
      <w:r>
        <w:rPr>
          <w:noProof/>
        </w:rPr>
        <w:t>, 4, 13, 82</w:t>
      </w:r>
    </w:p>
    <w:p w:rsidR="007E21C9" w:rsidRDefault="007E21C9">
      <w:pPr>
        <w:pStyle w:val="Index1"/>
        <w:tabs>
          <w:tab w:val="right" w:leader="dot" w:pos="3481"/>
        </w:tabs>
        <w:rPr>
          <w:noProof/>
        </w:rPr>
      </w:pPr>
      <w:r>
        <w:rPr>
          <w:noProof/>
        </w:rPr>
        <w:t>Consumer spending</w:t>
      </w:r>
    </w:p>
    <w:p w:rsidR="007E21C9" w:rsidRDefault="007E21C9">
      <w:pPr>
        <w:pStyle w:val="Index2"/>
        <w:tabs>
          <w:tab w:val="right" w:leader="dot" w:pos="3481"/>
        </w:tabs>
        <w:rPr>
          <w:noProof/>
        </w:rPr>
      </w:pPr>
      <w:r>
        <w:rPr>
          <w:noProof/>
        </w:rPr>
        <w:t>Household spending, 81</w:t>
      </w:r>
    </w:p>
    <w:p w:rsidR="007E21C9" w:rsidRDefault="007E21C9">
      <w:pPr>
        <w:pStyle w:val="Index1"/>
        <w:tabs>
          <w:tab w:val="right" w:leader="dot" w:pos="3481"/>
        </w:tabs>
        <w:rPr>
          <w:noProof/>
        </w:rPr>
      </w:pPr>
      <w:r>
        <w:rPr>
          <w:noProof/>
        </w:rPr>
        <w:t>Consumption, 29</w:t>
      </w:r>
    </w:p>
    <w:p w:rsidR="007E21C9" w:rsidRDefault="007E21C9">
      <w:pPr>
        <w:pStyle w:val="IndexHeading"/>
        <w:keepNext/>
        <w:tabs>
          <w:tab w:val="right" w:leader="dot" w:pos="3481"/>
        </w:tabs>
        <w:rPr>
          <w:rFonts w:eastAsiaTheme="minorEastAsia" w:cstheme="minorBidi"/>
          <w:b w:val="0"/>
          <w:bCs w:val="0"/>
          <w:noProof/>
        </w:rPr>
      </w:pPr>
      <w:r>
        <w:rPr>
          <w:noProof/>
        </w:rPr>
        <w:t>D</w:t>
      </w:r>
    </w:p>
    <w:p w:rsidR="007E21C9" w:rsidRDefault="007E21C9">
      <w:pPr>
        <w:pStyle w:val="Index1"/>
        <w:tabs>
          <w:tab w:val="right" w:leader="dot" w:pos="3481"/>
        </w:tabs>
        <w:rPr>
          <w:noProof/>
        </w:rPr>
      </w:pPr>
      <w:r>
        <w:rPr>
          <w:noProof/>
        </w:rPr>
        <w:t>Debt, 31–32, 32</w:t>
      </w:r>
    </w:p>
    <w:p w:rsidR="007E21C9" w:rsidRDefault="007E21C9">
      <w:pPr>
        <w:pStyle w:val="Index2"/>
        <w:tabs>
          <w:tab w:val="right" w:leader="dot" w:pos="3481"/>
        </w:tabs>
        <w:rPr>
          <w:noProof/>
        </w:rPr>
      </w:pPr>
      <w:r>
        <w:rPr>
          <w:noProof/>
        </w:rPr>
        <w:t>Net debt, 3, 44, 54, 57–58, 68–69</w:t>
      </w:r>
    </w:p>
    <w:p w:rsidR="007E21C9" w:rsidRDefault="007E21C9">
      <w:pPr>
        <w:pStyle w:val="Index1"/>
        <w:tabs>
          <w:tab w:val="right" w:leader="dot" w:pos="3481"/>
        </w:tabs>
        <w:rPr>
          <w:noProof/>
        </w:rPr>
      </w:pPr>
      <w:r>
        <w:rPr>
          <w:noProof/>
        </w:rPr>
        <w:t>Demographic change, 27</w:t>
      </w:r>
    </w:p>
    <w:p w:rsidR="007E21C9" w:rsidRDefault="007E21C9">
      <w:pPr>
        <w:pStyle w:val="Index1"/>
        <w:tabs>
          <w:tab w:val="right" w:leader="dot" w:pos="3481"/>
        </w:tabs>
        <w:rPr>
          <w:noProof/>
        </w:rPr>
      </w:pPr>
      <w:r>
        <w:rPr>
          <w:noProof/>
        </w:rPr>
        <w:t xml:space="preserve">Department of Business and Innovation. </w:t>
      </w:r>
      <w:r w:rsidRPr="00152C20">
        <w:rPr>
          <w:i/>
          <w:noProof/>
        </w:rPr>
        <w:t xml:space="preserve">See </w:t>
      </w:r>
      <w:r>
        <w:rPr>
          <w:noProof/>
        </w:rPr>
        <w:t>Department of State Development, Business and Innovation</w:t>
      </w:r>
    </w:p>
    <w:p w:rsidR="007E21C9" w:rsidRDefault="007E21C9">
      <w:pPr>
        <w:pStyle w:val="Index1"/>
        <w:tabs>
          <w:tab w:val="right" w:leader="dot" w:pos="3481"/>
        </w:tabs>
        <w:rPr>
          <w:noProof/>
        </w:rPr>
      </w:pPr>
      <w:r>
        <w:rPr>
          <w:noProof/>
        </w:rPr>
        <w:lastRenderedPageBreak/>
        <w:t>Department of Environment and Primary Industries, 54, 56</w:t>
      </w:r>
    </w:p>
    <w:p w:rsidR="007E21C9" w:rsidRDefault="007E21C9">
      <w:pPr>
        <w:pStyle w:val="Index1"/>
        <w:tabs>
          <w:tab w:val="right" w:leader="dot" w:pos="3481"/>
        </w:tabs>
        <w:rPr>
          <w:noProof/>
        </w:rPr>
      </w:pPr>
      <w:r>
        <w:rPr>
          <w:noProof/>
        </w:rPr>
        <w:t xml:space="preserve">Department of Planning and Community Development. </w:t>
      </w:r>
      <w:r w:rsidRPr="00152C20">
        <w:rPr>
          <w:i/>
          <w:noProof/>
        </w:rPr>
        <w:t>See</w:t>
      </w:r>
      <w:r>
        <w:rPr>
          <w:noProof/>
        </w:rPr>
        <w:t xml:space="preserve"> Department of Transport, Planning and Local Infrastructure</w:t>
      </w:r>
    </w:p>
    <w:p w:rsidR="007E21C9" w:rsidRDefault="007E21C9">
      <w:pPr>
        <w:pStyle w:val="Index1"/>
        <w:tabs>
          <w:tab w:val="right" w:leader="dot" w:pos="3481"/>
        </w:tabs>
        <w:rPr>
          <w:noProof/>
        </w:rPr>
      </w:pPr>
      <w:r>
        <w:rPr>
          <w:noProof/>
        </w:rPr>
        <w:t xml:space="preserve">Department of Primary Industries. </w:t>
      </w:r>
      <w:r w:rsidRPr="00152C20">
        <w:rPr>
          <w:i/>
          <w:noProof/>
        </w:rPr>
        <w:t>See</w:t>
      </w:r>
      <w:r>
        <w:rPr>
          <w:noProof/>
        </w:rPr>
        <w:t xml:space="preserve"> Department of Environment and Primary Industries</w:t>
      </w:r>
    </w:p>
    <w:p w:rsidR="007E21C9" w:rsidRDefault="007E21C9">
      <w:pPr>
        <w:pStyle w:val="Index1"/>
        <w:tabs>
          <w:tab w:val="right" w:leader="dot" w:pos="3481"/>
        </w:tabs>
        <w:rPr>
          <w:noProof/>
        </w:rPr>
      </w:pPr>
      <w:r>
        <w:rPr>
          <w:noProof/>
        </w:rPr>
        <w:t>Department of State Development, Business and Innovation, 5, 35, 42, 54, 56</w:t>
      </w:r>
    </w:p>
    <w:p w:rsidR="007E21C9" w:rsidRDefault="007E21C9">
      <w:pPr>
        <w:pStyle w:val="Index1"/>
        <w:tabs>
          <w:tab w:val="right" w:leader="dot" w:pos="3481"/>
        </w:tabs>
        <w:rPr>
          <w:noProof/>
        </w:rPr>
      </w:pPr>
      <w:r>
        <w:rPr>
          <w:noProof/>
        </w:rPr>
        <w:t xml:space="preserve">Department of Sustainability and Environment. </w:t>
      </w:r>
      <w:r w:rsidRPr="00152C20">
        <w:rPr>
          <w:i/>
          <w:noProof/>
        </w:rPr>
        <w:t>See</w:t>
      </w:r>
      <w:r>
        <w:rPr>
          <w:noProof/>
        </w:rPr>
        <w:t xml:space="preserve"> Department of Environment and Primary Industries</w:t>
      </w:r>
    </w:p>
    <w:p w:rsidR="007E21C9" w:rsidRDefault="007E21C9">
      <w:pPr>
        <w:pStyle w:val="Index1"/>
        <w:tabs>
          <w:tab w:val="right" w:leader="dot" w:pos="3481"/>
        </w:tabs>
        <w:rPr>
          <w:noProof/>
        </w:rPr>
      </w:pPr>
      <w:r>
        <w:rPr>
          <w:noProof/>
        </w:rPr>
        <w:t xml:space="preserve">Department of Transport. </w:t>
      </w:r>
      <w:r w:rsidRPr="00152C20">
        <w:rPr>
          <w:i/>
          <w:noProof/>
        </w:rPr>
        <w:t>See</w:t>
      </w:r>
      <w:r>
        <w:rPr>
          <w:noProof/>
        </w:rPr>
        <w:t xml:space="preserve"> Department of Transport, Planning and Local Infrastructure</w:t>
      </w:r>
    </w:p>
    <w:p w:rsidR="007E21C9" w:rsidRDefault="007E21C9">
      <w:pPr>
        <w:pStyle w:val="Index1"/>
        <w:tabs>
          <w:tab w:val="right" w:leader="dot" w:pos="3481"/>
        </w:tabs>
        <w:rPr>
          <w:noProof/>
        </w:rPr>
      </w:pPr>
      <w:r>
        <w:rPr>
          <w:noProof/>
        </w:rPr>
        <w:t>Department of Transport, Planning and Local Infrastructure, 54, 56</w:t>
      </w:r>
    </w:p>
    <w:p w:rsidR="007E21C9" w:rsidRDefault="007E21C9">
      <w:pPr>
        <w:pStyle w:val="Index1"/>
        <w:tabs>
          <w:tab w:val="right" w:leader="dot" w:pos="3481"/>
        </w:tabs>
        <w:rPr>
          <w:noProof/>
        </w:rPr>
      </w:pPr>
      <w:r>
        <w:rPr>
          <w:noProof/>
        </w:rPr>
        <w:t>Dividends, 47, 51</w:t>
      </w:r>
    </w:p>
    <w:p w:rsidR="007E21C9" w:rsidRDefault="007E21C9">
      <w:pPr>
        <w:pStyle w:val="Index2"/>
        <w:tabs>
          <w:tab w:val="right" w:leader="dot" w:pos="3481"/>
        </w:tabs>
        <w:rPr>
          <w:noProof/>
        </w:rPr>
      </w:pPr>
      <w:r>
        <w:rPr>
          <w:noProof/>
        </w:rPr>
        <w:t>ITEs and interest, 79</w:t>
      </w:r>
    </w:p>
    <w:p w:rsidR="007E21C9" w:rsidRDefault="007E21C9">
      <w:pPr>
        <w:pStyle w:val="Index1"/>
        <w:tabs>
          <w:tab w:val="right" w:leader="dot" w:pos="3481"/>
        </w:tabs>
        <w:rPr>
          <w:noProof/>
        </w:rPr>
      </w:pPr>
      <w:r>
        <w:rPr>
          <w:noProof/>
        </w:rPr>
        <w:t>Dwelling investment, 11, 13</w:t>
      </w:r>
    </w:p>
    <w:p w:rsidR="007E21C9" w:rsidRDefault="007E21C9">
      <w:pPr>
        <w:pStyle w:val="IndexHeading"/>
        <w:keepNext/>
        <w:tabs>
          <w:tab w:val="right" w:leader="dot" w:pos="3481"/>
        </w:tabs>
        <w:rPr>
          <w:rFonts w:eastAsiaTheme="minorEastAsia" w:cstheme="minorBidi"/>
          <w:b w:val="0"/>
          <w:bCs w:val="0"/>
          <w:noProof/>
        </w:rPr>
      </w:pPr>
      <w:r>
        <w:rPr>
          <w:noProof/>
        </w:rPr>
        <w:t>E</w:t>
      </w:r>
    </w:p>
    <w:p w:rsidR="007E21C9" w:rsidRDefault="007E21C9">
      <w:pPr>
        <w:pStyle w:val="Index1"/>
        <w:tabs>
          <w:tab w:val="right" w:leader="dot" w:pos="3481"/>
        </w:tabs>
        <w:rPr>
          <w:noProof/>
        </w:rPr>
      </w:pPr>
      <w:r>
        <w:rPr>
          <w:noProof/>
        </w:rPr>
        <w:t xml:space="preserve">Early childhood. </w:t>
      </w:r>
      <w:r w:rsidRPr="00152C20">
        <w:rPr>
          <w:i/>
          <w:noProof/>
        </w:rPr>
        <w:t xml:space="preserve">See </w:t>
      </w:r>
      <w:r>
        <w:rPr>
          <w:noProof/>
        </w:rPr>
        <w:t>Education</w:t>
      </w:r>
    </w:p>
    <w:p w:rsidR="007E21C9" w:rsidRDefault="007E21C9">
      <w:pPr>
        <w:pStyle w:val="Index1"/>
        <w:tabs>
          <w:tab w:val="right" w:leader="dot" w:pos="3481"/>
        </w:tabs>
        <w:rPr>
          <w:noProof/>
        </w:rPr>
      </w:pPr>
      <w:r>
        <w:rPr>
          <w:noProof/>
        </w:rPr>
        <w:t>East West Link, 1, 34, 44, 56</w:t>
      </w:r>
    </w:p>
    <w:p w:rsidR="007E21C9" w:rsidRDefault="007E21C9">
      <w:pPr>
        <w:pStyle w:val="Index1"/>
        <w:tabs>
          <w:tab w:val="right" w:leader="dot" w:pos="3481"/>
        </w:tabs>
        <w:rPr>
          <w:noProof/>
        </w:rPr>
      </w:pPr>
      <w:r>
        <w:rPr>
          <w:noProof/>
        </w:rPr>
        <w:t>Economic conditions, 12</w:t>
      </w:r>
    </w:p>
    <w:p w:rsidR="007E21C9" w:rsidRDefault="007E21C9">
      <w:pPr>
        <w:pStyle w:val="Index2"/>
        <w:tabs>
          <w:tab w:val="right" w:leader="dot" w:pos="3481"/>
        </w:tabs>
        <w:rPr>
          <w:noProof/>
        </w:rPr>
      </w:pPr>
      <w:r>
        <w:rPr>
          <w:noProof/>
        </w:rPr>
        <w:t>Australia, 21</w:t>
      </w:r>
    </w:p>
    <w:p w:rsidR="007E21C9" w:rsidRDefault="007E21C9">
      <w:pPr>
        <w:pStyle w:val="Index2"/>
        <w:tabs>
          <w:tab w:val="right" w:leader="dot" w:pos="3481"/>
        </w:tabs>
        <w:rPr>
          <w:noProof/>
        </w:rPr>
      </w:pPr>
      <w:r>
        <w:rPr>
          <w:noProof/>
        </w:rPr>
        <w:t>Global, 1, 2</w:t>
      </w:r>
    </w:p>
    <w:p w:rsidR="007E21C9" w:rsidRDefault="007E21C9">
      <w:pPr>
        <w:pStyle w:val="Index2"/>
        <w:tabs>
          <w:tab w:val="right" w:leader="dot" w:pos="3481"/>
        </w:tabs>
        <w:rPr>
          <w:noProof/>
        </w:rPr>
      </w:pPr>
      <w:r>
        <w:rPr>
          <w:noProof/>
        </w:rPr>
        <w:t>Victoria, 11–17</w:t>
      </w:r>
    </w:p>
    <w:p w:rsidR="007E21C9" w:rsidRDefault="007E21C9">
      <w:pPr>
        <w:pStyle w:val="Index1"/>
        <w:tabs>
          <w:tab w:val="right" w:leader="dot" w:pos="3481"/>
        </w:tabs>
        <w:rPr>
          <w:noProof/>
        </w:rPr>
      </w:pPr>
      <w:r>
        <w:rPr>
          <w:noProof/>
        </w:rPr>
        <w:t xml:space="preserve">Economic downturn. </w:t>
      </w:r>
      <w:r w:rsidRPr="00152C20">
        <w:rPr>
          <w:i/>
          <w:noProof/>
        </w:rPr>
        <w:t xml:space="preserve">See also </w:t>
      </w:r>
      <w:r>
        <w:rPr>
          <w:noProof/>
        </w:rPr>
        <w:t>Global financial crisis</w:t>
      </w:r>
    </w:p>
    <w:p w:rsidR="007E21C9" w:rsidRDefault="007E21C9">
      <w:pPr>
        <w:pStyle w:val="Index1"/>
        <w:tabs>
          <w:tab w:val="right" w:leader="dot" w:pos="3481"/>
        </w:tabs>
        <w:rPr>
          <w:noProof/>
        </w:rPr>
      </w:pPr>
      <w:r>
        <w:rPr>
          <w:noProof/>
        </w:rPr>
        <w:t>Economic growth, 1–4, 6, 11, 19, 22, 23, 27, 28, 34, 39</w:t>
      </w:r>
    </w:p>
    <w:p w:rsidR="007E21C9" w:rsidRDefault="007E21C9">
      <w:pPr>
        <w:pStyle w:val="Index2"/>
        <w:tabs>
          <w:tab w:val="right" w:leader="dot" w:pos="3481"/>
        </w:tabs>
        <w:rPr>
          <w:noProof/>
        </w:rPr>
      </w:pPr>
      <w:r>
        <w:rPr>
          <w:noProof/>
        </w:rPr>
        <w:t>Australia, 27</w:t>
      </w:r>
    </w:p>
    <w:p w:rsidR="007E21C9" w:rsidRDefault="007E21C9">
      <w:pPr>
        <w:pStyle w:val="Index2"/>
        <w:tabs>
          <w:tab w:val="right" w:leader="dot" w:pos="3481"/>
        </w:tabs>
        <w:rPr>
          <w:noProof/>
        </w:rPr>
      </w:pPr>
      <w:r>
        <w:rPr>
          <w:noProof/>
        </w:rPr>
        <w:t>Gross state product, 11, 12, 13, 21, 80, 81</w:t>
      </w:r>
    </w:p>
    <w:p w:rsidR="007E21C9" w:rsidRDefault="007E21C9">
      <w:pPr>
        <w:pStyle w:val="Index2"/>
        <w:tabs>
          <w:tab w:val="right" w:leader="dot" w:pos="3481"/>
        </w:tabs>
        <w:rPr>
          <w:noProof/>
        </w:rPr>
      </w:pPr>
      <w:r>
        <w:rPr>
          <w:noProof/>
        </w:rPr>
        <w:t>Victoria, 25, 26</w:t>
      </w:r>
    </w:p>
    <w:p w:rsidR="007E21C9" w:rsidRDefault="007E21C9">
      <w:pPr>
        <w:pStyle w:val="Index1"/>
        <w:tabs>
          <w:tab w:val="right" w:leader="dot" w:pos="3481"/>
        </w:tabs>
        <w:rPr>
          <w:noProof/>
        </w:rPr>
      </w:pPr>
      <w:r>
        <w:rPr>
          <w:noProof/>
        </w:rPr>
        <w:t>Economic outlook, 25, 26</w:t>
      </w:r>
    </w:p>
    <w:p w:rsidR="007E21C9" w:rsidRDefault="007E21C9">
      <w:pPr>
        <w:pStyle w:val="Index1"/>
        <w:tabs>
          <w:tab w:val="right" w:leader="dot" w:pos="3481"/>
        </w:tabs>
        <w:rPr>
          <w:noProof/>
        </w:rPr>
      </w:pPr>
      <w:r>
        <w:rPr>
          <w:noProof/>
        </w:rPr>
        <w:t>Economic projections, 13–17</w:t>
      </w:r>
    </w:p>
    <w:p w:rsidR="007E21C9" w:rsidRDefault="007E21C9">
      <w:pPr>
        <w:pStyle w:val="Index1"/>
        <w:tabs>
          <w:tab w:val="right" w:leader="dot" w:pos="3481"/>
        </w:tabs>
        <w:rPr>
          <w:noProof/>
        </w:rPr>
      </w:pPr>
      <w:r>
        <w:rPr>
          <w:noProof/>
        </w:rPr>
        <w:t>Education, 15</w:t>
      </w:r>
    </w:p>
    <w:p w:rsidR="007E21C9" w:rsidRDefault="007E21C9">
      <w:pPr>
        <w:pStyle w:val="Index2"/>
        <w:tabs>
          <w:tab w:val="right" w:leader="dot" w:pos="3481"/>
        </w:tabs>
        <w:rPr>
          <w:noProof/>
        </w:rPr>
      </w:pPr>
      <w:r>
        <w:rPr>
          <w:noProof/>
        </w:rPr>
        <w:t>Reforms, 36–39</w:t>
      </w:r>
    </w:p>
    <w:p w:rsidR="007E21C9" w:rsidRDefault="007E21C9">
      <w:pPr>
        <w:pStyle w:val="Index2"/>
        <w:tabs>
          <w:tab w:val="right" w:leader="dot" w:pos="3481"/>
        </w:tabs>
        <w:rPr>
          <w:noProof/>
        </w:rPr>
      </w:pPr>
      <w:r>
        <w:rPr>
          <w:noProof/>
        </w:rPr>
        <w:t>Schools and Early Childhood, 36–37</w:t>
      </w:r>
    </w:p>
    <w:p w:rsidR="007E21C9" w:rsidRDefault="007E21C9">
      <w:pPr>
        <w:spacing w:after="0"/>
        <w:rPr>
          <w:rFonts w:asciiTheme="minorHAnsi" w:hAnsiTheme="minorHAnsi" w:cstheme="minorHAnsi"/>
          <w:noProof/>
          <w:sz w:val="18"/>
          <w:szCs w:val="18"/>
        </w:rPr>
      </w:pPr>
      <w:r>
        <w:rPr>
          <w:noProof/>
        </w:rPr>
        <w:br w:type="page"/>
      </w:r>
    </w:p>
    <w:p w:rsidR="007E21C9" w:rsidRDefault="007E21C9">
      <w:pPr>
        <w:pStyle w:val="Index1"/>
        <w:tabs>
          <w:tab w:val="right" w:leader="dot" w:pos="3481"/>
        </w:tabs>
        <w:rPr>
          <w:noProof/>
        </w:rPr>
      </w:pPr>
      <w:r>
        <w:rPr>
          <w:noProof/>
        </w:rPr>
        <w:lastRenderedPageBreak/>
        <w:t>Elective surgery, 2, 6</w:t>
      </w:r>
    </w:p>
    <w:p w:rsidR="007E21C9" w:rsidRDefault="007E21C9">
      <w:pPr>
        <w:pStyle w:val="Index1"/>
        <w:tabs>
          <w:tab w:val="right" w:leader="dot" w:pos="3481"/>
        </w:tabs>
        <w:rPr>
          <w:noProof/>
        </w:rPr>
      </w:pPr>
      <w:r>
        <w:rPr>
          <w:noProof/>
        </w:rPr>
        <w:t>Employment, 1, 2, 12, 13, 32, 39, 41, 42, 80, 81</w:t>
      </w:r>
    </w:p>
    <w:p w:rsidR="007E21C9" w:rsidRDefault="007E21C9">
      <w:pPr>
        <w:pStyle w:val="Index1"/>
        <w:tabs>
          <w:tab w:val="right" w:leader="dot" w:pos="3481"/>
        </w:tabs>
        <w:rPr>
          <w:noProof/>
        </w:rPr>
      </w:pPr>
      <w:r>
        <w:rPr>
          <w:noProof/>
        </w:rPr>
        <w:t>Euro zone, 11, 23</w:t>
      </w:r>
    </w:p>
    <w:p w:rsidR="007E21C9" w:rsidRDefault="007E21C9">
      <w:pPr>
        <w:pStyle w:val="Index1"/>
        <w:tabs>
          <w:tab w:val="right" w:leader="dot" w:pos="3481"/>
        </w:tabs>
        <w:rPr>
          <w:noProof/>
        </w:rPr>
      </w:pPr>
      <w:r>
        <w:rPr>
          <w:noProof/>
        </w:rPr>
        <w:t>Europe, 11, 23</w:t>
      </w:r>
    </w:p>
    <w:p w:rsidR="007E21C9" w:rsidRDefault="007E21C9">
      <w:pPr>
        <w:pStyle w:val="Index1"/>
        <w:tabs>
          <w:tab w:val="right" w:leader="dot" w:pos="3481"/>
        </w:tabs>
        <w:rPr>
          <w:noProof/>
        </w:rPr>
      </w:pPr>
      <w:r>
        <w:rPr>
          <w:noProof/>
        </w:rPr>
        <w:t>Expenses, 47–48</w:t>
      </w:r>
    </w:p>
    <w:p w:rsidR="007E21C9" w:rsidRDefault="007E21C9">
      <w:pPr>
        <w:pStyle w:val="Index1"/>
        <w:tabs>
          <w:tab w:val="right" w:leader="dot" w:pos="3481"/>
        </w:tabs>
        <w:rPr>
          <w:noProof/>
        </w:rPr>
      </w:pPr>
      <w:r>
        <w:rPr>
          <w:noProof/>
        </w:rPr>
        <w:t>Exports, 1, 15, 23</w:t>
      </w:r>
    </w:p>
    <w:p w:rsidR="007E21C9" w:rsidRDefault="007E21C9">
      <w:pPr>
        <w:pStyle w:val="IndexHeading"/>
        <w:keepNext/>
        <w:tabs>
          <w:tab w:val="right" w:leader="dot" w:pos="3481"/>
        </w:tabs>
        <w:rPr>
          <w:rFonts w:eastAsiaTheme="minorEastAsia" w:cstheme="minorBidi"/>
          <w:b w:val="0"/>
          <w:bCs w:val="0"/>
          <w:noProof/>
        </w:rPr>
      </w:pPr>
      <w:r>
        <w:rPr>
          <w:noProof/>
        </w:rPr>
        <w:t>F</w:t>
      </w:r>
    </w:p>
    <w:p w:rsidR="007E21C9" w:rsidRDefault="007E21C9">
      <w:pPr>
        <w:pStyle w:val="Index1"/>
        <w:tabs>
          <w:tab w:val="right" w:leader="dot" w:pos="3481"/>
        </w:tabs>
        <w:rPr>
          <w:noProof/>
        </w:rPr>
      </w:pPr>
      <w:r>
        <w:rPr>
          <w:noProof/>
        </w:rPr>
        <w:t>Fair Work Act Review, 41</w:t>
      </w:r>
    </w:p>
    <w:p w:rsidR="007E21C9" w:rsidRDefault="007E21C9">
      <w:pPr>
        <w:pStyle w:val="Index1"/>
        <w:tabs>
          <w:tab w:val="right" w:leader="dot" w:pos="3481"/>
        </w:tabs>
        <w:rPr>
          <w:noProof/>
        </w:rPr>
      </w:pPr>
      <w:r>
        <w:rPr>
          <w:noProof/>
        </w:rPr>
        <w:t>Financial management principles, 7</w:t>
      </w:r>
    </w:p>
    <w:p w:rsidR="007E21C9" w:rsidRDefault="007E21C9">
      <w:pPr>
        <w:pStyle w:val="Index1"/>
        <w:tabs>
          <w:tab w:val="right" w:leader="dot" w:pos="3481"/>
        </w:tabs>
        <w:rPr>
          <w:noProof/>
        </w:rPr>
      </w:pPr>
      <w:r>
        <w:rPr>
          <w:noProof/>
        </w:rPr>
        <w:t>Financial objectives and strategies, 6, 8</w:t>
      </w:r>
    </w:p>
    <w:p w:rsidR="007E21C9" w:rsidRDefault="007E21C9">
      <w:pPr>
        <w:pStyle w:val="Index1"/>
        <w:tabs>
          <w:tab w:val="right" w:leader="dot" w:pos="3481"/>
        </w:tabs>
        <w:rPr>
          <w:noProof/>
        </w:rPr>
      </w:pPr>
      <w:r>
        <w:rPr>
          <w:noProof/>
        </w:rPr>
        <w:t>Fire services levy, 3, 41</w:t>
      </w:r>
    </w:p>
    <w:p w:rsidR="007E21C9" w:rsidRDefault="007E21C9">
      <w:pPr>
        <w:pStyle w:val="Index1"/>
        <w:tabs>
          <w:tab w:val="right" w:leader="dot" w:pos="3481"/>
        </w:tabs>
        <w:rPr>
          <w:noProof/>
        </w:rPr>
      </w:pPr>
      <w:r>
        <w:rPr>
          <w:noProof/>
        </w:rPr>
        <w:t>First Home Owner Grant, 3, 5</w:t>
      </w:r>
    </w:p>
    <w:p w:rsidR="007E21C9" w:rsidRDefault="007E21C9">
      <w:pPr>
        <w:pStyle w:val="Index1"/>
        <w:tabs>
          <w:tab w:val="right" w:leader="dot" w:pos="3481"/>
        </w:tabs>
        <w:rPr>
          <w:noProof/>
        </w:rPr>
      </w:pPr>
      <w:r>
        <w:rPr>
          <w:noProof/>
        </w:rPr>
        <w:t>Fiscal stimulus, 32, 82</w:t>
      </w:r>
    </w:p>
    <w:p w:rsidR="007E21C9" w:rsidRDefault="007E21C9">
      <w:pPr>
        <w:pStyle w:val="IndexHeading"/>
        <w:keepNext/>
        <w:tabs>
          <w:tab w:val="right" w:leader="dot" w:pos="3481"/>
        </w:tabs>
        <w:rPr>
          <w:rFonts w:eastAsiaTheme="minorEastAsia" w:cstheme="minorBidi"/>
          <w:b w:val="0"/>
          <w:bCs w:val="0"/>
          <w:noProof/>
        </w:rPr>
      </w:pPr>
      <w:r>
        <w:rPr>
          <w:noProof/>
        </w:rPr>
        <w:t>G</w:t>
      </w:r>
    </w:p>
    <w:p w:rsidR="007E21C9" w:rsidRDefault="007E21C9">
      <w:pPr>
        <w:pStyle w:val="Index1"/>
        <w:tabs>
          <w:tab w:val="right" w:leader="dot" w:pos="3481"/>
        </w:tabs>
        <w:rPr>
          <w:noProof/>
        </w:rPr>
      </w:pPr>
      <w:r>
        <w:rPr>
          <w:noProof/>
        </w:rPr>
        <w:t xml:space="preserve">General government net debt </w:t>
      </w:r>
      <w:r w:rsidRPr="00152C20">
        <w:rPr>
          <w:i/>
          <w:noProof/>
        </w:rPr>
        <w:t xml:space="preserve">See </w:t>
      </w:r>
      <w:r>
        <w:rPr>
          <w:noProof/>
        </w:rPr>
        <w:t>Debt</w:t>
      </w:r>
    </w:p>
    <w:p w:rsidR="007E21C9" w:rsidRDefault="007E21C9">
      <w:pPr>
        <w:pStyle w:val="Index1"/>
        <w:tabs>
          <w:tab w:val="right" w:leader="dot" w:pos="3481"/>
        </w:tabs>
        <w:rPr>
          <w:noProof/>
        </w:rPr>
      </w:pPr>
      <w:r>
        <w:rPr>
          <w:noProof/>
        </w:rPr>
        <w:t>Global financial crisis, 12, 14, 25, 26, 29, 32, 81–82</w:t>
      </w:r>
    </w:p>
    <w:p w:rsidR="007E21C9" w:rsidRDefault="007E21C9">
      <w:pPr>
        <w:pStyle w:val="Index1"/>
        <w:tabs>
          <w:tab w:val="right" w:leader="dot" w:pos="3481"/>
        </w:tabs>
        <w:rPr>
          <w:noProof/>
        </w:rPr>
      </w:pPr>
      <w:r>
        <w:rPr>
          <w:noProof/>
        </w:rPr>
        <w:t>Goods and services tax, 1, 4, 27–30, 41, 44, 46, 51, 77, 82</w:t>
      </w:r>
    </w:p>
    <w:p w:rsidR="007E21C9" w:rsidRDefault="007E21C9">
      <w:pPr>
        <w:pStyle w:val="Index1"/>
        <w:tabs>
          <w:tab w:val="right" w:leader="dot" w:pos="3481"/>
        </w:tabs>
        <w:rPr>
          <w:noProof/>
        </w:rPr>
      </w:pPr>
      <w:r>
        <w:rPr>
          <w:noProof/>
        </w:rPr>
        <w:t>Government fiscal result, 44</w:t>
      </w:r>
    </w:p>
    <w:p w:rsidR="007E21C9" w:rsidRDefault="007E21C9">
      <w:pPr>
        <w:pStyle w:val="Index1"/>
        <w:tabs>
          <w:tab w:val="right" w:leader="dot" w:pos="3481"/>
        </w:tabs>
        <w:rPr>
          <w:noProof/>
        </w:rPr>
      </w:pPr>
      <w:r>
        <w:rPr>
          <w:noProof/>
        </w:rPr>
        <w:t>Grants</w:t>
      </w:r>
    </w:p>
    <w:p w:rsidR="007E21C9" w:rsidRDefault="007E21C9">
      <w:pPr>
        <w:pStyle w:val="Index2"/>
        <w:tabs>
          <w:tab w:val="right" w:leader="dot" w:pos="3481"/>
        </w:tabs>
        <w:rPr>
          <w:noProof/>
        </w:rPr>
      </w:pPr>
      <w:r>
        <w:rPr>
          <w:noProof/>
        </w:rPr>
        <w:t>Commonwealth, 4, 28, 30, 47, 51, 52, 80</w:t>
      </w:r>
    </w:p>
    <w:p w:rsidR="007E21C9" w:rsidRDefault="007E21C9">
      <w:pPr>
        <w:pStyle w:val="Index2"/>
        <w:tabs>
          <w:tab w:val="right" w:leader="dot" w:pos="3481"/>
        </w:tabs>
        <w:rPr>
          <w:noProof/>
        </w:rPr>
      </w:pPr>
      <w:r>
        <w:rPr>
          <w:noProof/>
        </w:rPr>
        <w:t>Expenses, 77</w:t>
      </w:r>
    </w:p>
    <w:p w:rsidR="007E21C9" w:rsidRDefault="007E21C9">
      <w:pPr>
        <w:pStyle w:val="Index1"/>
        <w:tabs>
          <w:tab w:val="right" w:leader="dot" w:pos="3481"/>
        </w:tabs>
        <w:rPr>
          <w:noProof/>
        </w:rPr>
      </w:pPr>
      <w:r>
        <w:rPr>
          <w:noProof/>
        </w:rPr>
        <w:t>Gross domestic product</w:t>
      </w:r>
    </w:p>
    <w:p w:rsidR="007E21C9" w:rsidRDefault="007E21C9">
      <w:pPr>
        <w:pStyle w:val="Index2"/>
        <w:tabs>
          <w:tab w:val="right" w:leader="dot" w:pos="3481"/>
        </w:tabs>
        <w:rPr>
          <w:noProof/>
        </w:rPr>
      </w:pPr>
      <w:r>
        <w:rPr>
          <w:noProof/>
        </w:rPr>
        <w:t>Growth, 28</w:t>
      </w:r>
    </w:p>
    <w:p w:rsidR="007E21C9" w:rsidRDefault="007E21C9">
      <w:pPr>
        <w:pStyle w:val="Index1"/>
        <w:tabs>
          <w:tab w:val="right" w:leader="dot" w:pos="3481"/>
        </w:tabs>
        <w:rPr>
          <w:noProof/>
        </w:rPr>
      </w:pPr>
      <w:r>
        <w:rPr>
          <w:noProof/>
        </w:rPr>
        <w:t xml:space="preserve">Gross state product, 6, 8, 26, 27–28, 31, 32, </w:t>
      </w:r>
      <w:r w:rsidRPr="00152C20">
        <w:rPr>
          <w:i/>
          <w:noProof/>
        </w:rPr>
        <w:t xml:space="preserve">See also </w:t>
      </w:r>
      <w:r>
        <w:rPr>
          <w:noProof/>
        </w:rPr>
        <w:t>Economic growth</w:t>
      </w:r>
    </w:p>
    <w:p w:rsidR="007E21C9" w:rsidRDefault="007E21C9">
      <w:pPr>
        <w:pStyle w:val="Index2"/>
        <w:tabs>
          <w:tab w:val="right" w:leader="dot" w:pos="3481"/>
        </w:tabs>
        <w:rPr>
          <w:noProof/>
        </w:rPr>
      </w:pPr>
      <w:r>
        <w:rPr>
          <w:noProof/>
        </w:rPr>
        <w:t>Growth, 27</w:t>
      </w:r>
    </w:p>
    <w:p w:rsidR="007E21C9" w:rsidRDefault="007E21C9">
      <w:pPr>
        <w:pStyle w:val="IndexHeading"/>
        <w:keepNext/>
        <w:tabs>
          <w:tab w:val="right" w:leader="dot" w:pos="3481"/>
        </w:tabs>
        <w:rPr>
          <w:rFonts w:eastAsiaTheme="minorEastAsia" w:cstheme="minorBidi"/>
          <w:b w:val="0"/>
          <w:bCs w:val="0"/>
          <w:noProof/>
        </w:rPr>
      </w:pPr>
      <w:r>
        <w:rPr>
          <w:noProof/>
        </w:rPr>
        <w:t>H</w:t>
      </w:r>
    </w:p>
    <w:p w:rsidR="007E21C9" w:rsidRDefault="007E21C9">
      <w:pPr>
        <w:pStyle w:val="Index1"/>
        <w:tabs>
          <w:tab w:val="right" w:leader="dot" w:pos="3481"/>
        </w:tabs>
        <w:rPr>
          <w:noProof/>
        </w:rPr>
      </w:pPr>
      <w:r>
        <w:rPr>
          <w:noProof/>
        </w:rPr>
        <w:t>Health</w:t>
      </w:r>
    </w:p>
    <w:p w:rsidR="007E21C9" w:rsidRDefault="007E21C9">
      <w:pPr>
        <w:pStyle w:val="Index2"/>
        <w:tabs>
          <w:tab w:val="right" w:leader="dot" w:pos="3481"/>
        </w:tabs>
        <w:rPr>
          <w:noProof/>
        </w:rPr>
      </w:pPr>
      <w:r>
        <w:rPr>
          <w:noProof/>
        </w:rPr>
        <w:t>Bendigo Hospital, 1</w:t>
      </w:r>
    </w:p>
    <w:p w:rsidR="007E21C9" w:rsidRDefault="007E21C9">
      <w:pPr>
        <w:pStyle w:val="Index2"/>
        <w:tabs>
          <w:tab w:val="right" w:leader="dot" w:pos="3481"/>
        </w:tabs>
        <w:rPr>
          <w:noProof/>
        </w:rPr>
      </w:pPr>
      <w:r>
        <w:rPr>
          <w:noProof/>
        </w:rPr>
        <w:t>Box Hill Hospital, 1, 35</w:t>
      </w:r>
    </w:p>
    <w:p w:rsidR="007E21C9" w:rsidRDefault="007E21C9">
      <w:pPr>
        <w:pStyle w:val="Index2"/>
        <w:tabs>
          <w:tab w:val="right" w:leader="dot" w:pos="3481"/>
        </w:tabs>
        <w:rPr>
          <w:noProof/>
        </w:rPr>
      </w:pPr>
      <w:r>
        <w:rPr>
          <w:noProof/>
        </w:rPr>
        <w:t>Hospitals, 30</w:t>
      </w:r>
    </w:p>
    <w:p w:rsidR="007E21C9" w:rsidRDefault="007E21C9">
      <w:pPr>
        <w:pStyle w:val="Index2"/>
        <w:tabs>
          <w:tab w:val="right" w:leader="dot" w:pos="3481"/>
        </w:tabs>
        <w:rPr>
          <w:noProof/>
        </w:rPr>
      </w:pPr>
      <w:r>
        <w:rPr>
          <w:noProof/>
        </w:rPr>
        <w:t>Monash Children’s Hospital, 1, 34</w:t>
      </w:r>
    </w:p>
    <w:p w:rsidR="007E21C9" w:rsidRDefault="007E21C9">
      <w:pPr>
        <w:pStyle w:val="Index2"/>
        <w:tabs>
          <w:tab w:val="right" w:leader="dot" w:pos="3481"/>
        </w:tabs>
        <w:rPr>
          <w:noProof/>
        </w:rPr>
      </w:pPr>
      <w:r>
        <w:rPr>
          <w:noProof/>
        </w:rPr>
        <w:t>Royal Victorian Eye and Ear Hospital, 1, 34</w:t>
      </w:r>
    </w:p>
    <w:p w:rsidR="007E21C9" w:rsidRDefault="007E21C9">
      <w:pPr>
        <w:pStyle w:val="Index2"/>
        <w:tabs>
          <w:tab w:val="right" w:leader="dot" w:pos="3481"/>
        </w:tabs>
        <w:rPr>
          <w:noProof/>
        </w:rPr>
      </w:pPr>
      <w:r>
        <w:rPr>
          <w:noProof/>
        </w:rPr>
        <w:t>Services, 2, 6, 36</w:t>
      </w:r>
    </w:p>
    <w:p w:rsidR="007E21C9" w:rsidRDefault="007E21C9">
      <w:pPr>
        <w:pStyle w:val="Index2"/>
        <w:tabs>
          <w:tab w:val="right" w:leader="dot" w:pos="3481"/>
        </w:tabs>
        <w:rPr>
          <w:noProof/>
        </w:rPr>
      </w:pPr>
      <w:r>
        <w:rPr>
          <w:noProof/>
        </w:rPr>
        <w:t>Victorian Comprehensive Cancer Centre, 1</w:t>
      </w:r>
    </w:p>
    <w:p w:rsidR="007E21C9" w:rsidRDefault="007E21C9">
      <w:pPr>
        <w:pStyle w:val="Index2"/>
        <w:tabs>
          <w:tab w:val="right" w:leader="dot" w:pos="3481"/>
        </w:tabs>
        <w:rPr>
          <w:noProof/>
        </w:rPr>
      </w:pPr>
      <w:r>
        <w:rPr>
          <w:noProof/>
        </w:rPr>
        <w:t>Waurn Ponds Hospital, 1, 34</w:t>
      </w:r>
    </w:p>
    <w:p w:rsidR="007E21C9" w:rsidRDefault="007E21C9">
      <w:pPr>
        <w:pStyle w:val="Index2"/>
        <w:tabs>
          <w:tab w:val="right" w:leader="dot" w:pos="3481"/>
        </w:tabs>
        <w:rPr>
          <w:noProof/>
        </w:rPr>
      </w:pPr>
      <w:r>
        <w:rPr>
          <w:noProof/>
        </w:rPr>
        <w:t>Werribee Mercy Hospital, 34</w:t>
      </w:r>
    </w:p>
    <w:p w:rsidR="007E21C9" w:rsidRDefault="007E21C9">
      <w:pPr>
        <w:pStyle w:val="Index1"/>
        <w:tabs>
          <w:tab w:val="right" w:leader="dot" w:pos="3481"/>
        </w:tabs>
        <w:rPr>
          <w:noProof/>
        </w:rPr>
      </w:pPr>
      <w:r>
        <w:rPr>
          <w:noProof/>
        </w:rPr>
        <w:t>High-value high-risk, 2, 9, 34</w:t>
      </w:r>
    </w:p>
    <w:p w:rsidR="007E21C9" w:rsidRDefault="007E21C9">
      <w:pPr>
        <w:pStyle w:val="Index1"/>
        <w:tabs>
          <w:tab w:val="right" w:leader="dot" w:pos="3481"/>
        </w:tabs>
        <w:rPr>
          <w:noProof/>
        </w:rPr>
      </w:pPr>
      <w:r>
        <w:rPr>
          <w:noProof/>
        </w:rPr>
        <w:t>Household consumption, 26, 29</w:t>
      </w:r>
    </w:p>
    <w:p w:rsidR="007E21C9" w:rsidRDefault="007E21C9">
      <w:pPr>
        <w:pStyle w:val="Index1"/>
        <w:tabs>
          <w:tab w:val="right" w:leader="dot" w:pos="3481"/>
        </w:tabs>
        <w:rPr>
          <w:noProof/>
        </w:rPr>
      </w:pPr>
      <w:r>
        <w:rPr>
          <w:noProof/>
        </w:rPr>
        <w:t>Housing</w:t>
      </w:r>
    </w:p>
    <w:p w:rsidR="007E21C9" w:rsidRDefault="007E21C9">
      <w:pPr>
        <w:pStyle w:val="Index2"/>
        <w:tabs>
          <w:tab w:val="right" w:leader="dot" w:pos="3481"/>
        </w:tabs>
        <w:rPr>
          <w:noProof/>
        </w:rPr>
      </w:pPr>
      <w:r>
        <w:rPr>
          <w:noProof/>
        </w:rPr>
        <w:t>Finance commitments, 13</w:t>
      </w:r>
    </w:p>
    <w:p w:rsidR="007E21C9" w:rsidRDefault="007E21C9">
      <w:pPr>
        <w:pStyle w:val="Index2"/>
        <w:tabs>
          <w:tab w:val="right" w:leader="dot" w:pos="3481"/>
        </w:tabs>
        <w:rPr>
          <w:noProof/>
        </w:rPr>
      </w:pPr>
      <w:r>
        <w:rPr>
          <w:noProof/>
        </w:rPr>
        <w:t>House prices, 13</w:t>
      </w:r>
    </w:p>
    <w:p w:rsidR="007E21C9" w:rsidRDefault="007E21C9">
      <w:pPr>
        <w:pStyle w:val="Index1"/>
        <w:tabs>
          <w:tab w:val="right" w:leader="dot" w:pos="3481"/>
        </w:tabs>
        <w:rPr>
          <w:noProof/>
        </w:rPr>
      </w:pPr>
      <w:r>
        <w:rPr>
          <w:noProof/>
        </w:rPr>
        <w:t>Human capital reforms, 36–39</w:t>
      </w:r>
    </w:p>
    <w:p w:rsidR="007E21C9" w:rsidRDefault="007E21C9">
      <w:pPr>
        <w:pStyle w:val="IndexHeading"/>
        <w:keepNext/>
        <w:tabs>
          <w:tab w:val="right" w:leader="dot" w:pos="3481"/>
        </w:tabs>
        <w:rPr>
          <w:rFonts w:eastAsiaTheme="minorEastAsia" w:cstheme="minorBidi"/>
          <w:b w:val="0"/>
          <w:bCs w:val="0"/>
          <w:noProof/>
        </w:rPr>
      </w:pPr>
      <w:r>
        <w:rPr>
          <w:noProof/>
        </w:rPr>
        <w:lastRenderedPageBreak/>
        <w:t>I</w:t>
      </w:r>
    </w:p>
    <w:p w:rsidR="007E21C9" w:rsidRDefault="007E21C9">
      <w:pPr>
        <w:pStyle w:val="Index1"/>
        <w:tabs>
          <w:tab w:val="right" w:leader="dot" w:pos="3481"/>
        </w:tabs>
        <w:rPr>
          <w:noProof/>
        </w:rPr>
      </w:pPr>
      <w:r>
        <w:rPr>
          <w:noProof/>
        </w:rPr>
        <w:t>Income tax equivalents, 78, 79</w:t>
      </w:r>
    </w:p>
    <w:p w:rsidR="007E21C9" w:rsidRDefault="007E21C9">
      <w:pPr>
        <w:pStyle w:val="Index1"/>
        <w:tabs>
          <w:tab w:val="right" w:leader="dot" w:pos="3481"/>
        </w:tabs>
        <w:rPr>
          <w:noProof/>
        </w:rPr>
      </w:pPr>
      <w:r>
        <w:rPr>
          <w:noProof/>
        </w:rPr>
        <w:t>Industrial relations, 41</w:t>
      </w:r>
    </w:p>
    <w:p w:rsidR="007E21C9" w:rsidRDefault="007E21C9">
      <w:pPr>
        <w:pStyle w:val="Index1"/>
        <w:tabs>
          <w:tab w:val="right" w:leader="dot" w:pos="3481"/>
        </w:tabs>
        <w:rPr>
          <w:noProof/>
        </w:rPr>
      </w:pPr>
      <w:r>
        <w:rPr>
          <w:noProof/>
        </w:rPr>
        <w:t>Inflation, 11, 17, 23</w:t>
      </w:r>
    </w:p>
    <w:p w:rsidR="007E21C9" w:rsidRDefault="007E21C9">
      <w:pPr>
        <w:pStyle w:val="Index1"/>
        <w:tabs>
          <w:tab w:val="right" w:leader="dot" w:pos="3481"/>
        </w:tabs>
        <w:rPr>
          <w:noProof/>
        </w:rPr>
      </w:pPr>
      <w:r>
        <w:rPr>
          <w:noProof/>
        </w:rPr>
        <w:t>Infrastructure, 1, 5, 9, 25, 31, 32</w:t>
      </w:r>
    </w:p>
    <w:p w:rsidR="007E21C9" w:rsidRDefault="007E21C9">
      <w:pPr>
        <w:pStyle w:val="Index2"/>
        <w:tabs>
          <w:tab w:val="right" w:leader="dot" w:pos="3481"/>
        </w:tabs>
        <w:rPr>
          <w:noProof/>
        </w:rPr>
      </w:pPr>
      <w:r>
        <w:rPr>
          <w:noProof/>
        </w:rPr>
        <w:t>Investment, 1, 8, 34</w:t>
      </w:r>
    </w:p>
    <w:p w:rsidR="007E21C9" w:rsidRDefault="007E21C9">
      <w:pPr>
        <w:pStyle w:val="Index1"/>
        <w:tabs>
          <w:tab w:val="right" w:leader="dot" w:pos="3481"/>
        </w:tabs>
        <w:rPr>
          <w:noProof/>
        </w:rPr>
      </w:pPr>
      <w:r w:rsidRPr="00152C20">
        <w:rPr>
          <w:rFonts w:cs="Garamond"/>
          <w:noProof/>
          <w:color w:val="000000"/>
        </w:rPr>
        <w:t>Insurance</w:t>
      </w:r>
      <w:r>
        <w:rPr>
          <w:noProof/>
        </w:rPr>
        <w:t>, 41</w:t>
      </w:r>
    </w:p>
    <w:p w:rsidR="007E21C9" w:rsidRDefault="007E21C9">
      <w:pPr>
        <w:pStyle w:val="Index1"/>
        <w:tabs>
          <w:tab w:val="right" w:leader="dot" w:pos="3481"/>
        </w:tabs>
        <w:rPr>
          <w:noProof/>
        </w:rPr>
      </w:pPr>
      <w:r>
        <w:rPr>
          <w:noProof/>
        </w:rPr>
        <w:t>Interest rate, 11</w:t>
      </w:r>
    </w:p>
    <w:p w:rsidR="007E21C9" w:rsidRDefault="007E21C9">
      <w:pPr>
        <w:pStyle w:val="Index2"/>
        <w:tabs>
          <w:tab w:val="right" w:leader="dot" w:pos="3481"/>
        </w:tabs>
        <w:rPr>
          <w:noProof/>
        </w:rPr>
      </w:pPr>
      <w:r>
        <w:rPr>
          <w:noProof/>
        </w:rPr>
        <w:t>Environment, 11, 13, 23</w:t>
      </w:r>
    </w:p>
    <w:p w:rsidR="007E21C9" w:rsidRDefault="007E21C9">
      <w:pPr>
        <w:pStyle w:val="Index1"/>
        <w:tabs>
          <w:tab w:val="right" w:leader="dot" w:pos="3481"/>
        </w:tabs>
        <w:rPr>
          <w:noProof/>
        </w:rPr>
      </w:pPr>
      <w:r>
        <w:rPr>
          <w:noProof/>
        </w:rPr>
        <w:t>International education strategy, 42</w:t>
      </w:r>
    </w:p>
    <w:p w:rsidR="007E21C9" w:rsidRDefault="007E21C9">
      <w:pPr>
        <w:pStyle w:val="Index1"/>
        <w:tabs>
          <w:tab w:val="right" w:leader="dot" w:pos="3481"/>
        </w:tabs>
        <w:rPr>
          <w:noProof/>
        </w:rPr>
      </w:pPr>
      <w:r>
        <w:rPr>
          <w:noProof/>
        </w:rPr>
        <w:t>International Monetary Fund, 22</w:t>
      </w:r>
    </w:p>
    <w:p w:rsidR="007E21C9" w:rsidRDefault="007E21C9">
      <w:pPr>
        <w:pStyle w:val="Index1"/>
        <w:tabs>
          <w:tab w:val="right" w:leader="dot" w:pos="3481"/>
        </w:tabs>
        <w:rPr>
          <w:noProof/>
        </w:rPr>
      </w:pPr>
      <w:r>
        <w:rPr>
          <w:noProof/>
        </w:rPr>
        <w:t>Investment, 51</w:t>
      </w:r>
    </w:p>
    <w:p w:rsidR="007E21C9" w:rsidRDefault="007E21C9">
      <w:pPr>
        <w:pStyle w:val="Index2"/>
        <w:tabs>
          <w:tab w:val="right" w:leader="dot" w:pos="3481"/>
        </w:tabs>
        <w:rPr>
          <w:noProof/>
        </w:rPr>
      </w:pPr>
      <w:r>
        <w:rPr>
          <w:noProof/>
        </w:rPr>
        <w:t>Infrastructure, 43, 54, 55</w:t>
      </w:r>
    </w:p>
    <w:p w:rsidR="007E21C9" w:rsidRDefault="007E21C9">
      <w:pPr>
        <w:pStyle w:val="IndexHeading"/>
        <w:keepNext/>
        <w:tabs>
          <w:tab w:val="right" w:leader="dot" w:pos="3481"/>
        </w:tabs>
        <w:rPr>
          <w:rFonts w:eastAsiaTheme="minorEastAsia" w:cstheme="minorBidi"/>
          <w:b w:val="0"/>
          <w:bCs w:val="0"/>
          <w:noProof/>
        </w:rPr>
      </w:pPr>
      <w:r>
        <w:rPr>
          <w:noProof/>
        </w:rPr>
        <w:t>L</w:t>
      </w:r>
    </w:p>
    <w:p w:rsidR="007E21C9" w:rsidRDefault="007E21C9">
      <w:pPr>
        <w:pStyle w:val="Index1"/>
        <w:tabs>
          <w:tab w:val="right" w:leader="dot" w:pos="3481"/>
        </w:tabs>
        <w:rPr>
          <w:noProof/>
        </w:rPr>
      </w:pPr>
      <w:r>
        <w:rPr>
          <w:noProof/>
        </w:rPr>
        <w:t>Labour market, 15</w:t>
      </w:r>
    </w:p>
    <w:p w:rsidR="007E21C9" w:rsidRDefault="007E21C9">
      <w:pPr>
        <w:pStyle w:val="Index2"/>
        <w:tabs>
          <w:tab w:val="right" w:leader="dot" w:pos="3481"/>
        </w:tabs>
        <w:rPr>
          <w:noProof/>
        </w:rPr>
      </w:pPr>
      <w:r>
        <w:rPr>
          <w:noProof/>
        </w:rPr>
        <w:t>Employment growth, 15, 19, 21</w:t>
      </w:r>
    </w:p>
    <w:p w:rsidR="007E21C9" w:rsidRDefault="007E21C9">
      <w:pPr>
        <w:pStyle w:val="Index2"/>
        <w:tabs>
          <w:tab w:val="right" w:leader="dot" w:pos="3481"/>
        </w:tabs>
        <w:rPr>
          <w:noProof/>
        </w:rPr>
      </w:pPr>
      <w:r>
        <w:rPr>
          <w:noProof/>
        </w:rPr>
        <w:t>Labour force participation, 11, 15, 22</w:t>
      </w:r>
    </w:p>
    <w:p w:rsidR="007E21C9" w:rsidRDefault="007E21C9">
      <w:pPr>
        <w:pStyle w:val="Index1"/>
        <w:tabs>
          <w:tab w:val="right" w:leader="dot" w:pos="3481"/>
        </w:tabs>
        <w:rPr>
          <w:noProof/>
        </w:rPr>
      </w:pPr>
      <w:r w:rsidRPr="00152C20">
        <w:rPr>
          <w:rFonts w:cs="Garamond"/>
          <w:noProof/>
          <w:color w:val="000000"/>
        </w:rPr>
        <w:t>Land transfer duty</w:t>
      </w:r>
      <w:r>
        <w:rPr>
          <w:noProof/>
        </w:rPr>
        <w:t>, 4, 28</w:t>
      </w:r>
    </w:p>
    <w:p w:rsidR="007E21C9" w:rsidRDefault="007E21C9">
      <w:pPr>
        <w:pStyle w:val="IndexHeading"/>
        <w:keepNext/>
        <w:tabs>
          <w:tab w:val="right" w:leader="dot" w:pos="3481"/>
        </w:tabs>
        <w:rPr>
          <w:rFonts w:eastAsiaTheme="minorEastAsia" w:cstheme="minorBidi"/>
          <w:b w:val="0"/>
          <w:bCs w:val="0"/>
          <w:noProof/>
        </w:rPr>
      </w:pPr>
      <w:r>
        <w:rPr>
          <w:noProof/>
        </w:rPr>
        <w:t>M</w:t>
      </w:r>
    </w:p>
    <w:p w:rsidR="007E21C9" w:rsidRDefault="007E21C9">
      <w:pPr>
        <w:pStyle w:val="Index1"/>
        <w:tabs>
          <w:tab w:val="right" w:leader="dot" w:pos="3481"/>
        </w:tabs>
        <w:rPr>
          <w:noProof/>
        </w:rPr>
      </w:pPr>
      <w:r>
        <w:rPr>
          <w:noProof/>
        </w:rPr>
        <w:t>Macalister Irrigation District, 9</w:t>
      </w:r>
    </w:p>
    <w:p w:rsidR="007E21C9" w:rsidRDefault="007E21C9">
      <w:pPr>
        <w:pStyle w:val="Index1"/>
        <w:tabs>
          <w:tab w:val="right" w:leader="dot" w:pos="3481"/>
        </w:tabs>
        <w:rPr>
          <w:noProof/>
        </w:rPr>
      </w:pPr>
      <w:r>
        <w:rPr>
          <w:noProof/>
        </w:rPr>
        <w:t>Manufacturing, 18, 19</w:t>
      </w:r>
    </w:p>
    <w:p w:rsidR="007E21C9" w:rsidRDefault="007E21C9">
      <w:pPr>
        <w:pStyle w:val="Index1"/>
        <w:tabs>
          <w:tab w:val="right" w:leader="dot" w:pos="3481"/>
        </w:tabs>
        <w:rPr>
          <w:noProof/>
        </w:rPr>
      </w:pPr>
      <w:r>
        <w:rPr>
          <w:noProof/>
        </w:rPr>
        <w:t>Melbourne Metro Rail Tunnel, 8</w:t>
      </w:r>
    </w:p>
    <w:p w:rsidR="007E21C9" w:rsidRDefault="007E21C9">
      <w:pPr>
        <w:pStyle w:val="Index1"/>
        <w:tabs>
          <w:tab w:val="right" w:leader="dot" w:pos="3481"/>
        </w:tabs>
        <w:rPr>
          <w:noProof/>
        </w:rPr>
      </w:pPr>
      <w:r>
        <w:rPr>
          <w:noProof/>
        </w:rPr>
        <w:t>Metropolitan Planning Strategy, 39</w:t>
      </w:r>
    </w:p>
    <w:p w:rsidR="007E21C9" w:rsidRDefault="007E21C9">
      <w:pPr>
        <w:pStyle w:val="Index1"/>
        <w:tabs>
          <w:tab w:val="right" w:leader="dot" w:pos="3481"/>
        </w:tabs>
        <w:rPr>
          <w:noProof/>
        </w:rPr>
      </w:pPr>
      <w:r>
        <w:rPr>
          <w:noProof/>
        </w:rPr>
        <w:t>Migration, 17</w:t>
      </w:r>
    </w:p>
    <w:p w:rsidR="007E21C9" w:rsidRDefault="007E21C9">
      <w:pPr>
        <w:pStyle w:val="Index1"/>
        <w:tabs>
          <w:tab w:val="right" w:leader="dot" w:pos="3481"/>
        </w:tabs>
        <w:rPr>
          <w:noProof/>
        </w:rPr>
      </w:pPr>
      <w:r>
        <w:rPr>
          <w:noProof/>
        </w:rPr>
        <w:t>Monash Children’s Hospital, 1, 34</w:t>
      </w:r>
    </w:p>
    <w:p w:rsidR="007E21C9" w:rsidRDefault="007E21C9">
      <w:pPr>
        <w:pStyle w:val="IndexHeading"/>
        <w:keepNext/>
        <w:tabs>
          <w:tab w:val="right" w:leader="dot" w:pos="3481"/>
        </w:tabs>
        <w:rPr>
          <w:rFonts w:eastAsiaTheme="minorEastAsia" w:cstheme="minorBidi"/>
          <w:b w:val="0"/>
          <w:bCs w:val="0"/>
          <w:noProof/>
        </w:rPr>
      </w:pPr>
      <w:r>
        <w:rPr>
          <w:noProof/>
        </w:rPr>
        <w:t>N</w:t>
      </w:r>
    </w:p>
    <w:p w:rsidR="007E21C9" w:rsidRDefault="007E21C9">
      <w:pPr>
        <w:pStyle w:val="Index1"/>
        <w:tabs>
          <w:tab w:val="right" w:leader="dot" w:pos="3481"/>
        </w:tabs>
        <w:rPr>
          <w:noProof/>
        </w:rPr>
      </w:pPr>
      <w:r>
        <w:rPr>
          <w:noProof/>
        </w:rPr>
        <w:t>National Disability Insurance Scheme, 6, 36</w:t>
      </w:r>
    </w:p>
    <w:p w:rsidR="007E21C9" w:rsidRDefault="007E21C9">
      <w:pPr>
        <w:pStyle w:val="Index1"/>
        <w:tabs>
          <w:tab w:val="right" w:leader="dot" w:pos="3481"/>
        </w:tabs>
        <w:rPr>
          <w:noProof/>
        </w:rPr>
      </w:pPr>
      <w:r>
        <w:rPr>
          <w:noProof/>
        </w:rPr>
        <w:t xml:space="preserve">Net debt </w:t>
      </w:r>
      <w:r w:rsidRPr="00152C20">
        <w:rPr>
          <w:i/>
          <w:noProof/>
        </w:rPr>
        <w:t xml:space="preserve">See </w:t>
      </w:r>
      <w:r>
        <w:rPr>
          <w:noProof/>
        </w:rPr>
        <w:t>Debt</w:t>
      </w:r>
    </w:p>
    <w:p w:rsidR="007E21C9" w:rsidRDefault="007E21C9">
      <w:pPr>
        <w:pStyle w:val="Index1"/>
        <w:tabs>
          <w:tab w:val="right" w:leader="dot" w:pos="3481"/>
        </w:tabs>
        <w:rPr>
          <w:noProof/>
        </w:rPr>
      </w:pPr>
      <w:r>
        <w:rPr>
          <w:noProof/>
        </w:rPr>
        <w:t>Net financial liabilities, 1</w:t>
      </w:r>
    </w:p>
    <w:p w:rsidR="007E21C9" w:rsidRDefault="007E21C9">
      <w:pPr>
        <w:pStyle w:val="Index1"/>
        <w:tabs>
          <w:tab w:val="right" w:leader="dot" w:pos="3481"/>
        </w:tabs>
        <w:rPr>
          <w:noProof/>
        </w:rPr>
      </w:pPr>
      <w:r>
        <w:rPr>
          <w:noProof/>
        </w:rPr>
        <w:t>Non</w:t>
      </w:r>
      <w:r>
        <w:rPr>
          <w:noProof/>
        </w:rPr>
        <w:noBreakHyphen/>
        <w:t>financial public sector, 63–65</w:t>
      </w:r>
    </w:p>
    <w:p w:rsidR="007E21C9" w:rsidRDefault="007E21C9">
      <w:pPr>
        <w:pStyle w:val="IndexHeading"/>
        <w:keepNext/>
        <w:tabs>
          <w:tab w:val="right" w:leader="dot" w:pos="3481"/>
        </w:tabs>
        <w:rPr>
          <w:rFonts w:eastAsiaTheme="minorEastAsia" w:cstheme="minorBidi"/>
          <w:b w:val="0"/>
          <w:bCs w:val="0"/>
          <w:noProof/>
        </w:rPr>
      </w:pPr>
      <w:r>
        <w:rPr>
          <w:noProof/>
        </w:rPr>
        <w:t>O</w:t>
      </w:r>
    </w:p>
    <w:p w:rsidR="007E21C9" w:rsidRDefault="007E21C9">
      <w:pPr>
        <w:pStyle w:val="Index1"/>
        <w:tabs>
          <w:tab w:val="right" w:leader="dot" w:pos="3481"/>
        </w:tabs>
        <w:rPr>
          <w:noProof/>
        </w:rPr>
      </w:pPr>
      <w:r>
        <w:rPr>
          <w:noProof/>
        </w:rPr>
        <w:t>Office of State Development, 42</w:t>
      </w:r>
    </w:p>
    <w:p w:rsidR="007E21C9" w:rsidRDefault="007E21C9">
      <w:pPr>
        <w:pStyle w:val="Index1"/>
        <w:tabs>
          <w:tab w:val="right" w:leader="dot" w:pos="3481"/>
        </w:tabs>
        <w:rPr>
          <w:noProof/>
        </w:rPr>
      </w:pPr>
      <w:r>
        <w:rPr>
          <w:noProof/>
        </w:rPr>
        <w:t>Operating result, 44</w:t>
      </w:r>
    </w:p>
    <w:p w:rsidR="007E21C9" w:rsidRDefault="007E21C9">
      <w:pPr>
        <w:pStyle w:val="Index1"/>
        <w:tabs>
          <w:tab w:val="right" w:leader="dot" w:pos="3481"/>
        </w:tabs>
        <w:rPr>
          <w:noProof/>
        </w:rPr>
      </w:pPr>
      <w:r>
        <w:rPr>
          <w:noProof/>
        </w:rPr>
        <w:t>Operating surplus, 3, 31, 48</w:t>
      </w:r>
    </w:p>
    <w:p w:rsidR="007E21C9" w:rsidRDefault="007E21C9">
      <w:pPr>
        <w:pStyle w:val="IndexHeading"/>
        <w:keepNext/>
        <w:tabs>
          <w:tab w:val="right" w:leader="dot" w:pos="3481"/>
        </w:tabs>
        <w:rPr>
          <w:rFonts w:eastAsiaTheme="minorEastAsia" w:cstheme="minorBidi"/>
          <w:b w:val="0"/>
          <w:bCs w:val="0"/>
          <w:noProof/>
        </w:rPr>
      </w:pPr>
      <w:r>
        <w:rPr>
          <w:noProof/>
        </w:rPr>
        <w:t>P</w:t>
      </w:r>
    </w:p>
    <w:p w:rsidR="007E21C9" w:rsidRDefault="007E21C9">
      <w:pPr>
        <w:pStyle w:val="Index1"/>
        <w:tabs>
          <w:tab w:val="right" w:leader="dot" w:pos="3481"/>
        </w:tabs>
        <w:rPr>
          <w:noProof/>
        </w:rPr>
      </w:pPr>
      <w:r w:rsidRPr="00152C20">
        <w:rPr>
          <w:i/>
          <w:noProof/>
        </w:rPr>
        <w:t>Partnerships Victoria</w:t>
      </w:r>
      <w:r>
        <w:rPr>
          <w:noProof/>
        </w:rPr>
        <w:t>, 55</w:t>
      </w:r>
    </w:p>
    <w:p w:rsidR="007E21C9" w:rsidRDefault="007E21C9">
      <w:pPr>
        <w:pStyle w:val="Index1"/>
        <w:tabs>
          <w:tab w:val="right" w:leader="dot" w:pos="3481"/>
        </w:tabs>
        <w:rPr>
          <w:noProof/>
        </w:rPr>
      </w:pPr>
      <w:r>
        <w:rPr>
          <w:noProof/>
        </w:rPr>
        <w:t>Planning reforms, 39</w:t>
      </w:r>
    </w:p>
    <w:p w:rsidR="007E21C9" w:rsidRDefault="007E21C9">
      <w:pPr>
        <w:pStyle w:val="Index1"/>
        <w:tabs>
          <w:tab w:val="right" w:leader="dot" w:pos="3481"/>
        </w:tabs>
        <w:rPr>
          <w:noProof/>
        </w:rPr>
      </w:pPr>
      <w:r>
        <w:rPr>
          <w:noProof/>
        </w:rPr>
        <w:t>Population, 1, 6, 9, 11–13, 16, 17, 34</w:t>
      </w:r>
    </w:p>
    <w:p w:rsidR="007E21C9" w:rsidRDefault="007E21C9">
      <w:pPr>
        <w:pStyle w:val="Index1"/>
        <w:tabs>
          <w:tab w:val="right" w:leader="dot" w:pos="3481"/>
        </w:tabs>
        <w:rPr>
          <w:noProof/>
        </w:rPr>
      </w:pPr>
      <w:r>
        <w:rPr>
          <w:noProof/>
        </w:rPr>
        <w:t>Port of Hastings, 8, 34</w:t>
      </w:r>
    </w:p>
    <w:p w:rsidR="007E21C9" w:rsidRDefault="007E21C9">
      <w:pPr>
        <w:pStyle w:val="Index1"/>
        <w:tabs>
          <w:tab w:val="right" w:leader="dot" w:pos="3481"/>
        </w:tabs>
        <w:rPr>
          <w:noProof/>
        </w:rPr>
      </w:pPr>
      <w:r>
        <w:rPr>
          <w:noProof/>
        </w:rPr>
        <w:t xml:space="preserve">Productivity, 18, 19, 23, 25, 26, 31, 32–37, </w:t>
      </w:r>
      <w:r>
        <w:rPr>
          <w:noProof/>
        </w:rPr>
        <w:br/>
        <w:t>39, 41</w:t>
      </w:r>
    </w:p>
    <w:p w:rsidR="007E21C9" w:rsidRDefault="007E21C9">
      <w:pPr>
        <w:pStyle w:val="Index1"/>
        <w:tabs>
          <w:tab w:val="right" w:leader="dot" w:pos="3481"/>
        </w:tabs>
        <w:rPr>
          <w:noProof/>
        </w:rPr>
      </w:pPr>
      <w:r>
        <w:rPr>
          <w:noProof/>
        </w:rPr>
        <w:t>Public demand, 8, 14</w:t>
      </w:r>
    </w:p>
    <w:p w:rsidR="007E21C9" w:rsidRDefault="007E21C9">
      <w:pPr>
        <w:pStyle w:val="Index1"/>
        <w:tabs>
          <w:tab w:val="right" w:leader="dot" w:pos="3481"/>
        </w:tabs>
        <w:rPr>
          <w:noProof/>
        </w:rPr>
      </w:pPr>
      <w:r>
        <w:rPr>
          <w:noProof/>
        </w:rPr>
        <w:lastRenderedPageBreak/>
        <w:t>Public financial corporations, 51, 72, 78, 79</w:t>
      </w:r>
    </w:p>
    <w:p w:rsidR="007E21C9" w:rsidRDefault="007E21C9">
      <w:pPr>
        <w:pStyle w:val="Index1"/>
        <w:tabs>
          <w:tab w:val="right" w:leader="dot" w:pos="3481"/>
        </w:tabs>
        <w:rPr>
          <w:noProof/>
        </w:rPr>
      </w:pPr>
      <w:r>
        <w:rPr>
          <w:noProof/>
        </w:rPr>
        <w:t>Public non</w:t>
      </w:r>
      <w:r>
        <w:rPr>
          <w:noProof/>
        </w:rPr>
        <w:noBreakHyphen/>
        <w:t>financial corporations, 51, 65–66, 79</w:t>
      </w:r>
    </w:p>
    <w:p w:rsidR="007E21C9" w:rsidRDefault="007E21C9">
      <w:pPr>
        <w:pStyle w:val="Index1"/>
        <w:tabs>
          <w:tab w:val="right" w:leader="dot" w:pos="3481"/>
        </w:tabs>
        <w:rPr>
          <w:noProof/>
        </w:rPr>
      </w:pPr>
      <w:r>
        <w:rPr>
          <w:noProof/>
        </w:rPr>
        <w:t>Public private partnership, 2, 34</w:t>
      </w:r>
    </w:p>
    <w:p w:rsidR="007E21C9" w:rsidRDefault="007E21C9">
      <w:pPr>
        <w:pStyle w:val="Index1"/>
        <w:tabs>
          <w:tab w:val="right" w:leader="dot" w:pos="3481"/>
        </w:tabs>
        <w:rPr>
          <w:noProof/>
        </w:rPr>
      </w:pPr>
      <w:r>
        <w:rPr>
          <w:noProof/>
        </w:rPr>
        <w:t>Public sector restructure, 1, 5, 30, 35</w:t>
      </w:r>
    </w:p>
    <w:p w:rsidR="007E21C9" w:rsidRDefault="007E21C9">
      <w:pPr>
        <w:pStyle w:val="Index1"/>
        <w:tabs>
          <w:tab w:val="right" w:leader="dot" w:pos="3481"/>
        </w:tabs>
        <w:rPr>
          <w:noProof/>
        </w:rPr>
      </w:pPr>
      <w:r>
        <w:rPr>
          <w:noProof/>
        </w:rPr>
        <w:t>Public transport, 9, 35</w:t>
      </w:r>
    </w:p>
    <w:p w:rsidR="007E21C9" w:rsidRDefault="007E21C9">
      <w:pPr>
        <w:pStyle w:val="IndexHeading"/>
        <w:keepNext/>
        <w:tabs>
          <w:tab w:val="right" w:leader="dot" w:pos="3481"/>
        </w:tabs>
        <w:rPr>
          <w:rFonts w:eastAsiaTheme="minorEastAsia" w:cstheme="minorBidi"/>
          <w:b w:val="0"/>
          <w:bCs w:val="0"/>
          <w:noProof/>
        </w:rPr>
      </w:pPr>
      <w:r>
        <w:rPr>
          <w:noProof/>
        </w:rPr>
        <w:t>R</w:t>
      </w:r>
    </w:p>
    <w:p w:rsidR="007E21C9" w:rsidRDefault="007E21C9">
      <w:pPr>
        <w:pStyle w:val="Index1"/>
        <w:tabs>
          <w:tab w:val="right" w:leader="dot" w:pos="3481"/>
        </w:tabs>
        <w:rPr>
          <w:noProof/>
        </w:rPr>
      </w:pPr>
      <w:r>
        <w:rPr>
          <w:noProof/>
        </w:rPr>
        <w:t>Red Tape Commissioner, 40</w:t>
      </w:r>
    </w:p>
    <w:p w:rsidR="007E21C9" w:rsidRDefault="007E21C9">
      <w:pPr>
        <w:pStyle w:val="Index1"/>
        <w:tabs>
          <w:tab w:val="right" w:leader="dot" w:pos="3481"/>
        </w:tabs>
        <w:rPr>
          <w:noProof/>
        </w:rPr>
      </w:pPr>
      <w:r>
        <w:rPr>
          <w:noProof/>
        </w:rPr>
        <w:t>Red Tape reduction, 3, 40</w:t>
      </w:r>
    </w:p>
    <w:p w:rsidR="007E21C9" w:rsidRDefault="007E21C9">
      <w:pPr>
        <w:pStyle w:val="Index1"/>
        <w:tabs>
          <w:tab w:val="right" w:leader="dot" w:pos="3481"/>
        </w:tabs>
        <w:rPr>
          <w:noProof/>
        </w:rPr>
      </w:pPr>
      <w:r>
        <w:rPr>
          <w:noProof/>
        </w:rPr>
        <w:t>Reforms, 2, 3, 30, 34</w:t>
      </w:r>
    </w:p>
    <w:p w:rsidR="007E21C9" w:rsidRDefault="007E21C9">
      <w:pPr>
        <w:pStyle w:val="Index2"/>
        <w:tabs>
          <w:tab w:val="right" w:leader="dot" w:pos="3481"/>
        </w:tabs>
        <w:rPr>
          <w:noProof/>
        </w:rPr>
      </w:pPr>
      <w:r>
        <w:rPr>
          <w:noProof/>
        </w:rPr>
        <w:t>Competition and market reforms, 32–42</w:t>
      </w:r>
    </w:p>
    <w:p w:rsidR="007E21C9" w:rsidRDefault="007E21C9">
      <w:pPr>
        <w:pStyle w:val="Index2"/>
        <w:tabs>
          <w:tab w:val="right" w:leader="dot" w:pos="3481"/>
        </w:tabs>
        <w:rPr>
          <w:noProof/>
        </w:rPr>
      </w:pPr>
      <w:r>
        <w:rPr>
          <w:noProof/>
        </w:rPr>
        <w:t>Planning and infrastructure, 3</w:t>
      </w:r>
    </w:p>
    <w:p w:rsidR="007E21C9" w:rsidRDefault="007E21C9">
      <w:pPr>
        <w:pStyle w:val="Index1"/>
        <w:tabs>
          <w:tab w:val="right" w:leader="dot" w:pos="3481"/>
        </w:tabs>
        <w:rPr>
          <w:noProof/>
        </w:rPr>
      </w:pPr>
      <w:r>
        <w:rPr>
          <w:noProof/>
        </w:rPr>
        <w:t>Regional Rail Link, 35</w:t>
      </w:r>
    </w:p>
    <w:p w:rsidR="007E21C9" w:rsidRDefault="007E21C9">
      <w:pPr>
        <w:pStyle w:val="Index1"/>
        <w:tabs>
          <w:tab w:val="right" w:leader="dot" w:pos="3481"/>
        </w:tabs>
        <w:rPr>
          <w:noProof/>
        </w:rPr>
      </w:pPr>
      <w:r>
        <w:rPr>
          <w:noProof/>
        </w:rPr>
        <w:t>Regulation</w:t>
      </w:r>
    </w:p>
    <w:p w:rsidR="007E21C9" w:rsidRDefault="007E21C9">
      <w:pPr>
        <w:pStyle w:val="Index2"/>
        <w:tabs>
          <w:tab w:val="right" w:leader="dot" w:pos="3481"/>
        </w:tabs>
        <w:rPr>
          <w:noProof/>
        </w:rPr>
      </w:pPr>
      <w:r>
        <w:rPr>
          <w:noProof/>
        </w:rPr>
        <w:t>Reducing the regulation burden, 39–40</w:t>
      </w:r>
    </w:p>
    <w:p w:rsidR="007E21C9" w:rsidRDefault="007E21C9">
      <w:pPr>
        <w:pStyle w:val="Index1"/>
        <w:tabs>
          <w:tab w:val="right" w:leader="dot" w:pos="3481"/>
        </w:tabs>
        <w:rPr>
          <w:noProof/>
        </w:rPr>
      </w:pPr>
      <w:r>
        <w:rPr>
          <w:noProof/>
        </w:rPr>
        <w:t>Reserve Bank of Australia, 17, 21</w:t>
      </w:r>
    </w:p>
    <w:p w:rsidR="007E21C9" w:rsidRDefault="007E21C9">
      <w:pPr>
        <w:pStyle w:val="Index1"/>
        <w:tabs>
          <w:tab w:val="right" w:leader="dot" w:pos="3481"/>
        </w:tabs>
        <w:rPr>
          <w:noProof/>
        </w:rPr>
      </w:pPr>
      <w:r>
        <w:rPr>
          <w:noProof/>
        </w:rPr>
        <w:t>Revenue, 1, 4, 27–30, 27–30, 46–47</w:t>
      </w:r>
    </w:p>
    <w:p w:rsidR="007E21C9" w:rsidRDefault="007E21C9">
      <w:pPr>
        <w:pStyle w:val="Index2"/>
        <w:tabs>
          <w:tab w:val="right" w:leader="dot" w:pos="3481"/>
        </w:tabs>
        <w:rPr>
          <w:noProof/>
        </w:rPr>
      </w:pPr>
      <w:r>
        <w:rPr>
          <w:noProof/>
        </w:rPr>
        <w:t>Risks, 59</w:t>
      </w:r>
    </w:p>
    <w:p w:rsidR="007E21C9" w:rsidRDefault="007E21C9">
      <w:pPr>
        <w:pStyle w:val="Index1"/>
        <w:tabs>
          <w:tab w:val="right" w:leader="dot" w:pos="3481"/>
        </w:tabs>
        <w:rPr>
          <w:noProof/>
        </w:rPr>
      </w:pPr>
      <w:r>
        <w:rPr>
          <w:noProof/>
        </w:rPr>
        <w:t>Ringwood railway station, 9</w:t>
      </w:r>
    </w:p>
    <w:p w:rsidR="007E21C9" w:rsidRDefault="007E21C9">
      <w:pPr>
        <w:pStyle w:val="Index1"/>
        <w:tabs>
          <w:tab w:val="right" w:leader="dot" w:pos="3481"/>
        </w:tabs>
        <w:rPr>
          <w:noProof/>
        </w:rPr>
      </w:pPr>
      <w:r>
        <w:rPr>
          <w:noProof/>
        </w:rPr>
        <w:t>Risks to the outlook, 23</w:t>
      </w:r>
    </w:p>
    <w:p w:rsidR="007E21C9" w:rsidRDefault="007E21C9">
      <w:pPr>
        <w:pStyle w:val="Index1"/>
        <w:tabs>
          <w:tab w:val="right" w:leader="dot" w:pos="3481"/>
        </w:tabs>
        <w:rPr>
          <w:noProof/>
        </w:rPr>
      </w:pPr>
      <w:r>
        <w:rPr>
          <w:noProof/>
        </w:rPr>
        <w:t>Royal Victorian Eye and Ear Hospital, 1, 34</w:t>
      </w:r>
    </w:p>
    <w:p w:rsidR="007E21C9" w:rsidRDefault="007E21C9">
      <w:pPr>
        <w:pStyle w:val="IndexHeading"/>
        <w:keepNext/>
        <w:tabs>
          <w:tab w:val="right" w:leader="dot" w:pos="3481"/>
        </w:tabs>
        <w:rPr>
          <w:rFonts w:eastAsiaTheme="minorEastAsia" w:cstheme="minorBidi"/>
          <w:b w:val="0"/>
          <w:bCs w:val="0"/>
          <w:noProof/>
        </w:rPr>
      </w:pPr>
      <w:r>
        <w:rPr>
          <w:noProof/>
        </w:rPr>
        <w:t>S</w:t>
      </w:r>
    </w:p>
    <w:p w:rsidR="007E21C9" w:rsidRDefault="007E21C9">
      <w:pPr>
        <w:pStyle w:val="Index1"/>
        <w:tabs>
          <w:tab w:val="right" w:leader="dot" w:pos="3481"/>
        </w:tabs>
        <w:rPr>
          <w:noProof/>
        </w:rPr>
      </w:pPr>
      <w:r>
        <w:rPr>
          <w:noProof/>
        </w:rPr>
        <w:t>Savings, 4, 26–27, 53</w:t>
      </w:r>
    </w:p>
    <w:p w:rsidR="007E21C9" w:rsidRDefault="007E21C9">
      <w:pPr>
        <w:pStyle w:val="Index1"/>
        <w:tabs>
          <w:tab w:val="right" w:leader="dot" w:pos="3481"/>
        </w:tabs>
        <w:rPr>
          <w:noProof/>
        </w:rPr>
      </w:pPr>
      <w:r>
        <w:rPr>
          <w:noProof/>
        </w:rPr>
        <w:t xml:space="preserve">Schools, 2, 37, </w:t>
      </w:r>
      <w:r w:rsidRPr="00152C20">
        <w:rPr>
          <w:i/>
          <w:noProof/>
        </w:rPr>
        <w:t xml:space="preserve">See also </w:t>
      </w:r>
      <w:r>
        <w:rPr>
          <w:noProof/>
        </w:rPr>
        <w:t>Education</w:t>
      </w:r>
    </w:p>
    <w:p w:rsidR="007E21C9" w:rsidRDefault="007E21C9">
      <w:pPr>
        <w:pStyle w:val="Index1"/>
        <w:tabs>
          <w:tab w:val="right" w:leader="dot" w:pos="3481"/>
        </w:tabs>
        <w:rPr>
          <w:noProof/>
        </w:rPr>
      </w:pPr>
      <w:r>
        <w:rPr>
          <w:noProof/>
        </w:rPr>
        <w:t xml:space="preserve">Schools and early childhood. </w:t>
      </w:r>
      <w:r w:rsidRPr="00152C20">
        <w:rPr>
          <w:i/>
          <w:noProof/>
        </w:rPr>
        <w:t xml:space="preserve">See </w:t>
      </w:r>
      <w:r>
        <w:rPr>
          <w:noProof/>
        </w:rPr>
        <w:t>Education</w:t>
      </w:r>
    </w:p>
    <w:p w:rsidR="007E21C9" w:rsidRDefault="007E21C9">
      <w:pPr>
        <w:pStyle w:val="Index1"/>
        <w:tabs>
          <w:tab w:val="right" w:leader="dot" w:pos="3481"/>
        </w:tabs>
        <w:rPr>
          <w:noProof/>
        </w:rPr>
      </w:pPr>
      <w:r>
        <w:rPr>
          <w:noProof/>
        </w:rPr>
        <w:t>Sensitivity analysis, 75</w:t>
      </w:r>
    </w:p>
    <w:p w:rsidR="007E21C9" w:rsidRDefault="007E21C9">
      <w:pPr>
        <w:pStyle w:val="Index2"/>
        <w:tabs>
          <w:tab w:val="right" w:leader="dot" w:pos="3481"/>
        </w:tabs>
        <w:rPr>
          <w:noProof/>
        </w:rPr>
      </w:pPr>
      <w:r>
        <w:rPr>
          <w:noProof/>
        </w:rPr>
        <w:t>Average weekly earnings, 78</w:t>
      </w:r>
    </w:p>
    <w:p w:rsidR="007E21C9" w:rsidRDefault="007E21C9">
      <w:pPr>
        <w:pStyle w:val="Index2"/>
        <w:tabs>
          <w:tab w:val="right" w:leader="dot" w:pos="3481"/>
        </w:tabs>
        <w:rPr>
          <w:noProof/>
        </w:rPr>
      </w:pPr>
      <w:r>
        <w:rPr>
          <w:noProof/>
        </w:rPr>
        <w:t>Consumer prices, 77</w:t>
      </w:r>
    </w:p>
    <w:p w:rsidR="007E21C9" w:rsidRDefault="007E21C9">
      <w:pPr>
        <w:pStyle w:val="Index2"/>
        <w:tabs>
          <w:tab w:val="right" w:leader="dot" w:pos="3481"/>
        </w:tabs>
        <w:rPr>
          <w:noProof/>
        </w:rPr>
      </w:pPr>
      <w:r>
        <w:rPr>
          <w:noProof/>
        </w:rPr>
        <w:t>Domestic and overseas share prices, 78</w:t>
      </w:r>
    </w:p>
    <w:p w:rsidR="007E21C9" w:rsidRDefault="007E21C9">
      <w:pPr>
        <w:pStyle w:val="Index2"/>
        <w:tabs>
          <w:tab w:val="right" w:leader="dot" w:pos="3481"/>
        </w:tabs>
        <w:rPr>
          <w:noProof/>
        </w:rPr>
      </w:pPr>
      <w:r>
        <w:rPr>
          <w:noProof/>
        </w:rPr>
        <w:t>Economic growth, 77</w:t>
      </w:r>
    </w:p>
    <w:p w:rsidR="007E21C9" w:rsidRDefault="007E21C9">
      <w:pPr>
        <w:pStyle w:val="Index2"/>
        <w:tabs>
          <w:tab w:val="right" w:leader="dot" w:pos="3481"/>
        </w:tabs>
        <w:rPr>
          <w:noProof/>
        </w:rPr>
      </w:pPr>
      <w:r>
        <w:rPr>
          <w:noProof/>
        </w:rPr>
        <w:t>Employment, 77</w:t>
      </w:r>
    </w:p>
    <w:p w:rsidR="007E21C9" w:rsidRDefault="007E21C9">
      <w:pPr>
        <w:pStyle w:val="Index2"/>
        <w:tabs>
          <w:tab w:val="right" w:leader="dot" w:pos="3481"/>
        </w:tabs>
        <w:rPr>
          <w:noProof/>
        </w:rPr>
      </w:pPr>
      <w:r>
        <w:rPr>
          <w:noProof/>
        </w:rPr>
        <w:t>Enterprise bargaining agreements, 78</w:t>
      </w:r>
    </w:p>
    <w:p w:rsidR="007E21C9" w:rsidRDefault="007E21C9">
      <w:pPr>
        <w:pStyle w:val="Index2"/>
        <w:tabs>
          <w:tab w:val="right" w:leader="dot" w:pos="3481"/>
        </w:tabs>
        <w:rPr>
          <w:noProof/>
        </w:rPr>
      </w:pPr>
      <w:r>
        <w:rPr>
          <w:noProof/>
        </w:rPr>
        <w:t>Interest rates, 79</w:t>
      </w:r>
    </w:p>
    <w:p w:rsidR="007E21C9" w:rsidRDefault="007E21C9">
      <w:pPr>
        <w:pStyle w:val="Index2"/>
        <w:tabs>
          <w:tab w:val="right" w:leader="dot" w:pos="3481"/>
        </w:tabs>
        <w:rPr>
          <w:noProof/>
        </w:rPr>
      </w:pPr>
      <w:r>
        <w:rPr>
          <w:noProof/>
        </w:rPr>
        <w:t>Property prices and volumes, 78</w:t>
      </w:r>
    </w:p>
    <w:p w:rsidR="007E21C9" w:rsidRDefault="007E21C9">
      <w:pPr>
        <w:pStyle w:val="Index1"/>
        <w:tabs>
          <w:tab w:val="right" w:leader="dot" w:pos="3481"/>
        </w:tabs>
        <w:rPr>
          <w:noProof/>
        </w:rPr>
      </w:pPr>
      <w:r>
        <w:rPr>
          <w:noProof/>
        </w:rPr>
        <w:t>Service delivery, 6, 25, 30, 31, 32, 36</w:t>
      </w:r>
    </w:p>
    <w:p w:rsidR="007E21C9" w:rsidRDefault="007E21C9">
      <w:pPr>
        <w:pStyle w:val="Index1"/>
        <w:tabs>
          <w:tab w:val="right" w:leader="dot" w:pos="3481"/>
        </w:tabs>
        <w:rPr>
          <w:noProof/>
        </w:rPr>
      </w:pPr>
      <w:r>
        <w:rPr>
          <w:noProof/>
        </w:rPr>
        <w:t>Services Connect, 2</w:t>
      </w:r>
    </w:p>
    <w:p w:rsidR="007E21C9" w:rsidRDefault="007E21C9">
      <w:pPr>
        <w:pStyle w:val="Index1"/>
        <w:tabs>
          <w:tab w:val="right" w:leader="dot" w:pos="3481"/>
        </w:tabs>
        <w:rPr>
          <w:noProof/>
        </w:rPr>
      </w:pPr>
      <w:r>
        <w:rPr>
          <w:noProof/>
        </w:rPr>
        <w:t>Skills, 31, 33, 36, 37</w:t>
      </w:r>
    </w:p>
    <w:p w:rsidR="007E21C9" w:rsidRDefault="007E21C9">
      <w:pPr>
        <w:pStyle w:val="Index1"/>
        <w:tabs>
          <w:tab w:val="right" w:leader="dot" w:pos="3481"/>
        </w:tabs>
        <w:rPr>
          <w:noProof/>
        </w:rPr>
      </w:pPr>
      <w:r>
        <w:rPr>
          <w:noProof/>
        </w:rPr>
        <w:t>Stamp duty, 5</w:t>
      </w:r>
    </w:p>
    <w:p w:rsidR="007E21C9" w:rsidRDefault="007E21C9">
      <w:pPr>
        <w:pStyle w:val="Index1"/>
        <w:tabs>
          <w:tab w:val="right" w:leader="dot" w:pos="3481"/>
        </w:tabs>
        <w:rPr>
          <w:noProof/>
        </w:rPr>
      </w:pPr>
      <w:r>
        <w:rPr>
          <w:noProof/>
        </w:rPr>
        <w:t>Structural change, 17–19, 32</w:t>
      </w:r>
    </w:p>
    <w:p w:rsidR="007E21C9" w:rsidRDefault="007E21C9">
      <w:pPr>
        <w:pStyle w:val="Index1"/>
        <w:tabs>
          <w:tab w:val="right" w:leader="dot" w:pos="3481"/>
        </w:tabs>
        <w:rPr>
          <w:noProof/>
        </w:rPr>
      </w:pPr>
      <w:r>
        <w:rPr>
          <w:noProof/>
        </w:rPr>
        <w:t>Superannuation</w:t>
      </w:r>
    </w:p>
    <w:p w:rsidR="007E21C9" w:rsidRDefault="007E21C9">
      <w:pPr>
        <w:pStyle w:val="Index2"/>
        <w:tabs>
          <w:tab w:val="right" w:leader="dot" w:pos="3481"/>
        </w:tabs>
        <w:rPr>
          <w:noProof/>
        </w:rPr>
      </w:pPr>
      <w:r>
        <w:rPr>
          <w:noProof/>
        </w:rPr>
        <w:t>Expense, 77, 78, 79</w:t>
      </w:r>
    </w:p>
    <w:p w:rsidR="007E21C9" w:rsidRDefault="007E21C9">
      <w:pPr>
        <w:pStyle w:val="Index2"/>
        <w:tabs>
          <w:tab w:val="right" w:leader="dot" w:pos="3481"/>
        </w:tabs>
        <w:rPr>
          <w:noProof/>
        </w:rPr>
      </w:pPr>
      <w:r>
        <w:rPr>
          <w:noProof/>
        </w:rPr>
        <w:t>Liability, 78</w:t>
      </w:r>
    </w:p>
    <w:p w:rsidR="007E21C9" w:rsidRDefault="007E21C9">
      <w:pPr>
        <w:pStyle w:val="Index1"/>
        <w:tabs>
          <w:tab w:val="right" w:leader="dot" w:pos="3481"/>
        </w:tabs>
        <w:rPr>
          <w:noProof/>
        </w:rPr>
      </w:pPr>
      <w:r>
        <w:rPr>
          <w:noProof/>
        </w:rPr>
        <w:br w:type="column"/>
      </w:r>
      <w:r>
        <w:rPr>
          <w:noProof/>
        </w:rPr>
        <w:lastRenderedPageBreak/>
        <w:t xml:space="preserve">Surplus, 3, 6, </w:t>
      </w:r>
      <w:r w:rsidRPr="00152C20">
        <w:rPr>
          <w:i/>
          <w:noProof/>
        </w:rPr>
        <w:t xml:space="preserve">See also </w:t>
      </w:r>
      <w:r>
        <w:rPr>
          <w:noProof/>
        </w:rPr>
        <w:t>Operating surplus</w:t>
      </w:r>
    </w:p>
    <w:p w:rsidR="007E21C9" w:rsidRDefault="007E21C9">
      <w:pPr>
        <w:pStyle w:val="Index2"/>
        <w:tabs>
          <w:tab w:val="right" w:leader="dot" w:pos="3481"/>
        </w:tabs>
        <w:rPr>
          <w:noProof/>
        </w:rPr>
      </w:pPr>
      <w:r>
        <w:rPr>
          <w:noProof/>
        </w:rPr>
        <w:t>Operating surplus, 3</w:t>
      </w:r>
    </w:p>
    <w:p w:rsidR="007E21C9" w:rsidRDefault="007E21C9">
      <w:pPr>
        <w:pStyle w:val="Index1"/>
        <w:tabs>
          <w:tab w:val="right" w:leader="dot" w:pos="3481"/>
        </w:tabs>
        <w:rPr>
          <w:noProof/>
        </w:rPr>
      </w:pPr>
      <w:r>
        <w:rPr>
          <w:noProof/>
        </w:rPr>
        <w:t>Sustainable Government Initiative, 5, 30, 35</w:t>
      </w:r>
    </w:p>
    <w:p w:rsidR="007E21C9" w:rsidRDefault="007E21C9">
      <w:pPr>
        <w:pStyle w:val="IndexHeading"/>
        <w:keepNext/>
        <w:tabs>
          <w:tab w:val="right" w:leader="dot" w:pos="3481"/>
        </w:tabs>
        <w:rPr>
          <w:rFonts w:eastAsiaTheme="minorEastAsia" w:cstheme="minorBidi"/>
          <w:b w:val="0"/>
          <w:bCs w:val="0"/>
          <w:noProof/>
        </w:rPr>
      </w:pPr>
      <w:r>
        <w:rPr>
          <w:noProof/>
        </w:rPr>
        <w:t>T</w:t>
      </w:r>
    </w:p>
    <w:p w:rsidR="007E21C9" w:rsidRDefault="007E21C9">
      <w:pPr>
        <w:pStyle w:val="Index1"/>
        <w:tabs>
          <w:tab w:val="right" w:leader="dot" w:pos="3481"/>
        </w:tabs>
        <w:rPr>
          <w:noProof/>
        </w:rPr>
      </w:pPr>
      <w:r>
        <w:rPr>
          <w:noProof/>
        </w:rPr>
        <w:t>Taxation</w:t>
      </w:r>
    </w:p>
    <w:p w:rsidR="007E21C9" w:rsidRDefault="007E21C9">
      <w:pPr>
        <w:pStyle w:val="Index2"/>
        <w:tabs>
          <w:tab w:val="right" w:leader="dot" w:pos="3481"/>
        </w:tabs>
        <w:rPr>
          <w:noProof/>
        </w:rPr>
      </w:pPr>
      <w:r>
        <w:rPr>
          <w:noProof/>
        </w:rPr>
        <w:t>Gambling, 46, 50</w:t>
      </w:r>
    </w:p>
    <w:p w:rsidR="007E21C9" w:rsidRDefault="007E21C9">
      <w:pPr>
        <w:pStyle w:val="Index2"/>
        <w:tabs>
          <w:tab w:val="right" w:leader="dot" w:pos="3481"/>
        </w:tabs>
        <w:rPr>
          <w:noProof/>
        </w:rPr>
      </w:pPr>
      <w:r>
        <w:rPr>
          <w:noProof/>
        </w:rPr>
        <w:t>Insurance, 46</w:t>
      </w:r>
    </w:p>
    <w:p w:rsidR="007E21C9" w:rsidRDefault="007E21C9">
      <w:pPr>
        <w:pStyle w:val="Index2"/>
        <w:tabs>
          <w:tab w:val="right" w:leader="dot" w:pos="3481"/>
        </w:tabs>
        <w:rPr>
          <w:noProof/>
        </w:rPr>
      </w:pPr>
      <w:r>
        <w:rPr>
          <w:noProof/>
        </w:rPr>
        <w:t>Land tax, 46, 50, 78</w:t>
      </w:r>
    </w:p>
    <w:p w:rsidR="007E21C9" w:rsidRDefault="007E21C9">
      <w:pPr>
        <w:pStyle w:val="Index2"/>
        <w:tabs>
          <w:tab w:val="right" w:leader="dot" w:pos="3481"/>
        </w:tabs>
        <w:rPr>
          <w:noProof/>
        </w:rPr>
      </w:pPr>
      <w:r>
        <w:rPr>
          <w:noProof/>
        </w:rPr>
        <w:t>Land transfer, 46, 50, 78, 80, 82</w:t>
      </w:r>
    </w:p>
    <w:p w:rsidR="007E21C9" w:rsidRDefault="007E21C9">
      <w:pPr>
        <w:pStyle w:val="Index2"/>
        <w:tabs>
          <w:tab w:val="right" w:leader="dot" w:pos="3481"/>
        </w:tabs>
        <w:rPr>
          <w:noProof/>
        </w:rPr>
      </w:pPr>
      <w:r>
        <w:rPr>
          <w:noProof/>
        </w:rPr>
        <w:t>Land transfer duty, 78</w:t>
      </w:r>
    </w:p>
    <w:p w:rsidR="007E21C9" w:rsidRDefault="007E21C9">
      <w:pPr>
        <w:pStyle w:val="Index2"/>
        <w:tabs>
          <w:tab w:val="right" w:leader="dot" w:pos="3481"/>
        </w:tabs>
        <w:rPr>
          <w:noProof/>
        </w:rPr>
      </w:pPr>
      <w:r>
        <w:rPr>
          <w:noProof/>
        </w:rPr>
        <w:t>Motor vehicle, 46, 50</w:t>
      </w:r>
    </w:p>
    <w:p w:rsidR="007E21C9" w:rsidRDefault="007E21C9">
      <w:pPr>
        <w:pStyle w:val="Index2"/>
        <w:tabs>
          <w:tab w:val="right" w:leader="dot" w:pos="3481"/>
        </w:tabs>
        <w:rPr>
          <w:noProof/>
        </w:rPr>
      </w:pPr>
      <w:r>
        <w:rPr>
          <w:noProof/>
        </w:rPr>
        <w:t>Payroll, 46, 50, 77, 78, 80, 82</w:t>
      </w:r>
    </w:p>
    <w:p w:rsidR="007E21C9" w:rsidRDefault="007E21C9">
      <w:pPr>
        <w:pStyle w:val="Index2"/>
        <w:tabs>
          <w:tab w:val="right" w:leader="dot" w:pos="3481"/>
        </w:tabs>
        <w:rPr>
          <w:noProof/>
        </w:rPr>
      </w:pPr>
      <w:r>
        <w:rPr>
          <w:noProof/>
        </w:rPr>
        <w:t>Property, 28</w:t>
      </w:r>
    </w:p>
    <w:p w:rsidR="007E21C9" w:rsidRDefault="007E21C9">
      <w:pPr>
        <w:pStyle w:val="Index2"/>
        <w:tabs>
          <w:tab w:val="right" w:leader="dot" w:pos="3481"/>
        </w:tabs>
        <w:rPr>
          <w:noProof/>
        </w:rPr>
      </w:pPr>
      <w:r>
        <w:rPr>
          <w:noProof/>
        </w:rPr>
        <w:t>Reform, 40–41</w:t>
      </w:r>
    </w:p>
    <w:p w:rsidR="007E21C9" w:rsidRDefault="007E21C9">
      <w:pPr>
        <w:pStyle w:val="Index2"/>
        <w:tabs>
          <w:tab w:val="right" w:leader="dot" w:pos="3481"/>
        </w:tabs>
        <w:rPr>
          <w:noProof/>
        </w:rPr>
      </w:pPr>
      <w:r>
        <w:rPr>
          <w:noProof/>
        </w:rPr>
        <w:t>Revenue, 27–30, 50, 77</w:t>
      </w:r>
    </w:p>
    <w:p w:rsidR="007E21C9" w:rsidRDefault="007E21C9">
      <w:pPr>
        <w:pStyle w:val="Index1"/>
        <w:tabs>
          <w:tab w:val="right" w:leader="dot" w:pos="3481"/>
        </w:tabs>
        <w:rPr>
          <w:noProof/>
        </w:rPr>
      </w:pPr>
      <w:r>
        <w:rPr>
          <w:noProof/>
        </w:rPr>
        <w:t>Technical and further education, 2, 6, 38, 39, 53</w:t>
      </w:r>
    </w:p>
    <w:p w:rsidR="007E21C9" w:rsidRDefault="007E21C9">
      <w:pPr>
        <w:pStyle w:val="Index1"/>
        <w:tabs>
          <w:tab w:val="right" w:leader="dot" w:pos="3481"/>
        </w:tabs>
        <w:rPr>
          <w:noProof/>
        </w:rPr>
      </w:pPr>
      <w:r>
        <w:rPr>
          <w:noProof/>
        </w:rPr>
        <w:t>The Government's Economic and Fiscal Strategy, 31–42</w:t>
      </w:r>
    </w:p>
    <w:p w:rsidR="007E21C9" w:rsidRDefault="007E21C9">
      <w:pPr>
        <w:pStyle w:val="Index1"/>
        <w:tabs>
          <w:tab w:val="right" w:leader="dot" w:pos="3481"/>
        </w:tabs>
        <w:rPr>
          <w:noProof/>
        </w:rPr>
      </w:pPr>
      <w:r>
        <w:rPr>
          <w:noProof/>
        </w:rPr>
        <w:t>Tourism, 15</w:t>
      </w:r>
    </w:p>
    <w:p w:rsidR="007E21C9" w:rsidRDefault="007E21C9">
      <w:pPr>
        <w:pStyle w:val="Index1"/>
        <w:tabs>
          <w:tab w:val="right" w:leader="dot" w:pos="3481"/>
        </w:tabs>
        <w:rPr>
          <w:noProof/>
        </w:rPr>
      </w:pPr>
      <w:r>
        <w:rPr>
          <w:noProof/>
        </w:rPr>
        <w:t>Transport Accident Commission, 78</w:t>
      </w:r>
    </w:p>
    <w:p w:rsidR="007E21C9" w:rsidRDefault="007E21C9">
      <w:pPr>
        <w:pStyle w:val="IndexHeading"/>
        <w:keepNext/>
        <w:tabs>
          <w:tab w:val="right" w:leader="dot" w:pos="3481"/>
        </w:tabs>
        <w:rPr>
          <w:rFonts w:eastAsiaTheme="minorEastAsia" w:cstheme="minorBidi"/>
          <w:b w:val="0"/>
          <w:bCs w:val="0"/>
          <w:noProof/>
        </w:rPr>
      </w:pPr>
      <w:r>
        <w:rPr>
          <w:noProof/>
        </w:rPr>
        <w:t>U</w:t>
      </w:r>
    </w:p>
    <w:p w:rsidR="007E21C9" w:rsidRDefault="007E21C9">
      <w:pPr>
        <w:pStyle w:val="Index1"/>
        <w:tabs>
          <w:tab w:val="right" w:leader="dot" w:pos="3481"/>
        </w:tabs>
        <w:rPr>
          <w:noProof/>
        </w:rPr>
      </w:pPr>
      <w:r>
        <w:rPr>
          <w:noProof/>
        </w:rPr>
        <w:t>Unemployment, 11</w:t>
      </w:r>
    </w:p>
    <w:p w:rsidR="007E21C9" w:rsidRDefault="007E21C9">
      <w:pPr>
        <w:pStyle w:val="Index2"/>
        <w:tabs>
          <w:tab w:val="right" w:leader="dot" w:pos="3481"/>
        </w:tabs>
        <w:rPr>
          <w:noProof/>
        </w:rPr>
      </w:pPr>
      <w:r>
        <w:rPr>
          <w:noProof/>
        </w:rPr>
        <w:t>Unemployment rate, 13, 15, 21</w:t>
      </w:r>
    </w:p>
    <w:p w:rsidR="007E21C9" w:rsidRDefault="007E21C9">
      <w:pPr>
        <w:pStyle w:val="IndexHeading"/>
        <w:keepNext/>
        <w:tabs>
          <w:tab w:val="right" w:leader="dot" w:pos="3481"/>
        </w:tabs>
        <w:rPr>
          <w:rFonts w:eastAsiaTheme="minorEastAsia" w:cstheme="minorBidi"/>
          <w:b w:val="0"/>
          <w:bCs w:val="0"/>
          <w:noProof/>
        </w:rPr>
      </w:pPr>
      <w:r>
        <w:rPr>
          <w:noProof/>
        </w:rPr>
        <w:t>V</w:t>
      </w:r>
    </w:p>
    <w:p w:rsidR="007E21C9" w:rsidRDefault="007E21C9">
      <w:pPr>
        <w:pStyle w:val="Index1"/>
        <w:tabs>
          <w:tab w:val="right" w:leader="dot" w:pos="3481"/>
        </w:tabs>
        <w:rPr>
          <w:noProof/>
        </w:rPr>
      </w:pPr>
      <w:r>
        <w:rPr>
          <w:noProof/>
        </w:rPr>
        <w:t>Victorian Comprehensive Cancer Centre, 1</w:t>
      </w:r>
    </w:p>
    <w:p w:rsidR="007E21C9" w:rsidRDefault="007E21C9">
      <w:pPr>
        <w:pStyle w:val="Index1"/>
        <w:tabs>
          <w:tab w:val="right" w:leader="dot" w:pos="3481"/>
        </w:tabs>
        <w:rPr>
          <w:noProof/>
        </w:rPr>
      </w:pPr>
      <w:r>
        <w:rPr>
          <w:noProof/>
        </w:rPr>
        <w:t>Victorian Desalination Plant, 47, 48, 52, 53</w:t>
      </w:r>
    </w:p>
    <w:p w:rsidR="007E21C9" w:rsidRDefault="007E21C9">
      <w:pPr>
        <w:pStyle w:val="Index1"/>
        <w:tabs>
          <w:tab w:val="right" w:leader="dot" w:pos="3481"/>
        </w:tabs>
        <w:rPr>
          <w:noProof/>
        </w:rPr>
      </w:pPr>
      <w:r>
        <w:rPr>
          <w:noProof/>
        </w:rPr>
        <w:t xml:space="preserve">Victorian economic projections. </w:t>
      </w:r>
      <w:r w:rsidRPr="00152C20">
        <w:rPr>
          <w:i/>
          <w:noProof/>
        </w:rPr>
        <w:t xml:space="preserve">See </w:t>
      </w:r>
      <w:r>
        <w:rPr>
          <w:noProof/>
        </w:rPr>
        <w:t>Economic projections</w:t>
      </w:r>
    </w:p>
    <w:p w:rsidR="007E21C9" w:rsidRDefault="007E21C9">
      <w:pPr>
        <w:pStyle w:val="Index1"/>
        <w:tabs>
          <w:tab w:val="right" w:leader="dot" w:pos="3481"/>
        </w:tabs>
        <w:rPr>
          <w:noProof/>
        </w:rPr>
      </w:pPr>
      <w:r>
        <w:rPr>
          <w:noProof/>
        </w:rPr>
        <w:t>Victorian Government Business Offices, 42</w:t>
      </w:r>
    </w:p>
    <w:p w:rsidR="007E21C9" w:rsidRDefault="007E21C9">
      <w:pPr>
        <w:pStyle w:val="Index1"/>
        <w:tabs>
          <w:tab w:val="right" w:leader="dot" w:pos="3481"/>
        </w:tabs>
        <w:rPr>
          <w:noProof/>
        </w:rPr>
      </w:pPr>
      <w:r w:rsidRPr="00152C20">
        <w:rPr>
          <w:i/>
          <w:noProof/>
        </w:rPr>
        <w:t>Victorian Government ICT Strategy</w:t>
      </w:r>
      <w:r>
        <w:rPr>
          <w:noProof/>
        </w:rPr>
        <w:t>, 36</w:t>
      </w:r>
    </w:p>
    <w:p w:rsidR="007E21C9" w:rsidRDefault="007E21C9">
      <w:pPr>
        <w:pStyle w:val="Index1"/>
        <w:tabs>
          <w:tab w:val="right" w:leader="dot" w:pos="3481"/>
        </w:tabs>
        <w:rPr>
          <w:noProof/>
        </w:rPr>
      </w:pPr>
      <w:r>
        <w:rPr>
          <w:noProof/>
        </w:rPr>
        <w:t>Victorian WorkCover Authority, 78</w:t>
      </w:r>
    </w:p>
    <w:p w:rsidR="007E21C9" w:rsidRDefault="007E21C9">
      <w:pPr>
        <w:pStyle w:val="Index1"/>
        <w:tabs>
          <w:tab w:val="right" w:leader="dot" w:pos="3481"/>
        </w:tabs>
        <w:rPr>
          <w:noProof/>
        </w:rPr>
      </w:pPr>
      <w:r>
        <w:rPr>
          <w:noProof/>
        </w:rPr>
        <w:t>Vocational Education and Training, 2, 37–39</w:t>
      </w:r>
    </w:p>
    <w:p w:rsidR="007E21C9" w:rsidRDefault="007E21C9">
      <w:pPr>
        <w:pStyle w:val="IndexHeading"/>
        <w:keepNext/>
        <w:tabs>
          <w:tab w:val="right" w:leader="dot" w:pos="3481"/>
        </w:tabs>
        <w:rPr>
          <w:rFonts w:eastAsiaTheme="minorEastAsia" w:cstheme="minorBidi"/>
          <w:b w:val="0"/>
          <w:bCs w:val="0"/>
          <w:noProof/>
        </w:rPr>
      </w:pPr>
      <w:r>
        <w:rPr>
          <w:noProof/>
        </w:rPr>
        <w:t>W</w:t>
      </w:r>
    </w:p>
    <w:p w:rsidR="007E21C9" w:rsidRDefault="007E21C9">
      <w:pPr>
        <w:pStyle w:val="Index1"/>
        <w:tabs>
          <w:tab w:val="right" w:leader="dot" w:pos="3481"/>
        </w:tabs>
        <w:rPr>
          <w:noProof/>
        </w:rPr>
      </w:pPr>
      <w:r>
        <w:rPr>
          <w:noProof/>
        </w:rPr>
        <w:t>Wages, 16</w:t>
      </w:r>
    </w:p>
    <w:p w:rsidR="007E21C9" w:rsidRDefault="007E21C9">
      <w:pPr>
        <w:pStyle w:val="Index2"/>
        <w:tabs>
          <w:tab w:val="right" w:leader="dot" w:pos="3481"/>
        </w:tabs>
        <w:rPr>
          <w:noProof/>
        </w:rPr>
      </w:pPr>
      <w:r>
        <w:rPr>
          <w:noProof/>
        </w:rPr>
        <w:t>Wage price index, 13, 16</w:t>
      </w:r>
    </w:p>
    <w:p w:rsidR="007E21C9" w:rsidRDefault="007E21C9">
      <w:pPr>
        <w:pStyle w:val="Index2"/>
        <w:tabs>
          <w:tab w:val="right" w:leader="dot" w:pos="3481"/>
        </w:tabs>
        <w:rPr>
          <w:noProof/>
        </w:rPr>
      </w:pPr>
      <w:r>
        <w:rPr>
          <w:noProof/>
        </w:rPr>
        <w:t>Wages growth, 78</w:t>
      </w:r>
    </w:p>
    <w:p w:rsidR="007E21C9" w:rsidRDefault="007E21C9">
      <w:pPr>
        <w:pStyle w:val="Index1"/>
        <w:tabs>
          <w:tab w:val="right" w:leader="dot" w:pos="3481"/>
        </w:tabs>
        <w:rPr>
          <w:noProof/>
        </w:rPr>
      </w:pPr>
      <w:r>
        <w:rPr>
          <w:noProof/>
        </w:rPr>
        <w:t>Waurn Ponds Hospital, 1, 34</w:t>
      </w:r>
    </w:p>
    <w:p w:rsidR="007E21C9" w:rsidRDefault="007E21C9">
      <w:pPr>
        <w:pStyle w:val="Index1"/>
        <w:tabs>
          <w:tab w:val="right" w:leader="dot" w:pos="3481"/>
        </w:tabs>
        <w:rPr>
          <w:noProof/>
        </w:rPr>
      </w:pPr>
      <w:r>
        <w:rPr>
          <w:noProof/>
        </w:rPr>
        <w:t>Werribee Mercy Hospital, 34</w:t>
      </w:r>
    </w:p>
    <w:p w:rsidR="007E21C9" w:rsidRDefault="007E21C9" w:rsidP="007A66F0">
      <w:pPr>
        <w:rPr>
          <w:noProof/>
        </w:rPr>
        <w:sectPr w:rsidR="007E21C9" w:rsidSect="007E21C9">
          <w:type w:val="continuous"/>
          <w:pgSz w:w="9979" w:h="14170" w:code="34"/>
          <w:pgMar w:top="1138" w:right="1138" w:bottom="1138" w:left="1138" w:header="720" w:footer="720" w:gutter="0"/>
          <w:cols w:num="2" w:space="720"/>
          <w:docGrid w:linePitch="360"/>
        </w:sectPr>
      </w:pPr>
    </w:p>
    <w:p w:rsidR="0070375D" w:rsidRDefault="0070375D" w:rsidP="007A66F0">
      <w:r>
        <w:lastRenderedPageBreak/>
        <w:fldChar w:fldCharType="end"/>
      </w:r>
    </w:p>
    <w:p w:rsidR="0070375D" w:rsidRDefault="0070375D" w:rsidP="005954E5">
      <w:bookmarkStart w:id="72" w:name="_GoBack"/>
      <w:bookmarkEnd w:id="72"/>
    </w:p>
    <w:p w:rsidR="0070375D" w:rsidRDefault="0070375D" w:rsidP="005954E5"/>
    <w:p w:rsidR="0070375D" w:rsidRDefault="0070375D" w:rsidP="00497606"/>
    <w:p w:rsidR="0070375D" w:rsidRDefault="0070375D" w:rsidP="00497606"/>
    <w:p w:rsidR="0070375D" w:rsidRDefault="0070375D" w:rsidP="00497606"/>
    <w:sectPr w:rsidR="0070375D" w:rsidSect="007E21C9">
      <w:type w:val="continuous"/>
      <w:pgSz w:w="9979" w:h="14170" w:code="34"/>
      <w:pgMar w:top="1138" w:right="1138" w:bottom="1138" w:left="113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75D" w:rsidRDefault="0070375D" w:rsidP="0070375D">
      <w:pPr>
        <w:spacing w:after="0"/>
      </w:pPr>
      <w:r>
        <w:separator/>
      </w:r>
    </w:p>
  </w:endnote>
  <w:endnote w:type="continuationSeparator" w:id="0">
    <w:p w:rsidR="0070375D" w:rsidRDefault="0070375D" w:rsidP="007037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5D" w:rsidRPr="004816CA" w:rsidRDefault="0070375D" w:rsidP="004816CA">
    <w:pPr>
      <w:pStyle w:val="Footer"/>
      <w:pBdr>
        <w:top w:val="none" w:sz="0" w:space="0" w:color="auto"/>
      </w:pBdr>
      <w:rPr>
        <w:rStyle w:val="PageNumber"/>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5D" w:rsidRDefault="0070375D" w:rsidP="00C97E08">
    <w:pPr>
      <w:pStyle w:val="Footer"/>
      <w:tabs>
        <w:tab w:val="clear" w:pos="7085"/>
        <w:tab w:val="center" w:pos="5103"/>
        <w:tab w:val="right" w:pos="7655"/>
      </w:tabs>
      <w:spacing w:after="0"/>
      <w:rPr>
        <w:rStyle w:val="PageNumber"/>
      </w:rPr>
    </w:pPr>
    <w:r>
      <w:t>2013</w:t>
    </w:r>
    <w:r w:rsidR="00276239">
      <w:noBreakHyphen/>
    </w:r>
    <w:r>
      <w:t>14 Strategy and Outlook</w:t>
    </w:r>
    <w:r>
      <w:tab/>
      <w:t>Chapter 3</w:t>
    </w:r>
    <w:r>
      <w:tab/>
    </w:r>
    <w:r>
      <w:rPr>
        <w:rStyle w:val="PageNumber"/>
      </w:rPr>
      <w:fldChar w:fldCharType="begin"/>
    </w:r>
    <w:r>
      <w:rPr>
        <w:rStyle w:val="PageNumber"/>
      </w:rPr>
      <w:instrText xml:space="preserve"> PAGE </w:instrText>
    </w:r>
    <w:r>
      <w:rPr>
        <w:rStyle w:val="PageNumber"/>
      </w:rPr>
      <w:fldChar w:fldCharType="separate"/>
    </w:r>
    <w:r w:rsidR="00315427">
      <w:rPr>
        <w:rStyle w:val="PageNumber"/>
        <w:noProof/>
      </w:rPr>
      <w:t>29</w:t>
    </w:r>
    <w:r>
      <w:rPr>
        <w:rStyle w:val="PageNumbe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5D" w:rsidRDefault="0070375D" w:rsidP="00583CAC">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315427">
      <w:rPr>
        <w:rStyle w:val="PageNumber"/>
        <w:noProof/>
      </w:rPr>
      <w:t>62</w:t>
    </w:r>
    <w:r>
      <w:rPr>
        <w:rStyle w:val="PageNumber"/>
      </w:rPr>
      <w:fldChar w:fldCharType="end"/>
    </w:r>
    <w:r>
      <w:tab/>
      <w:t>Chapter 4</w:t>
    </w:r>
    <w:r>
      <w:tab/>
      <w:t>2013</w:t>
    </w:r>
    <w:r w:rsidR="00276239">
      <w:noBreakHyphen/>
    </w:r>
    <w:r>
      <w:t>14 Strategy and Outlook</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5D" w:rsidRDefault="0070375D" w:rsidP="00583CAC">
    <w:pPr>
      <w:pStyle w:val="Footer"/>
      <w:tabs>
        <w:tab w:val="clear" w:pos="7085"/>
        <w:tab w:val="center" w:pos="5103"/>
        <w:tab w:val="right" w:pos="7655"/>
      </w:tabs>
      <w:spacing w:after="0"/>
      <w:rPr>
        <w:rStyle w:val="PageNumber"/>
      </w:rPr>
    </w:pPr>
    <w:r>
      <w:t>2013</w:t>
    </w:r>
    <w:r w:rsidR="00276239">
      <w:noBreakHyphen/>
    </w:r>
    <w:r>
      <w:t>14 Strategy and Outlook</w:t>
    </w:r>
    <w:r>
      <w:tab/>
      <w:t>Chapter 4</w:t>
    </w:r>
    <w:r>
      <w:tab/>
    </w:r>
    <w:r>
      <w:rPr>
        <w:rStyle w:val="PageNumber"/>
      </w:rPr>
      <w:fldChar w:fldCharType="begin"/>
    </w:r>
    <w:r>
      <w:rPr>
        <w:rStyle w:val="PageNumber"/>
      </w:rPr>
      <w:instrText xml:space="preserve"> PAGE </w:instrText>
    </w:r>
    <w:r>
      <w:rPr>
        <w:rStyle w:val="PageNumber"/>
      </w:rPr>
      <w:fldChar w:fldCharType="separate"/>
    </w:r>
    <w:r w:rsidR="00315427">
      <w:rPr>
        <w:rStyle w:val="PageNumber"/>
        <w:noProof/>
      </w:rPr>
      <w:t>57</w:t>
    </w:r>
    <w:r>
      <w:rPr>
        <w:rStyle w:val="PageNumber"/>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5D" w:rsidRDefault="0070375D" w:rsidP="00C97E08">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315427">
      <w:rPr>
        <w:rStyle w:val="PageNumber"/>
        <w:noProof/>
      </w:rPr>
      <w:t>72</w:t>
    </w:r>
    <w:r>
      <w:rPr>
        <w:rStyle w:val="PageNumber"/>
      </w:rPr>
      <w:fldChar w:fldCharType="end"/>
    </w:r>
    <w:r>
      <w:tab/>
      <w:t>Chapter 5</w:t>
    </w:r>
    <w:r>
      <w:tab/>
      <w:t>2013</w:t>
    </w:r>
    <w:r w:rsidR="00276239">
      <w:noBreakHyphen/>
    </w:r>
    <w:r>
      <w:t>14 Strategy and Outlook</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5D" w:rsidRDefault="0070375D" w:rsidP="00C97E08">
    <w:pPr>
      <w:pStyle w:val="Footer"/>
      <w:tabs>
        <w:tab w:val="clear" w:pos="7085"/>
        <w:tab w:val="center" w:pos="5103"/>
        <w:tab w:val="right" w:pos="7655"/>
      </w:tabs>
      <w:spacing w:after="0"/>
      <w:rPr>
        <w:rStyle w:val="PageNumber"/>
      </w:rPr>
    </w:pPr>
    <w:r>
      <w:t>2013</w:t>
    </w:r>
    <w:r w:rsidR="00276239">
      <w:noBreakHyphen/>
    </w:r>
    <w:r>
      <w:t>14 Strategy and Outlook</w:t>
    </w:r>
    <w:r>
      <w:tab/>
      <w:t>Chapter 5</w:t>
    </w:r>
    <w:r>
      <w:tab/>
    </w:r>
    <w:r>
      <w:rPr>
        <w:rStyle w:val="PageNumber"/>
      </w:rPr>
      <w:fldChar w:fldCharType="begin"/>
    </w:r>
    <w:r>
      <w:rPr>
        <w:rStyle w:val="PageNumber"/>
      </w:rPr>
      <w:instrText xml:space="preserve"> PAGE </w:instrText>
    </w:r>
    <w:r>
      <w:rPr>
        <w:rStyle w:val="PageNumber"/>
      </w:rPr>
      <w:fldChar w:fldCharType="separate"/>
    </w:r>
    <w:r w:rsidR="00315427">
      <w:rPr>
        <w:rStyle w:val="PageNumber"/>
        <w:noProof/>
      </w:rPr>
      <w:t>65</w:t>
    </w:r>
    <w:r>
      <w:rPr>
        <w:rStyle w:val="PageNumber"/>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5D" w:rsidRDefault="0070375D" w:rsidP="00C97E08">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315427">
      <w:rPr>
        <w:rStyle w:val="PageNumber"/>
        <w:noProof/>
      </w:rPr>
      <w:t>82</w:t>
    </w:r>
    <w:r>
      <w:rPr>
        <w:rStyle w:val="PageNumber"/>
      </w:rPr>
      <w:fldChar w:fldCharType="end"/>
    </w:r>
    <w:r>
      <w:tab/>
      <w:t>Appendix A</w:t>
    </w:r>
    <w:r>
      <w:tab/>
      <w:t>2013</w:t>
    </w:r>
    <w:r w:rsidR="00276239">
      <w:noBreakHyphen/>
    </w:r>
    <w:r>
      <w:t>14 Strategy and Outlook</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5D" w:rsidRDefault="0070375D" w:rsidP="00C97E08">
    <w:pPr>
      <w:pStyle w:val="Footer"/>
      <w:tabs>
        <w:tab w:val="clear" w:pos="7085"/>
        <w:tab w:val="center" w:pos="5103"/>
        <w:tab w:val="right" w:pos="7655"/>
      </w:tabs>
      <w:spacing w:after="0"/>
      <w:rPr>
        <w:rStyle w:val="PageNumber"/>
      </w:rPr>
    </w:pPr>
    <w:r>
      <w:t>2013</w:t>
    </w:r>
    <w:r w:rsidR="00276239">
      <w:noBreakHyphen/>
    </w:r>
    <w:r>
      <w:t>14 Strategy and Outlook</w:t>
    </w:r>
    <w:r>
      <w:tab/>
      <w:t>Appendix A</w:t>
    </w:r>
    <w:r>
      <w:tab/>
    </w:r>
    <w:r>
      <w:rPr>
        <w:rStyle w:val="PageNumber"/>
      </w:rPr>
      <w:fldChar w:fldCharType="begin"/>
    </w:r>
    <w:r>
      <w:rPr>
        <w:rStyle w:val="PageNumber"/>
      </w:rPr>
      <w:instrText xml:space="preserve"> PAGE </w:instrText>
    </w:r>
    <w:r>
      <w:rPr>
        <w:rStyle w:val="PageNumber"/>
      </w:rPr>
      <w:fldChar w:fldCharType="separate"/>
    </w:r>
    <w:r w:rsidR="00315427">
      <w:rPr>
        <w:rStyle w:val="PageNumber"/>
        <w:noProof/>
      </w:rPr>
      <w:t>81</w:t>
    </w:r>
    <w:r>
      <w:rPr>
        <w:rStyle w:val="PageNumber"/>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5D" w:rsidRDefault="0070375D" w:rsidP="00C97E08">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315427">
      <w:rPr>
        <w:rStyle w:val="PageNumber"/>
        <w:noProof/>
      </w:rPr>
      <w:t>84</w:t>
    </w:r>
    <w:r>
      <w:rPr>
        <w:rStyle w:val="PageNumber"/>
      </w:rPr>
      <w:fldChar w:fldCharType="end"/>
    </w:r>
    <w:r>
      <w:tab/>
      <w:t>Style conventions</w:t>
    </w:r>
    <w:r>
      <w:tab/>
      <w:t>2013</w:t>
    </w:r>
    <w:r w:rsidR="00276239">
      <w:noBreakHyphen/>
    </w:r>
    <w:r>
      <w:t>14 Strategy and Outlook</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5D" w:rsidRDefault="0070375D" w:rsidP="00C97E08">
    <w:pPr>
      <w:pStyle w:val="Footer"/>
      <w:tabs>
        <w:tab w:val="clear" w:pos="7085"/>
        <w:tab w:val="center" w:pos="5103"/>
        <w:tab w:val="right" w:pos="7655"/>
      </w:tabs>
      <w:spacing w:after="0"/>
      <w:rPr>
        <w:rStyle w:val="PageNumber"/>
      </w:rPr>
    </w:pPr>
    <w:r>
      <w:t>2013</w:t>
    </w:r>
    <w:r w:rsidR="00276239">
      <w:noBreakHyphen/>
    </w:r>
    <w:r>
      <w:t>14 Strategy and Outlook</w:t>
    </w:r>
    <w:r>
      <w:tab/>
      <w:t>Style conventions</w:t>
    </w:r>
    <w:r>
      <w:tab/>
    </w:r>
    <w:r>
      <w:rPr>
        <w:rStyle w:val="PageNumber"/>
      </w:rPr>
      <w:fldChar w:fldCharType="begin"/>
    </w:r>
    <w:r>
      <w:rPr>
        <w:rStyle w:val="PageNumber"/>
      </w:rPr>
      <w:instrText xml:space="preserve"> PAGE </w:instrText>
    </w:r>
    <w:r>
      <w:rPr>
        <w:rStyle w:val="PageNumber"/>
      </w:rPr>
      <w:fldChar w:fldCharType="separate"/>
    </w:r>
    <w:r w:rsidR="00315427">
      <w:rPr>
        <w:rStyle w:val="PageNumber"/>
        <w:noProof/>
      </w:rPr>
      <w:t>83</w:t>
    </w:r>
    <w:r>
      <w:rPr>
        <w:rStyle w:val="PageNumber"/>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0DE" w:rsidRDefault="00F060DE" w:rsidP="00C97E08">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315427">
      <w:rPr>
        <w:rStyle w:val="PageNumber"/>
        <w:noProof/>
      </w:rPr>
      <w:t>86</w:t>
    </w:r>
    <w:r>
      <w:rPr>
        <w:rStyle w:val="PageNumber"/>
      </w:rPr>
      <w:fldChar w:fldCharType="end"/>
    </w:r>
    <w:r>
      <w:tab/>
      <w:t>Index</w:t>
    </w:r>
    <w:r>
      <w:tab/>
      <w:t>2013</w:t>
    </w:r>
    <w:r w:rsidR="00276239">
      <w:noBreakHyphen/>
    </w:r>
    <w:r>
      <w:t>14 Strategy and Outlook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5D" w:rsidRPr="004816CA" w:rsidRDefault="0070375D" w:rsidP="004816CA">
    <w:pPr>
      <w:pStyle w:val="Footer"/>
      <w:pBdr>
        <w:top w:val="none" w:sz="0" w:space="0" w:color="auto"/>
      </w:pBdr>
      <w:rPr>
        <w:rStyle w:val="PageNumber"/>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0DE" w:rsidRDefault="00F060DE" w:rsidP="00C97E08">
    <w:pPr>
      <w:pStyle w:val="Footer"/>
      <w:tabs>
        <w:tab w:val="clear" w:pos="7085"/>
        <w:tab w:val="center" w:pos="5103"/>
        <w:tab w:val="right" w:pos="7655"/>
      </w:tabs>
      <w:spacing w:after="0"/>
      <w:rPr>
        <w:rStyle w:val="PageNumber"/>
      </w:rPr>
    </w:pPr>
    <w:r>
      <w:t>2013</w:t>
    </w:r>
    <w:r w:rsidR="00276239">
      <w:noBreakHyphen/>
    </w:r>
    <w:r>
      <w:t>14 Strategy and Outlook</w:t>
    </w:r>
    <w:r>
      <w:tab/>
      <w:t>Index</w:t>
    </w:r>
    <w:r>
      <w:tab/>
    </w:r>
    <w:r>
      <w:rPr>
        <w:rStyle w:val="PageNumber"/>
      </w:rPr>
      <w:fldChar w:fldCharType="begin"/>
    </w:r>
    <w:r>
      <w:rPr>
        <w:rStyle w:val="PageNumber"/>
      </w:rPr>
      <w:instrText xml:space="preserve"> PAGE </w:instrText>
    </w:r>
    <w:r>
      <w:rPr>
        <w:rStyle w:val="PageNumber"/>
      </w:rPr>
      <w:fldChar w:fldCharType="separate"/>
    </w:r>
    <w:r w:rsidR="00315427">
      <w:rPr>
        <w:rStyle w:val="PageNumber"/>
        <w:noProof/>
      </w:rPr>
      <w:t>87</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5D" w:rsidRDefault="0070375D" w:rsidP="004816CA">
    <w:pPr>
      <w:pStyle w:val="Footer"/>
      <w:pBdr>
        <w:top w:val="none" w:sz="0" w:space="0" w:color="auto"/>
      </w:pBd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315427">
      <w:rPr>
        <w:rStyle w:val="PageNumber"/>
        <w:noProof/>
      </w:rPr>
      <w:t>ii</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5D" w:rsidRDefault="0070375D" w:rsidP="004816CA">
    <w:pPr>
      <w:pStyle w:val="Footer"/>
      <w:pBdr>
        <w:top w:val="none" w:sz="0" w:space="0" w:color="auto"/>
      </w:pBdr>
      <w:tabs>
        <w:tab w:val="clear" w:pos="7085"/>
        <w:tab w:val="center" w:pos="5103"/>
        <w:tab w:val="right" w:pos="7655"/>
      </w:tabs>
      <w:spacing w:after="0"/>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315427">
      <w:rPr>
        <w:rStyle w:val="PageNumber"/>
        <w:noProof/>
      </w:rPr>
      <w:t>i</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5D" w:rsidRDefault="0070375D" w:rsidP="004816CA">
    <w:pPr>
      <w:pStyle w:val="Footer"/>
      <w:pBdr>
        <w:top w:val="single" w:sz="4" w:space="1" w:color="auto"/>
      </w:pBd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315427">
      <w:rPr>
        <w:rStyle w:val="PageNumber"/>
        <w:noProof/>
      </w:rPr>
      <w:t>10</w:t>
    </w:r>
    <w:r>
      <w:rPr>
        <w:rStyle w:val="PageNumber"/>
      </w:rPr>
      <w:fldChar w:fldCharType="end"/>
    </w:r>
    <w:r>
      <w:tab/>
      <w:t>Chapter 1</w:t>
    </w:r>
    <w:r>
      <w:tab/>
      <w:t>2013</w:t>
    </w:r>
    <w:r w:rsidR="00276239">
      <w:noBreakHyphen/>
    </w:r>
    <w:r>
      <w:t>14 Strategy and Outlook</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5D" w:rsidRDefault="0070375D" w:rsidP="00C97E08">
    <w:pPr>
      <w:pStyle w:val="Footer"/>
      <w:tabs>
        <w:tab w:val="clear" w:pos="7085"/>
        <w:tab w:val="center" w:pos="5103"/>
        <w:tab w:val="right" w:pos="7655"/>
      </w:tabs>
      <w:spacing w:after="0"/>
      <w:rPr>
        <w:rStyle w:val="PageNumber"/>
      </w:rPr>
    </w:pPr>
    <w:r>
      <w:t>2013</w:t>
    </w:r>
    <w:r w:rsidR="00276239">
      <w:noBreakHyphen/>
    </w:r>
    <w:r>
      <w:t>14 Strategy and Outlook</w:t>
    </w:r>
    <w:r>
      <w:tab/>
      <w:t>Chapter 1</w:t>
    </w:r>
    <w:r>
      <w:tab/>
    </w:r>
    <w:r>
      <w:rPr>
        <w:rStyle w:val="PageNumber"/>
      </w:rPr>
      <w:fldChar w:fldCharType="begin"/>
    </w:r>
    <w:r>
      <w:rPr>
        <w:rStyle w:val="PageNumber"/>
      </w:rPr>
      <w:instrText xml:space="preserve"> PAGE </w:instrText>
    </w:r>
    <w:r>
      <w:rPr>
        <w:rStyle w:val="PageNumber"/>
      </w:rPr>
      <w:fldChar w:fldCharType="separate"/>
    </w:r>
    <w:r w:rsidR="00315427">
      <w:rPr>
        <w:rStyle w:val="PageNumber"/>
        <w:noProof/>
      </w:rPr>
      <w:t>9</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5D" w:rsidRDefault="0070375D" w:rsidP="00C97E08">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315427">
      <w:rPr>
        <w:rStyle w:val="PageNumber"/>
        <w:noProof/>
      </w:rPr>
      <w:t>22</w:t>
    </w:r>
    <w:r>
      <w:rPr>
        <w:rStyle w:val="PageNumber"/>
      </w:rPr>
      <w:fldChar w:fldCharType="end"/>
    </w:r>
    <w:r>
      <w:tab/>
      <w:t>Chapter 2</w:t>
    </w:r>
    <w:r>
      <w:tab/>
      <w:t>2013</w:t>
    </w:r>
    <w:r w:rsidR="00276239">
      <w:noBreakHyphen/>
    </w:r>
    <w:r>
      <w:t>14 Strategy and Outlook</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5D" w:rsidRDefault="0070375D" w:rsidP="00C97E08">
    <w:pPr>
      <w:pStyle w:val="Footer"/>
      <w:tabs>
        <w:tab w:val="clear" w:pos="7085"/>
        <w:tab w:val="center" w:pos="5103"/>
        <w:tab w:val="right" w:pos="7655"/>
      </w:tabs>
      <w:spacing w:after="0"/>
      <w:rPr>
        <w:rStyle w:val="PageNumber"/>
      </w:rPr>
    </w:pPr>
    <w:r>
      <w:t>2013</w:t>
    </w:r>
    <w:r w:rsidR="00276239">
      <w:noBreakHyphen/>
    </w:r>
    <w:r>
      <w:t>14 Strategy and Outlook</w:t>
    </w:r>
    <w:r>
      <w:tab/>
      <w:t>Chapter 2</w:t>
    </w:r>
    <w:r>
      <w:tab/>
    </w:r>
    <w:r>
      <w:rPr>
        <w:rStyle w:val="PageNumber"/>
      </w:rPr>
      <w:fldChar w:fldCharType="begin"/>
    </w:r>
    <w:r>
      <w:rPr>
        <w:rStyle w:val="PageNumber"/>
      </w:rPr>
      <w:instrText xml:space="preserve"> PAGE </w:instrText>
    </w:r>
    <w:r>
      <w:rPr>
        <w:rStyle w:val="PageNumber"/>
      </w:rPr>
      <w:fldChar w:fldCharType="separate"/>
    </w:r>
    <w:r w:rsidR="00315427">
      <w:rPr>
        <w:rStyle w:val="PageNumber"/>
        <w:noProof/>
      </w:rPr>
      <w:t>21</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5D" w:rsidRDefault="0070375D" w:rsidP="00C97E08">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315427">
      <w:rPr>
        <w:rStyle w:val="PageNumber"/>
        <w:noProof/>
      </w:rPr>
      <w:t>26</w:t>
    </w:r>
    <w:r>
      <w:rPr>
        <w:rStyle w:val="PageNumber"/>
      </w:rPr>
      <w:fldChar w:fldCharType="end"/>
    </w:r>
    <w:r>
      <w:tab/>
      <w:t>Chapter 3</w:t>
    </w:r>
    <w:r>
      <w:tab/>
      <w:t>2013</w:t>
    </w:r>
    <w:r w:rsidR="00276239">
      <w:noBreakHyphen/>
    </w:r>
    <w:r>
      <w:t>14 Strategy and Outlook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75D" w:rsidRDefault="0070375D" w:rsidP="0070375D">
      <w:pPr>
        <w:spacing w:after="0"/>
      </w:pPr>
      <w:r>
        <w:separator/>
      </w:r>
    </w:p>
  </w:footnote>
  <w:footnote w:type="continuationSeparator" w:id="0">
    <w:p w:rsidR="0070375D" w:rsidRDefault="0070375D" w:rsidP="0070375D">
      <w:pPr>
        <w:spacing w:after="0"/>
      </w:pPr>
      <w:r>
        <w:continuationSeparator/>
      </w:r>
    </w:p>
  </w:footnote>
  <w:footnote w:id="1">
    <w:p w:rsidR="0070375D" w:rsidRPr="00F00A93" w:rsidRDefault="0070375D">
      <w:pPr>
        <w:pStyle w:val="FootnoteText"/>
      </w:pPr>
      <w:r w:rsidRPr="00F00A93">
        <w:rPr>
          <w:rStyle w:val="FootnoteReference"/>
        </w:rPr>
        <w:footnoteRef/>
      </w:r>
      <w:r w:rsidRPr="00F00A93">
        <w:t xml:space="preserve"> February 2013 Statement of Monetary Policy</w:t>
      </w:r>
    </w:p>
  </w:footnote>
  <w:footnote w:id="2">
    <w:p w:rsidR="0070375D" w:rsidRPr="00F00A93" w:rsidRDefault="0070375D">
      <w:pPr>
        <w:pStyle w:val="FootnoteText"/>
      </w:pPr>
      <w:r w:rsidRPr="00F00A93">
        <w:rPr>
          <w:rStyle w:val="FootnoteReference"/>
        </w:rPr>
        <w:footnoteRef/>
      </w:r>
      <w:r w:rsidRPr="00F00A93">
        <w:t xml:space="preserve"> April 2013 World Economic Outlook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09F2"/>
    <w:multiLevelType w:val="singleLevel"/>
    <w:tmpl w:val="3AE00BBA"/>
    <w:lvl w:ilvl="0">
      <w:start w:val="1"/>
      <w:numFmt w:val="bullet"/>
      <w:pStyle w:val="OGBullet"/>
      <w:lvlText w:val=""/>
      <w:lvlJc w:val="left"/>
      <w:pPr>
        <w:tabs>
          <w:tab w:val="num" w:pos="360"/>
        </w:tabs>
        <w:ind w:left="360" w:hanging="360"/>
      </w:pPr>
      <w:rPr>
        <w:rFonts w:ascii="Symbol" w:hAnsi="Symbol" w:hint="default"/>
        <w:sz w:val="16"/>
      </w:rPr>
    </w:lvl>
  </w:abstractNum>
  <w:abstractNum w:abstractNumId="1">
    <w:nsid w:val="283B293C"/>
    <w:multiLevelType w:val="hybridMultilevel"/>
    <w:tmpl w:val="B540C8D6"/>
    <w:lvl w:ilvl="0" w:tplc="BF24713E">
      <w:start w:val="1"/>
      <w:numFmt w:val="bullet"/>
      <w:pStyle w:val="VAGOBullet"/>
      <w:lvlText w:val=""/>
      <w:lvlJc w:val="left"/>
      <w:pPr>
        <w:tabs>
          <w:tab w:val="num" w:pos="426"/>
        </w:tabs>
        <w:ind w:left="42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85C08AE"/>
    <w:multiLevelType w:val="multilevel"/>
    <w:tmpl w:val="86BA075E"/>
    <w:lvl w:ilvl="0">
      <w:start w:val="1"/>
      <w:numFmt w:val="bullet"/>
      <w:pStyle w:val="BulletText"/>
      <w:lvlText w:val=""/>
      <w:lvlJc w:val="left"/>
      <w:pPr>
        <w:tabs>
          <w:tab w:val="num" w:pos="360"/>
        </w:tabs>
        <w:ind w:left="360" w:hanging="360"/>
      </w:pPr>
      <w:rPr>
        <w:rFonts w:ascii="Symbol" w:hAnsi="Symbol" w:hint="default"/>
        <w:sz w:val="18"/>
        <w:szCs w:val="18"/>
      </w:rPr>
    </w:lvl>
    <w:lvl w:ilvl="1">
      <w:start w:val="1"/>
      <w:numFmt w:val="bullet"/>
      <w:pStyle w:val="DashText"/>
      <w:lvlText w:val=""/>
      <w:lvlJc w:val="left"/>
      <w:pPr>
        <w:tabs>
          <w:tab w:val="num" w:pos="720"/>
        </w:tabs>
        <w:ind w:left="72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nsid w:val="3CFC52E9"/>
    <w:multiLevelType w:val="hybridMultilevel"/>
    <w:tmpl w:val="29C2504A"/>
    <w:lvl w:ilvl="0" w:tplc="A546E8C2">
      <w:start w:val="1"/>
      <w:numFmt w:val="bullet"/>
      <w:pStyle w:val="NotesDash"/>
      <w:lvlText w:val="–"/>
      <w:lvlJc w:val="left"/>
      <w:pPr>
        <w:tabs>
          <w:tab w:val="num" w:pos="922"/>
        </w:tabs>
        <w:ind w:left="922" w:hanging="468"/>
      </w:pPr>
      <w:rPr>
        <w:rFonts w:ascii="Times New Roman" w:hAnsi="Times New Roman"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56FB2E0B"/>
    <w:multiLevelType w:val="hybridMultilevel"/>
    <w:tmpl w:val="EDCE7868"/>
    <w:lvl w:ilvl="0" w:tplc="D2745096">
      <w:start w:val="1"/>
      <w:numFmt w:val="bullet"/>
      <w:pStyle w:val="HighlightBoxBullet"/>
      <w:lvlText w:val=""/>
      <w:lvlJc w:val="left"/>
      <w:pPr>
        <w:tabs>
          <w:tab w:val="num" w:pos="90"/>
        </w:tabs>
        <w:ind w:left="450" w:hanging="360"/>
      </w:pPr>
      <w:rPr>
        <w:rFonts w:ascii="Symbol" w:hAnsi="Symbol" w:hint="default"/>
        <w:sz w:val="20"/>
        <w:szCs w:val="20"/>
      </w:rPr>
    </w:lvl>
    <w:lvl w:ilvl="1" w:tplc="0C090003" w:tentative="1">
      <w:start w:val="1"/>
      <w:numFmt w:val="bullet"/>
      <w:lvlText w:val="o"/>
      <w:lvlJc w:val="left"/>
      <w:pPr>
        <w:tabs>
          <w:tab w:val="num" w:pos="1530"/>
        </w:tabs>
        <w:ind w:left="1530" w:hanging="360"/>
      </w:pPr>
      <w:rPr>
        <w:rFonts w:ascii="Courier New" w:hAnsi="Courier New" w:cs="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cs="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cs="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5">
    <w:nsid w:val="6EE34E10"/>
    <w:multiLevelType w:val="multilevel"/>
    <w:tmpl w:val="D9F407CA"/>
    <w:lvl w:ilvl="0">
      <w:start w:val="1"/>
      <w:numFmt w:val="upperLetter"/>
      <w:pStyle w:val="Heading3Numbering"/>
      <w:lvlText w:val="(%1)"/>
      <w:lvlJc w:val="left"/>
      <w:pPr>
        <w:tabs>
          <w:tab w:val="num" w:pos="720"/>
        </w:tabs>
        <w:ind w:left="720" w:hanging="720"/>
      </w:pPr>
      <w:rPr>
        <w:rFonts w:ascii="Calibri" w:hAnsi="Calibri"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4"/>
  </w:num>
  <w:num w:numId="3">
    <w:abstractNumId w:val="5"/>
  </w:num>
  <w:num w:numId="4">
    <w:abstractNumId w:val="2"/>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nforcement="0"/>
  <w:autoFormatOverride/>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27"/>
    <w:rsid w:val="00006F06"/>
    <w:rsid w:val="00020E91"/>
    <w:rsid w:val="00021CE5"/>
    <w:rsid w:val="000221B3"/>
    <w:rsid w:val="00031488"/>
    <w:rsid w:val="0003318C"/>
    <w:rsid w:val="00035734"/>
    <w:rsid w:val="000362EA"/>
    <w:rsid w:val="00041292"/>
    <w:rsid w:val="00043F9F"/>
    <w:rsid w:val="000451B1"/>
    <w:rsid w:val="00050885"/>
    <w:rsid w:val="00056F1F"/>
    <w:rsid w:val="00060942"/>
    <w:rsid w:val="00061F50"/>
    <w:rsid w:val="00064FD8"/>
    <w:rsid w:val="0007501D"/>
    <w:rsid w:val="000771C1"/>
    <w:rsid w:val="000804F8"/>
    <w:rsid w:val="000868E5"/>
    <w:rsid w:val="000925EA"/>
    <w:rsid w:val="00093898"/>
    <w:rsid w:val="000A5321"/>
    <w:rsid w:val="000B1105"/>
    <w:rsid w:val="000B12EE"/>
    <w:rsid w:val="000B1B53"/>
    <w:rsid w:val="000B2895"/>
    <w:rsid w:val="000C1027"/>
    <w:rsid w:val="000C18E1"/>
    <w:rsid w:val="000D5541"/>
    <w:rsid w:val="000D652A"/>
    <w:rsid w:val="000E725D"/>
    <w:rsid w:val="00100FCC"/>
    <w:rsid w:val="00102D03"/>
    <w:rsid w:val="00130570"/>
    <w:rsid w:val="001368DE"/>
    <w:rsid w:val="00140C5B"/>
    <w:rsid w:val="00150C34"/>
    <w:rsid w:val="00154535"/>
    <w:rsid w:val="0015668D"/>
    <w:rsid w:val="0016459F"/>
    <w:rsid w:val="00170A52"/>
    <w:rsid w:val="00176CD6"/>
    <w:rsid w:val="0017767A"/>
    <w:rsid w:val="00185277"/>
    <w:rsid w:val="001856DE"/>
    <w:rsid w:val="0018685B"/>
    <w:rsid w:val="001953D3"/>
    <w:rsid w:val="001C0D0F"/>
    <w:rsid w:val="001C1EAD"/>
    <w:rsid w:val="001C2F60"/>
    <w:rsid w:val="001C6D0D"/>
    <w:rsid w:val="001D18E7"/>
    <w:rsid w:val="001E15F3"/>
    <w:rsid w:val="001F3DDD"/>
    <w:rsid w:val="001F4F89"/>
    <w:rsid w:val="0020013B"/>
    <w:rsid w:val="00225DCD"/>
    <w:rsid w:val="0023358D"/>
    <w:rsid w:val="00235559"/>
    <w:rsid w:val="00240744"/>
    <w:rsid w:val="00245DCF"/>
    <w:rsid w:val="0025606D"/>
    <w:rsid w:val="00264626"/>
    <w:rsid w:val="002714D4"/>
    <w:rsid w:val="002733B3"/>
    <w:rsid w:val="00276239"/>
    <w:rsid w:val="00281DC4"/>
    <w:rsid w:val="00282839"/>
    <w:rsid w:val="00283CA1"/>
    <w:rsid w:val="00290797"/>
    <w:rsid w:val="002B15CD"/>
    <w:rsid w:val="002B5189"/>
    <w:rsid w:val="002C04C2"/>
    <w:rsid w:val="002C1C0D"/>
    <w:rsid w:val="002C5F0D"/>
    <w:rsid w:val="002D0C50"/>
    <w:rsid w:val="002D4189"/>
    <w:rsid w:val="002D7692"/>
    <w:rsid w:val="002E0D69"/>
    <w:rsid w:val="002E31A2"/>
    <w:rsid w:val="002E5C62"/>
    <w:rsid w:val="002F3CB5"/>
    <w:rsid w:val="002F421C"/>
    <w:rsid w:val="003010A2"/>
    <w:rsid w:val="00302525"/>
    <w:rsid w:val="00315427"/>
    <w:rsid w:val="00322573"/>
    <w:rsid w:val="00322DD7"/>
    <w:rsid w:val="003233E0"/>
    <w:rsid w:val="003259E9"/>
    <w:rsid w:val="0032698D"/>
    <w:rsid w:val="0033005B"/>
    <w:rsid w:val="003352CE"/>
    <w:rsid w:val="00341734"/>
    <w:rsid w:val="00341E1B"/>
    <w:rsid w:val="00342ECD"/>
    <w:rsid w:val="00346956"/>
    <w:rsid w:val="00346AFE"/>
    <w:rsid w:val="003511F8"/>
    <w:rsid w:val="003553FF"/>
    <w:rsid w:val="00364C8B"/>
    <w:rsid w:val="0036725D"/>
    <w:rsid w:val="003819A4"/>
    <w:rsid w:val="00382EC5"/>
    <w:rsid w:val="003926C8"/>
    <w:rsid w:val="0039472C"/>
    <w:rsid w:val="0039576F"/>
    <w:rsid w:val="00397F02"/>
    <w:rsid w:val="003C0422"/>
    <w:rsid w:val="003C2F48"/>
    <w:rsid w:val="003C3AAE"/>
    <w:rsid w:val="003C7B08"/>
    <w:rsid w:val="003D5E14"/>
    <w:rsid w:val="003E2EE8"/>
    <w:rsid w:val="003E31E5"/>
    <w:rsid w:val="003E5374"/>
    <w:rsid w:val="003E5F71"/>
    <w:rsid w:val="003F15E7"/>
    <w:rsid w:val="003F4955"/>
    <w:rsid w:val="003F52B1"/>
    <w:rsid w:val="003F6289"/>
    <w:rsid w:val="00402B50"/>
    <w:rsid w:val="004046AE"/>
    <w:rsid w:val="00406F75"/>
    <w:rsid w:val="00411AEE"/>
    <w:rsid w:val="00412BC0"/>
    <w:rsid w:val="004274F6"/>
    <w:rsid w:val="00427B0C"/>
    <w:rsid w:val="00437861"/>
    <w:rsid w:val="00446F20"/>
    <w:rsid w:val="00455F51"/>
    <w:rsid w:val="0046408C"/>
    <w:rsid w:val="00465985"/>
    <w:rsid w:val="0046648A"/>
    <w:rsid w:val="0046774A"/>
    <w:rsid w:val="00472150"/>
    <w:rsid w:val="0047243E"/>
    <w:rsid w:val="0047351B"/>
    <w:rsid w:val="00480ADD"/>
    <w:rsid w:val="004816CA"/>
    <w:rsid w:val="004828FB"/>
    <w:rsid w:val="00485CB3"/>
    <w:rsid w:val="00492D93"/>
    <w:rsid w:val="00497606"/>
    <w:rsid w:val="004A6C39"/>
    <w:rsid w:val="004C08B1"/>
    <w:rsid w:val="004C3F0D"/>
    <w:rsid w:val="004C654C"/>
    <w:rsid w:val="004C767D"/>
    <w:rsid w:val="004D2300"/>
    <w:rsid w:val="004D392F"/>
    <w:rsid w:val="004D3DE7"/>
    <w:rsid w:val="004F0906"/>
    <w:rsid w:val="004F1592"/>
    <w:rsid w:val="004F5E9C"/>
    <w:rsid w:val="004F6EFF"/>
    <w:rsid w:val="004F779D"/>
    <w:rsid w:val="00503A10"/>
    <w:rsid w:val="005040D7"/>
    <w:rsid w:val="0050487A"/>
    <w:rsid w:val="0050690B"/>
    <w:rsid w:val="0051195C"/>
    <w:rsid w:val="00513CC6"/>
    <w:rsid w:val="005142C4"/>
    <w:rsid w:val="00515C51"/>
    <w:rsid w:val="00522994"/>
    <w:rsid w:val="00531A3D"/>
    <w:rsid w:val="00533108"/>
    <w:rsid w:val="005338CB"/>
    <w:rsid w:val="005429ED"/>
    <w:rsid w:val="00545CA0"/>
    <w:rsid w:val="00547E3B"/>
    <w:rsid w:val="005552E0"/>
    <w:rsid w:val="00561253"/>
    <w:rsid w:val="005659B1"/>
    <w:rsid w:val="00571E1E"/>
    <w:rsid w:val="00572DD3"/>
    <w:rsid w:val="00576FDF"/>
    <w:rsid w:val="00595530"/>
    <w:rsid w:val="00595640"/>
    <w:rsid w:val="00597626"/>
    <w:rsid w:val="005A0574"/>
    <w:rsid w:val="005A6362"/>
    <w:rsid w:val="005A6BE2"/>
    <w:rsid w:val="005A6FB4"/>
    <w:rsid w:val="005B2863"/>
    <w:rsid w:val="005B41A8"/>
    <w:rsid w:val="005B54F2"/>
    <w:rsid w:val="005B6685"/>
    <w:rsid w:val="005C1363"/>
    <w:rsid w:val="005C361B"/>
    <w:rsid w:val="005C7712"/>
    <w:rsid w:val="005D65C9"/>
    <w:rsid w:val="005D67FF"/>
    <w:rsid w:val="005D76F8"/>
    <w:rsid w:val="005D78C9"/>
    <w:rsid w:val="005E0AA3"/>
    <w:rsid w:val="005E17AB"/>
    <w:rsid w:val="005E5FCA"/>
    <w:rsid w:val="00602BE7"/>
    <w:rsid w:val="00605F2A"/>
    <w:rsid w:val="0060685C"/>
    <w:rsid w:val="00606A43"/>
    <w:rsid w:val="006306E9"/>
    <w:rsid w:val="00635546"/>
    <w:rsid w:val="00641E21"/>
    <w:rsid w:val="00642BF1"/>
    <w:rsid w:val="00643DF9"/>
    <w:rsid w:val="00654E77"/>
    <w:rsid w:val="006568CD"/>
    <w:rsid w:val="00666CB7"/>
    <w:rsid w:val="00667796"/>
    <w:rsid w:val="00674B54"/>
    <w:rsid w:val="00677E49"/>
    <w:rsid w:val="0068185C"/>
    <w:rsid w:val="006835D9"/>
    <w:rsid w:val="006841B2"/>
    <w:rsid w:val="00686543"/>
    <w:rsid w:val="0068681D"/>
    <w:rsid w:val="006A6CEB"/>
    <w:rsid w:val="006A7B84"/>
    <w:rsid w:val="006B4753"/>
    <w:rsid w:val="006C5EC5"/>
    <w:rsid w:val="006D1E53"/>
    <w:rsid w:val="006F055E"/>
    <w:rsid w:val="006F0E0F"/>
    <w:rsid w:val="00701445"/>
    <w:rsid w:val="0070375D"/>
    <w:rsid w:val="00715BF1"/>
    <w:rsid w:val="007161C5"/>
    <w:rsid w:val="0071751D"/>
    <w:rsid w:val="00723CCF"/>
    <w:rsid w:val="0074363D"/>
    <w:rsid w:val="007465D1"/>
    <w:rsid w:val="0076041D"/>
    <w:rsid w:val="00762943"/>
    <w:rsid w:val="007641DC"/>
    <w:rsid w:val="007703C5"/>
    <w:rsid w:val="00784E79"/>
    <w:rsid w:val="00784F64"/>
    <w:rsid w:val="00793367"/>
    <w:rsid w:val="007A1057"/>
    <w:rsid w:val="007A66F0"/>
    <w:rsid w:val="007B4258"/>
    <w:rsid w:val="007E21C9"/>
    <w:rsid w:val="007E3A7F"/>
    <w:rsid w:val="007F39AE"/>
    <w:rsid w:val="00802CDC"/>
    <w:rsid w:val="008047B2"/>
    <w:rsid w:val="0081669E"/>
    <w:rsid w:val="00825389"/>
    <w:rsid w:val="0082652B"/>
    <w:rsid w:val="0084045D"/>
    <w:rsid w:val="0084378E"/>
    <w:rsid w:val="00853954"/>
    <w:rsid w:val="0085403D"/>
    <w:rsid w:val="00863D40"/>
    <w:rsid w:val="008659CB"/>
    <w:rsid w:val="0086685D"/>
    <w:rsid w:val="00867B50"/>
    <w:rsid w:val="00880B83"/>
    <w:rsid w:val="008827CA"/>
    <w:rsid w:val="00882953"/>
    <w:rsid w:val="00885095"/>
    <w:rsid w:val="008858A3"/>
    <w:rsid w:val="008871F8"/>
    <w:rsid w:val="00887B0B"/>
    <w:rsid w:val="00887F89"/>
    <w:rsid w:val="00891D05"/>
    <w:rsid w:val="008A0DCD"/>
    <w:rsid w:val="008A3991"/>
    <w:rsid w:val="008A5FE9"/>
    <w:rsid w:val="008B0FFC"/>
    <w:rsid w:val="008C3FA2"/>
    <w:rsid w:val="008C5100"/>
    <w:rsid w:val="008C5612"/>
    <w:rsid w:val="008E20C7"/>
    <w:rsid w:val="008E4C65"/>
    <w:rsid w:val="008E5024"/>
    <w:rsid w:val="008F0F55"/>
    <w:rsid w:val="008F60AE"/>
    <w:rsid w:val="00902A9D"/>
    <w:rsid w:val="00904A16"/>
    <w:rsid w:val="00907BFB"/>
    <w:rsid w:val="00910D2B"/>
    <w:rsid w:val="0091115C"/>
    <w:rsid w:val="009200FD"/>
    <w:rsid w:val="009224F5"/>
    <w:rsid w:val="009331F3"/>
    <w:rsid w:val="00937B02"/>
    <w:rsid w:val="00946EF0"/>
    <w:rsid w:val="00950D83"/>
    <w:rsid w:val="00957917"/>
    <w:rsid w:val="0096304A"/>
    <w:rsid w:val="0097206F"/>
    <w:rsid w:val="009738E6"/>
    <w:rsid w:val="00973A41"/>
    <w:rsid w:val="0097680B"/>
    <w:rsid w:val="0098552F"/>
    <w:rsid w:val="00992E7A"/>
    <w:rsid w:val="00995570"/>
    <w:rsid w:val="009A2BC2"/>
    <w:rsid w:val="009A3179"/>
    <w:rsid w:val="009B25A6"/>
    <w:rsid w:val="009B345C"/>
    <w:rsid w:val="009B7C82"/>
    <w:rsid w:val="009B7F27"/>
    <w:rsid w:val="009C05DD"/>
    <w:rsid w:val="009C5731"/>
    <w:rsid w:val="009D183F"/>
    <w:rsid w:val="009E4089"/>
    <w:rsid w:val="009E5D93"/>
    <w:rsid w:val="009F0A3E"/>
    <w:rsid w:val="009F0F12"/>
    <w:rsid w:val="009F27AE"/>
    <w:rsid w:val="00A02FA8"/>
    <w:rsid w:val="00A1268C"/>
    <w:rsid w:val="00A127A3"/>
    <w:rsid w:val="00A14E0E"/>
    <w:rsid w:val="00A16285"/>
    <w:rsid w:val="00A16406"/>
    <w:rsid w:val="00A21AF5"/>
    <w:rsid w:val="00A2357F"/>
    <w:rsid w:val="00A251B1"/>
    <w:rsid w:val="00A56CBA"/>
    <w:rsid w:val="00A576F6"/>
    <w:rsid w:val="00A57B48"/>
    <w:rsid w:val="00A70306"/>
    <w:rsid w:val="00A71163"/>
    <w:rsid w:val="00A74AB1"/>
    <w:rsid w:val="00A74D09"/>
    <w:rsid w:val="00A759FE"/>
    <w:rsid w:val="00A805CA"/>
    <w:rsid w:val="00A831CC"/>
    <w:rsid w:val="00A93F82"/>
    <w:rsid w:val="00A95800"/>
    <w:rsid w:val="00A96824"/>
    <w:rsid w:val="00AA1AEA"/>
    <w:rsid w:val="00AA5AD3"/>
    <w:rsid w:val="00AB125D"/>
    <w:rsid w:val="00AB2018"/>
    <w:rsid w:val="00AB2CC7"/>
    <w:rsid w:val="00AD7110"/>
    <w:rsid w:val="00AD7768"/>
    <w:rsid w:val="00AE1BAD"/>
    <w:rsid w:val="00B022A5"/>
    <w:rsid w:val="00B0624D"/>
    <w:rsid w:val="00B14F51"/>
    <w:rsid w:val="00B21FEB"/>
    <w:rsid w:val="00B27537"/>
    <w:rsid w:val="00B27782"/>
    <w:rsid w:val="00B37863"/>
    <w:rsid w:val="00B527F0"/>
    <w:rsid w:val="00B55816"/>
    <w:rsid w:val="00B56AF7"/>
    <w:rsid w:val="00B64A6A"/>
    <w:rsid w:val="00B72182"/>
    <w:rsid w:val="00B72576"/>
    <w:rsid w:val="00B73926"/>
    <w:rsid w:val="00B742AA"/>
    <w:rsid w:val="00B76343"/>
    <w:rsid w:val="00B82D32"/>
    <w:rsid w:val="00B83B9F"/>
    <w:rsid w:val="00B847DA"/>
    <w:rsid w:val="00BA2418"/>
    <w:rsid w:val="00BA497D"/>
    <w:rsid w:val="00BA77DA"/>
    <w:rsid w:val="00BB1988"/>
    <w:rsid w:val="00BB534C"/>
    <w:rsid w:val="00BC61E2"/>
    <w:rsid w:val="00BD0A5C"/>
    <w:rsid w:val="00BD364F"/>
    <w:rsid w:val="00BD7B65"/>
    <w:rsid w:val="00BE4F6F"/>
    <w:rsid w:val="00BF2190"/>
    <w:rsid w:val="00BF3DAE"/>
    <w:rsid w:val="00BF6AF3"/>
    <w:rsid w:val="00BF7248"/>
    <w:rsid w:val="00C0011A"/>
    <w:rsid w:val="00C04DD7"/>
    <w:rsid w:val="00C05D16"/>
    <w:rsid w:val="00C05DC9"/>
    <w:rsid w:val="00C06427"/>
    <w:rsid w:val="00C14A3C"/>
    <w:rsid w:val="00C179B3"/>
    <w:rsid w:val="00C17EB8"/>
    <w:rsid w:val="00C24EC3"/>
    <w:rsid w:val="00C25A06"/>
    <w:rsid w:val="00C278C3"/>
    <w:rsid w:val="00C30146"/>
    <w:rsid w:val="00C35791"/>
    <w:rsid w:val="00C419DE"/>
    <w:rsid w:val="00C46316"/>
    <w:rsid w:val="00C46C0C"/>
    <w:rsid w:val="00C4789A"/>
    <w:rsid w:val="00C50E7D"/>
    <w:rsid w:val="00C52998"/>
    <w:rsid w:val="00C529A0"/>
    <w:rsid w:val="00C550BF"/>
    <w:rsid w:val="00C63B4E"/>
    <w:rsid w:val="00C72AF4"/>
    <w:rsid w:val="00C756E9"/>
    <w:rsid w:val="00C75B91"/>
    <w:rsid w:val="00C75D0E"/>
    <w:rsid w:val="00C7678A"/>
    <w:rsid w:val="00C80F33"/>
    <w:rsid w:val="00C9591C"/>
    <w:rsid w:val="00C97E08"/>
    <w:rsid w:val="00CB3778"/>
    <w:rsid w:val="00CB3C8A"/>
    <w:rsid w:val="00CB74FE"/>
    <w:rsid w:val="00CC2049"/>
    <w:rsid w:val="00CC3A34"/>
    <w:rsid w:val="00CC69F7"/>
    <w:rsid w:val="00CC73D9"/>
    <w:rsid w:val="00CD0577"/>
    <w:rsid w:val="00CF0F98"/>
    <w:rsid w:val="00CF132C"/>
    <w:rsid w:val="00CF25B1"/>
    <w:rsid w:val="00CF5FE1"/>
    <w:rsid w:val="00CF6838"/>
    <w:rsid w:val="00CF6AB4"/>
    <w:rsid w:val="00D0607A"/>
    <w:rsid w:val="00D10578"/>
    <w:rsid w:val="00D12B44"/>
    <w:rsid w:val="00D1521C"/>
    <w:rsid w:val="00D24C1E"/>
    <w:rsid w:val="00D24E4D"/>
    <w:rsid w:val="00D2588E"/>
    <w:rsid w:val="00D26C08"/>
    <w:rsid w:val="00D34A5E"/>
    <w:rsid w:val="00D52B3F"/>
    <w:rsid w:val="00D53338"/>
    <w:rsid w:val="00D5615F"/>
    <w:rsid w:val="00D56B84"/>
    <w:rsid w:val="00D646A9"/>
    <w:rsid w:val="00D67950"/>
    <w:rsid w:val="00D7164F"/>
    <w:rsid w:val="00D95D7D"/>
    <w:rsid w:val="00DA0931"/>
    <w:rsid w:val="00DA4D63"/>
    <w:rsid w:val="00DA6CAB"/>
    <w:rsid w:val="00DB33FA"/>
    <w:rsid w:val="00DB3AF6"/>
    <w:rsid w:val="00DB716A"/>
    <w:rsid w:val="00DD79E9"/>
    <w:rsid w:val="00DE1D28"/>
    <w:rsid w:val="00DE3B1B"/>
    <w:rsid w:val="00DF23D1"/>
    <w:rsid w:val="00E06647"/>
    <w:rsid w:val="00E232F8"/>
    <w:rsid w:val="00E24DAF"/>
    <w:rsid w:val="00E338A0"/>
    <w:rsid w:val="00E35F1A"/>
    <w:rsid w:val="00E37D79"/>
    <w:rsid w:val="00E43FB1"/>
    <w:rsid w:val="00E4642D"/>
    <w:rsid w:val="00E60E86"/>
    <w:rsid w:val="00E76C60"/>
    <w:rsid w:val="00E76F2A"/>
    <w:rsid w:val="00E84842"/>
    <w:rsid w:val="00E86CA5"/>
    <w:rsid w:val="00E87460"/>
    <w:rsid w:val="00E973B3"/>
    <w:rsid w:val="00E97B8E"/>
    <w:rsid w:val="00EA3A5B"/>
    <w:rsid w:val="00EB1400"/>
    <w:rsid w:val="00EB1FD8"/>
    <w:rsid w:val="00EB6BA8"/>
    <w:rsid w:val="00EB7A3E"/>
    <w:rsid w:val="00EC2ADF"/>
    <w:rsid w:val="00EC341D"/>
    <w:rsid w:val="00EC5292"/>
    <w:rsid w:val="00ED0B29"/>
    <w:rsid w:val="00ED6D66"/>
    <w:rsid w:val="00EF4C87"/>
    <w:rsid w:val="00EF6BFD"/>
    <w:rsid w:val="00F00A93"/>
    <w:rsid w:val="00F023A4"/>
    <w:rsid w:val="00F060DE"/>
    <w:rsid w:val="00F06BEE"/>
    <w:rsid w:val="00F135C4"/>
    <w:rsid w:val="00F13D93"/>
    <w:rsid w:val="00F14A31"/>
    <w:rsid w:val="00F17676"/>
    <w:rsid w:val="00F208A1"/>
    <w:rsid w:val="00F21979"/>
    <w:rsid w:val="00F22CBF"/>
    <w:rsid w:val="00F25B50"/>
    <w:rsid w:val="00F25DFE"/>
    <w:rsid w:val="00F312E6"/>
    <w:rsid w:val="00F3192F"/>
    <w:rsid w:val="00F35817"/>
    <w:rsid w:val="00F3640E"/>
    <w:rsid w:val="00F4248C"/>
    <w:rsid w:val="00F46717"/>
    <w:rsid w:val="00F615EA"/>
    <w:rsid w:val="00F6397C"/>
    <w:rsid w:val="00F63E44"/>
    <w:rsid w:val="00F640AC"/>
    <w:rsid w:val="00F6691A"/>
    <w:rsid w:val="00F67E7B"/>
    <w:rsid w:val="00F773CE"/>
    <w:rsid w:val="00F80542"/>
    <w:rsid w:val="00F87345"/>
    <w:rsid w:val="00F90649"/>
    <w:rsid w:val="00F96FDC"/>
    <w:rsid w:val="00FA5495"/>
    <w:rsid w:val="00FA5CC9"/>
    <w:rsid w:val="00FB5BB7"/>
    <w:rsid w:val="00FB5CEA"/>
    <w:rsid w:val="00FB6608"/>
    <w:rsid w:val="00FC2781"/>
    <w:rsid w:val="00FC62B6"/>
    <w:rsid w:val="00FC7DAC"/>
    <w:rsid w:val="00FD2818"/>
    <w:rsid w:val="00FE2B63"/>
    <w:rsid w:val="00FF010C"/>
    <w:rsid w:val="00FF01C0"/>
    <w:rsid w:val="00FF1527"/>
    <w:rsid w:val="00FF6B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uiPriority="99"/>
    <w:lsdException w:name="index 2" w:uiPriority="99"/>
    <w:lsdException w:name="index 6" w:locked="1"/>
    <w:lsdException w:name="index 7" w:locked="1"/>
    <w:lsdException w:name="index 8" w:locked="1"/>
    <w:lsdException w:name="index 9" w:locked="1"/>
    <w:lsdException w:name="toc 1" w:uiPriority="39"/>
    <w:lsdException w:name="toc 2" w:uiPriority="39"/>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index heading" w:uiPriority="99"/>
    <w:lsdException w:name="caption" w:locked="1" w:semiHidden="1" w:unhideWhenUsed="1" w:qFormat="1"/>
    <w:lsdException w:name="table of figures" w:qFormat="1"/>
    <w:lsdException w:name="envelope address" w:locked="1"/>
    <w:lsdException w:name="envelope return" w:locked="1"/>
    <w:lsdException w:name="footnote reference" w:locked="1"/>
    <w:lsdException w:name="annotation reference" w:locked="1" w:uiPriority="99"/>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lsdException w:name="Emphasis" w:locked="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B534C"/>
    <w:pPr>
      <w:spacing w:after="120"/>
    </w:pPr>
    <w:rPr>
      <w:rFonts w:ascii="Garamond" w:hAnsi="Garamond"/>
      <w:sz w:val="22"/>
      <w:lang w:eastAsia="en-US"/>
    </w:rPr>
  </w:style>
  <w:style w:type="paragraph" w:styleId="Heading1">
    <w:name w:val="heading 1"/>
    <w:basedOn w:val="Normal"/>
    <w:next w:val="Normal"/>
    <w:link w:val="Heading1Char"/>
    <w:qFormat/>
    <w:rsid w:val="00397F02"/>
    <w:pPr>
      <w:keepNext/>
      <w:spacing w:before="360"/>
      <w:outlineLvl w:val="0"/>
    </w:pPr>
    <w:rPr>
      <w:rFonts w:ascii="Calibri" w:hAnsi="Calibri"/>
      <w:b/>
      <w:caps/>
      <w:sz w:val="26"/>
      <w:szCs w:val="22"/>
    </w:rPr>
  </w:style>
  <w:style w:type="paragraph" w:styleId="Heading2">
    <w:name w:val="heading 2"/>
    <w:basedOn w:val="Normal"/>
    <w:next w:val="Normal"/>
    <w:link w:val="Heading2Char"/>
    <w:qFormat/>
    <w:rsid w:val="00397F02"/>
    <w:pPr>
      <w:keepNext/>
      <w:spacing w:before="240"/>
      <w:outlineLvl w:val="1"/>
    </w:pPr>
    <w:rPr>
      <w:rFonts w:ascii="Calibri" w:hAnsi="Calibri"/>
      <w:b/>
      <w:kern w:val="28"/>
      <w:sz w:val="26"/>
      <w:szCs w:val="22"/>
    </w:rPr>
  </w:style>
  <w:style w:type="paragraph" w:styleId="Heading3">
    <w:name w:val="heading 3"/>
    <w:basedOn w:val="Normal"/>
    <w:next w:val="Normal"/>
    <w:link w:val="Heading3Char"/>
    <w:qFormat/>
    <w:rsid w:val="00397F02"/>
    <w:pPr>
      <w:keepNext/>
      <w:spacing w:before="240"/>
      <w:outlineLvl w:val="2"/>
    </w:pPr>
    <w:rPr>
      <w:rFonts w:ascii="Calibri" w:hAnsi="Calibri"/>
      <w:b/>
      <w:i/>
      <w:kern w:val="28"/>
      <w:sz w:val="24"/>
      <w:szCs w:val="22"/>
    </w:rPr>
  </w:style>
  <w:style w:type="paragraph" w:styleId="Heading4">
    <w:name w:val="heading 4"/>
    <w:basedOn w:val="Normal"/>
    <w:next w:val="Normal"/>
    <w:link w:val="Heading4Char"/>
    <w:qFormat/>
    <w:rsid w:val="00397F02"/>
    <w:pPr>
      <w:keepNext/>
      <w:spacing w:before="240"/>
      <w:outlineLvl w:val="3"/>
    </w:pPr>
    <w:rPr>
      <w:rFonts w:ascii="Calibri" w:hAnsi="Calibri"/>
      <w:i/>
      <w:sz w:val="24"/>
      <w:szCs w:val="22"/>
    </w:rPr>
  </w:style>
  <w:style w:type="paragraph" w:styleId="Heading5">
    <w:name w:val="heading 5"/>
    <w:basedOn w:val="Normal"/>
    <w:next w:val="Normal"/>
    <w:link w:val="Heading5Char"/>
    <w:qFormat/>
    <w:rsid w:val="00F14A31"/>
    <w:pPr>
      <w:keepNext/>
      <w:tabs>
        <w:tab w:val="left" w:pos="504"/>
      </w:tabs>
      <w:spacing w:before="120" w:after="60"/>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qFormat/>
    <w:rsid w:val="00A831CC"/>
    <w:pPr>
      <w:spacing w:after="0"/>
      <w:jc w:val="center"/>
    </w:pPr>
    <w:rPr>
      <w:rFonts w:ascii="Calibri" w:hAnsi="Calibri"/>
      <w:i/>
      <w:sz w:val="18"/>
      <w:szCs w:val="18"/>
    </w:rPr>
  </w:style>
  <w:style w:type="paragraph" w:styleId="TableofFigures">
    <w:name w:val="table of figures"/>
    <w:basedOn w:val="Normal"/>
    <w:next w:val="Normal"/>
    <w:link w:val="TableofFiguresChar"/>
    <w:qFormat/>
    <w:rsid w:val="00397F02"/>
    <w:pPr>
      <w:spacing w:after="0"/>
      <w:jc w:val="right"/>
    </w:pPr>
    <w:rPr>
      <w:rFonts w:ascii="Calibri" w:hAnsi="Calibri"/>
      <w:sz w:val="20"/>
      <w:szCs w:val="18"/>
    </w:rPr>
  </w:style>
  <w:style w:type="character" w:customStyle="1" w:styleId="TableofFiguresChar">
    <w:name w:val="Table of Figures Char"/>
    <w:link w:val="TableofFigures"/>
    <w:rsid w:val="00A14E0E"/>
    <w:rPr>
      <w:rFonts w:ascii="Calibri" w:hAnsi="Calibri"/>
      <w:szCs w:val="18"/>
      <w:lang w:val="en-AU" w:eastAsia="en-US" w:bidi="ar-SA"/>
    </w:rPr>
  </w:style>
  <w:style w:type="paragraph" w:customStyle="1" w:styleId="BP4Figures">
    <w:name w:val="BP4 Figures"/>
    <w:basedOn w:val="TableofFigures"/>
    <w:rsid w:val="00A831CC"/>
    <w:pPr>
      <w:spacing w:after="20"/>
    </w:pPr>
  </w:style>
  <w:style w:type="paragraph" w:customStyle="1" w:styleId="Tabletextheading">
    <w:name w:val="Table text heading"/>
    <w:basedOn w:val="TableofFigures"/>
    <w:link w:val="TabletextheadingChar"/>
    <w:qFormat/>
    <w:rsid w:val="00A831CC"/>
    <w:rPr>
      <w:i/>
    </w:rPr>
  </w:style>
  <w:style w:type="paragraph" w:customStyle="1" w:styleId="BP4headingr">
    <w:name w:val="BP4 heading r"/>
    <w:basedOn w:val="Tabletextheading"/>
    <w:rsid w:val="00A831CC"/>
  </w:style>
  <w:style w:type="paragraph" w:customStyle="1" w:styleId="BP4headingl">
    <w:name w:val="BP4 heading l"/>
    <w:basedOn w:val="BP4headingr"/>
    <w:rsid w:val="00A831CC"/>
    <w:pPr>
      <w:jc w:val="left"/>
    </w:pPr>
  </w:style>
  <w:style w:type="paragraph" w:customStyle="1" w:styleId="Tabletext">
    <w:name w:val="Table text"/>
    <w:basedOn w:val="TableofFigures"/>
    <w:qFormat/>
    <w:rsid w:val="00A831CC"/>
    <w:pPr>
      <w:ind w:left="180" w:hanging="180"/>
      <w:jc w:val="left"/>
    </w:pPr>
  </w:style>
  <w:style w:type="paragraph" w:customStyle="1" w:styleId="BP4tabletext">
    <w:name w:val="BP4 table text"/>
    <w:basedOn w:val="Tabletext"/>
    <w:rsid w:val="00A831CC"/>
    <w:pPr>
      <w:spacing w:after="20"/>
      <w:ind w:left="72" w:hanging="72"/>
    </w:pPr>
  </w:style>
  <w:style w:type="paragraph" w:customStyle="1" w:styleId="Tableheading">
    <w:name w:val="Table heading"/>
    <w:basedOn w:val="Normal"/>
    <w:link w:val="TableheadingChar"/>
    <w:qFormat/>
    <w:rsid w:val="009E5D93"/>
    <w:pPr>
      <w:keepNext/>
      <w:spacing w:before="240"/>
      <w:ind w:left="1152" w:hanging="1152"/>
    </w:pPr>
    <w:rPr>
      <w:rFonts w:ascii="Calibri" w:hAnsi="Calibri"/>
      <w:b/>
    </w:rPr>
  </w:style>
  <w:style w:type="table" w:styleId="TableGrid">
    <w:name w:val="Table Grid"/>
    <w:basedOn w:val="TableNormal"/>
    <w:semiHidden/>
    <w:locked/>
    <w:rsid w:val="005E17AB"/>
    <w:pPr>
      <w:spacing w:after="120"/>
      <w:jc w:val="both"/>
    </w:pPr>
    <w:rPr>
      <w:rFonts w:ascii="Calibri" w:hAnsi="Calibri"/>
    </w:rPr>
    <w:tblPr>
      <w:tblInd w:w="0" w:type="dxa"/>
      <w:tblCellMar>
        <w:top w:w="0" w:type="dxa"/>
        <w:left w:w="108" w:type="dxa"/>
        <w:bottom w:w="0" w:type="dxa"/>
        <w:right w:w="108" w:type="dxa"/>
      </w:tblCellMar>
    </w:tblPr>
  </w:style>
  <w:style w:type="paragraph" w:customStyle="1" w:styleId="BulletText">
    <w:name w:val="Bullet Text"/>
    <w:basedOn w:val="Normal"/>
    <w:link w:val="BulletTextChar"/>
    <w:qFormat/>
    <w:rsid w:val="00CB74FE"/>
    <w:pPr>
      <w:numPr>
        <w:numId w:val="4"/>
      </w:numPr>
    </w:pPr>
  </w:style>
  <w:style w:type="paragraph" w:customStyle="1" w:styleId="ChapterHeading">
    <w:name w:val="Chapter Heading"/>
    <w:basedOn w:val="Normal"/>
    <w:next w:val="Heading1"/>
    <w:qFormat/>
    <w:rsid w:val="00C75B91"/>
    <w:pPr>
      <w:keepNext/>
      <w:pBdr>
        <w:bottom w:val="single" w:sz="12" w:space="7" w:color="auto"/>
      </w:pBdr>
      <w:spacing w:before="1440" w:after="360"/>
    </w:pPr>
    <w:rPr>
      <w:rFonts w:ascii="Calibri" w:hAnsi="Calibri"/>
      <w:b/>
      <w:caps/>
      <w:sz w:val="36"/>
      <w:szCs w:val="28"/>
    </w:rPr>
  </w:style>
  <w:style w:type="paragraph" w:customStyle="1" w:styleId="Chartheading">
    <w:name w:val="Chart heading"/>
    <w:basedOn w:val="Tableheading"/>
    <w:next w:val="Normal"/>
    <w:link w:val="ChartheadingChar"/>
    <w:qFormat/>
    <w:rsid w:val="009E5D93"/>
  </w:style>
  <w:style w:type="paragraph" w:styleId="Footer">
    <w:name w:val="footer"/>
    <w:basedOn w:val="Normal"/>
    <w:rsid w:val="00185277"/>
    <w:pPr>
      <w:pBdr>
        <w:top w:val="single" w:sz="6" w:space="1" w:color="auto"/>
      </w:pBdr>
      <w:tabs>
        <w:tab w:val="right" w:pos="7085"/>
      </w:tabs>
    </w:pPr>
    <w:rPr>
      <w:rFonts w:ascii="Calibri" w:hAnsi="Calibri"/>
      <w:sz w:val="20"/>
      <w:szCs w:val="18"/>
    </w:rPr>
  </w:style>
  <w:style w:type="paragraph" w:styleId="Header">
    <w:name w:val="header"/>
    <w:basedOn w:val="Footer"/>
    <w:rsid w:val="00561253"/>
    <w:pPr>
      <w:pBdr>
        <w:top w:val="none" w:sz="0" w:space="0" w:color="auto"/>
      </w:pBdr>
      <w:tabs>
        <w:tab w:val="clear" w:pos="7085"/>
      </w:tabs>
    </w:pPr>
  </w:style>
  <w:style w:type="paragraph" w:customStyle="1" w:styleId="Heading2Notes">
    <w:name w:val="Heading 2 Notes"/>
    <w:basedOn w:val="Heading2"/>
    <w:rsid w:val="003E5374"/>
    <w:pPr>
      <w:tabs>
        <w:tab w:val="left" w:pos="1152"/>
      </w:tabs>
      <w:ind w:left="1152" w:hanging="1152"/>
    </w:pPr>
  </w:style>
  <w:style w:type="paragraph" w:customStyle="1" w:styleId="Notes">
    <w:name w:val="Notes"/>
    <w:basedOn w:val="Normal"/>
    <w:link w:val="NotesChar"/>
    <w:qFormat/>
    <w:rsid w:val="00C24EC3"/>
    <w:pPr>
      <w:tabs>
        <w:tab w:val="left" w:pos="454"/>
      </w:tabs>
      <w:spacing w:after="0"/>
      <w:ind w:left="461" w:hanging="461"/>
    </w:pPr>
    <w:rPr>
      <w:rFonts w:ascii="Calibri" w:hAnsi="Calibri"/>
      <w:i/>
      <w:sz w:val="15"/>
    </w:rPr>
  </w:style>
  <w:style w:type="paragraph" w:customStyle="1" w:styleId="OGBullet">
    <w:name w:val="OGBullet"/>
    <w:basedOn w:val="Normal"/>
    <w:rsid w:val="00397F02"/>
    <w:pPr>
      <w:numPr>
        <w:numId w:val="1"/>
      </w:numPr>
    </w:pPr>
    <w:rPr>
      <w:rFonts w:ascii="Calibri" w:hAnsi="Calibri"/>
      <w:sz w:val="20"/>
      <w:szCs w:val="18"/>
    </w:rPr>
  </w:style>
  <w:style w:type="paragraph" w:customStyle="1" w:styleId="OGHeading1">
    <w:name w:val="OGHeading1"/>
    <w:basedOn w:val="Normal"/>
    <w:rsid w:val="00397F02"/>
    <w:rPr>
      <w:rFonts w:ascii="Calibri" w:hAnsi="Calibri"/>
      <w:b/>
      <w:sz w:val="32"/>
      <w:szCs w:val="28"/>
    </w:rPr>
  </w:style>
  <w:style w:type="paragraph" w:customStyle="1" w:styleId="OGHeading2">
    <w:name w:val="OGHeading2"/>
    <w:basedOn w:val="Normal"/>
    <w:link w:val="OGHeading2Char"/>
    <w:rsid w:val="00397F02"/>
    <w:pPr>
      <w:keepNext/>
      <w:spacing w:before="60"/>
    </w:pPr>
    <w:rPr>
      <w:rFonts w:ascii="Calibri" w:hAnsi="Calibri"/>
      <w:b/>
      <w:sz w:val="28"/>
      <w:szCs w:val="24"/>
    </w:rPr>
  </w:style>
  <w:style w:type="character" w:customStyle="1" w:styleId="OGHeading2Char">
    <w:name w:val="OGHeading2 Char"/>
    <w:link w:val="OGHeading2"/>
    <w:rsid w:val="00A14E0E"/>
    <w:rPr>
      <w:rFonts w:ascii="Calibri" w:hAnsi="Calibri"/>
      <w:b/>
      <w:sz w:val="28"/>
      <w:szCs w:val="24"/>
      <w:lang w:val="en-AU" w:eastAsia="en-US" w:bidi="ar-SA"/>
    </w:rPr>
  </w:style>
  <w:style w:type="paragraph" w:customStyle="1" w:styleId="OGTabHead">
    <w:name w:val="OGTabHead"/>
    <w:basedOn w:val="Normal"/>
    <w:rsid w:val="00882953"/>
    <w:pPr>
      <w:keepNext/>
      <w:keepLines/>
      <w:spacing w:before="30" w:after="30"/>
    </w:pPr>
    <w:rPr>
      <w:rFonts w:ascii="Calibri" w:hAnsi="Calibri"/>
      <w:i/>
      <w:sz w:val="20"/>
      <w:szCs w:val="18"/>
    </w:rPr>
  </w:style>
  <w:style w:type="paragraph" w:customStyle="1" w:styleId="OGTabText">
    <w:name w:val="OGTabText"/>
    <w:basedOn w:val="Normal"/>
    <w:link w:val="OGTabTextChar"/>
    <w:rsid w:val="00882953"/>
    <w:pPr>
      <w:spacing w:before="30" w:after="30"/>
      <w:ind w:left="144"/>
    </w:pPr>
    <w:rPr>
      <w:rFonts w:ascii="Calibri" w:hAnsi="Calibri"/>
      <w:sz w:val="20"/>
      <w:szCs w:val="18"/>
    </w:rPr>
  </w:style>
  <w:style w:type="character" w:customStyle="1" w:styleId="OGTabTextChar">
    <w:name w:val="OGTabText Char"/>
    <w:link w:val="OGTabText"/>
    <w:rsid w:val="00A14E0E"/>
    <w:rPr>
      <w:rFonts w:ascii="Calibri" w:hAnsi="Calibri"/>
      <w:szCs w:val="18"/>
      <w:lang w:val="en-AU" w:eastAsia="en-US" w:bidi="ar-SA"/>
    </w:rPr>
  </w:style>
  <w:style w:type="paragraph" w:customStyle="1" w:styleId="OGText">
    <w:name w:val="OGText"/>
    <w:basedOn w:val="Normal"/>
    <w:link w:val="OGTextChar"/>
    <w:rsid w:val="00882953"/>
    <w:pPr>
      <w:keepNext/>
      <w:spacing w:before="40"/>
    </w:pPr>
    <w:rPr>
      <w:rFonts w:ascii="Calibri" w:hAnsi="Calibri"/>
      <w:sz w:val="20"/>
      <w:szCs w:val="18"/>
    </w:rPr>
  </w:style>
  <w:style w:type="character" w:customStyle="1" w:styleId="OGTextChar">
    <w:name w:val="OGText Char"/>
    <w:link w:val="OGText"/>
    <w:rsid w:val="00A14E0E"/>
    <w:rPr>
      <w:rFonts w:ascii="Calibri" w:hAnsi="Calibri"/>
      <w:szCs w:val="18"/>
      <w:lang w:val="en-AU" w:eastAsia="en-US" w:bidi="ar-SA"/>
    </w:rPr>
  </w:style>
  <w:style w:type="character" w:styleId="PageNumber">
    <w:name w:val="page number"/>
    <w:rsid w:val="00185277"/>
    <w:rPr>
      <w:rFonts w:ascii="Calibri" w:hAnsi="Calibri"/>
      <w:sz w:val="20"/>
    </w:rPr>
  </w:style>
  <w:style w:type="paragraph" w:customStyle="1" w:styleId="Source">
    <w:name w:val="Source"/>
    <w:basedOn w:val="Normal"/>
    <w:next w:val="Normal"/>
    <w:link w:val="SourceChar"/>
    <w:qFormat/>
    <w:locked/>
    <w:rsid w:val="00C24EC3"/>
    <w:rPr>
      <w:rFonts w:ascii="Calibri" w:hAnsi="Calibri"/>
      <w:i/>
      <w:sz w:val="15"/>
    </w:rPr>
  </w:style>
  <w:style w:type="paragraph" w:customStyle="1" w:styleId="TableofContentsheading">
    <w:name w:val="Table of Contents heading"/>
    <w:basedOn w:val="ChapterHeading"/>
    <w:next w:val="Normal"/>
  </w:style>
  <w:style w:type="paragraph" w:customStyle="1" w:styleId="Heading2NotesContd">
    <w:name w:val="Heading 2 Notes Cont'd"/>
    <w:basedOn w:val="Heading2Notes"/>
    <w:rsid w:val="002E5C62"/>
  </w:style>
  <w:style w:type="paragraph" w:customStyle="1" w:styleId="HighlightBoxBullet">
    <w:name w:val="Highlight Box Bullet"/>
    <w:basedOn w:val="Normal"/>
    <w:qFormat/>
    <w:rsid w:val="00100FCC"/>
    <w:pPr>
      <w:numPr>
        <w:numId w:val="2"/>
      </w:numPr>
      <w:shd w:val="pct10" w:color="auto" w:fill="FFFFFF"/>
      <w:tabs>
        <w:tab w:val="clear" w:pos="90"/>
        <w:tab w:val="num" w:pos="360"/>
      </w:tabs>
      <w:ind w:left="360" w:right="43"/>
    </w:pPr>
  </w:style>
  <w:style w:type="paragraph" w:styleId="TOC1">
    <w:name w:val="toc 1"/>
    <w:basedOn w:val="Normal"/>
    <w:next w:val="Normal"/>
    <w:uiPriority w:val="39"/>
    <w:rsid w:val="004816CA"/>
    <w:pPr>
      <w:tabs>
        <w:tab w:val="right" w:leader="dot" w:pos="7740"/>
      </w:tabs>
      <w:spacing w:before="40" w:after="40"/>
      <w:ind w:right="422"/>
    </w:pPr>
    <w:rPr>
      <w:rFonts w:ascii="Calibri" w:hAnsi="Calibri"/>
      <w:b/>
      <w:noProof/>
      <w:sz w:val="24"/>
    </w:rPr>
  </w:style>
  <w:style w:type="paragraph" w:styleId="TOC2">
    <w:name w:val="toc 2"/>
    <w:basedOn w:val="Normal"/>
    <w:next w:val="Normal"/>
    <w:uiPriority w:val="39"/>
    <w:rsid w:val="004816CA"/>
    <w:pPr>
      <w:tabs>
        <w:tab w:val="right" w:leader="dot" w:pos="7740"/>
      </w:tabs>
      <w:spacing w:after="0"/>
      <w:ind w:left="288" w:right="422"/>
    </w:pPr>
    <w:rPr>
      <w:rFonts w:ascii="Calibri" w:hAnsi="Calibri"/>
      <w:noProof/>
      <w:sz w:val="20"/>
    </w:rPr>
  </w:style>
  <w:style w:type="paragraph" w:styleId="TOC3">
    <w:name w:val="toc 3"/>
    <w:basedOn w:val="Normal"/>
    <w:next w:val="Normal"/>
    <w:rsid w:val="00C72AF4"/>
    <w:pPr>
      <w:tabs>
        <w:tab w:val="right" w:leader="dot" w:pos="7830"/>
      </w:tabs>
      <w:spacing w:after="0"/>
      <w:ind w:left="432" w:right="422"/>
    </w:pPr>
    <w:rPr>
      <w:rFonts w:ascii="Calibri" w:hAnsi="Calibri"/>
      <w:i/>
      <w:sz w:val="20"/>
    </w:rPr>
  </w:style>
  <w:style w:type="paragraph" w:styleId="TOC4">
    <w:name w:val="toc 4"/>
    <w:basedOn w:val="TOC1"/>
    <w:next w:val="Normal"/>
    <w:rsid w:val="00910D2B"/>
    <w:pPr>
      <w:spacing w:after="0"/>
      <w:ind w:left="1152" w:hanging="1152"/>
    </w:pPr>
    <w:rPr>
      <w:b w:val="0"/>
      <w:sz w:val="20"/>
    </w:rPr>
  </w:style>
  <w:style w:type="paragraph" w:styleId="TOC5">
    <w:name w:val="toc 5"/>
    <w:basedOn w:val="TOC1"/>
    <w:next w:val="Normal"/>
    <w:rsid w:val="00910D2B"/>
    <w:rPr>
      <w:b w:val="0"/>
      <w:sz w:val="20"/>
    </w:rPr>
  </w:style>
  <w:style w:type="paragraph" w:customStyle="1" w:styleId="Tableheadingcontinued">
    <w:name w:val="Table heading continued"/>
    <w:basedOn w:val="Tableheading"/>
    <w:rsid w:val="002E5C62"/>
  </w:style>
  <w:style w:type="paragraph" w:customStyle="1" w:styleId="Tabletextcentred">
    <w:name w:val="Table text centred"/>
    <w:basedOn w:val="Tabletext"/>
    <w:rsid w:val="00784F64"/>
    <w:pPr>
      <w:ind w:left="0" w:firstLine="0"/>
      <w:jc w:val="center"/>
    </w:pPr>
  </w:style>
  <w:style w:type="paragraph" w:customStyle="1" w:styleId="Heading3Numbering">
    <w:name w:val="Heading 3 Numbering"/>
    <w:basedOn w:val="Heading3"/>
    <w:rsid w:val="004C767D"/>
    <w:pPr>
      <w:numPr>
        <w:numId w:val="3"/>
      </w:numPr>
      <w:tabs>
        <w:tab w:val="clear" w:pos="720"/>
        <w:tab w:val="left" w:pos="504"/>
      </w:tabs>
      <w:ind w:left="504" w:hanging="504"/>
    </w:pPr>
  </w:style>
  <w:style w:type="paragraph" w:customStyle="1" w:styleId="Heading5a">
    <w:name w:val="Heading 5a"/>
    <w:basedOn w:val="Heading5"/>
    <w:rsid w:val="00641E21"/>
    <w:pPr>
      <w:tabs>
        <w:tab w:val="clear" w:pos="504"/>
      </w:tabs>
    </w:pPr>
    <w:rPr>
      <w:b w:val="0"/>
      <w:i/>
      <w:sz w:val="21"/>
    </w:rPr>
  </w:style>
  <w:style w:type="character" w:customStyle="1" w:styleId="OGTabBulletChar">
    <w:name w:val="OGTabBullet Char"/>
    <w:link w:val="OGTabBullet"/>
    <w:rsid w:val="00667796"/>
    <w:rPr>
      <w:rFonts w:ascii="Calibri" w:hAnsi="Calibri"/>
      <w:szCs w:val="18"/>
    </w:rPr>
  </w:style>
  <w:style w:type="paragraph" w:customStyle="1" w:styleId="OGTabBullet">
    <w:name w:val="OGTabBullet"/>
    <w:basedOn w:val="OGBullet"/>
    <w:link w:val="OGTabBulletChar"/>
    <w:rsid w:val="00667796"/>
    <w:pPr>
      <w:tabs>
        <w:tab w:val="clear" w:pos="360"/>
        <w:tab w:val="left" w:pos="604"/>
      </w:tabs>
      <w:spacing w:before="30" w:after="30"/>
      <w:ind w:left="605"/>
    </w:pPr>
    <w:rPr>
      <w:lang w:eastAsia="en-AU"/>
    </w:rPr>
  </w:style>
  <w:style w:type="paragraph" w:customStyle="1" w:styleId="Heading2NotesQtrly">
    <w:name w:val="Heading 2 Notes Qtrly"/>
    <w:basedOn w:val="Heading2Notes"/>
    <w:rsid w:val="005142C4"/>
  </w:style>
  <w:style w:type="paragraph" w:customStyle="1" w:styleId="OGUoM">
    <w:name w:val="OGUoM"/>
    <w:basedOn w:val="Tabletextcentred"/>
    <w:rsid w:val="00882953"/>
    <w:pPr>
      <w:spacing w:before="30" w:after="30"/>
    </w:pPr>
  </w:style>
  <w:style w:type="paragraph" w:customStyle="1" w:styleId="Tabletextheadingcentred">
    <w:name w:val="Table text heading centred"/>
    <w:basedOn w:val="Tabletextheading"/>
    <w:rsid w:val="000B1B53"/>
    <w:pPr>
      <w:jc w:val="center"/>
    </w:pPr>
  </w:style>
  <w:style w:type="paragraph" w:customStyle="1" w:styleId="DashText">
    <w:name w:val="Dash Text"/>
    <w:basedOn w:val="Normal"/>
    <w:qFormat/>
    <w:rsid w:val="00CB74FE"/>
    <w:pPr>
      <w:numPr>
        <w:ilvl w:val="1"/>
        <w:numId w:val="4"/>
      </w:numPr>
    </w:pPr>
  </w:style>
  <w:style w:type="paragraph" w:customStyle="1" w:styleId="OGTableofFigures">
    <w:name w:val="OGTable of Figures"/>
    <w:basedOn w:val="TableofFigures"/>
    <w:rsid w:val="00882953"/>
    <w:pPr>
      <w:spacing w:before="30" w:after="30"/>
    </w:pPr>
  </w:style>
  <w:style w:type="paragraph" w:customStyle="1" w:styleId="NotesIndent">
    <w:name w:val="NotesIndent"/>
    <w:basedOn w:val="Notes"/>
    <w:rsid w:val="009331F3"/>
    <w:pPr>
      <w:ind w:left="915"/>
    </w:pPr>
  </w:style>
  <w:style w:type="paragraph" w:customStyle="1" w:styleId="NotesDash">
    <w:name w:val="NotesDash"/>
    <w:basedOn w:val="NotesIndent"/>
    <w:rsid w:val="0086685D"/>
    <w:pPr>
      <w:numPr>
        <w:numId w:val="5"/>
      </w:numPr>
      <w:tabs>
        <w:tab w:val="clear" w:pos="454"/>
      </w:tabs>
    </w:pPr>
  </w:style>
  <w:style w:type="paragraph" w:customStyle="1" w:styleId="VersionTableText">
    <w:name w:val="VersionTableText"/>
    <w:basedOn w:val="Normal"/>
    <w:rsid w:val="00BF2190"/>
    <w:pPr>
      <w:spacing w:after="0"/>
      <w:jc w:val="center"/>
    </w:pPr>
    <w:rPr>
      <w:rFonts w:ascii="Calibri" w:hAnsi="Calibri"/>
    </w:rPr>
  </w:style>
  <w:style w:type="paragraph" w:customStyle="1" w:styleId="VAGOText">
    <w:name w:val="VAGOText"/>
    <w:basedOn w:val="Normal"/>
    <w:semiHidden/>
    <w:rsid w:val="00C14A3C"/>
    <w:pPr>
      <w:spacing w:before="120"/>
    </w:pPr>
    <w:rPr>
      <w:rFonts w:ascii="Arial" w:hAnsi="Arial" w:cs="Arial"/>
      <w:sz w:val="16"/>
      <w:szCs w:val="16"/>
    </w:rPr>
  </w:style>
  <w:style w:type="paragraph" w:customStyle="1" w:styleId="VAGOHeading2">
    <w:name w:val="VAGOHeading2"/>
    <w:basedOn w:val="Normal"/>
    <w:semiHidden/>
    <w:rsid w:val="00853954"/>
    <w:rPr>
      <w:rFonts w:ascii="Arial" w:hAnsi="Arial" w:cs="Arial"/>
      <w:b/>
      <w:sz w:val="16"/>
      <w:szCs w:val="16"/>
    </w:rPr>
  </w:style>
  <w:style w:type="paragraph" w:customStyle="1" w:styleId="VAGOHeading1">
    <w:name w:val="VAGOHeading1"/>
    <w:basedOn w:val="Normal"/>
    <w:semiHidden/>
    <w:rsid w:val="00B72182"/>
    <w:pPr>
      <w:jc w:val="center"/>
    </w:pPr>
    <w:rPr>
      <w:rFonts w:ascii="Arial" w:hAnsi="Arial" w:cs="Arial"/>
      <w:b/>
      <w:sz w:val="17"/>
      <w:szCs w:val="17"/>
    </w:rPr>
  </w:style>
  <w:style w:type="paragraph" w:customStyle="1" w:styleId="VAGOHeading3">
    <w:name w:val="VAGOHeading3"/>
    <w:basedOn w:val="VAGOHeading2"/>
    <w:semiHidden/>
    <w:rsid w:val="00853954"/>
    <w:rPr>
      <w:b w:val="0"/>
      <w:i/>
    </w:rPr>
  </w:style>
  <w:style w:type="paragraph" w:customStyle="1" w:styleId="VAGOBullet">
    <w:name w:val="VAGOBullet"/>
    <w:basedOn w:val="VAGOText"/>
    <w:semiHidden/>
    <w:rsid w:val="00C14A3C"/>
    <w:pPr>
      <w:numPr>
        <w:numId w:val="6"/>
      </w:numPr>
      <w:ind w:right="-51"/>
    </w:pPr>
    <w:rPr>
      <w:iCs/>
    </w:rPr>
  </w:style>
  <w:style w:type="paragraph" w:customStyle="1" w:styleId="Tabletextheadingleft">
    <w:name w:val="Table text heading left"/>
    <w:basedOn w:val="Tabletextheading"/>
    <w:rsid w:val="00CF5FE1"/>
    <w:pPr>
      <w:jc w:val="left"/>
    </w:pPr>
  </w:style>
  <w:style w:type="paragraph" w:customStyle="1" w:styleId="VersionTableHeading">
    <w:name w:val="VersionTableHeading"/>
    <w:basedOn w:val="Normal"/>
    <w:rsid w:val="000221B3"/>
    <w:pPr>
      <w:spacing w:after="0"/>
      <w:jc w:val="center"/>
    </w:pPr>
    <w:rPr>
      <w:rFonts w:ascii="Calibri" w:hAnsi="Calibri"/>
      <w:b/>
    </w:rPr>
  </w:style>
  <w:style w:type="paragraph" w:styleId="NormalIndent">
    <w:name w:val="Normal Indent"/>
    <w:basedOn w:val="Normal"/>
    <w:semiHidden/>
    <w:locked/>
    <w:rsid w:val="00A831CC"/>
    <w:pPr>
      <w:ind w:left="360"/>
    </w:pPr>
  </w:style>
  <w:style w:type="paragraph" w:customStyle="1" w:styleId="Tabletextindent">
    <w:name w:val="Table text indent"/>
    <w:basedOn w:val="Tabletext"/>
    <w:rsid w:val="00E24DAF"/>
    <w:pPr>
      <w:ind w:left="360" w:firstLine="0"/>
    </w:pPr>
  </w:style>
  <w:style w:type="paragraph" w:customStyle="1" w:styleId="Tabletextindent2">
    <w:name w:val="Table text indent 2"/>
    <w:basedOn w:val="Tabletextindent"/>
    <w:rsid w:val="00E24DAF"/>
    <w:pPr>
      <w:ind w:left="720"/>
    </w:pPr>
  </w:style>
  <w:style w:type="paragraph" w:customStyle="1" w:styleId="Heading3NumberingBP4">
    <w:name w:val="Heading 3 Numbering BP4"/>
    <w:basedOn w:val="Heading3Numbering"/>
    <w:semiHidden/>
    <w:rsid w:val="0046648A"/>
  </w:style>
  <w:style w:type="paragraph" w:customStyle="1" w:styleId="Chartpara">
    <w:name w:val="Chart para"/>
    <w:basedOn w:val="Normal"/>
    <w:semiHidden/>
    <w:rsid w:val="00342ECD"/>
    <w:pPr>
      <w:spacing w:after="0"/>
    </w:pPr>
  </w:style>
  <w:style w:type="paragraph" w:customStyle="1" w:styleId="OGTabColCentred">
    <w:name w:val="OGTabColCentred"/>
    <w:basedOn w:val="OGUoM"/>
    <w:rsid w:val="00061F50"/>
    <w:rPr>
      <w:b/>
      <w:lang w:eastAsia="en-AU"/>
    </w:rPr>
  </w:style>
  <w:style w:type="paragraph" w:customStyle="1" w:styleId="OGTabColRight">
    <w:name w:val="OGTabColRight"/>
    <w:basedOn w:val="OGTableofFigures"/>
    <w:rsid w:val="00A14E0E"/>
    <w:rPr>
      <w:b/>
    </w:rPr>
  </w:style>
  <w:style w:type="paragraph" w:customStyle="1" w:styleId="OGTabColLeft">
    <w:name w:val="OGTabColLeft"/>
    <w:basedOn w:val="OGTabColRight"/>
    <w:rsid w:val="00A14E0E"/>
    <w:pPr>
      <w:jc w:val="left"/>
    </w:pPr>
    <w:rPr>
      <w:lang w:eastAsia="en-AU"/>
    </w:rPr>
  </w:style>
  <w:style w:type="paragraph" w:customStyle="1" w:styleId="FrontPage">
    <w:name w:val="Front Page"/>
    <w:basedOn w:val="Normal"/>
    <w:semiHidden/>
    <w:rsid w:val="00867B50"/>
    <w:pPr>
      <w:jc w:val="center"/>
    </w:pPr>
    <w:rPr>
      <w:rFonts w:ascii="Calibri" w:hAnsi="Calibri"/>
      <w:b/>
      <w:sz w:val="52"/>
      <w:szCs w:val="52"/>
    </w:rPr>
  </w:style>
  <w:style w:type="paragraph" w:customStyle="1" w:styleId="FrontPage2">
    <w:name w:val="Front Page 2"/>
    <w:basedOn w:val="FrontPage"/>
    <w:semiHidden/>
    <w:rsid w:val="00867B50"/>
    <w:pPr>
      <w:pBdr>
        <w:bottom w:val="single" w:sz="12" w:space="1" w:color="auto"/>
      </w:pBdr>
    </w:pPr>
  </w:style>
  <w:style w:type="paragraph" w:customStyle="1" w:styleId="FrontPage3">
    <w:name w:val="Front Page 3"/>
    <w:basedOn w:val="Normal"/>
    <w:semiHidden/>
    <w:rsid w:val="00867B50"/>
    <w:pPr>
      <w:jc w:val="center"/>
    </w:pPr>
    <w:rPr>
      <w:rFonts w:ascii="Calibri" w:hAnsi="Calibri"/>
      <w:sz w:val="28"/>
      <w:szCs w:val="28"/>
    </w:rPr>
  </w:style>
  <w:style w:type="paragraph" w:customStyle="1" w:styleId="FrontPageMin">
    <w:name w:val="Front Page Min"/>
    <w:basedOn w:val="Normal"/>
    <w:semiHidden/>
    <w:rsid w:val="00867B50"/>
    <w:pPr>
      <w:jc w:val="center"/>
    </w:pPr>
    <w:rPr>
      <w:rFonts w:ascii="Calibri" w:hAnsi="Calibri"/>
      <w:sz w:val="36"/>
      <w:szCs w:val="36"/>
    </w:rPr>
  </w:style>
  <w:style w:type="paragraph" w:customStyle="1" w:styleId="FrontPageHon">
    <w:name w:val="Front Page Hon"/>
    <w:basedOn w:val="Normal"/>
    <w:semiHidden/>
    <w:rsid w:val="00867B50"/>
    <w:pPr>
      <w:jc w:val="center"/>
    </w:pPr>
    <w:rPr>
      <w:rFonts w:ascii="Calibri" w:hAnsi="Calibri"/>
      <w:sz w:val="30"/>
      <w:szCs w:val="30"/>
    </w:rPr>
  </w:style>
  <w:style w:type="paragraph" w:customStyle="1" w:styleId="FrontPageBP">
    <w:name w:val="Front Page BP"/>
    <w:basedOn w:val="Normal"/>
    <w:semiHidden/>
    <w:rsid w:val="00867B50"/>
    <w:pPr>
      <w:jc w:val="center"/>
    </w:pPr>
    <w:rPr>
      <w:rFonts w:ascii="Calibri" w:hAnsi="Calibri"/>
      <w:b/>
      <w:sz w:val="32"/>
      <w:szCs w:val="32"/>
    </w:rPr>
  </w:style>
  <w:style w:type="paragraph" w:styleId="Index1">
    <w:name w:val="index 1"/>
    <w:basedOn w:val="Normal"/>
    <w:next w:val="Normal"/>
    <w:autoRedefine/>
    <w:uiPriority w:val="99"/>
    <w:semiHidden/>
    <w:rsid w:val="001C1EAD"/>
    <w:pPr>
      <w:spacing w:after="0"/>
      <w:ind w:left="220" w:hanging="220"/>
    </w:pPr>
    <w:rPr>
      <w:rFonts w:asciiTheme="minorHAnsi" w:hAnsiTheme="minorHAnsi" w:cstheme="minorHAnsi"/>
      <w:sz w:val="18"/>
      <w:szCs w:val="18"/>
    </w:rPr>
  </w:style>
  <w:style w:type="paragraph" w:customStyle="1" w:styleId="OGNotes">
    <w:name w:val="OGNotes"/>
    <w:basedOn w:val="NotesIndent"/>
    <w:rsid w:val="00C24EC3"/>
    <w:pPr>
      <w:tabs>
        <w:tab w:val="clear" w:pos="454"/>
      </w:tabs>
      <w:spacing w:after="60"/>
      <w:ind w:left="360" w:right="115" w:firstLine="0"/>
    </w:pPr>
    <w:rPr>
      <w:lang w:eastAsia="en-AU"/>
    </w:rPr>
  </w:style>
  <w:style w:type="paragraph" w:customStyle="1" w:styleId="OGNotesIndent">
    <w:name w:val="OGNotesIndent"/>
    <w:basedOn w:val="OGNotes"/>
    <w:rsid w:val="001C0D0F"/>
    <w:pPr>
      <w:ind w:left="720" w:hanging="360"/>
    </w:pPr>
  </w:style>
  <w:style w:type="paragraph" w:styleId="Index2">
    <w:name w:val="index 2"/>
    <w:basedOn w:val="Normal"/>
    <w:next w:val="Normal"/>
    <w:autoRedefine/>
    <w:uiPriority w:val="99"/>
    <w:semiHidden/>
    <w:rsid w:val="001C1EAD"/>
    <w:pPr>
      <w:spacing w:after="0"/>
      <w:ind w:left="440" w:hanging="220"/>
    </w:pPr>
    <w:rPr>
      <w:rFonts w:asciiTheme="minorHAnsi" w:hAnsiTheme="minorHAnsi" w:cstheme="minorHAnsi"/>
      <w:sz w:val="18"/>
      <w:szCs w:val="18"/>
    </w:rPr>
  </w:style>
  <w:style w:type="paragraph" w:styleId="IndexHeading">
    <w:name w:val="index heading"/>
    <w:basedOn w:val="Normal"/>
    <w:next w:val="Index1"/>
    <w:uiPriority w:val="99"/>
    <w:semiHidden/>
    <w:rsid w:val="001C1EAD"/>
    <w:pPr>
      <w:spacing w:before="240"/>
      <w:jc w:val="center"/>
    </w:pPr>
    <w:rPr>
      <w:rFonts w:asciiTheme="minorHAnsi" w:hAnsiTheme="minorHAnsi" w:cstheme="minorHAnsi"/>
      <w:b/>
      <w:bCs/>
      <w:sz w:val="26"/>
      <w:szCs w:val="26"/>
    </w:rPr>
  </w:style>
  <w:style w:type="paragraph" w:customStyle="1" w:styleId="HighlightBoxHeading">
    <w:name w:val="Highlight Box Heading"/>
    <w:basedOn w:val="Heading5a"/>
    <w:qFormat/>
    <w:rsid w:val="001C1EAD"/>
    <w:pPr>
      <w:shd w:val="clear" w:color="auto" w:fill="E6E6E6"/>
    </w:pPr>
  </w:style>
  <w:style w:type="paragraph" w:customStyle="1" w:styleId="HighlightBoxText">
    <w:name w:val="Highlight Box Text"/>
    <w:basedOn w:val="HighlightBoxBullet"/>
    <w:rsid w:val="00C24EC3"/>
    <w:pPr>
      <w:numPr>
        <w:numId w:val="0"/>
      </w:numPr>
    </w:pPr>
  </w:style>
  <w:style w:type="paragraph" w:customStyle="1" w:styleId="TableofContentscontinued">
    <w:name w:val="Table of Contents continued"/>
    <w:basedOn w:val="Normal"/>
    <w:rsid w:val="000221B3"/>
    <w:pPr>
      <w:keepNext/>
      <w:tabs>
        <w:tab w:val="left" w:pos="1152"/>
      </w:tabs>
      <w:spacing w:before="240"/>
      <w:ind w:left="1152" w:hanging="1152"/>
      <w:outlineLvl w:val="1"/>
    </w:pPr>
    <w:rPr>
      <w:rFonts w:ascii="Calibri" w:hAnsi="Calibri"/>
      <w:b/>
      <w:kern w:val="28"/>
      <w:sz w:val="26"/>
      <w:szCs w:val="22"/>
    </w:rPr>
  </w:style>
  <w:style w:type="character" w:customStyle="1" w:styleId="millionChar">
    <w:name w:val="$million Char"/>
    <w:link w:val="million"/>
    <w:rsid w:val="00571E1E"/>
    <w:rPr>
      <w:rFonts w:ascii="Calibri" w:hAnsi="Calibri"/>
      <w:i/>
      <w:sz w:val="18"/>
      <w:szCs w:val="18"/>
      <w:lang w:val="en-AU" w:eastAsia="en-US" w:bidi="ar-SA"/>
    </w:rPr>
  </w:style>
  <w:style w:type="character" w:customStyle="1" w:styleId="TabletextheadingChar">
    <w:name w:val="Table text heading Char"/>
    <w:link w:val="Tabletextheading"/>
    <w:locked/>
    <w:rsid w:val="00571E1E"/>
    <w:rPr>
      <w:rFonts w:ascii="Calibri" w:hAnsi="Calibri"/>
      <w:i/>
      <w:szCs w:val="18"/>
      <w:lang w:val="en-AU" w:eastAsia="en-US" w:bidi="ar-SA"/>
    </w:rPr>
  </w:style>
  <w:style w:type="character" w:customStyle="1" w:styleId="SourceChar">
    <w:name w:val="Source Char"/>
    <w:link w:val="Source"/>
    <w:locked/>
    <w:rsid w:val="00571E1E"/>
    <w:rPr>
      <w:rFonts w:ascii="Calibri" w:hAnsi="Calibri"/>
      <w:i/>
      <w:sz w:val="15"/>
      <w:lang w:val="en-AU" w:eastAsia="en-US" w:bidi="ar-SA"/>
    </w:rPr>
  </w:style>
  <w:style w:type="paragraph" w:styleId="BalloonText">
    <w:name w:val="Balloon Text"/>
    <w:basedOn w:val="Normal"/>
    <w:link w:val="BalloonTextChar"/>
    <w:locked/>
    <w:rsid w:val="009B7F27"/>
    <w:pPr>
      <w:spacing w:after="0"/>
    </w:pPr>
    <w:rPr>
      <w:rFonts w:ascii="Tahoma" w:hAnsi="Tahoma" w:cs="Tahoma"/>
      <w:sz w:val="16"/>
      <w:szCs w:val="16"/>
    </w:rPr>
  </w:style>
  <w:style w:type="character" w:customStyle="1" w:styleId="BalloonTextChar">
    <w:name w:val="Balloon Text Char"/>
    <w:basedOn w:val="DefaultParagraphFont"/>
    <w:link w:val="BalloonText"/>
    <w:rsid w:val="009B7F27"/>
    <w:rPr>
      <w:rFonts w:ascii="Tahoma" w:hAnsi="Tahoma" w:cs="Tahoma"/>
      <w:sz w:val="16"/>
      <w:szCs w:val="16"/>
      <w:lang w:eastAsia="en-US"/>
    </w:rPr>
  </w:style>
  <w:style w:type="paragraph" w:customStyle="1" w:styleId="Default">
    <w:name w:val="Default"/>
    <w:rsid w:val="009B7F27"/>
    <w:pPr>
      <w:autoSpaceDE w:val="0"/>
      <w:autoSpaceDN w:val="0"/>
      <w:adjustRightInd w:val="0"/>
    </w:pPr>
    <w:rPr>
      <w:rFonts w:ascii="Garamond" w:hAnsi="Garamond" w:cs="Garamond"/>
      <w:color w:val="000000"/>
      <w:sz w:val="24"/>
      <w:szCs w:val="24"/>
    </w:rPr>
  </w:style>
  <w:style w:type="character" w:customStyle="1" w:styleId="Heading1Char">
    <w:name w:val="Heading 1 Char"/>
    <w:link w:val="Heading1"/>
    <w:rsid w:val="009B7F27"/>
    <w:rPr>
      <w:rFonts w:ascii="Calibri" w:hAnsi="Calibri"/>
      <w:b/>
      <w:caps/>
      <w:sz w:val="26"/>
      <w:szCs w:val="22"/>
      <w:lang w:eastAsia="en-US"/>
    </w:rPr>
  </w:style>
  <w:style w:type="character" w:customStyle="1" w:styleId="BulletTextChar">
    <w:name w:val="Bullet Text Char"/>
    <w:link w:val="BulletText"/>
    <w:locked/>
    <w:rsid w:val="009B7F27"/>
    <w:rPr>
      <w:rFonts w:ascii="Garamond" w:hAnsi="Garamond"/>
      <w:sz w:val="22"/>
      <w:lang w:eastAsia="en-US"/>
    </w:rPr>
  </w:style>
  <w:style w:type="character" w:customStyle="1" w:styleId="NotesChar">
    <w:name w:val="Notes Char"/>
    <w:link w:val="Notes"/>
    <w:locked/>
    <w:rsid w:val="009B7F27"/>
    <w:rPr>
      <w:rFonts w:ascii="Calibri" w:hAnsi="Calibri"/>
      <w:i/>
      <w:sz w:val="15"/>
      <w:lang w:eastAsia="en-US"/>
    </w:rPr>
  </w:style>
  <w:style w:type="character" w:customStyle="1" w:styleId="TableheadingChar">
    <w:name w:val="Table heading Char"/>
    <w:link w:val="Tableheading"/>
    <w:locked/>
    <w:rsid w:val="009B7F27"/>
    <w:rPr>
      <w:rFonts w:ascii="Calibri" w:hAnsi="Calibri"/>
      <w:b/>
      <w:sz w:val="22"/>
      <w:lang w:eastAsia="en-US"/>
    </w:rPr>
  </w:style>
  <w:style w:type="character" w:customStyle="1" w:styleId="Heading5Char">
    <w:name w:val="Heading 5 Char"/>
    <w:link w:val="Heading5"/>
    <w:rsid w:val="009B7F27"/>
    <w:rPr>
      <w:rFonts w:ascii="Calibri" w:hAnsi="Calibri"/>
      <w:b/>
      <w:sz w:val="22"/>
      <w:lang w:eastAsia="en-US"/>
    </w:rPr>
  </w:style>
  <w:style w:type="table" w:styleId="TableColumns4">
    <w:name w:val="Table Columns 4"/>
    <w:basedOn w:val="TableNormal"/>
    <w:locked/>
    <w:rsid w:val="009B7F27"/>
    <w:pPr>
      <w:spacing w:after="12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styleId="Hyperlink">
    <w:name w:val="Hyperlink"/>
    <w:basedOn w:val="DefaultParagraphFont"/>
    <w:uiPriority w:val="99"/>
    <w:locked/>
    <w:rsid w:val="009B7F27"/>
    <w:rPr>
      <w:color w:val="0000FF" w:themeColor="hyperlink"/>
      <w:u w:val="single"/>
    </w:rPr>
  </w:style>
  <w:style w:type="character" w:styleId="CommentReference">
    <w:name w:val="annotation reference"/>
    <w:basedOn w:val="DefaultParagraphFont"/>
    <w:uiPriority w:val="99"/>
    <w:locked/>
    <w:rsid w:val="009B7F27"/>
    <w:rPr>
      <w:sz w:val="16"/>
      <w:szCs w:val="16"/>
    </w:rPr>
  </w:style>
  <w:style w:type="paragraph" w:styleId="CommentText">
    <w:name w:val="annotation text"/>
    <w:basedOn w:val="Normal"/>
    <w:link w:val="CommentTextChar"/>
    <w:uiPriority w:val="99"/>
    <w:locked/>
    <w:rsid w:val="009B7F27"/>
    <w:rPr>
      <w:sz w:val="20"/>
    </w:rPr>
  </w:style>
  <w:style w:type="character" w:customStyle="1" w:styleId="CommentTextChar">
    <w:name w:val="Comment Text Char"/>
    <w:basedOn w:val="DefaultParagraphFont"/>
    <w:link w:val="CommentText"/>
    <w:uiPriority w:val="99"/>
    <w:rsid w:val="009B7F27"/>
    <w:rPr>
      <w:rFonts w:ascii="Garamond" w:hAnsi="Garamond"/>
      <w:lang w:eastAsia="en-US"/>
    </w:rPr>
  </w:style>
  <w:style w:type="paragraph" w:styleId="CommentSubject">
    <w:name w:val="annotation subject"/>
    <w:basedOn w:val="CommentText"/>
    <w:next w:val="CommentText"/>
    <w:link w:val="CommentSubjectChar"/>
    <w:locked/>
    <w:rsid w:val="009B7F27"/>
    <w:rPr>
      <w:b/>
      <w:bCs/>
    </w:rPr>
  </w:style>
  <w:style w:type="character" w:customStyle="1" w:styleId="CommentSubjectChar">
    <w:name w:val="Comment Subject Char"/>
    <w:basedOn w:val="CommentTextChar"/>
    <w:link w:val="CommentSubject"/>
    <w:rsid w:val="009B7F27"/>
    <w:rPr>
      <w:rFonts w:ascii="Garamond" w:hAnsi="Garamond"/>
      <w:b/>
      <w:bCs/>
      <w:lang w:eastAsia="en-US"/>
    </w:rPr>
  </w:style>
  <w:style w:type="paragraph" w:styleId="FootnoteText">
    <w:name w:val="footnote text"/>
    <w:basedOn w:val="Normal"/>
    <w:link w:val="FootnoteTextChar"/>
    <w:locked/>
    <w:rsid w:val="009B7F27"/>
    <w:rPr>
      <w:sz w:val="20"/>
    </w:rPr>
  </w:style>
  <w:style w:type="character" w:customStyle="1" w:styleId="FootnoteTextChar">
    <w:name w:val="Footnote Text Char"/>
    <w:basedOn w:val="DefaultParagraphFont"/>
    <w:link w:val="FootnoteText"/>
    <w:rsid w:val="009B7F27"/>
    <w:rPr>
      <w:rFonts w:ascii="Garamond" w:hAnsi="Garamond"/>
      <w:lang w:eastAsia="en-US"/>
    </w:rPr>
  </w:style>
  <w:style w:type="character" w:styleId="FootnoteReference">
    <w:name w:val="footnote reference"/>
    <w:basedOn w:val="DefaultParagraphFont"/>
    <w:locked/>
    <w:rsid w:val="009B7F27"/>
    <w:rPr>
      <w:vertAlign w:val="superscript"/>
    </w:rPr>
  </w:style>
  <w:style w:type="paragraph" w:styleId="Index3">
    <w:name w:val="index 3"/>
    <w:basedOn w:val="Normal"/>
    <w:next w:val="Normal"/>
    <w:autoRedefine/>
    <w:rsid w:val="009B7F27"/>
    <w:pPr>
      <w:spacing w:after="0"/>
      <w:ind w:left="660" w:hanging="220"/>
    </w:pPr>
    <w:rPr>
      <w:rFonts w:asciiTheme="minorHAnsi" w:hAnsiTheme="minorHAnsi" w:cstheme="minorHAnsi"/>
      <w:sz w:val="18"/>
      <w:szCs w:val="18"/>
    </w:rPr>
  </w:style>
  <w:style w:type="paragraph" w:styleId="Index4">
    <w:name w:val="index 4"/>
    <w:basedOn w:val="Normal"/>
    <w:next w:val="Normal"/>
    <w:autoRedefine/>
    <w:rsid w:val="009B7F27"/>
    <w:pPr>
      <w:spacing w:after="0"/>
      <w:ind w:left="880" w:hanging="220"/>
    </w:pPr>
    <w:rPr>
      <w:rFonts w:asciiTheme="minorHAnsi" w:hAnsiTheme="minorHAnsi" w:cstheme="minorHAnsi"/>
      <w:sz w:val="18"/>
      <w:szCs w:val="18"/>
    </w:rPr>
  </w:style>
  <w:style w:type="paragraph" w:styleId="Index5">
    <w:name w:val="index 5"/>
    <w:basedOn w:val="Normal"/>
    <w:next w:val="Normal"/>
    <w:autoRedefine/>
    <w:rsid w:val="009B7F27"/>
    <w:pPr>
      <w:spacing w:after="0"/>
      <w:ind w:left="1100" w:hanging="220"/>
    </w:pPr>
    <w:rPr>
      <w:rFonts w:asciiTheme="minorHAnsi" w:hAnsiTheme="minorHAnsi" w:cstheme="minorHAnsi"/>
      <w:sz w:val="18"/>
      <w:szCs w:val="18"/>
    </w:rPr>
  </w:style>
  <w:style w:type="paragraph" w:styleId="Index6">
    <w:name w:val="index 6"/>
    <w:basedOn w:val="Normal"/>
    <w:next w:val="Normal"/>
    <w:autoRedefine/>
    <w:locked/>
    <w:rsid w:val="009B7F27"/>
    <w:pPr>
      <w:spacing w:after="0"/>
      <w:ind w:left="1320" w:hanging="220"/>
    </w:pPr>
    <w:rPr>
      <w:rFonts w:asciiTheme="minorHAnsi" w:hAnsiTheme="minorHAnsi" w:cstheme="minorHAnsi"/>
      <w:sz w:val="18"/>
      <w:szCs w:val="18"/>
    </w:rPr>
  </w:style>
  <w:style w:type="paragraph" w:styleId="Index7">
    <w:name w:val="index 7"/>
    <w:basedOn w:val="Normal"/>
    <w:next w:val="Normal"/>
    <w:autoRedefine/>
    <w:locked/>
    <w:rsid w:val="009B7F27"/>
    <w:pPr>
      <w:spacing w:after="0"/>
      <w:ind w:left="1540" w:hanging="220"/>
    </w:pPr>
    <w:rPr>
      <w:rFonts w:asciiTheme="minorHAnsi" w:hAnsiTheme="minorHAnsi" w:cstheme="minorHAnsi"/>
      <w:sz w:val="18"/>
      <w:szCs w:val="18"/>
    </w:rPr>
  </w:style>
  <w:style w:type="paragraph" w:styleId="Index8">
    <w:name w:val="index 8"/>
    <w:basedOn w:val="Normal"/>
    <w:next w:val="Normal"/>
    <w:autoRedefine/>
    <w:locked/>
    <w:rsid w:val="009B7F27"/>
    <w:pPr>
      <w:spacing w:after="0"/>
      <w:ind w:left="1760" w:hanging="220"/>
    </w:pPr>
    <w:rPr>
      <w:rFonts w:asciiTheme="minorHAnsi" w:hAnsiTheme="minorHAnsi" w:cstheme="minorHAnsi"/>
      <w:sz w:val="18"/>
      <w:szCs w:val="18"/>
    </w:rPr>
  </w:style>
  <w:style w:type="paragraph" w:styleId="Index9">
    <w:name w:val="index 9"/>
    <w:basedOn w:val="Normal"/>
    <w:next w:val="Normal"/>
    <w:autoRedefine/>
    <w:locked/>
    <w:rsid w:val="009B7F27"/>
    <w:pPr>
      <w:spacing w:after="0"/>
      <w:ind w:left="1980" w:hanging="220"/>
    </w:pPr>
    <w:rPr>
      <w:rFonts w:asciiTheme="minorHAnsi" w:hAnsiTheme="minorHAnsi" w:cstheme="minorHAnsi"/>
      <w:sz w:val="18"/>
      <w:szCs w:val="18"/>
    </w:rPr>
  </w:style>
  <w:style w:type="paragraph" w:customStyle="1" w:styleId="HighlightBoxDash">
    <w:name w:val="Highlight Box Dash"/>
    <w:basedOn w:val="HighlightBoxBullet"/>
    <w:qFormat/>
    <w:rsid w:val="009B7F27"/>
    <w:pPr>
      <w:numPr>
        <w:numId w:val="0"/>
      </w:numPr>
      <w:tabs>
        <w:tab w:val="left" w:pos="360"/>
      </w:tabs>
      <w:ind w:left="720" w:hanging="720"/>
    </w:pPr>
  </w:style>
  <w:style w:type="character" w:customStyle="1" w:styleId="Heading2Char">
    <w:name w:val="Heading 2 Char"/>
    <w:link w:val="Heading2"/>
    <w:rsid w:val="009B7F27"/>
    <w:rPr>
      <w:rFonts w:ascii="Calibri" w:hAnsi="Calibri"/>
      <w:b/>
      <w:kern w:val="28"/>
      <w:sz w:val="26"/>
      <w:szCs w:val="22"/>
      <w:lang w:eastAsia="en-US"/>
    </w:rPr>
  </w:style>
  <w:style w:type="paragraph" w:styleId="ListParagraph">
    <w:name w:val="List Paragraph"/>
    <w:basedOn w:val="Normal"/>
    <w:uiPriority w:val="34"/>
    <w:qFormat/>
    <w:rsid w:val="009B7F27"/>
    <w:pPr>
      <w:spacing w:after="0"/>
      <w:ind w:left="720"/>
      <w:contextualSpacing/>
    </w:pPr>
    <w:rPr>
      <w:rFonts w:ascii="Times New Roman" w:hAnsi="Times New Roman"/>
      <w:sz w:val="24"/>
    </w:rPr>
  </w:style>
  <w:style w:type="character" w:customStyle="1" w:styleId="Heading3Char">
    <w:name w:val="Heading 3 Char"/>
    <w:link w:val="Heading3"/>
    <w:rsid w:val="009B7F27"/>
    <w:rPr>
      <w:rFonts w:ascii="Calibri" w:hAnsi="Calibri"/>
      <w:b/>
      <w:i/>
      <w:kern w:val="28"/>
      <w:sz w:val="24"/>
      <w:szCs w:val="22"/>
      <w:lang w:eastAsia="en-US"/>
    </w:rPr>
  </w:style>
  <w:style w:type="character" w:customStyle="1" w:styleId="Heading4Char">
    <w:name w:val="Heading 4 Char"/>
    <w:link w:val="Heading4"/>
    <w:rsid w:val="009B7F27"/>
    <w:rPr>
      <w:rFonts w:ascii="Calibri" w:hAnsi="Calibri"/>
      <w:i/>
      <w:sz w:val="24"/>
      <w:szCs w:val="22"/>
      <w:lang w:eastAsia="en-US"/>
    </w:rPr>
  </w:style>
  <w:style w:type="character" w:customStyle="1" w:styleId="ChartheadingChar">
    <w:name w:val="Chart heading Char"/>
    <w:link w:val="Chartheading"/>
    <w:locked/>
    <w:rsid w:val="009B7F27"/>
    <w:rPr>
      <w:rFonts w:ascii="Calibri" w:hAnsi="Calibri"/>
      <w:b/>
      <w:sz w:val="22"/>
      <w:lang w:eastAsia="en-US"/>
    </w:rPr>
  </w:style>
  <w:style w:type="paragraph" w:customStyle="1" w:styleId="CharCharCharChar">
    <w:name w:val="Char Char Char Char"/>
    <w:basedOn w:val="Normal"/>
    <w:rsid w:val="009B7F27"/>
    <w:pPr>
      <w:spacing w:after="160" w:line="240" w:lineRule="exact"/>
    </w:pPr>
    <w:rPr>
      <w:rFonts w:ascii="Tahoma" w:hAnsi="Tahoma" w:cs="Tahoma"/>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uiPriority="99"/>
    <w:lsdException w:name="index 2" w:uiPriority="99"/>
    <w:lsdException w:name="index 6" w:locked="1"/>
    <w:lsdException w:name="index 7" w:locked="1"/>
    <w:lsdException w:name="index 8" w:locked="1"/>
    <w:lsdException w:name="index 9" w:locked="1"/>
    <w:lsdException w:name="toc 1" w:uiPriority="39"/>
    <w:lsdException w:name="toc 2" w:uiPriority="39"/>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index heading" w:uiPriority="99"/>
    <w:lsdException w:name="caption" w:locked="1" w:semiHidden="1" w:unhideWhenUsed="1" w:qFormat="1"/>
    <w:lsdException w:name="table of figures" w:qFormat="1"/>
    <w:lsdException w:name="envelope address" w:locked="1"/>
    <w:lsdException w:name="envelope return" w:locked="1"/>
    <w:lsdException w:name="footnote reference" w:locked="1"/>
    <w:lsdException w:name="annotation reference" w:locked="1" w:uiPriority="99"/>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lsdException w:name="Emphasis" w:locked="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B534C"/>
    <w:pPr>
      <w:spacing w:after="120"/>
    </w:pPr>
    <w:rPr>
      <w:rFonts w:ascii="Garamond" w:hAnsi="Garamond"/>
      <w:sz w:val="22"/>
      <w:lang w:eastAsia="en-US"/>
    </w:rPr>
  </w:style>
  <w:style w:type="paragraph" w:styleId="Heading1">
    <w:name w:val="heading 1"/>
    <w:basedOn w:val="Normal"/>
    <w:next w:val="Normal"/>
    <w:link w:val="Heading1Char"/>
    <w:qFormat/>
    <w:rsid w:val="00397F02"/>
    <w:pPr>
      <w:keepNext/>
      <w:spacing w:before="360"/>
      <w:outlineLvl w:val="0"/>
    </w:pPr>
    <w:rPr>
      <w:rFonts w:ascii="Calibri" w:hAnsi="Calibri"/>
      <w:b/>
      <w:caps/>
      <w:sz w:val="26"/>
      <w:szCs w:val="22"/>
    </w:rPr>
  </w:style>
  <w:style w:type="paragraph" w:styleId="Heading2">
    <w:name w:val="heading 2"/>
    <w:basedOn w:val="Normal"/>
    <w:next w:val="Normal"/>
    <w:link w:val="Heading2Char"/>
    <w:qFormat/>
    <w:rsid w:val="00397F02"/>
    <w:pPr>
      <w:keepNext/>
      <w:spacing w:before="240"/>
      <w:outlineLvl w:val="1"/>
    </w:pPr>
    <w:rPr>
      <w:rFonts w:ascii="Calibri" w:hAnsi="Calibri"/>
      <w:b/>
      <w:kern w:val="28"/>
      <w:sz w:val="26"/>
      <w:szCs w:val="22"/>
    </w:rPr>
  </w:style>
  <w:style w:type="paragraph" w:styleId="Heading3">
    <w:name w:val="heading 3"/>
    <w:basedOn w:val="Normal"/>
    <w:next w:val="Normal"/>
    <w:link w:val="Heading3Char"/>
    <w:qFormat/>
    <w:rsid w:val="00397F02"/>
    <w:pPr>
      <w:keepNext/>
      <w:spacing w:before="240"/>
      <w:outlineLvl w:val="2"/>
    </w:pPr>
    <w:rPr>
      <w:rFonts w:ascii="Calibri" w:hAnsi="Calibri"/>
      <w:b/>
      <w:i/>
      <w:kern w:val="28"/>
      <w:sz w:val="24"/>
      <w:szCs w:val="22"/>
    </w:rPr>
  </w:style>
  <w:style w:type="paragraph" w:styleId="Heading4">
    <w:name w:val="heading 4"/>
    <w:basedOn w:val="Normal"/>
    <w:next w:val="Normal"/>
    <w:link w:val="Heading4Char"/>
    <w:qFormat/>
    <w:rsid w:val="00397F02"/>
    <w:pPr>
      <w:keepNext/>
      <w:spacing w:before="240"/>
      <w:outlineLvl w:val="3"/>
    </w:pPr>
    <w:rPr>
      <w:rFonts w:ascii="Calibri" w:hAnsi="Calibri"/>
      <w:i/>
      <w:sz w:val="24"/>
      <w:szCs w:val="22"/>
    </w:rPr>
  </w:style>
  <w:style w:type="paragraph" w:styleId="Heading5">
    <w:name w:val="heading 5"/>
    <w:basedOn w:val="Normal"/>
    <w:next w:val="Normal"/>
    <w:link w:val="Heading5Char"/>
    <w:qFormat/>
    <w:rsid w:val="00F14A31"/>
    <w:pPr>
      <w:keepNext/>
      <w:tabs>
        <w:tab w:val="left" w:pos="504"/>
      </w:tabs>
      <w:spacing w:before="120" w:after="60"/>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qFormat/>
    <w:rsid w:val="00A831CC"/>
    <w:pPr>
      <w:spacing w:after="0"/>
      <w:jc w:val="center"/>
    </w:pPr>
    <w:rPr>
      <w:rFonts w:ascii="Calibri" w:hAnsi="Calibri"/>
      <w:i/>
      <w:sz w:val="18"/>
      <w:szCs w:val="18"/>
    </w:rPr>
  </w:style>
  <w:style w:type="paragraph" w:styleId="TableofFigures">
    <w:name w:val="table of figures"/>
    <w:basedOn w:val="Normal"/>
    <w:next w:val="Normal"/>
    <w:link w:val="TableofFiguresChar"/>
    <w:qFormat/>
    <w:rsid w:val="00397F02"/>
    <w:pPr>
      <w:spacing w:after="0"/>
      <w:jc w:val="right"/>
    </w:pPr>
    <w:rPr>
      <w:rFonts w:ascii="Calibri" w:hAnsi="Calibri"/>
      <w:sz w:val="20"/>
      <w:szCs w:val="18"/>
    </w:rPr>
  </w:style>
  <w:style w:type="character" w:customStyle="1" w:styleId="TableofFiguresChar">
    <w:name w:val="Table of Figures Char"/>
    <w:link w:val="TableofFigures"/>
    <w:rsid w:val="00A14E0E"/>
    <w:rPr>
      <w:rFonts w:ascii="Calibri" w:hAnsi="Calibri"/>
      <w:szCs w:val="18"/>
      <w:lang w:val="en-AU" w:eastAsia="en-US" w:bidi="ar-SA"/>
    </w:rPr>
  </w:style>
  <w:style w:type="paragraph" w:customStyle="1" w:styleId="BP4Figures">
    <w:name w:val="BP4 Figures"/>
    <w:basedOn w:val="TableofFigures"/>
    <w:rsid w:val="00A831CC"/>
    <w:pPr>
      <w:spacing w:after="20"/>
    </w:pPr>
  </w:style>
  <w:style w:type="paragraph" w:customStyle="1" w:styleId="Tabletextheading">
    <w:name w:val="Table text heading"/>
    <w:basedOn w:val="TableofFigures"/>
    <w:link w:val="TabletextheadingChar"/>
    <w:qFormat/>
    <w:rsid w:val="00A831CC"/>
    <w:rPr>
      <w:i/>
    </w:rPr>
  </w:style>
  <w:style w:type="paragraph" w:customStyle="1" w:styleId="BP4headingr">
    <w:name w:val="BP4 heading r"/>
    <w:basedOn w:val="Tabletextheading"/>
    <w:rsid w:val="00A831CC"/>
  </w:style>
  <w:style w:type="paragraph" w:customStyle="1" w:styleId="BP4headingl">
    <w:name w:val="BP4 heading l"/>
    <w:basedOn w:val="BP4headingr"/>
    <w:rsid w:val="00A831CC"/>
    <w:pPr>
      <w:jc w:val="left"/>
    </w:pPr>
  </w:style>
  <w:style w:type="paragraph" w:customStyle="1" w:styleId="Tabletext">
    <w:name w:val="Table text"/>
    <w:basedOn w:val="TableofFigures"/>
    <w:qFormat/>
    <w:rsid w:val="00A831CC"/>
    <w:pPr>
      <w:ind w:left="180" w:hanging="180"/>
      <w:jc w:val="left"/>
    </w:pPr>
  </w:style>
  <w:style w:type="paragraph" w:customStyle="1" w:styleId="BP4tabletext">
    <w:name w:val="BP4 table text"/>
    <w:basedOn w:val="Tabletext"/>
    <w:rsid w:val="00A831CC"/>
    <w:pPr>
      <w:spacing w:after="20"/>
      <w:ind w:left="72" w:hanging="72"/>
    </w:pPr>
  </w:style>
  <w:style w:type="paragraph" w:customStyle="1" w:styleId="Tableheading">
    <w:name w:val="Table heading"/>
    <w:basedOn w:val="Normal"/>
    <w:link w:val="TableheadingChar"/>
    <w:qFormat/>
    <w:rsid w:val="009E5D93"/>
    <w:pPr>
      <w:keepNext/>
      <w:spacing w:before="240"/>
      <w:ind w:left="1152" w:hanging="1152"/>
    </w:pPr>
    <w:rPr>
      <w:rFonts w:ascii="Calibri" w:hAnsi="Calibri"/>
      <w:b/>
    </w:rPr>
  </w:style>
  <w:style w:type="table" w:styleId="TableGrid">
    <w:name w:val="Table Grid"/>
    <w:basedOn w:val="TableNormal"/>
    <w:semiHidden/>
    <w:locked/>
    <w:rsid w:val="005E17AB"/>
    <w:pPr>
      <w:spacing w:after="120"/>
      <w:jc w:val="both"/>
    </w:pPr>
    <w:rPr>
      <w:rFonts w:ascii="Calibri" w:hAnsi="Calibri"/>
    </w:rPr>
    <w:tblPr>
      <w:tblInd w:w="0" w:type="dxa"/>
      <w:tblCellMar>
        <w:top w:w="0" w:type="dxa"/>
        <w:left w:w="108" w:type="dxa"/>
        <w:bottom w:w="0" w:type="dxa"/>
        <w:right w:w="108" w:type="dxa"/>
      </w:tblCellMar>
    </w:tblPr>
  </w:style>
  <w:style w:type="paragraph" w:customStyle="1" w:styleId="BulletText">
    <w:name w:val="Bullet Text"/>
    <w:basedOn w:val="Normal"/>
    <w:link w:val="BulletTextChar"/>
    <w:qFormat/>
    <w:rsid w:val="00CB74FE"/>
    <w:pPr>
      <w:numPr>
        <w:numId w:val="4"/>
      </w:numPr>
    </w:pPr>
  </w:style>
  <w:style w:type="paragraph" w:customStyle="1" w:styleId="ChapterHeading">
    <w:name w:val="Chapter Heading"/>
    <w:basedOn w:val="Normal"/>
    <w:next w:val="Heading1"/>
    <w:qFormat/>
    <w:rsid w:val="00C75B91"/>
    <w:pPr>
      <w:keepNext/>
      <w:pBdr>
        <w:bottom w:val="single" w:sz="12" w:space="7" w:color="auto"/>
      </w:pBdr>
      <w:spacing w:before="1440" w:after="360"/>
    </w:pPr>
    <w:rPr>
      <w:rFonts w:ascii="Calibri" w:hAnsi="Calibri"/>
      <w:b/>
      <w:caps/>
      <w:sz w:val="36"/>
      <w:szCs w:val="28"/>
    </w:rPr>
  </w:style>
  <w:style w:type="paragraph" w:customStyle="1" w:styleId="Chartheading">
    <w:name w:val="Chart heading"/>
    <w:basedOn w:val="Tableheading"/>
    <w:next w:val="Normal"/>
    <w:link w:val="ChartheadingChar"/>
    <w:qFormat/>
    <w:rsid w:val="009E5D93"/>
  </w:style>
  <w:style w:type="paragraph" w:styleId="Footer">
    <w:name w:val="footer"/>
    <w:basedOn w:val="Normal"/>
    <w:rsid w:val="00185277"/>
    <w:pPr>
      <w:pBdr>
        <w:top w:val="single" w:sz="6" w:space="1" w:color="auto"/>
      </w:pBdr>
      <w:tabs>
        <w:tab w:val="right" w:pos="7085"/>
      </w:tabs>
    </w:pPr>
    <w:rPr>
      <w:rFonts w:ascii="Calibri" w:hAnsi="Calibri"/>
      <w:sz w:val="20"/>
      <w:szCs w:val="18"/>
    </w:rPr>
  </w:style>
  <w:style w:type="paragraph" w:styleId="Header">
    <w:name w:val="header"/>
    <w:basedOn w:val="Footer"/>
    <w:rsid w:val="00561253"/>
    <w:pPr>
      <w:pBdr>
        <w:top w:val="none" w:sz="0" w:space="0" w:color="auto"/>
      </w:pBdr>
      <w:tabs>
        <w:tab w:val="clear" w:pos="7085"/>
      </w:tabs>
    </w:pPr>
  </w:style>
  <w:style w:type="paragraph" w:customStyle="1" w:styleId="Heading2Notes">
    <w:name w:val="Heading 2 Notes"/>
    <w:basedOn w:val="Heading2"/>
    <w:rsid w:val="003E5374"/>
    <w:pPr>
      <w:tabs>
        <w:tab w:val="left" w:pos="1152"/>
      </w:tabs>
      <w:ind w:left="1152" w:hanging="1152"/>
    </w:pPr>
  </w:style>
  <w:style w:type="paragraph" w:customStyle="1" w:styleId="Notes">
    <w:name w:val="Notes"/>
    <w:basedOn w:val="Normal"/>
    <w:link w:val="NotesChar"/>
    <w:qFormat/>
    <w:rsid w:val="00C24EC3"/>
    <w:pPr>
      <w:tabs>
        <w:tab w:val="left" w:pos="454"/>
      </w:tabs>
      <w:spacing w:after="0"/>
      <w:ind w:left="461" w:hanging="461"/>
    </w:pPr>
    <w:rPr>
      <w:rFonts w:ascii="Calibri" w:hAnsi="Calibri"/>
      <w:i/>
      <w:sz w:val="15"/>
    </w:rPr>
  </w:style>
  <w:style w:type="paragraph" w:customStyle="1" w:styleId="OGBullet">
    <w:name w:val="OGBullet"/>
    <w:basedOn w:val="Normal"/>
    <w:rsid w:val="00397F02"/>
    <w:pPr>
      <w:numPr>
        <w:numId w:val="1"/>
      </w:numPr>
    </w:pPr>
    <w:rPr>
      <w:rFonts w:ascii="Calibri" w:hAnsi="Calibri"/>
      <w:sz w:val="20"/>
      <w:szCs w:val="18"/>
    </w:rPr>
  </w:style>
  <w:style w:type="paragraph" w:customStyle="1" w:styleId="OGHeading1">
    <w:name w:val="OGHeading1"/>
    <w:basedOn w:val="Normal"/>
    <w:rsid w:val="00397F02"/>
    <w:rPr>
      <w:rFonts w:ascii="Calibri" w:hAnsi="Calibri"/>
      <w:b/>
      <w:sz w:val="32"/>
      <w:szCs w:val="28"/>
    </w:rPr>
  </w:style>
  <w:style w:type="paragraph" w:customStyle="1" w:styleId="OGHeading2">
    <w:name w:val="OGHeading2"/>
    <w:basedOn w:val="Normal"/>
    <w:link w:val="OGHeading2Char"/>
    <w:rsid w:val="00397F02"/>
    <w:pPr>
      <w:keepNext/>
      <w:spacing w:before="60"/>
    </w:pPr>
    <w:rPr>
      <w:rFonts w:ascii="Calibri" w:hAnsi="Calibri"/>
      <w:b/>
      <w:sz w:val="28"/>
      <w:szCs w:val="24"/>
    </w:rPr>
  </w:style>
  <w:style w:type="character" w:customStyle="1" w:styleId="OGHeading2Char">
    <w:name w:val="OGHeading2 Char"/>
    <w:link w:val="OGHeading2"/>
    <w:rsid w:val="00A14E0E"/>
    <w:rPr>
      <w:rFonts w:ascii="Calibri" w:hAnsi="Calibri"/>
      <w:b/>
      <w:sz w:val="28"/>
      <w:szCs w:val="24"/>
      <w:lang w:val="en-AU" w:eastAsia="en-US" w:bidi="ar-SA"/>
    </w:rPr>
  </w:style>
  <w:style w:type="paragraph" w:customStyle="1" w:styleId="OGTabHead">
    <w:name w:val="OGTabHead"/>
    <w:basedOn w:val="Normal"/>
    <w:rsid w:val="00882953"/>
    <w:pPr>
      <w:keepNext/>
      <w:keepLines/>
      <w:spacing w:before="30" w:after="30"/>
    </w:pPr>
    <w:rPr>
      <w:rFonts w:ascii="Calibri" w:hAnsi="Calibri"/>
      <w:i/>
      <w:sz w:val="20"/>
      <w:szCs w:val="18"/>
    </w:rPr>
  </w:style>
  <w:style w:type="paragraph" w:customStyle="1" w:styleId="OGTabText">
    <w:name w:val="OGTabText"/>
    <w:basedOn w:val="Normal"/>
    <w:link w:val="OGTabTextChar"/>
    <w:rsid w:val="00882953"/>
    <w:pPr>
      <w:spacing w:before="30" w:after="30"/>
      <w:ind w:left="144"/>
    </w:pPr>
    <w:rPr>
      <w:rFonts w:ascii="Calibri" w:hAnsi="Calibri"/>
      <w:sz w:val="20"/>
      <w:szCs w:val="18"/>
    </w:rPr>
  </w:style>
  <w:style w:type="character" w:customStyle="1" w:styleId="OGTabTextChar">
    <w:name w:val="OGTabText Char"/>
    <w:link w:val="OGTabText"/>
    <w:rsid w:val="00A14E0E"/>
    <w:rPr>
      <w:rFonts w:ascii="Calibri" w:hAnsi="Calibri"/>
      <w:szCs w:val="18"/>
      <w:lang w:val="en-AU" w:eastAsia="en-US" w:bidi="ar-SA"/>
    </w:rPr>
  </w:style>
  <w:style w:type="paragraph" w:customStyle="1" w:styleId="OGText">
    <w:name w:val="OGText"/>
    <w:basedOn w:val="Normal"/>
    <w:link w:val="OGTextChar"/>
    <w:rsid w:val="00882953"/>
    <w:pPr>
      <w:keepNext/>
      <w:spacing w:before="40"/>
    </w:pPr>
    <w:rPr>
      <w:rFonts w:ascii="Calibri" w:hAnsi="Calibri"/>
      <w:sz w:val="20"/>
      <w:szCs w:val="18"/>
    </w:rPr>
  </w:style>
  <w:style w:type="character" w:customStyle="1" w:styleId="OGTextChar">
    <w:name w:val="OGText Char"/>
    <w:link w:val="OGText"/>
    <w:rsid w:val="00A14E0E"/>
    <w:rPr>
      <w:rFonts w:ascii="Calibri" w:hAnsi="Calibri"/>
      <w:szCs w:val="18"/>
      <w:lang w:val="en-AU" w:eastAsia="en-US" w:bidi="ar-SA"/>
    </w:rPr>
  </w:style>
  <w:style w:type="character" w:styleId="PageNumber">
    <w:name w:val="page number"/>
    <w:rsid w:val="00185277"/>
    <w:rPr>
      <w:rFonts w:ascii="Calibri" w:hAnsi="Calibri"/>
      <w:sz w:val="20"/>
    </w:rPr>
  </w:style>
  <w:style w:type="paragraph" w:customStyle="1" w:styleId="Source">
    <w:name w:val="Source"/>
    <w:basedOn w:val="Normal"/>
    <w:next w:val="Normal"/>
    <w:link w:val="SourceChar"/>
    <w:qFormat/>
    <w:locked/>
    <w:rsid w:val="00C24EC3"/>
    <w:rPr>
      <w:rFonts w:ascii="Calibri" w:hAnsi="Calibri"/>
      <w:i/>
      <w:sz w:val="15"/>
    </w:rPr>
  </w:style>
  <w:style w:type="paragraph" w:customStyle="1" w:styleId="TableofContentsheading">
    <w:name w:val="Table of Contents heading"/>
    <w:basedOn w:val="ChapterHeading"/>
    <w:next w:val="Normal"/>
  </w:style>
  <w:style w:type="paragraph" w:customStyle="1" w:styleId="Heading2NotesContd">
    <w:name w:val="Heading 2 Notes Cont'd"/>
    <w:basedOn w:val="Heading2Notes"/>
    <w:rsid w:val="002E5C62"/>
  </w:style>
  <w:style w:type="paragraph" w:customStyle="1" w:styleId="HighlightBoxBullet">
    <w:name w:val="Highlight Box Bullet"/>
    <w:basedOn w:val="Normal"/>
    <w:qFormat/>
    <w:rsid w:val="00100FCC"/>
    <w:pPr>
      <w:numPr>
        <w:numId w:val="2"/>
      </w:numPr>
      <w:shd w:val="pct10" w:color="auto" w:fill="FFFFFF"/>
      <w:tabs>
        <w:tab w:val="clear" w:pos="90"/>
        <w:tab w:val="num" w:pos="360"/>
      </w:tabs>
      <w:ind w:left="360" w:right="43"/>
    </w:pPr>
  </w:style>
  <w:style w:type="paragraph" w:styleId="TOC1">
    <w:name w:val="toc 1"/>
    <w:basedOn w:val="Normal"/>
    <w:next w:val="Normal"/>
    <w:uiPriority w:val="39"/>
    <w:rsid w:val="004816CA"/>
    <w:pPr>
      <w:tabs>
        <w:tab w:val="right" w:leader="dot" w:pos="7740"/>
      </w:tabs>
      <w:spacing w:before="40" w:after="40"/>
      <w:ind w:right="422"/>
    </w:pPr>
    <w:rPr>
      <w:rFonts w:ascii="Calibri" w:hAnsi="Calibri"/>
      <w:b/>
      <w:noProof/>
      <w:sz w:val="24"/>
    </w:rPr>
  </w:style>
  <w:style w:type="paragraph" w:styleId="TOC2">
    <w:name w:val="toc 2"/>
    <w:basedOn w:val="Normal"/>
    <w:next w:val="Normal"/>
    <w:uiPriority w:val="39"/>
    <w:rsid w:val="004816CA"/>
    <w:pPr>
      <w:tabs>
        <w:tab w:val="right" w:leader="dot" w:pos="7740"/>
      </w:tabs>
      <w:spacing w:after="0"/>
      <w:ind w:left="288" w:right="422"/>
    </w:pPr>
    <w:rPr>
      <w:rFonts w:ascii="Calibri" w:hAnsi="Calibri"/>
      <w:noProof/>
      <w:sz w:val="20"/>
    </w:rPr>
  </w:style>
  <w:style w:type="paragraph" w:styleId="TOC3">
    <w:name w:val="toc 3"/>
    <w:basedOn w:val="Normal"/>
    <w:next w:val="Normal"/>
    <w:rsid w:val="00C72AF4"/>
    <w:pPr>
      <w:tabs>
        <w:tab w:val="right" w:leader="dot" w:pos="7830"/>
      </w:tabs>
      <w:spacing w:after="0"/>
      <w:ind w:left="432" w:right="422"/>
    </w:pPr>
    <w:rPr>
      <w:rFonts w:ascii="Calibri" w:hAnsi="Calibri"/>
      <w:i/>
      <w:sz w:val="20"/>
    </w:rPr>
  </w:style>
  <w:style w:type="paragraph" w:styleId="TOC4">
    <w:name w:val="toc 4"/>
    <w:basedOn w:val="TOC1"/>
    <w:next w:val="Normal"/>
    <w:rsid w:val="00910D2B"/>
    <w:pPr>
      <w:spacing w:after="0"/>
      <w:ind w:left="1152" w:hanging="1152"/>
    </w:pPr>
    <w:rPr>
      <w:b w:val="0"/>
      <w:sz w:val="20"/>
    </w:rPr>
  </w:style>
  <w:style w:type="paragraph" w:styleId="TOC5">
    <w:name w:val="toc 5"/>
    <w:basedOn w:val="TOC1"/>
    <w:next w:val="Normal"/>
    <w:rsid w:val="00910D2B"/>
    <w:rPr>
      <w:b w:val="0"/>
      <w:sz w:val="20"/>
    </w:rPr>
  </w:style>
  <w:style w:type="paragraph" w:customStyle="1" w:styleId="Tableheadingcontinued">
    <w:name w:val="Table heading continued"/>
    <w:basedOn w:val="Tableheading"/>
    <w:rsid w:val="002E5C62"/>
  </w:style>
  <w:style w:type="paragraph" w:customStyle="1" w:styleId="Tabletextcentred">
    <w:name w:val="Table text centred"/>
    <w:basedOn w:val="Tabletext"/>
    <w:rsid w:val="00784F64"/>
    <w:pPr>
      <w:ind w:left="0" w:firstLine="0"/>
      <w:jc w:val="center"/>
    </w:pPr>
  </w:style>
  <w:style w:type="paragraph" w:customStyle="1" w:styleId="Heading3Numbering">
    <w:name w:val="Heading 3 Numbering"/>
    <w:basedOn w:val="Heading3"/>
    <w:rsid w:val="004C767D"/>
    <w:pPr>
      <w:numPr>
        <w:numId w:val="3"/>
      </w:numPr>
      <w:tabs>
        <w:tab w:val="clear" w:pos="720"/>
        <w:tab w:val="left" w:pos="504"/>
      </w:tabs>
      <w:ind w:left="504" w:hanging="504"/>
    </w:pPr>
  </w:style>
  <w:style w:type="paragraph" w:customStyle="1" w:styleId="Heading5a">
    <w:name w:val="Heading 5a"/>
    <w:basedOn w:val="Heading5"/>
    <w:rsid w:val="00641E21"/>
    <w:pPr>
      <w:tabs>
        <w:tab w:val="clear" w:pos="504"/>
      </w:tabs>
    </w:pPr>
    <w:rPr>
      <w:b w:val="0"/>
      <w:i/>
      <w:sz w:val="21"/>
    </w:rPr>
  </w:style>
  <w:style w:type="character" w:customStyle="1" w:styleId="OGTabBulletChar">
    <w:name w:val="OGTabBullet Char"/>
    <w:link w:val="OGTabBullet"/>
    <w:rsid w:val="00667796"/>
    <w:rPr>
      <w:rFonts w:ascii="Calibri" w:hAnsi="Calibri"/>
      <w:szCs w:val="18"/>
    </w:rPr>
  </w:style>
  <w:style w:type="paragraph" w:customStyle="1" w:styleId="OGTabBullet">
    <w:name w:val="OGTabBullet"/>
    <w:basedOn w:val="OGBullet"/>
    <w:link w:val="OGTabBulletChar"/>
    <w:rsid w:val="00667796"/>
    <w:pPr>
      <w:tabs>
        <w:tab w:val="clear" w:pos="360"/>
        <w:tab w:val="left" w:pos="604"/>
      </w:tabs>
      <w:spacing w:before="30" w:after="30"/>
      <w:ind w:left="605"/>
    </w:pPr>
    <w:rPr>
      <w:lang w:eastAsia="en-AU"/>
    </w:rPr>
  </w:style>
  <w:style w:type="paragraph" w:customStyle="1" w:styleId="Heading2NotesQtrly">
    <w:name w:val="Heading 2 Notes Qtrly"/>
    <w:basedOn w:val="Heading2Notes"/>
    <w:rsid w:val="005142C4"/>
  </w:style>
  <w:style w:type="paragraph" w:customStyle="1" w:styleId="OGUoM">
    <w:name w:val="OGUoM"/>
    <w:basedOn w:val="Tabletextcentred"/>
    <w:rsid w:val="00882953"/>
    <w:pPr>
      <w:spacing w:before="30" w:after="30"/>
    </w:pPr>
  </w:style>
  <w:style w:type="paragraph" w:customStyle="1" w:styleId="Tabletextheadingcentred">
    <w:name w:val="Table text heading centred"/>
    <w:basedOn w:val="Tabletextheading"/>
    <w:rsid w:val="000B1B53"/>
    <w:pPr>
      <w:jc w:val="center"/>
    </w:pPr>
  </w:style>
  <w:style w:type="paragraph" w:customStyle="1" w:styleId="DashText">
    <w:name w:val="Dash Text"/>
    <w:basedOn w:val="Normal"/>
    <w:qFormat/>
    <w:rsid w:val="00CB74FE"/>
    <w:pPr>
      <w:numPr>
        <w:ilvl w:val="1"/>
        <w:numId w:val="4"/>
      </w:numPr>
    </w:pPr>
  </w:style>
  <w:style w:type="paragraph" w:customStyle="1" w:styleId="OGTableofFigures">
    <w:name w:val="OGTable of Figures"/>
    <w:basedOn w:val="TableofFigures"/>
    <w:rsid w:val="00882953"/>
    <w:pPr>
      <w:spacing w:before="30" w:after="30"/>
    </w:pPr>
  </w:style>
  <w:style w:type="paragraph" w:customStyle="1" w:styleId="NotesIndent">
    <w:name w:val="NotesIndent"/>
    <w:basedOn w:val="Notes"/>
    <w:rsid w:val="009331F3"/>
    <w:pPr>
      <w:ind w:left="915"/>
    </w:pPr>
  </w:style>
  <w:style w:type="paragraph" w:customStyle="1" w:styleId="NotesDash">
    <w:name w:val="NotesDash"/>
    <w:basedOn w:val="NotesIndent"/>
    <w:rsid w:val="0086685D"/>
    <w:pPr>
      <w:numPr>
        <w:numId w:val="5"/>
      </w:numPr>
      <w:tabs>
        <w:tab w:val="clear" w:pos="454"/>
      </w:tabs>
    </w:pPr>
  </w:style>
  <w:style w:type="paragraph" w:customStyle="1" w:styleId="VersionTableText">
    <w:name w:val="VersionTableText"/>
    <w:basedOn w:val="Normal"/>
    <w:rsid w:val="00BF2190"/>
    <w:pPr>
      <w:spacing w:after="0"/>
      <w:jc w:val="center"/>
    </w:pPr>
    <w:rPr>
      <w:rFonts w:ascii="Calibri" w:hAnsi="Calibri"/>
    </w:rPr>
  </w:style>
  <w:style w:type="paragraph" w:customStyle="1" w:styleId="VAGOText">
    <w:name w:val="VAGOText"/>
    <w:basedOn w:val="Normal"/>
    <w:semiHidden/>
    <w:rsid w:val="00C14A3C"/>
    <w:pPr>
      <w:spacing w:before="120"/>
    </w:pPr>
    <w:rPr>
      <w:rFonts w:ascii="Arial" w:hAnsi="Arial" w:cs="Arial"/>
      <w:sz w:val="16"/>
      <w:szCs w:val="16"/>
    </w:rPr>
  </w:style>
  <w:style w:type="paragraph" w:customStyle="1" w:styleId="VAGOHeading2">
    <w:name w:val="VAGOHeading2"/>
    <w:basedOn w:val="Normal"/>
    <w:semiHidden/>
    <w:rsid w:val="00853954"/>
    <w:rPr>
      <w:rFonts w:ascii="Arial" w:hAnsi="Arial" w:cs="Arial"/>
      <w:b/>
      <w:sz w:val="16"/>
      <w:szCs w:val="16"/>
    </w:rPr>
  </w:style>
  <w:style w:type="paragraph" w:customStyle="1" w:styleId="VAGOHeading1">
    <w:name w:val="VAGOHeading1"/>
    <w:basedOn w:val="Normal"/>
    <w:semiHidden/>
    <w:rsid w:val="00B72182"/>
    <w:pPr>
      <w:jc w:val="center"/>
    </w:pPr>
    <w:rPr>
      <w:rFonts w:ascii="Arial" w:hAnsi="Arial" w:cs="Arial"/>
      <w:b/>
      <w:sz w:val="17"/>
      <w:szCs w:val="17"/>
    </w:rPr>
  </w:style>
  <w:style w:type="paragraph" w:customStyle="1" w:styleId="VAGOHeading3">
    <w:name w:val="VAGOHeading3"/>
    <w:basedOn w:val="VAGOHeading2"/>
    <w:semiHidden/>
    <w:rsid w:val="00853954"/>
    <w:rPr>
      <w:b w:val="0"/>
      <w:i/>
    </w:rPr>
  </w:style>
  <w:style w:type="paragraph" w:customStyle="1" w:styleId="VAGOBullet">
    <w:name w:val="VAGOBullet"/>
    <w:basedOn w:val="VAGOText"/>
    <w:semiHidden/>
    <w:rsid w:val="00C14A3C"/>
    <w:pPr>
      <w:numPr>
        <w:numId w:val="6"/>
      </w:numPr>
      <w:ind w:right="-51"/>
    </w:pPr>
    <w:rPr>
      <w:iCs/>
    </w:rPr>
  </w:style>
  <w:style w:type="paragraph" w:customStyle="1" w:styleId="Tabletextheadingleft">
    <w:name w:val="Table text heading left"/>
    <w:basedOn w:val="Tabletextheading"/>
    <w:rsid w:val="00CF5FE1"/>
    <w:pPr>
      <w:jc w:val="left"/>
    </w:pPr>
  </w:style>
  <w:style w:type="paragraph" w:customStyle="1" w:styleId="VersionTableHeading">
    <w:name w:val="VersionTableHeading"/>
    <w:basedOn w:val="Normal"/>
    <w:rsid w:val="000221B3"/>
    <w:pPr>
      <w:spacing w:after="0"/>
      <w:jc w:val="center"/>
    </w:pPr>
    <w:rPr>
      <w:rFonts w:ascii="Calibri" w:hAnsi="Calibri"/>
      <w:b/>
    </w:rPr>
  </w:style>
  <w:style w:type="paragraph" w:styleId="NormalIndent">
    <w:name w:val="Normal Indent"/>
    <w:basedOn w:val="Normal"/>
    <w:semiHidden/>
    <w:locked/>
    <w:rsid w:val="00A831CC"/>
    <w:pPr>
      <w:ind w:left="360"/>
    </w:pPr>
  </w:style>
  <w:style w:type="paragraph" w:customStyle="1" w:styleId="Tabletextindent">
    <w:name w:val="Table text indent"/>
    <w:basedOn w:val="Tabletext"/>
    <w:rsid w:val="00E24DAF"/>
    <w:pPr>
      <w:ind w:left="360" w:firstLine="0"/>
    </w:pPr>
  </w:style>
  <w:style w:type="paragraph" w:customStyle="1" w:styleId="Tabletextindent2">
    <w:name w:val="Table text indent 2"/>
    <w:basedOn w:val="Tabletextindent"/>
    <w:rsid w:val="00E24DAF"/>
    <w:pPr>
      <w:ind w:left="720"/>
    </w:pPr>
  </w:style>
  <w:style w:type="paragraph" w:customStyle="1" w:styleId="Heading3NumberingBP4">
    <w:name w:val="Heading 3 Numbering BP4"/>
    <w:basedOn w:val="Heading3Numbering"/>
    <w:semiHidden/>
    <w:rsid w:val="0046648A"/>
  </w:style>
  <w:style w:type="paragraph" w:customStyle="1" w:styleId="Chartpara">
    <w:name w:val="Chart para"/>
    <w:basedOn w:val="Normal"/>
    <w:semiHidden/>
    <w:rsid w:val="00342ECD"/>
    <w:pPr>
      <w:spacing w:after="0"/>
    </w:pPr>
  </w:style>
  <w:style w:type="paragraph" w:customStyle="1" w:styleId="OGTabColCentred">
    <w:name w:val="OGTabColCentred"/>
    <w:basedOn w:val="OGUoM"/>
    <w:rsid w:val="00061F50"/>
    <w:rPr>
      <w:b/>
      <w:lang w:eastAsia="en-AU"/>
    </w:rPr>
  </w:style>
  <w:style w:type="paragraph" w:customStyle="1" w:styleId="OGTabColRight">
    <w:name w:val="OGTabColRight"/>
    <w:basedOn w:val="OGTableofFigures"/>
    <w:rsid w:val="00A14E0E"/>
    <w:rPr>
      <w:b/>
    </w:rPr>
  </w:style>
  <w:style w:type="paragraph" w:customStyle="1" w:styleId="OGTabColLeft">
    <w:name w:val="OGTabColLeft"/>
    <w:basedOn w:val="OGTabColRight"/>
    <w:rsid w:val="00A14E0E"/>
    <w:pPr>
      <w:jc w:val="left"/>
    </w:pPr>
    <w:rPr>
      <w:lang w:eastAsia="en-AU"/>
    </w:rPr>
  </w:style>
  <w:style w:type="paragraph" w:customStyle="1" w:styleId="FrontPage">
    <w:name w:val="Front Page"/>
    <w:basedOn w:val="Normal"/>
    <w:semiHidden/>
    <w:rsid w:val="00867B50"/>
    <w:pPr>
      <w:jc w:val="center"/>
    </w:pPr>
    <w:rPr>
      <w:rFonts w:ascii="Calibri" w:hAnsi="Calibri"/>
      <w:b/>
      <w:sz w:val="52"/>
      <w:szCs w:val="52"/>
    </w:rPr>
  </w:style>
  <w:style w:type="paragraph" w:customStyle="1" w:styleId="FrontPage2">
    <w:name w:val="Front Page 2"/>
    <w:basedOn w:val="FrontPage"/>
    <w:semiHidden/>
    <w:rsid w:val="00867B50"/>
    <w:pPr>
      <w:pBdr>
        <w:bottom w:val="single" w:sz="12" w:space="1" w:color="auto"/>
      </w:pBdr>
    </w:pPr>
  </w:style>
  <w:style w:type="paragraph" w:customStyle="1" w:styleId="FrontPage3">
    <w:name w:val="Front Page 3"/>
    <w:basedOn w:val="Normal"/>
    <w:semiHidden/>
    <w:rsid w:val="00867B50"/>
    <w:pPr>
      <w:jc w:val="center"/>
    </w:pPr>
    <w:rPr>
      <w:rFonts w:ascii="Calibri" w:hAnsi="Calibri"/>
      <w:sz w:val="28"/>
      <w:szCs w:val="28"/>
    </w:rPr>
  </w:style>
  <w:style w:type="paragraph" w:customStyle="1" w:styleId="FrontPageMin">
    <w:name w:val="Front Page Min"/>
    <w:basedOn w:val="Normal"/>
    <w:semiHidden/>
    <w:rsid w:val="00867B50"/>
    <w:pPr>
      <w:jc w:val="center"/>
    </w:pPr>
    <w:rPr>
      <w:rFonts w:ascii="Calibri" w:hAnsi="Calibri"/>
      <w:sz w:val="36"/>
      <w:szCs w:val="36"/>
    </w:rPr>
  </w:style>
  <w:style w:type="paragraph" w:customStyle="1" w:styleId="FrontPageHon">
    <w:name w:val="Front Page Hon"/>
    <w:basedOn w:val="Normal"/>
    <w:semiHidden/>
    <w:rsid w:val="00867B50"/>
    <w:pPr>
      <w:jc w:val="center"/>
    </w:pPr>
    <w:rPr>
      <w:rFonts w:ascii="Calibri" w:hAnsi="Calibri"/>
      <w:sz w:val="30"/>
      <w:szCs w:val="30"/>
    </w:rPr>
  </w:style>
  <w:style w:type="paragraph" w:customStyle="1" w:styleId="FrontPageBP">
    <w:name w:val="Front Page BP"/>
    <w:basedOn w:val="Normal"/>
    <w:semiHidden/>
    <w:rsid w:val="00867B50"/>
    <w:pPr>
      <w:jc w:val="center"/>
    </w:pPr>
    <w:rPr>
      <w:rFonts w:ascii="Calibri" w:hAnsi="Calibri"/>
      <w:b/>
      <w:sz w:val="32"/>
      <w:szCs w:val="32"/>
    </w:rPr>
  </w:style>
  <w:style w:type="paragraph" w:styleId="Index1">
    <w:name w:val="index 1"/>
    <w:basedOn w:val="Normal"/>
    <w:next w:val="Normal"/>
    <w:autoRedefine/>
    <w:uiPriority w:val="99"/>
    <w:semiHidden/>
    <w:rsid w:val="001C1EAD"/>
    <w:pPr>
      <w:spacing w:after="0"/>
      <w:ind w:left="220" w:hanging="220"/>
    </w:pPr>
    <w:rPr>
      <w:rFonts w:asciiTheme="minorHAnsi" w:hAnsiTheme="minorHAnsi" w:cstheme="minorHAnsi"/>
      <w:sz w:val="18"/>
      <w:szCs w:val="18"/>
    </w:rPr>
  </w:style>
  <w:style w:type="paragraph" w:customStyle="1" w:styleId="OGNotes">
    <w:name w:val="OGNotes"/>
    <w:basedOn w:val="NotesIndent"/>
    <w:rsid w:val="00C24EC3"/>
    <w:pPr>
      <w:tabs>
        <w:tab w:val="clear" w:pos="454"/>
      </w:tabs>
      <w:spacing w:after="60"/>
      <w:ind w:left="360" w:right="115" w:firstLine="0"/>
    </w:pPr>
    <w:rPr>
      <w:lang w:eastAsia="en-AU"/>
    </w:rPr>
  </w:style>
  <w:style w:type="paragraph" w:customStyle="1" w:styleId="OGNotesIndent">
    <w:name w:val="OGNotesIndent"/>
    <w:basedOn w:val="OGNotes"/>
    <w:rsid w:val="001C0D0F"/>
    <w:pPr>
      <w:ind w:left="720" w:hanging="360"/>
    </w:pPr>
  </w:style>
  <w:style w:type="paragraph" w:styleId="Index2">
    <w:name w:val="index 2"/>
    <w:basedOn w:val="Normal"/>
    <w:next w:val="Normal"/>
    <w:autoRedefine/>
    <w:uiPriority w:val="99"/>
    <w:semiHidden/>
    <w:rsid w:val="001C1EAD"/>
    <w:pPr>
      <w:spacing w:after="0"/>
      <w:ind w:left="440" w:hanging="220"/>
    </w:pPr>
    <w:rPr>
      <w:rFonts w:asciiTheme="minorHAnsi" w:hAnsiTheme="minorHAnsi" w:cstheme="minorHAnsi"/>
      <w:sz w:val="18"/>
      <w:szCs w:val="18"/>
    </w:rPr>
  </w:style>
  <w:style w:type="paragraph" w:styleId="IndexHeading">
    <w:name w:val="index heading"/>
    <w:basedOn w:val="Normal"/>
    <w:next w:val="Index1"/>
    <w:uiPriority w:val="99"/>
    <w:semiHidden/>
    <w:rsid w:val="001C1EAD"/>
    <w:pPr>
      <w:spacing w:before="240"/>
      <w:jc w:val="center"/>
    </w:pPr>
    <w:rPr>
      <w:rFonts w:asciiTheme="minorHAnsi" w:hAnsiTheme="minorHAnsi" w:cstheme="minorHAnsi"/>
      <w:b/>
      <w:bCs/>
      <w:sz w:val="26"/>
      <w:szCs w:val="26"/>
    </w:rPr>
  </w:style>
  <w:style w:type="paragraph" w:customStyle="1" w:styleId="HighlightBoxHeading">
    <w:name w:val="Highlight Box Heading"/>
    <w:basedOn w:val="Heading5a"/>
    <w:qFormat/>
    <w:rsid w:val="001C1EAD"/>
    <w:pPr>
      <w:shd w:val="clear" w:color="auto" w:fill="E6E6E6"/>
    </w:pPr>
  </w:style>
  <w:style w:type="paragraph" w:customStyle="1" w:styleId="HighlightBoxText">
    <w:name w:val="Highlight Box Text"/>
    <w:basedOn w:val="HighlightBoxBullet"/>
    <w:rsid w:val="00C24EC3"/>
    <w:pPr>
      <w:numPr>
        <w:numId w:val="0"/>
      </w:numPr>
    </w:pPr>
  </w:style>
  <w:style w:type="paragraph" w:customStyle="1" w:styleId="TableofContentscontinued">
    <w:name w:val="Table of Contents continued"/>
    <w:basedOn w:val="Normal"/>
    <w:rsid w:val="000221B3"/>
    <w:pPr>
      <w:keepNext/>
      <w:tabs>
        <w:tab w:val="left" w:pos="1152"/>
      </w:tabs>
      <w:spacing w:before="240"/>
      <w:ind w:left="1152" w:hanging="1152"/>
      <w:outlineLvl w:val="1"/>
    </w:pPr>
    <w:rPr>
      <w:rFonts w:ascii="Calibri" w:hAnsi="Calibri"/>
      <w:b/>
      <w:kern w:val="28"/>
      <w:sz w:val="26"/>
      <w:szCs w:val="22"/>
    </w:rPr>
  </w:style>
  <w:style w:type="character" w:customStyle="1" w:styleId="millionChar">
    <w:name w:val="$million Char"/>
    <w:link w:val="million"/>
    <w:rsid w:val="00571E1E"/>
    <w:rPr>
      <w:rFonts w:ascii="Calibri" w:hAnsi="Calibri"/>
      <w:i/>
      <w:sz w:val="18"/>
      <w:szCs w:val="18"/>
      <w:lang w:val="en-AU" w:eastAsia="en-US" w:bidi="ar-SA"/>
    </w:rPr>
  </w:style>
  <w:style w:type="character" w:customStyle="1" w:styleId="TabletextheadingChar">
    <w:name w:val="Table text heading Char"/>
    <w:link w:val="Tabletextheading"/>
    <w:locked/>
    <w:rsid w:val="00571E1E"/>
    <w:rPr>
      <w:rFonts w:ascii="Calibri" w:hAnsi="Calibri"/>
      <w:i/>
      <w:szCs w:val="18"/>
      <w:lang w:val="en-AU" w:eastAsia="en-US" w:bidi="ar-SA"/>
    </w:rPr>
  </w:style>
  <w:style w:type="character" w:customStyle="1" w:styleId="SourceChar">
    <w:name w:val="Source Char"/>
    <w:link w:val="Source"/>
    <w:locked/>
    <w:rsid w:val="00571E1E"/>
    <w:rPr>
      <w:rFonts w:ascii="Calibri" w:hAnsi="Calibri"/>
      <w:i/>
      <w:sz w:val="15"/>
      <w:lang w:val="en-AU" w:eastAsia="en-US" w:bidi="ar-SA"/>
    </w:rPr>
  </w:style>
  <w:style w:type="paragraph" w:styleId="BalloonText">
    <w:name w:val="Balloon Text"/>
    <w:basedOn w:val="Normal"/>
    <w:link w:val="BalloonTextChar"/>
    <w:locked/>
    <w:rsid w:val="009B7F27"/>
    <w:pPr>
      <w:spacing w:after="0"/>
    </w:pPr>
    <w:rPr>
      <w:rFonts w:ascii="Tahoma" w:hAnsi="Tahoma" w:cs="Tahoma"/>
      <w:sz w:val="16"/>
      <w:szCs w:val="16"/>
    </w:rPr>
  </w:style>
  <w:style w:type="character" w:customStyle="1" w:styleId="BalloonTextChar">
    <w:name w:val="Balloon Text Char"/>
    <w:basedOn w:val="DefaultParagraphFont"/>
    <w:link w:val="BalloonText"/>
    <w:rsid w:val="009B7F27"/>
    <w:rPr>
      <w:rFonts w:ascii="Tahoma" w:hAnsi="Tahoma" w:cs="Tahoma"/>
      <w:sz w:val="16"/>
      <w:szCs w:val="16"/>
      <w:lang w:eastAsia="en-US"/>
    </w:rPr>
  </w:style>
  <w:style w:type="paragraph" w:customStyle="1" w:styleId="Default">
    <w:name w:val="Default"/>
    <w:rsid w:val="009B7F27"/>
    <w:pPr>
      <w:autoSpaceDE w:val="0"/>
      <w:autoSpaceDN w:val="0"/>
      <w:adjustRightInd w:val="0"/>
    </w:pPr>
    <w:rPr>
      <w:rFonts w:ascii="Garamond" w:hAnsi="Garamond" w:cs="Garamond"/>
      <w:color w:val="000000"/>
      <w:sz w:val="24"/>
      <w:szCs w:val="24"/>
    </w:rPr>
  </w:style>
  <w:style w:type="character" w:customStyle="1" w:styleId="Heading1Char">
    <w:name w:val="Heading 1 Char"/>
    <w:link w:val="Heading1"/>
    <w:rsid w:val="009B7F27"/>
    <w:rPr>
      <w:rFonts w:ascii="Calibri" w:hAnsi="Calibri"/>
      <w:b/>
      <w:caps/>
      <w:sz w:val="26"/>
      <w:szCs w:val="22"/>
      <w:lang w:eastAsia="en-US"/>
    </w:rPr>
  </w:style>
  <w:style w:type="character" w:customStyle="1" w:styleId="BulletTextChar">
    <w:name w:val="Bullet Text Char"/>
    <w:link w:val="BulletText"/>
    <w:locked/>
    <w:rsid w:val="009B7F27"/>
    <w:rPr>
      <w:rFonts w:ascii="Garamond" w:hAnsi="Garamond"/>
      <w:sz w:val="22"/>
      <w:lang w:eastAsia="en-US"/>
    </w:rPr>
  </w:style>
  <w:style w:type="character" w:customStyle="1" w:styleId="NotesChar">
    <w:name w:val="Notes Char"/>
    <w:link w:val="Notes"/>
    <w:locked/>
    <w:rsid w:val="009B7F27"/>
    <w:rPr>
      <w:rFonts w:ascii="Calibri" w:hAnsi="Calibri"/>
      <w:i/>
      <w:sz w:val="15"/>
      <w:lang w:eastAsia="en-US"/>
    </w:rPr>
  </w:style>
  <w:style w:type="character" w:customStyle="1" w:styleId="TableheadingChar">
    <w:name w:val="Table heading Char"/>
    <w:link w:val="Tableheading"/>
    <w:locked/>
    <w:rsid w:val="009B7F27"/>
    <w:rPr>
      <w:rFonts w:ascii="Calibri" w:hAnsi="Calibri"/>
      <w:b/>
      <w:sz w:val="22"/>
      <w:lang w:eastAsia="en-US"/>
    </w:rPr>
  </w:style>
  <w:style w:type="character" w:customStyle="1" w:styleId="Heading5Char">
    <w:name w:val="Heading 5 Char"/>
    <w:link w:val="Heading5"/>
    <w:rsid w:val="009B7F27"/>
    <w:rPr>
      <w:rFonts w:ascii="Calibri" w:hAnsi="Calibri"/>
      <w:b/>
      <w:sz w:val="22"/>
      <w:lang w:eastAsia="en-US"/>
    </w:rPr>
  </w:style>
  <w:style w:type="table" w:styleId="TableColumns4">
    <w:name w:val="Table Columns 4"/>
    <w:basedOn w:val="TableNormal"/>
    <w:locked/>
    <w:rsid w:val="009B7F27"/>
    <w:pPr>
      <w:spacing w:after="12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styleId="Hyperlink">
    <w:name w:val="Hyperlink"/>
    <w:basedOn w:val="DefaultParagraphFont"/>
    <w:uiPriority w:val="99"/>
    <w:locked/>
    <w:rsid w:val="009B7F27"/>
    <w:rPr>
      <w:color w:val="0000FF" w:themeColor="hyperlink"/>
      <w:u w:val="single"/>
    </w:rPr>
  </w:style>
  <w:style w:type="character" w:styleId="CommentReference">
    <w:name w:val="annotation reference"/>
    <w:basedOn w:val="DefaultParagraphFont"/>
    <w:uiPriority w:val="99"/>
    <w:locked/>
    <w:rsid w:val="009B7F27"/>
    <w:rPr>
      <w:sz w:val="16"/>
      <w:szCs w:val="16"/>
    </w:rPr>
  </w:style>
  <w:style w:type="paragraph" w:styleId="CommentText">
    <w:name w:val="annotation text"/>
    <w:basedOn w:val="Normal"/>
    <w:link w:val="CommentTextChar"/>
    <w:uiPriority w:val="99"/>
    <w:locked/>
    <w:rsid w:val="009B7F27"/>
    <w:rPr>
      <w:sz w:val="20"/>
    </w:rPr>
  </w:style>
  <w:style w:type="character" w:customStyle="1" w:styleId="CommentTextChar">
    <w:name w:val="Comment Text Char"/>
    <w:basedOn w:val="DefaultParagraphFont"/>
    <w:link w:val="CommentText"/>
    <w:uiPriority w:val="99"/>
    <w:rsid w:val="009B7F27"/>
    <w:rPr>
      <w:rFonts w:ascii="Garamond" w:hAnsi="Garamond"/>
      <w:lang w:eastAsia="en-US"/>
    </w:rPr>
  </w:style>
  <w:style w:type="paragraph" w:styleId="CommentSubject">
    <w:name w:val="annotation subject"/>
    <w:basedOn w:val="CommentText"/>
    <w:next w:val="CommentText"/>
    <w:link w:val="CommentSubjectChar"/>
    <w:locked/>
    <w:rsid w:val="009B7F27"/>
    <w:rPr>
      <w:b/>
      <w:bCs/>
    </w:rPr>
  </w:style>
  <w:style w:type="character" w:customStyle="1" w:styleId="CommentSubjectChar">
    <w:name w:val="Comment Subject Char"/>
    <w:basedOn w:val="CommentTextChar"/>
    <w:link w:val="CommentSubject"/>
    <w:rsid w:val="009B7F27"/>
    <w:rPr>
      <w:rFonts w:ascii="Garamond" w:hAnsi="Garamond"/>
      <w:b/>
      <w:bCs/>
      <w:lang w:eastAsia="en-US"/>
    </w:rPr>
  </w:style>
  <w:style w:type="paragraph" w:styleId="FootnoteText">
    <w:name w:val="footnote text"/>
    <w:basedOn w:val="Normal"/>
    <w:link w:val="FootnoteTextChar"/>
    <w:locked/>
    <w:rsid w:val="009B7F27"/>
    <w:rPr>
      <w:sz w:val="20"/>
    </w:rPr>
  </w:style>
  <w:style w:type="character" w:customStyle="1" w:styleId="FootnoteTextChar">
    <w:name w:val="Footnote Text Char"/>
    <w:basedOn w:val="DefaultParagraphFont"/>
    <w:link w:val="FootnoteText"/>
    <w:rsid w:val="009B7F27"/>
    <w:rPr>
      <w:rFonts w:ascii="Garamond" w:hAnsi="Garamond"/>
      <w:lang w:eastAsia="en-US"/>
    </w:rPr>
  </w:style>
  <w:style w:type="character" w:styleId="FootnoteReference">
    <w:name w:val="footnote reference"/>
    <w:basedOn w:val="DefaultParagraphFont"/>
    <w:locked/>
    <w:rsid w:val="009B7F27"/>
    <w:rPr>
      <w:vertAlign w:val="superscript"/>
    </w:rPr>
  </w:style>
  <w:style w:type="paragraph" w:styleId="Index3">
    <w:name w:val="index 3"/>
    <w:basedOn w:val="Normal"/>
    <w:next w:val="Normal"/>
    <w:autoRedefine/>
    <w:rsid w:val="009B7F27"/>
    <w:pPr>
      <w:spacing w:after="0"/>
      <w:ind w:left="660" w:hanging="220"/>
    </w:pPr>
    <w:rPr>
      <w:rFonts w:asciiTheme="minorHAnsi" w:hAnsiTheme="minorHAnsi" w:cstheme="minorHAnsi"/>
      <w:sz w:val="18"/>
      <w:szCs w:val="18"/>
    </w:rPr>
  </w:style>
  <w:style w:type="paragraph" w:styleId="Index4">
    <w:name w:val="index 4"/>
    <w:basedOn w:val="Normal"/>
    <w:next w:val="Normal"/>
    <w:autoRedefine/>
    <w:rsid w:val="009B7F27"/>
    <w:pPr>
      <w:spacing w:after="0"/>
      <w:ind w:left="880" w:hanging="220"/>
    </w:pPr>
    <w:rPr>
      <w:rFonts w:asciiTheme="minorHAnsi" w:hAnsiTheme="minorHAnsi" w:cstheme="minorHAnsi"/>
      <w:sz w:val="18"/>
      <w:szCs w:val="18"/>
    </w:rPr>
  </w:style>
  <w:style w:type="paragraph" w:styleId="Index5">
    <w:name w:val="index 5"/>
    <w:basedOn w:val="Normal"/>
    <w:next w:val="Normal"/>
    <w:autoRedefine/>
    <w:rsid w:val="009B7F27"/>
    <w:pPr>
      <w:spacing w:after="0"/>
      <w:ind w:left="1100" w:hanging="220"/>
    </w:pPr>
    <w:rPr>
      <w:rFonts w:asciiTheme="minorHAnsi" w:hAnsiTheme="minorHAnsi" w:cstheme="minorHAnsi"/>
      <w:sz w:val="18"/>
      <w:szCs w:val="18"/>
    </w:rPr>
  </w:style>
  <w:style w:type="paragraph" w:styleId="Index6">
    <w:name w:val="index 6"/>
    <w:basedOn w:val="Normal"/>
    <w:next w:val="Normal"/>
    <w:autoRedefine/>
    <w:locked/>
    <w:rsid w:val="009B7F27"/>
    <w:pPr>
      <w:spacing w:after="0"/>
      <w:ind w:left="1320" w:hanging="220"/>
    </w:pPr>
    <w:rPr>
      <w:rFonts w:asciiTheme="minorHAnsi" w:hAnsiTheme="minorHAnsi" w:cstheme="minorHAnsi"/>
      <w:sz w:val="18"/>
      <w:szCs w:val="18"/>
    </w:rPr>
  </w:style>
  <w:style w:type="paragraph" w:styleId="Index7">
    <w:name w:val="index 7"/>
    <w:basedOn w:val="Normal"/>
    <w:next w:val="Normal"/>
    <w:autoRedefine/>
    <w:locked/>
    <w:rsid w:val="009B7F27"/>
    <w:pPr>
      <w:spacing w:after="0"/>
      <w:ind w:left="1540" w:hanging="220"/>
    </w:pPr>
    <w:rPr>
      <w:rFonts w:asciiTheme="minorHAnsi" w:hAnsiTheme="minorHAnsi" w:cstheme="minorHAnsi"/>
      <w:sz w:val="18"/>
      <w:szCs w:val="18"/>
    </w:rPr>
  </w:style>
  <w:style w:type="paragraph" w:styleId="Index8">
    <w:name w:val="index 8"/>
    <w:basedOn w:val="Normal"/>
    <w:next w:val="Normal"/>
    <w:autoRedefine/>
    <w:locked/>
    <w:rsid w:val="009B7F27"/>
    <w:pPr>
      <w:spacing w:after="0"/>
      <w:ind w:left="1760" w:hanging="220"/>
    </w:pPr>
    <w:rPr>
      <w:rFonts w:asciiTheme="minorHAnsi" w:hAnsiTheme="minorHAnsi" w:cstheme="minorHAnsi"/>
      <w:sz w:val="18"/>
      <w:szCs w:val="18"/>
    </w:rPr>
  </w:style>
  <w:style w:type="paragraph" w:styleId="Index9">
    <w:name w:val="index 9"/>
    <w:basedOn w:val="Normal"/>
    <w:next w:val="Normal"/>
    <w:autoRedefine/>
    <w:locked/>
    <w:rsid w:val="009B7F27"/>
    <w:pPr>
      <w:spacing w:after="0"/>
      <w:ind w:left="1980" w:hanging="220"/>
    </w:pPr>
    <w:rPr>
      <w:rFonts w:asciiTheme="minorHAnsi" w:hAnsiTheme="minorHAnsi" w:cstheme="minorHAnsi"/>
      <w:sz w:val="18"/>
      <w:szCs w:val="18"/>
    </w:rPr>
  </w:style>
  <w:style w:type="paragraph" w:customStyle="1" w:styleId="HighlightBoxDash">
    <w:name w:val="Highlight Box Dash"/>
    <w:basedOn w:val="HighlightBoxBullet"/>
    <w:qFormat/>
    <w:rsid w:val="009B7F27"/>
    <w:pPr>
      <w:numPr>
        <w:numId w:val="0"/>
      </w:numPr>
      <w:tabs>
        <w:tab w:val="left" w:pos="360"/>
      </w:tabs>
      <w:ind w:left="720" w:hanging="720"/>
    </w:pPr>
  </w:style>
  <w:style w:type="character" w:customStyle="1" w:styleId="Heading2Char">
    <w:name w:val="Heading 2 Char"/>
    <w:link w:val="Heading2"/>
    <w:rsid w:val="009B7F27"/>
    <w:rPr>
      <w:rFonts w:ascii="Calibri" w:hAnsi="Calibri"/>
      <w:b/>
      <w:kern w:val="28"/>
      <w:sz w:val="26"/>
      <w:szCs w:val="22"/>
      <w:lang w:eastAsia="en-US"/>
    </w:rPr>
  </w:style>
  <w:style w:type="paragraph" w:styleId="ListParagraph">
    <w:name w:val="List Paragraph"/>
    <w:basedOn w:val="Normal"/>
    <w:uiPriority w:val="34"/>
    <w:qFormat/>
    <w:rsid w:val="009B7F27"/>
    <w:pPr>
      <w:spacing w:after="0"/>
      <w:ind w:left="720"/>
      <w:contextualSpacing/>
    </w:pPr>
    <w:rPr>
      <w:rFonts w:ascii="Times New Roman" w:hAnsi="Times New Roman"/>
      <w:sz w:val="24"/>
    </w:rPr>
  </w:style>
  <w:style w:type="character" w:customStyle="1" w:styleId="Heading3Char">
    <w:name w:val="Heading 3 Char"/>
    <w:link w:val="Heading3"/>
    <w:rsid w:val="009B7F27"/>
    <w:rPr>
      <w:rFonts w:ascii="Calibri" w:hAnsi="Calibri"/>
      <w:b/>
      <w:i/>
      <w:kern w:val="28"/>
      <w:sz w:val="24"/>
      <w:szCs w:val="22"/>
      <w:lang w:eastAsia="en-US"/>
    </w:rPr>
  </w:style>
  <w:style w:type="character" w:customStyle="1" w:styleId="Heading4Char">
    <w:name w:val="Heading 4 Char"/>
    <w:link w:val="Heading4"/>
    <w:rsid w:val="009B7F27"/>
    <w:rPr>
      <w:rFonts w:ascii="Calibri" w:hAnsi="Calibri"/>
      <w:i/>
      <w:sz w:val="24"/>
      <w:szCs w:val="22"/>
      <w:lang w:eastAsia="en-US"/>
    </w:rPr>
  </w:style>
  <w:style w:type="character" w:customStyle="1" w:styleId="ChartheadingChar">
    <w:name w:val="Chart heading Char"/>
    <w:link w:val="Chartheading"/>
    <w:locked/>
    <w:rsid w:val="009B7F27"/>
    <w:rPr>
      <w:rFonts w:ascii="Calibri" w:hAnsi="Calibri"/>
      <w:b/>
      <w:sz w:val="22"/>
      <w:lang w:eastAsia="en-US"/>
    </w:rPr>
  </w:style>
  <w:style w:type="paragraph" w:customStyle="1" w:styleId="CharCharCharChar">
    <w:name w:val="Char Char Char Char"/>
    <w:basedOn w:val="Normal"/>
    <w:rsid w:val="009B7F27"/>
    <w:pPr>
      <w:spacing w:after="160" w:line="240" w:lineRule="exact"/>
    </w:pPr>
    <w:rPr>
      <w:rFonts w:ascii="Tahoma" w:hAnsi="Tahoma" w:cs="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emf"/><Relationship Id="rId26" Type="http://schemas.openxmlformats.org/officeDocument/2006/relationships/image" Target="media/image11.emf"/><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image" Target="media/image17.emf"/><Relationship Id="rId42" Type="http://schemas.openxmlformats.org/officeDocument/2006/relationships/image" Target="media/image21.emf"/><Relationship Id="rId47" Type="http://schemas.openxmlformats.org/officeDocument/2006/relationships/footer" Target="footer17.xml"/><Relationship Id="rId50" Type="http://schemas.openxmlformats.org/officeDocument/2006/relationships/footer" Target="footer2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image" Target="media/image10.emf"/><Relationship Id="rId33" Type="http://schemas.openxmlformats.org/officeDocument/2006/relationships/image" Target="media/image16.emf"/><Relationship Id="rId38" Type="http://schemas.openxmlformats.org/officeDocument/2006/relationships/footer" Target="footer11.xml"/><Relationship Id="rId46"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5.emf"/><Relationship Id="rId29" Type="http://schemas.openxmlformats.org/officeDocument/2006/relationships/image" Target="media/image12.emf"/><Relationship Id="rId41"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9.emf"/><Relationship Id="rId32" Type="http://schemas.openxmlformats.org/officeDocument/2006/relationships/image" Target="media/image15.emf"/><Relationship Id="rId37" Type="http://schemas.openxmlformats.org/officeDocument/2006/relationships/image" Target="media/image18.emf"/><Relationship Id="rId40" Type="http://schemas.openxmlformats.org/officeDocument/2006/relationships/image" Target="media/image19.emf"/><Relationship Id="rId45"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8.emf"/><Relationship Id="rId28" Type="http://schemas.openxmlformats.org/officeDocument/2006/relationships/footer" Target="footer8.xml"/><Relationship Id="rId36" Type="http://schemas.openxmlformats.org/officeDocument/2006/relationships/footer" Target="footer10.xml"/><Relationship Id="rId49" Type="http://schemas.openxmlformats.org/officeDocument/2006/relationships/footer" Target="footer19.xml"/><Relationship Id="rId10" Type="http://schemas.openxmlformats.org/officeDocument/2006/relationships/oleObject" Target="embeddings/oleObject1.bin"/><Relationship Id="rId19" Type="http://schemas.openxmlformats.org/officeDocument/2006/relationships/image" Target="media/image4.emf"/><Relationship Id="rId31" Type="http://schemas.openxmlformats.org/officeDocument/2006/relationships/image" Target="media/image14.emf"/><Relationship Id="rId44" Type="http://schemas.openxmlformats.org/officeDocument/2006/relationships/footer" Target="footer14.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image" Target="media/image7.emf"/><Relationship Id="rId27" Type="http://schemas.openxmlformats.org/officeDocument/2006/relationships/footer" Target="footer7.xml"/><Relationship Id="rId30" Type="http://schemas.openxmlformats.org/officeDocument/2006/relationships/image" Target="media/image13.emf"/><Relationship Id="rId35" Type="http://schemas.openxmlformats.org/officeDocument/2006/relationships/footer" Target="footer9.xml"/><Relationship Id="rId43" Type="http://schemas.openxmlformats.org/officeDocument/2006/relationships/footer" Target="footer13.xml"/><Relationship Id="rId48" Type="http://schemas.openxmlformats.org/officeDocument/2006/relationships/footer" Target="footer18.xml"/><Relationship Id="rId8" Type="http://schemas.openxmlformats.org/officeDocument/2006/relationships/endnotes" Target="endnot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Zen\Template\Budget_B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C44D1-54CC-4BAB-B5D7-6D6860A2A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Budget_B5.dotm</Template>
  <TotalTime>7</TotalTime>
  <Pages>92</Pages>
  <Words>26711</Words>
  <Characters>167000</Characters>
  <Application>Microsoft Office Word</Application>
  <DocSecurity>0</DocSecurity>
  <Lines>1391</Lines>
  <Paragraphs>386</Paragraphs>
  <ScaleCrop>false</ScaleCrop>
  <HeadingPairs>
    <vt:vector size="2" baseType="variant">
      <vt:variant>
        <vt:lpstr>Title</vt:lpstr>
      </vt:variant>
      <vt:variant>
        <vt:i4>1</vt:i4>
      </vt:variant>
    </vt:vector>
  </HeadingPairs>
  <TitlesOfParts>
    <vt:vector size="1" baseType="lpstr">
      <vt:lpstr>Draft No</vt:lpstr>
    </vt:vector>
  </TitlesOfParts>
  <Company>DTF</Company>
  <LinksUpToDate>false</LinksUpToDate>
  <CharactersWithSpaces>193325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No</dc:title>
  <dc:subject/>
  <dc:creator>Julie Tran</dc:creator>
  <cp:keywords/>
  <dc:description/>
  <cp:lastModifiedBy>Deidre Steain</cp:lastModifiedBy>
  <cp:revision>4</cp:revision>
  <cp:lastPrinted>2013-05-05T08:22:00Z</cp:lastPrinted>
  <dcterms:created xsi:type="dcterms:W3CDTF">2013-05-05T08:20:00Z</dcterms:created>
  <dcterms:modified xsi:type="dcterms:W3CDTF">2013-05-06T23:50:00Z</dcterms:modified>
</cp:coreProperties>
</file>