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1C" w:rsidRDefault="00C3131C" w:rsidP="00C3131C">
      <w:pPr>
        <w:pStyle w:val="NewsletterNormal"/>
        <w:spacing w:before="720" w:after="0"/>
      </w:pPr>
    </w:p>
    <w:p w:rsidR="002620A4" w:rsidRPr="00BB53E8" w:rsidRDefault="00542B5C" w:rsidP="00CA6B1D">
      <w:pPr>
        <w:pStyle w:val="NewsletterIntroductoryCopy"/>
      </w:pPr>
      <w:r w:rsidRPr="0066716B">
        <w:t>Scope: This bi</w:t>
      </w:r>
      <w:r w:rsidR="00E814AF">
        <w:noBreakHyphen/>
      </w:r>
      <w:r w:rsidRPr="00A53A2F">
        <w:t xml:space="preserve">annual newsletter outlines areas of particular importance in public sector financial reporting. </w:t>
      </w:r>
      <w:r w:rsidR="00322E64">
        <w:t>Please distribute</w:t>
      </w:r>
      <w:r w:rsidRPr="00A53A2F">
        <w:t xml:space="preserve"> to both budget and financial reporting </w:t>
      </w:r>
      <w:r w:rsidRPr="00FC5CDC">
        <w:t>areas of Victorian public sector entities.</w:t>
      </w: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2620A4" w:rsidRPr="00777785" w:rsidRDefault="002620A4" w:rsidP="006B3A50">
      <w:pPr>
        <w:pStyle w:val="NewsletterNormal"/>
      </w:pPr>
    </w:p>
    <w:p w:rsidR="006B3A50" w:rsidRDefault="006B3A50" w:rsidP="006B3A50">
      <w:pPr>
        <w:pStyle w:val="NewsletterNormal"/>
      </w:pPr>
    </w:p>
    <w:p w:rsidR="00045C49" w:rsidRDefault="00045C49" w:rsidP="006B3A50">
      <w:pPr>
        <w:pStyle w:val="NewsletterNormal"/>
      </w:pPr>
    </w:p>
    <w:p w:rsidR="00045C49" w:rsidRDefault="00045C49" w:rsidP="006B3A50">
      <w:pPr>
        <w:pStyle w:val="NewsletterNormal"/>
      </w:pPr>
    </w:p>
    <w:p w:rsidR="00045C49" w:rsidRDefault="00045C49" w:rsidP="006B3A50">
      <w:pPr>
        <w:pStyle w:val="NewsletterNormal"/>
      </w:pPr>
    </w:p>
    <w:p w:rsidR="00302EA4" w:rsidRDefault="00302EA4" w:rsidP="006B3A50">
      <w:pPr>
        <w:pStyle w:val="NewsletterNormal"/>
      </w:pPr>
    </w:p>
    <w:p w:rsidR="00302EA4" w:rsidRDefault="00302EA4" w:rsidP="006B3A50">
      <w:pPr>
        <w:pStyle w:val="NewsletterNormal"/>
      </w:pPr>
    </w:p>
    <w:p w:rsidR="00302EA4" w:rsidRDefault="00302EA4" w:rsidP="006B3A50">
      <w:pPr>
        <w:pStyle w:val="NewsletterNormal"/>
      </w:pPr>
    </w:p>
    <w:p w:rsidR="00302EA4" w:rsidRDefault="00302EA4" w:rsidP="006B3A50">
      <w:pPr>
        <w:pStyle w:val="NewsletterNormal"/>
      </w:pPr>
    </w:p>
    <w:p w:rsidR="00302EA4" w:rsidRDefault="00302EA4" w:rsidP="006B3A50">
      <w:pPr>
        <w:pStyle w:val="NewsletterNormal"/>
      </w:pPr>
    </w:p>
    <w:p w:rsidR="00045C49" w:rsidRDefault="00045C49" w:rsidP="006B3A50">
      <w:pPr>
        <w:pStyle w:val="NewsletterNormal"/>
      </w:pPr>
    </w:p>
    <w:p w:rsidR="002620A4" w:rsidRPr="00777785" w:rsidRDefault="002620A4" w:rsidP="006B3A50">
      <w:pPr>
        <w:pStyle w:val="NewsletterNormal"/>
      </w:pPr>
      <w:r w:rsidRPr="00777785">
        <w:rPr>
          <w:noProof/>
        </w:rPr>
        <mc:AlternateContent>
          <mc:Choice Requires="wps">
            <w:drawing>
              <wp:anchor distT="0" distB="0" distL="114300" distR="114300" simplePos="0" relativeHeight="251659264" behindDoc="1" locked="0" layoutInCell="1" allowOverlap="1" wp14:anchorId="5B198313" wp14:editId="7CC65188">
                <wp:simplePos x="0" y="0"/>
                <wp:positionH relativeFrom="column">
                  <wp:posOffset>-120741</wp:posOffset>
                </wp:positionH>
                <wp:positionV relativeFrom="paragraph">
                  <wp:posOffset>164465</wp:posOffset>
                </wp:positionV>
                <wp:extent cx="2124075" cy="1247775"/>
                <wp:effectExtent l="0" t="0" r="9525" b="952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247775"/>
                        </a:xfrm>
                        <a:prstGeom prst="rect">
                          <a:avLst/>
                        </a:prstGeom>
                        <a:solidFill>
                          <a:srgbClr val="D9D9D6"/>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5pt;margin-top:12.95pt;width:167.2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" fillcolor="#d9d9d6" stroked="f"/>
            </w:pict>
          </mc:Fallback>
        </mc:AlternateContent>
      </w:r>
    </w:p>
    <w:p w:rsidR="002620A4" w:rsidRPr="00AF6A16" w:rsidRDefault="002620A4" w:rsidP="002620A4">
      <w:pPr>
        <w:pStyle w:val="NewsletterTOCheading"/>
        <w:rPr>
          <w:rFonts w:cs="Arial"/>
          <w:color w:val="004EA8"/>
          <w:sz w:val="33"/>
          <w:szCs w:val="33"/>
        </w:rPr>
      </w:pPr>
      <w:r w:rsidRPr="00AF6A16">
        <w:rPr>
          <w:rFonts w:cs="Arial"/>
          <w:color w:val="004EA8"/>
          <w:sz w:val="33"/>
          <w:szCs w:val="33"/>
        </w:rPr>
        <w:t>Inside this edition</w:t>
      </w:r>
    </w:p>
    <w:p w:rsidR="00F75680" w:rsidRDefault="002620A4">
      <w:pPr>
        <w:pStyle w:val="TOC1"/>
        <w:rPr>
          <w:rFonts w:asciiTheme="minorHAnsi" w:eastAsiaTheme="minorEastAsia" w:hAnsiTheme="minorHAnsi" w:cstheme="minorBidi"/>
          <w:color w:val="auto"/>
          <w:spacing w:val="0"/>
          <w:sz w:val="22"/>
          <w:szCs w:val="22"/>
        </w:rPr>
      </w:pPr>
      <w:r w:rsidRPr="00777785">
        <w:rPr>
          <w:sz w:val="22"/>
          <w:szCs w:val="22"/>
        </w:rPr>
        <w:fldChar w:fldCharType="begin"/>
      </w:r>
      <w:r w:rsidRPr="00777785">
        <w:rPr>
          <w:sz w:val="22"/>
          <w:szCs w:val="22"/>
        </w:rPr>
        <w:instrText xml:space="preserve"> TOC \h \z \t "</w:instrText>
      </w:r>
      <w:r w:rsidR="00EC02E9" w:rsidRPr="00777785">
        <w:rPr>
          <w:sz w:val="22"/>
          <w:szCs w:val="22"/>
        </w:rPr>
        <w:instrText>Newsletter</w:instrText>
      </w:r>
      <w:r w:rsidRPr="00777785">
        <w:rPr>
          <w:sz w:val="22"/>
          <w:szCs w:val="22"/>
        </w:rPr>
        <w:instrText xml:space="preserve"> Heading 1,1" </w:instrText>
      </w:r>
      <w:r w:rsidRPr="00777785">
        <w:rPr>
          <w:sz w:val="22"/>
          <w:szCs w:val="22"/>
        </w:rPr>
        <w:fldChar w:fldCharType="separate"/>
      </w:r>
      <w:hyperlink w:anchor="_Toc440382499" w:history="1">
        <w:r w:rsidR="00F75680" w:rsidRPr="00A36673">
          <w:rPr>
            <w:rStyle w:val="Hyperlink"/>
          </w:rPr>
          <w:t>Overview</w:t>
        </w:r>
        <w:r w:rsidR="00F75680">
          <w:rPr>
            <w:webHidden/>
          </w:rPr>
          <w:tab/>
        </w:r>
        <w:r w:rsidR="00F75680">
          <w:rPr>
            <w:webHidden/>
          </w:rPr>
          <w:fldChar w:fldCharType="begin"/>
        </w:r>
        <w:r w:rsidR="00F75680">
          <w:rPr>
            <w:webHidden/>
          </w:rPr>
          <w:instrText xml:space="preserve"> PAGEREF _Toc440382499 \h </w:instrText>
        </w:r>
        <w:r w:rsidR="00F75680">
          <w:rPr>
            <w:webHidden/>
          </w:rPr>
        </w:r>
        <w:r w:rsidR="00F75680">
          <w:rPr>
            <w:webHidden/>
          </w:rPr>
          <w:fldChar w:fldCharType="separate"/>
        </w:r>
        <w:r w:rsidR="00F40849">
          <w:rPr>
            <w:webHidden/>
          </w:rPr>
          <w:t>1</w:t>
        </w:r>
        <w:r w:rsidR="00F75680">
          <w:rPr>
            <w:webHidden/>
          </w:rPr>
          <w:fldChar w:fldCharType="end"/>
        </w:r>
      </w:hyperlink>
    </w:p>
    <w:p w:rsidR="00F75680" w:rsidRDefault="00FD760D">
      <w:pPr>
        <w:pStyle w:val="TOC1"/>
        <w:rPr>
          <w:rFonts w:asciiTheme="minorHAnsi" w:eastAsiaTheme="minorEastAsia" w:hAnsiTheme="minorHAnsi" w:cstheme="minorBidi"/>
          <w:color w:val="auto"/>
          <w:spacing w:val="0"/>
          <w:sz w:val="22"/>
          <w:szCs w:val="22"/>
        </w:rPr>
      </w:pPr>
      <w:hyperlink w:anchor="_Toc440382500" w:history="1">
        <w:r w:rsidR="00F75680" w:rsidRPr="00A36673">
          <w:rPr>
            <w:rStyle w:val="Hyperlink"/>
          </w:rPr>
          <w:t>2015</w:t>
        </w:r>
        <w:r w:rsidR="00F75680" w:rsidRPr="00A36673">
          <w:rPr>
            <w:rStyle w:val="Hyperlink"/>
          </w:rPr>
          <w:noBreakHyphen/>
          <w:t>16 reporting year</w:t>
        </w:r>
        <w:r w:rsidR="00F75680">
          <w:rPr>
            <w:webHidden/>
          </w:rPr>
          <w:tab/>
        </w:r>
        <w:r w:rsidR="00F75680">
          <w:rPr>
            <w:webHidden/>
          </w:rPr>
          <w:fldChar w:fldCharType="begin"/>
        </w:r>
        <w:r w:rsidR="00F75680">
          <w:rPr>
            <w:webHidden/>
          </w:rPr>
          <w:instrText xml:space="preserve"> PAGEREF _Toc440382500 \h </w:instrText>
        </w:r>
        <w:r w:rsidR="00F75680">
          <w:rPr>
            <w:webHidden/>
          </w:rPr>
        </w:r>
        <w:r w:rsidR="00F75680">
          <w:rPr>
            <w:webHidden/>
          </w:rPr>
          <w:fldChar w:fldCharType="separate"/>
        </w:r>
        <w:r w:rsidR="00F40849">
          <w:rPr>
            <w:webHidden/>
          </w:rPr>
          <w:t>1</w:t>
        </w:r>
        <w:r w:rsidR="00F75680">
          <w:rPr>
            <w:webHidden/>
          </w:rPr>
          <w:fldChar w:fldCharType="end"/>
        </w:r>
      </w:hyperlink>
    </w:p>
    <w:p w:rsidR="00F75680" w:rsidRDefault="00FD760D">
      <w:pPr>
        <w:pStyle w:val="TOC1"/>
        <w:rPr>
          <w:rFonts w:asciiTheme="minorHAnsi" w:eastAsiaTheme="minorEastAsia" w:hAnsiTheme="minorHAnsi" w:cstheme="minorBidi"/>
          <w:color w:val="auto"/>
          <w:spacing w:val="0"/>
          <w:sz w:val="22"/>
          <w:szCs w:val="22"/>
        </w:rPr>
      </w:pPr>
      <w:hyperlink w:anchor="_Toc440382501" w:history="1">
        <w:r w:rsidR="00F75680" w:rsidRPr="00A36673">
          <w:rPr>
            <w:rStyle w:val="Hyperlink"/>
          </w:rPr>
          <w:t>Looking forward</w:t>
        </w:r>
        <w:r w:rsidR="00F75680">
          <w:rPr>
            <w:webHidden/>
          </w:rPr>
          <w:tab/>
        </w:r>
        <w:r w:rsidR="00F75680">
          <w:rPr>
            <w:webHidden/>
          </w:rPr>
          <w:fldChar w:fldCharType="begin"/>
        </w:r>
        <w:r w:rsidR="00F75680">
          <w:rPr>
            <w:webHidden/>
          </w:rPr>
          <w:instrText xml:space="preserve"> PAGEREF _Toc440382501 \h </w:instrText>
        </w:r>
        <w:r w:rsidR="00F75680">
          <w:rPr>
            <w:webHidden/>
          </w:rPr>
        </w:r>
        <w:r w:rsidR="00F75680">
          <w:rPr>
            <w:webHidden/>
          </w:rPr>
          <w:fldChar w:fldCharType="separate"/>
        </w:r>
        <w:r w:rsidR="00F40849">
          <w:rPr>
            <w:webHidden/>
          </w:rPr>
          <w:t>5</w:t>
        </w:r>
        <w:r w:rsidR="00F75680">
          <w:rPr>
            <w:webHidden/>
          </w:rPr>
          <w:fldChar w:fldCharType="end"/>
        </w:r>
      </w:hyperlink>
    </w:p>
    <w:p w:rsidR="00F75680" w:rsidRDefault="00FD760D">
      <w:pPr>
        <w:pStyle w:val="TOC1"/>
        <w:rPr>
          <w:rFonts w:asciiTheme="minorHAnsi" w:eastAsiaTheme="minorEastAsia" w:hAnsiTheme="minorHAnsi" w:cstheme="minorBidi"/>
          <w:color w:val="auto"/>
          <w:spacing w:val="0"/>
          <w:sz w:val="22"/>
          <w:szCs w:val="22"/>
        </w:rPr>
      </w:pPr>
      <w:hyperlink w:anchor="_Toc440382502" w:history="1">
        <w:r w:rsidR="00F75680" w:rsidRPr="00A36673">
          <w:rPr>
            <w:rStyle w:val="Hyperlink"/>
          </w:rPr>
          <w:t>How to contact us</w:t>
        </w:r>
        <w:r w:rsidR="00F75680">
          <w:rPr>
            <w:webHidden/>
          </w:rPr>
          <w:tab/>
        </w:r>
        <w:r w:rsidR="00F75680">
          <w:rPr>
            <w:webHidden/>
          </w:rPr>
          <w:fldChar w:fldCharType="begin"/>
        </w:r>
        <w:r w:rsidR="00F75680">
          <w:rPr>
            <w:webHidden/>
          </w:rPr>
          <w:instrText xml:space="preserve"> PAGEREF _Toc440382502 \h </w:instrText>
        </w:r>
        <w:r w:rsidR="00F75680">
          <w:rPr>
            <w:webHidden/>
          </w:rPr>
        </w:r>
        <w:r w:rsidR="00F75680">
          <w:rPr>
            <w:webHidden/>
          </w:rPr>
          <w:fldChar w:fldCharType="separate"/>
        </w:r>
        <w:r w:rsidR="00F40849">
          <w:rPr>
            <w:webHidden/>
          </w:rPr>
          <w:t>9</w:t>
        </w:r>
        <w:r w:rsidR="00F75680">
          <w:rPr>
            <w:webHidden/>
          </w:rPr>
          <w:fldChar w:fldCharType="end"/>
        </w:r>
      </w:hyperlink>
    </w:p>
    <w:p w:rsidR="00F75680" w:rsidRDefault="00FD760D">
      <w:pPr>
        <w:pStyle w:val="TOC1"/>
        <w:rPr>
          <w:rFonts w:asciiTheme="minorHAnsi" w:eastAsiaTheme="minorEastAsia" w:hAnsiTheme="minorHAnsi" w:cstheme="minorBidi"/>
          <w:color w:val="auto"/>
          <w:spacing w:val="0"/>
          <w:sz w:val="22"/>
          <w:szCs w:val="22"/>
        </w:rPr>
      </w:pPr>
      <w:hyperlink w:anchor="_Toc440382503" w:history="1">
        <w:r w:rsidR="00F75680" w:rsidRPr="00A36673">
          <w:rPr>
            <w:rStyle w:val="Hyperlink"/>
          </w:rPr>
          <w:t>About the Accounting Policy Update</w:t>
        </w:r>
        <w:r w:rsidR="00F75680">
          <w:rPr>
            <w:webHidden/>
          </w:rPr>
          <w:tab/>
        </w:r>
        <w:r w:rsidR="00F75680">
          <w:rPr>
            <w:webHidden/>
          </w:rPr>
          <w:fldChar w:fldCharType="begin"/>
        </w:r>
        <w:r w:rsidR="00F75680">
          <w:rPr>
            <w:webHidden/>
          </w:rPr>
          <w:instrText xml:space="preserve"> PAGEREF _Toc440382503 \h </w:instrText>
        </w:r>
        <w:r w:rsidR="00F75680">
          <w:rPr>
            <w:webHidden/>
          </w:rPr>
        </w:r>
        <w:r w:rsidR="00F75680">
          <w:rPr>
            <w:webHidden/>
          </w:rPr>
          <w:fldChar w:fldCharType="separate"/>
        </w:r>
        <w:r w:rsidR="00F40849">
          <w:rPr>
            <w:webHidden/>
          </w:rPr>
          <w:t>9</w:t>
        </w:r>
        <w:r w:rsidR="00F75680">
          <w:rPr>
            <w:webHidden/>
          </w:rPr>
          <w:fldChar w:fldCharType="end"/>
        </w:r>
      </w:hyperlink>
    </w:p>
    <w:p w:rsidR="002620A4" w:rsidRPr="00777785" w:rsidRDefault="002620A4" w:rsidP="00F24998">
      <w:pPr>
        <w:pStyle w:val="TOC1"/>
      </w:pPr>
      <w:r w:rsidRPr="00777785">
        <w:fldChar w:fldCharType="end"/>
      </w:r>
    </w:p>
    <w:p w:rsidR="00C3131C" w:rsidRDefault="002620A4" w:rsidP="00B360A7">
      <w:pPr>
        <w:pStyle w:val="NewsletterHeading1"/>
      </w:pPr>
      <w:r w:rsidRPr="00777785">
        <w:br w:type="column"/>
      </w:r>
      <w:bookmarkStart w:id="0" w:name="_Toc408567316"/>
    </w:p>
    <w:p w:rsidR="00C3131C" w:rsidRDefault="00C3131C" w:rsidP="00C3131C">
      <w:pPr>
        <w:pStyle w:val="NewsletterHeading1"/>
        <w:spacing w:before="0"/>
      </w:pPr>
    </w:p>
    <w:p w:rsidR="004F3CCC" w:rsidRPr="00B360A7" w:rsidRDefault="002620A4" w:rsidP="00B87489">
      <w:pPr>
        <w:pStyle w:val="NewsletterHeading1"/>
        <w:spacing w:before="400"/>
      </w:pPr>
      <w:bookmarkStart w:id="1" w:name="_Toc440382499"/>
      <w:r w:rsidRPr="00777785">
        <w:t>Overview</w:t>
      </w:r>
      <w:bookmarkEnd w:id="0"/>
      <w:bookmarkEnd w:id="1"/>
    </w:p>
    <w:p w:rsidR="008473F9" w:rsidRDefault="00372FEE" w:rsidP="00506D07">
      <w:pPr>
        <w:pStyle w:val="NewsletterNormal"/>
      </w:pPr>
      <w:r w:rsidRPr="001F03AD">
        <w:rPr>
          <w:color w:val="000000" w:themeColor="text1"/>
          <w:lang w:val="en"/>
        </w:rPr>
        <w:t xml:space="preserve">As we are half way through the </w:t>
      </w:r>
      <w:r w:rsidR="00045C49" w:rsidRPr="001F03AD">
        <w:rPr>
          <w:color w:val="000000" w:themeColor="text1"/>
          <w:lang w:val="en"/>
        </w:rPr>
        <w:t>2015</w:t>
      </w:r>
      <w:r w:rsidR="00E814AF">
        <w:rPr>
          <w:color w:val="000000" w:themeColor="text1"/>
          <w:lang w:val="en"/>
        </w:rPr>
        <w:noBreakHyphen/>
      </w:r>
      <w:r w:rsidR="00045C49" w:rsidRPr="001F03AD">
        <w:rPr>
          <w:color w:val="000000" w:themeColor="text1"/>
          <w:lang w:val="en"/>
        </w:rPr>
        <w:t>16</w:t>
      </w:r>
      <w:r w:rsidRPr="001F03AD">
        <w:rPr>
          <w:color w:val="000000" w:themeColor="text1"/>
          <w:lang w:val="en"/>
        </w:rPr>
        <w:t xml:space="preserve"> reporting period, </w:t>
      </w:r>
      <w:r w:rsidR="009F2159">
        <w:rPr>
          <w:color w:val="000000" w:themeColor="text1"/>
          <w:lang w:val="en"/>
        </w:rPr>
        <w:t>the</w:t>
      </w:r>
      <w:r w:rsidR="009E0CC2">
        <w:rPr>
          <w:color w:val="000000" w:themeColor="text1"/>
          <w:lang w:val="en"/>
        </w:rPr>
        <w:t xml:space="preserve"> focus of </w:t>
      </w:r>
      <w:r w:rsidRPr="001F03AD">
        <w:rPr>
          <w:color w:val="000000" w:themeColor="text1"/>
          <w:lang w:val="en"/>
        </w:rPr>
        <w:t xml:space="preserve">this newsletter </w:t>
      </w:r>
      <w:r w:rsidR="009E0CC2">
        <w:rPr>
          <w:color w:val="000000" w:themeColor="text1"/>
          <w:lang w:val="en"/>
        </w:rPr>
        <w:t>is</w:t>
      </w:r>
      <w:r w:rsidRPr="001F03AD">
        <w:rPr>
          <w:color w:val="000000" w:themeColor="text1"/>
          <w:lang w:val="en"/>
        </w:rPr>
        <w:t xml:space="preserve"> </w:t>
      </w:r>
      <w:r w:rsidR="00CA6A30" w:rsidRPr="001F03AD">
        <w:rPr>
          <w:color w:val="000000" w:themeColor="text1"/>
          <w:lang w:val="en"/>
        </w:rPr>
        <w:t>to</w:t>
      </w:r>
      <w:r w:rsidR="009E0CC2">
        <w:rPr>
          <w:color w:val="000000" w:themeColor="text1"/>
          <w:lang w:val="en"/>
        </w:rPr>
        <w:t xml:space="preserve"> provide</w:t>
      </w:r>
      <w:r w:rsidR="009F2159">
        <w:rPr>
          <w:color w:val="000000" w:themeColor="text1"/>
          <w:lang w:val="en"/>
        </w:rPr>
        <w:t xml:space="preserve"> information</w:t>
      </w:r>
      <w:r w:rsidR="004F1AB6">
        <w:rPr>
          <w:color w:val="000000" w:themeColor="text1"/>
          <w:lang w:val="en"/>
        </w:rPr>
        <w:t xml:space="preserve"> and updates to</w:t>
      </w:r>
      <w:r w:rsidR="00691F0D">
        <w:rPr>
          <w:color w:val="000000" w:themeColor="text1"/>
          <w:lang w:val="en"/>
        </w:rPr>
        <w:t xml:space="preserve"> </w:t>
      </w:r>
      <w:r w:rsidR="009F2159" w:rsidRPr="001F03AD">
        <w:rPr>
          <w:color w:val="000000" w:themeColor="text1"/>
          <w:lang w:val="en"/>
        </w:rPr>
        <w:t>Victorian Public Sector (VPS) entities</w:t>
      </w:r>
      <w:r w:rsidR="004F1AB6">
        <w:rPr>
          <w:color w:val="000000" w:themeColor="text1"/>
          <w:lang w:val="en"/>
        </w:rPr>
        <w:t xml:space="preserve"> for the</w:t>
      </w:r>
      <w:r w:rsidR="00691F0D">
        <w:rPr>
          <w:color w:val="000000" w:themeColor="text1"/>
          <w:lang w:val="en"/>
        </w:rPr>
        <w:t xml:space="preserve"> preparation of the</w:t>
      </w:r>
      <w:r w:rsidR="004F1AB6">
        <w:rPr>
          <w:color w:val="000000" w:themeColor="text1"/>
          <w:lang w:val="en"/>
        </w:rPr>
        <w:t>ir</w:t>
      </w:r>
      <w:r w:rsidR="00691F0D">
        <w:rPr>
          <w:color w:val="000000" w:themeColor="text1"/>
          <w:lang w:val="en"/>
        </w:rPr>
        <w:t xml:space="preserve"> 2015</w:t>
      </w:r>
      <w:r w:rsidR="00E814AF">
        <w:rPr>
          <w:color w:val="000000" w:themeColor="text1"/>
          <w:lang w:val="en"/>
        </w:rPr>
        <w:noBreakHyphen/>
      </w:r>
      <w:r w:rsidR="00691F0D">
        <w:rPr>
          <w:color w:val="000000" w:themeColor="text1"/>
          <w:lang w:val="en"/>
        </w:rPr>
        <w:t>16 annual report</w:t>
      </w:r>
      <w:r w:rsidR="00341809">
        <w:rPr>
          <w:color w:val="000000" w:themeColor="text1"/>
          <w:lang w:val="en"/>
        </w:rPr>
        <w:t>s</w:t>
      </w:r>
      <w:r w:rsidR="009F2159">
        <w:rPr>
          <w:color w:val="000000" w:themeColor="text1"/>
          <w:lang w:val="en"/>
        </w:rPr>
        <w:t xml:space="preserve">. </w:t>
      </w:r>
      <w:r w:rsidR="00C21672">
        <w:t>T</w:t>
      </w:r>
      <w:r w:rsidR="004F1AB6">
        <w:t>he 2015</w:t>
      </w:r>
      <w:r w:rsidR="00E814AF">
        <w:noBreakHyphen/>
      </w:r>
      <w:r w:rsidR="004F1AB6">
        <w:t>16 reporting year section</w:t>
      </w:r>
      <w:r w:rsidR="004F1AB6">
        <w:rPr>
          <w:color w:val="000000" w:themeColor="text1"/>
          <w:lang w:val="en"/>
        </w:rPr>
        <w:t xml:space="preserve"> o</w:t>
      </w:r>
      <w:bookmarkStart w:id="2" w:name="_GoBack"/>
      <w:bookmarkEnd w:id="2"/>
      <w:r w:rsidR="004F1AB6">
        <w:rPr>
          <w:color w:val="000000" w:themeColor="text1"/>
          <w:lang w:val="en"/>
        </w:rPr>
        <w:t>f this newsletter outlines the k</w:t>
      </w:r>
      <w:r w:rsidR="004F1AB6" w:rsidRPr="001F03AD">
        <w:rPr>
          <w:color w:val="000000" w:themeColor="text1"/>
          <w:lang w:val="en"/>
        </w:rPr>
        <w:t xml:space="preserve">ey proposed changes relating to the </w:t>
      </w:r>
      <w:r w:rsidR="004F1AB6" w:rsidRPr="000C7EBC">
        <w:rPr>
          <w:i/>
        </w:rPr>
        <w:t>2015</w:t>
      </w:r>
      <w:r w:rsidR="00E814AF">
        <w:rPr>
          <w:i/>
        </w:rPr>
        <w:noBreakHyphen/>
      </w:r>
      <w:r w:rsidR="004F1AB6" w:rsidRPr="000C7EBC">
        <w:rPr>
          <w:i/>
        </w:rPr>
        <w:t>16 Model Report for Victorian Government Departments</w:t>
      </w:r>
      <w:r w:rsidR="008473F9">
        <w:t xml:space="preserve">, together with </w:t>
      </w:r>
      <w:r w:rsidR="00596FC8">
        <w:t xml:space="preserve">an update of </w:t>
      </w:r>
      <w:r w:rsidR="008473F9">
        <w:t>the financial reporting direction</w:t>
      </w:r>
      <w:r w:rsidR="000C7EBC">
        <w:t>s</w:t>
      </w:r>
      <w:r w:rsidR="00596FC8">
        <w:t xml:space="preserve"> that were</w:t>
      </w:r>
      <w:r w:rsidR="008473F9">
        <w:t xml:space="preserve"> recently revised and </w:t>
      </w:r>
      <w:r w:rsidR="00596FC8">
        <w:t xml:space="preserve">those </w:t>
      </w:r>
      <w:r w:rsidR="00A80922">
        <w:t xml:space="preserve">currently </w:t>
      </w:r>
      <w:r w:rsidR="008473F9">
        <w:t>under review.</w:t>
      </w:r>
      <w:r w:rsidR="004F1AB6">
        <w:t xml:space="preserve"> With the withdrawal of the 2004 long service leave (LSL) model from</w:t>
      </w:r>
      <w:r w:rsidR="006D3A19">
        <w:t xml:space="preserve"> the </w:t>
      </w:r>
      <w:r w:rsidR="00710D9D">
        <w:t>Department of Treasury and Finance (</w:t>
      </w:r>
      <w:r w:rsidR="006D3A19">
        <w:t>DTF</w:t>
      </w:r>
      <w:r w:rsidR="00710D9D">
        <w:t>)</w:t>
      </w:r>
      <w:r w:rsidR="006D3A19">
        <w:t xml:space="preserve"> website on</w:t>
      </w:r>
      <w:r w:rsidR="004F1AB6">
        <w:t xml:space="preserve"> </w:t>
      </w:r>
      <w:r w:rsidR="00B87489">
        <w:t>30 </w:t>
      </w:r>
      <w:r w:rsidR="004F1AB6">
        <w:t>June 2016, departments and entities should reassess the appropriateness of their LSL model and consider</w:t>
      </w:r>
      <w:r w:rsidR="00BE1D21">
        <w:t xml:space="preserve"> </w:t>
      </w:r>
      <w:r w:rsidR="004F1AB6">
        <w:t>any transitional adjustments required.</w:t>
      </w:r>
    </w:p>
    <w:p w:rsidR="009F2159" w:rsidRDefault="00B214A8" w:rsidP="00506D07">
      <w:pPr>
        <w:pStyle w:val="NewsletterNormal"/>
      </w:pPr>
      <w:r>
        <w:rPr>
          <w:color w:val="000000" w:themeColor="text1"/>
          <w:lang w:val="en"/>
        </w:rPr>
        <w:t>Following the release of</w:t>
      </w:r>
      <w:r w:rsidR="009F2159" w:rsidRPr="001F03AD">
        <w:rPr>
          <w:color w:val="000000" w:themeColor="text1"/>
          <w:lang w:val="en"/>
        </w:rPr>
        <w:t xml:space="preserve"> AASB 124 </w:t>
      </w:r>
      <w:r w:rsidR="009F2159" w:rsidRPr="001F03AD">
        <w:rPr>
          <w:i/>
          <w:color w:val="000000" w:themeColor="text1"/>
          <w:lang w:val="en"/>
        </w:rPr>
        <w:t>Related Party Disclosures</w:t>
      </w:r>
      <w:r>
        <w:rPr>
          <w:i/>
          <w:color w:val="000000" w:themeColor="text1"/>
          <w:lang w:val="en"/>
        </w:rPr>
        <w:t>,</w:t>
      </w:r>
      <w:r w:rsidR="009F2159" w:rsidRPr="001F03AD">
        <w:rPr>
          <w:color w:val="000000" w:themeColor="text1"/>
          <w:lang w:val="en"/>
        </w:rPr>
        <w:t xml:space="preserve"> </w:t>
      </w:r>
      <w:r w:rsidR="00045C49">
        <w:rPr>
          <w:color w:val="000000" w:themeColor="text1"/>
          <w:lang w:val="en"/>
        </w:rPr>
        <w:t>the AASB </w:t>
      </w:r>
      <w:r>
        <w:rPr>
          <w:color w:val="000000" w:themeColor="text1"/>
          <w:lang w:val="en"/>
        </w:rPr>
        <w:t xml:space="preserve">124 </w:t>
      </w:r>
      <w:r w:rsidR="004F1AB6">
        <w:rPr>
          <w:color w:val="000000" w:themeColor="text1"/>
          <w:lang w:val="en"/>
        </w:rPr>
        <w:t xml:space="preserve">implementation </w:t>
      </w:r>
      <w:r w:rsidR="009F2159" w:rsidRPr="001F03AD">
        <w:rPr>
          <w:color w:val="000000" w:themeColor="text1"/>
          <w:lang w:val="en"/>
        </w:rPr>
        <w:t xml:space="preserve">project has been progressing which </w:t>
      </w:r>
      <w:r w:rsidR="009F2159">
        <w:rPr>
          <w:color w:val="000000" w:themeColor="text1"/>
          <w:lang w:val="en"/>
        </w:rPr>
        <w:t xml:space="preserve">will have significant disclosure impact for all </w:t>
      </w:r>
      <w:r w:rsidR="009F2159">
        <w:t>not</w:t>
      </w:r>
      <w:r w:rsidR="00E814AF">
        <w:noBreakHyphen/>
      </w:r>
      <w:r w:rsidR="009F2159">
        <w:t>for</w:t>
      </w:r>
      <w:r w:rsidR="00E814AF">
        <w:noBreakHyphen/>
      </w:r>
      <w:r w:rsidR="009F2159">
        <w:t>profit (NFP) entities</w:t>
      </w:r>
      <w:r w:rsidR="00D867AD">
        <w:t xml:space="preserve"> from 1 </w:t>
      </w:r>
      <w:r w:rsidR="004F1AB6">
        <w:t>July 2016</w:t>
      </w:r>
      <w:r w:rsidR="009F2159" w:rsidRPr="001F03AD">
        <w:rPr>
          <w:color w:val="000000" w:themeColor="text1"/>
          <w:lang w:val="en"/>
        </w:rPr>
        <w:t>.</w:t>
      </w:r>
    </w:p>
    <w:p w:rsidR="008473F9" w:rsidRPr="00D97E24" w:rsidRDefault="008473F9" w:rsidP="00506D07">
      <w:pPr>
        <w:pStyle w:val="NewsletterNormal"/>
        <w:rPr>
          <w:color w:val="000000" w:themeColor="text1"/>
          <w:highlight w:val="yellow"/>
          <w:lang w:val="en"/>
        </w:rPr>
      </w:pPr>
      <w:r>
        <w:t xml:space="preserve">Looking forward, there will be a number of accounting standards and </w:t>
      </w:r>
      <w:r w:rsidR="001D0CCA" w:rsidRPr="007D098B">
        <w:t>Australian Accounting Standards Board</w:t>
      </w:r>
      <w:r w:rsidR="001D0CCA" w:rsidRPr="00B75464">
        <w:rPr>
          <w:rFonts w:ascii="Calibri" w:eastAsia="Calibri" w:hAnsi="Calibri" w:cs="Times New Roman"/>
          <w:lang w:eastAsia="en-US"/>
        </w:rPr>
        <w:t xml:space="preserve"> </w:t>
      </w:r>
      <w:r w:rsidR="001D0CCA">
        <w:rPr>
          <w:rFonts w:ascii="Calibri" w:eastAsia="Calibri" w:hAnsi="Calibri" w:cs="Times New Roman"/>
          <w:lang w:eastAsia="en-US"/>
        </w:rPr>
        <w:t>(</w:t>
      </w:r>
      <w:r>
        <w:t>AASB</w:t>
      </w:r>
      <w:r w:rsidR="001D0CCA">
        <w:t>)</w:t>
      </w:r>
      <w:r>
        <w:t xml:space="preserve"> projects that </w:t>
      </w:r>
      <w:r w:rsidR="009F2159">
        <w:t>may</w:t>
      </w:r>
      <w:r>
        <w:t xml:space="preserve"> have potential implications for entities across the public sector. The effective date of AASB 15 </w:t>
      </w:r>
      <w:r w:rsidRPr="001D0CCA">
        <w:rPr>
          <w:i/>
        </w:rPr>
        <w:t>Revenue from Contracts with Customers</w:t>
      </w:r>
      <w:r>
        <w:t xml:space="preserve"> has been deferred to</w:t>
      </w:r>
      <w:r w:rsidR="00057B6D">
        <w:t xml:space="preserve"> </w:t>
      </w:r>
      <w:r w:rsidR="00D867AD">
        <w:t>1 </w:t>
      </w:r>
      <w:r>
        <w:t>January 2018.</w:t>
      </w:r>
      <w:r w:rsidR="001D0CCA">
        <w:t xml:space="preserve"> The AASB has also been deliberating on the feedback received on th</w:t>
      </w:r>
      <w:r w:rsidR="006C5036">
        <w:t>e exposure drafts for income of</w:t>
      </w:r>
      <w:r w:rsidR="001D0CCA">
        <w:t xml:space="preserve"> NFP entities and service concession arrangements.</w:t>
      </w:r>
    </w:p>
    <w:p w:rsidR="006E2A09" w:rsidRPr="00777785" w:rsidRDefault="006A0DD2" w:rsidP="00B360A7">
      <w:pPr>
        <w:pStyle w:val="NewsletterHeading1"/>
      </w:pPr>
      <w:bookmarkStart w:id="3" w:name="_Toc408567317"/>
      <w:bookmarkStart w:id="4" w:name="_Toc440382500"/>
      <w:r w:rsidRPr="00777785">
        <w:t>201</w:t>
      </w:r>
      <w:r w:rsidR="00412ED2">
        <w:t>5</w:t>
      </w:r>
      <w:r w:rsidR="00E814AF">
        <w:noBreakHyphen/>
      </w:r>
      <w:r w:rsidRPr="00777785">
        <w:t>1</w:t>
      </w:r>
      <w:r w:rsidR="00412ED2">
        <w:t>6</w:t>
      </w:r>
      <w:r w:rsidRPr="00777785">
        <w:t xml:space="preserve"> </w:t>
      </w:r>
      <w:r w:rsidRPr="00B360A7">
        <w:t>reporting</w:t>
      </w:r>
      <w:r w:rsidRPr="00777785">
        <w:t xml:space="preserve"> y</w:t>
      </w:r>
      <w:r w:rsidR="006E2A09" w:rsidRPr="00777785">
        <w:t>ear</w:t>
      </w:r>
      <w:bookmarkEnd w:id="3"/>
      <w:bookmarkEnd w:id="4"/>
    </w:p>
    <w:p w:rsidR="009013CE" w:rsidRPr="00777785" w:rsidRDefault="00FF775A" w:rsidP="00B360A7">
      <w:pPr>
        <w:pStyle w:val="NewsletterHeading2"/>
      </w:pPr>
      <w:r>
        <w:t>Alert</w:t>
      </w:r>
    </w:p>
    <w:p w:rsidR="00F87717" w:rsidRPr="00BF32B3" w:rsidRDefault="00412ED2" w:rsidP="00C01CF3">
      <w:pPr>
        <w:pStyle w:val="NewsletterHeading3"/>
      </w:pPr>
      <w:r>
        <w:t xml:space="preserve">AASB </w:t>
      </w:r>
      <w:r w:rsidRPr="00CA6A30">
        <w:t xml:space="preserve">124 </w:t>
      </w:r>
      <w:r w:rsidRPr="00412ED2">
        <w:t>Related Party Disclosures</w:t>
      </w:r>
      <w:r>
        <w:t xml:space="preserve"> project</w:t>
      </w:r>
    </w:p>
    <w:p w:rsidR="000014C0" w:rsidRDefault="000014C0" w:rsidP="00890AC0">
      <w:pPr>
        <w:pStyle w:val="NewsletterNormal"/>
        <w:rPr>
          <w:rFonts w:eastAsia="Calibri"/>
          <w:lang w:eastAsia="en-US"/>
        </w:rPr>
      </w:pPr>
      <w:r w:rsidRPr="00B75464">
        <w:rPr>
          <w:rFonts w:eastAsia="Calibri"/>
          <w:lang w:eastAsia="en-US"/>
        </w:rPr>
        <w:t xml:space="preserve">The </w:t>
      </w:r>
      <w:r w:rsidR="001D0CCA">
        <w:rPr>
          <w:rFonts w:eastAsia="Calibri"/>
          <w:lang w:eastAsia="en-US"/>
        </w:rPr>
        <w:t>AASB</w:t>
      </w:r>
      <w:r w:rsidRPr="00B75464">
        <w:rPr>
          <w:rFonts w:eastAsia="Calibri"/>
          <w:lang w:eastAsia="en-US"/>
        </w:rPr>
        <w:t xml:space="preserve"> recently extended the scope of AASB 124 </w:t>
      </w:r>
      <w:r w:rsidR="001D0CCA">
        <w:rPr>
          <w:rFonts w:eastAsia="Calibri"/>
          <w:lang w:eastAsia="en-US"/>
        </w:rPr>
        <w:t>to include NFP</w:t>
      </w:r>
      <w:r w:rsidRPr="00B75464">
        <w:rPr>
          <w:rFonts w:eastAsia="Calibri"/>
          <w:lang w:eastAsia="en-US"/>
        </w:rPr>
        <w:t xml:space="preserve"> public sector entities. This revised reporting requirement will apply to departments and </w:t>
      </w:r>
      <w:r w:rsidR="00E46CA8">
        <w:rPr>
          <w:rFonts w:eastAsia="Calibri"/>
          <w:lang w:eastAsia="en-US"/>
        </w:rPr>
        <w:t>NFP</w:t>
      </w:r>
      <w:r w:rsidRPr="00B75464">
        <w:rPr>
          <w:rFonts w:eastAsia="Calibri"/>
          <w:lang w:eastAsia="en-US"/>
        </w:rPr>
        <w:t xml:space="preserve"> agencies from </w:t>
      </w:r>
      <w:r w:rsidRPr="00B75464">
        <w:rPr>
          <w:rFonts w:eastAsia="Calibri"/>
          <w:b/>
          <w:lang w:eastAsia="en-US"/>
        </w:rPr>
        <w:t>1 July 2016 (i.e. from the 2016</w:t>
      </w:r>
      <w:r w:rsidR="00E814AF">
        <w:rPr>
          <w:rFonts w:eastAsia="Calibri"/>
          <w:b/>
          <w:lang w:eastAsia="en-US"/>
        </w:rPr>
        <w:noBreakHyphen/>
      </w:r>
      <w:r w:rsidRPr="00B75464">
        <w:rPr>
          <w:rFonts w:eastAsia="Calibri"/>
          <w:b/>
          <w:lang w:eastAsia="en-US"/>
        </w:rPr>
        <w:t>17 financial year)</w:t>
      </w:r>
      <w:r w:rsidRPr="00B75464">
        <w:rPr>
          <w:rFonts w:eastAsia="Calibri"/>
          <w:lang w:eastAsia="en-US"/>
        </w:rPr>
        <w:t>, with no comparatives required for</w:t>
      </w:r>
      <w:r w:rsidR="000C7EBC">
        <w:rPr>
          <w:rFonts w:eastAsia="Calibri"/>
          <w:lang w:eastAsia="en-US"/>
        </w:rPr>
        <w:t xml:space="preserve"> the first period to which this change applies</w:t>
      </w:r>
      <w:r w:rsidRPr="00B75464">
        <w:rPr>
          <w:rFonts w:eastAsia="Calibri"/>
          <w:lang w:eastAsia="en-US"/>
        </w:rPr>
        <w:t>.</w:t>
      </w:r>
    </w:p>
    <w:p w:rsidR="000014C0" w:rsidRPr="00372FEE" w:rsidRDefault="000014C0" w:rsidP="000014C0">
      <w:pPr>
        <w:pStyle w:val="NewsletterNormal"/>
      </w:pPr>
      <w:r w:rsidRPr="00372FEE">
        <w:t xml:space="preserve">DTF </w:t>
      </w:r>
      <w:r w:rsidR="00E46CA8" w:rsidRPr="00372FEE">
        <w:t>has undertaken</w:t>
      </w:r>
      <w:r w:rsidRPr="00372FEE">
        <w:t xml:space="preserve"> a preliminary assessment of AASB 124 </w:t>
      </w:r>
      <w:r w:rsidR="00B214A8">
        <w:t xml:space="preserve">and consulted with other </w:t>
      </w:r>
      <w:r w:rsidRPr="00372FEE">
        <w:t>jurisdictions with a view to forming a consistent framework for the application of AASB 124</w:t>
      </w:r>
      <w:r w:rsidR="00B214A8">
        <w:t xml:space="preserve"> across public sector entities</w:t>
      </w:r>
      <w:r w:rsidRPr="00372FEE">
        <w:t xml:space="preserve">. </w:t>
      </w:r>
      <w:r w:rsidR="00265324">
        <w:t>A working group comprising of d</w:t>
      </w:r>
      <w:r w:rsidR="00C45ABB">
        <w:t>epartmental representatives has</w:t>
      </w:r>
      <w:r w:rsidR="00265324">
        <w:t xml:space="preserve"> been formed </w:t>
      </w:r>
      <w:r w:rsidRPr="00372FEE">
        <w:t>to agree on the proposed parameters of the Standard.</w:t>
      </w:r>
    </w:p>
    <w:p w:rsidR="000014C0" w:rsidRPr="00372FEE" w:rsidRDefault="00265324" w:rsidP="000014C0">
      <w:pPr>
        <w:pStyle w:val="NewsletterNormal"/>
      </w:pPr>
      <w:r>
        <w:t xml:space="preserve">An </w:t>
      </w:r>
      <w:r w:rsidR="000014C0" w:rsidRPr="00372FEE">
        <w:t xml:space="preserve">information sheet has been developed </w:t>
      </w:r>
      <w:r w:rsidR="00851EEB">
        <w:t>to assist with</w:t>
      </w:r>
      <w:r w:rsidR="000014C0" w:rsidRPr="00372FEE">
        <w:t>:</w:t>
      </w:r>
    </w:p>
    <w:p w:rsidR="000014C0" w:rsidRPr="00D6059D" w:rsidRDefault="00D6059D" w:rsidP="00D6059D">
      <w:pPr>
        <w:pStyle w:val="NewsletterBullet1"/>
      </w:pPr>
      <w:r>
        <w:t>i</w:t>
      </w:r>
      <w:r w:rsidR="000014C0" w:rsidRPr="00D6059D">
        <w:t>dentification of key management personnel (KMP);</w:t>
      </w:r>
    </w:p>
    <w:p w:rsidR="000014C0" w:rsidRPr="00D6059D" w:rsidRDefault="00D6059D" w:rsidP="00E81FCF">
      <w:pPr>
        <w:pStyle w:val="NewsletterBullet1"/>
      </w:pPr>
      <w:r>
        <w:t>r</w:t>
      </w:r>
      <w:r w:rsidR="000014C0" w:rsidRPr="00D6059D">
        <w:t xml:space="preserve">emuneration disclosures for KMP; and </w:t>
      </w:r>
    </w:p>
    <w:p w:rsidR="009D51CC" w:rsidRPr="009D51CC" w:rsidRDefault="00D6059D" w:rsidP="002D235A">
      <w:pPr>
        <w:pStyle w:val="NewsletterBullet1"/>
        <w:spacing w:before="0" w:after="200" w:line="276" w:lineRule="auto"/>
        <w:rPr>
          <w:rFonts w:ascii="Calibri" w:eastAsia="Calibri" w:hAnsi="Calibri" w:cs="Times New Roman"/>
          <w:lang w:eastAsia="en-US"/>
        </w:rPr>
      </w:pPr>
      <w:r>
        <w:t>r</w:t>
      </w:r>
      <w:r w:rsidR="000014C0" w:rsidRPr="00D6059D">
        <w:t>elated party transaction</w:t>
      </w:r>
      <w:r w:rsidR="00BC6160">
        <w:t xml:space="preserve"> disclosure</w:t>
      </w:r>
      <w:r w:rsidR="000014C0" w:rsidRPr="00D6059D">
        <w:t>.</w:t>
      </w:r>
    </w:p>
    <w:p w:rsidR="00C01CF3" w:rsidRDefault="00C45ABB" w:rsidP="009D51CC">
      <w:pPr>
        <w:pStyle w:val="NewsletterNormal"/>
        <w:rPr>
          <w:rFonts w:eastAsia="Calibri"/>
          <w:lang w:eastAsia="en-US"/>
        </w:rPr>
        <w:sectPr w:rsidR="00C01CF3" w:rsidSect="00045C49">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1134" w:left="709" w:header="561" w:footer="454" w:gutter="0"/>
          <w:cols w:num="2" w:space="451" w:equalWidth="0">
            <w:col w:w="2981" w:space="450"/>
            <w:col w:w="7057"/>
          </w:cols>
          <w:titlePg/>
          <w:docGrid w:linePitch="360"/>
        </w:sectPr>
      </w:pPr>
      <w:r>
        <w:rPr>
          <w:rFonts w:eastAsia="Calibri"/>
          <w:lang w:eastAsia="en-US"/>
        </w:rPr>
        <w:t>DTF has also developed</w:t>
      </w:r>
      <w:r w:rsidR="009D51CC">
        <w:rPr>
          <w:rFonts w:eastAsia="Calibri"/>
          <w:lang w:eastAsia="en-US"/>
        </w:rPr>
        <w:t xml:space="preserve"> </w:t>
      </w:r>
      <w:r w:rsidR="009D51CC" w:rsidRPr="004E53A6">
        <w:rPr>
          <w:rFonts w:eastAsia="Calibri"/>
          <w:lang w:eastAsia="en-US"/>
        </w:rPr>
        <w:t>guidance</w:t>
      </w:r>
      <w:r w:rsidR="009D51CC">
        <w:rPr>
          <w:rFonts w:eastAsia="Calibri"/>
          <w:lang w:eastAsia="en-US"/>
        </w:rPr>
        <w:t xml:space="preserve"> and a </w:t>
      </w:r>
      <w:r w:rsidR="009D51CC" w:rsidRPr="004E53A6">
        <w:rPr>
          <w:rFonts w:eastAsia="Calibri"/>
          <w:lang w:eastAsia="en-US"/>
        </w:rPr>
        <w:t>checklist</w:t>
      </w:r>
      <w:r w:rsidR="009D51CC">
        <w:rPr>
          <w:rFonts w:eastAsia="Calibri"/>
          <w:lang w:eastAsia="en-US"/>
        </w:rPr>
        <w:t>, which have been circulated together with the information sheet to departments for feedback,</w:t>
      </w:r>
      <w:r w:rsidR="009D51CC" w:rsidRPr="004E53A6">
        <w:rPr>
          <w:rFonts w:eastAsia="Calibri"/>
          <w:lang w:eastAsia="en-US"/>
        </w:rPr>
        <w:t xml:space="preserve"> </w:t>
      </w:r>
      <w:r w:rsidR="009D51CC">
        <w:rPr>
          <w:rFonts w:eastAsia="Calibri"/>
          <w:lang w:eastAsia="en-US"/>
        </w:rPr>
        <w:t>to collect related party trans</w:t>
      </w:r>
      <w:r w:rsidR="00D867AD">
        <w:rPr>
          <w:rFonts w:eastAsia="Calibri"/>
          <w:lang w:eastAsia="en-US"/>
        </w:rPr>
        <w:t>actions as required under AASB </w:t>
      </w:r>
      <w:r w:rsidR="009D51CC">
        <w:rPr>
          <w:rFonts w:eastAsia="Calibri"/>
          <w:lang w:eastAsia="en-US"/>
        </w:rPr>
        <w:t>124</w:t>
      </w:r>
      <w:r w:rsidR="009D51CC" w:rsidRPr="004E53A6">
        <w:rPr>
          <w:rFonts w:eastAsia="Calibri"/>
          <w:lang w:eastAsia="en-US"/>
        </w:rPr>
        <w:t>.</w:t>
      </w:r>
    </w:p>
    <w:p w:rsidR="009D51CC" w:rsidRPr="00D97E24" w:rsidRDefault="00C01CF3" w:rsidP="009D51CC">
      <w:pPr>
        <w:pStyle w:val="NewsletterNormal"/>
        <w:rPr>
          <w:b/>
          <w:highlight w:val="yellow"/>
          <w:lang w:val="en"/>
        </w:rPr>
      </w:pPr>
      <w:r>
        <w:rPr>
          <w:rFonts w:eastAsia="Calibri"/>
          <w:lang w:eastAsia="en-US"/>
        </w:rPr>
        <w:lastRenderedPageBreak/>
        <w:br w:type="column"/>
      </w:r>
      <w:r w:rsidR="009D51CC">
        <w:rPr>
          <w:rFonts w:eastAsia="Calibri"/>
          <w:lang w:eastAsia="en-US"/>
        </w:rPr>
        <w:lastRenderedPageBreak/>
        <w:t>DTF is currently in the consultation with the Victorian Auditor</w:t>
      </w:r>
      <w:r w:rsidR="00E814AF">
        <w:rPr>
          <w:rFonts w:eastAsia="Calibri"/>
          <w:lang w:eastAsia="en-US"/>
        </w:rPr>
        <w:noBreakHyphen/>
      </w:r>
      <w:r w:rsidR="009D51CC">
        <w:rPr>
          <w:rFonts w:eastAsia="Calibri"/>
          <w:lang w:eastAsia="en-US"/>
        </w:rPr>
        <w:t>General</w:t>
      </w:r>
      <w:r w:rsidR="00696132">
        <w:rPr>
          <w:rFonts w:eastAsia="Calibri"/>
          <w:lang w:eastAsia="en-US"/>
        </w:rPr>
        <w:t>’</w:t>
      </w:r>
      <w:r w:rsidR="009D51CC">
        <w:rPr>
          <w:rFonts w:eastAsia="Calibri"/>
          <w:lang w:eastAsia="en-US"/>
        </w:rPr>
        <w:t>s Office (VAGO) on the proposed assessment and the data collection process. Once agreed, DTF will engage with the Minister for Finance and the broader Cabinet to proceed with the implementation phase of the project.</w:t>
      </w:r>
    </w:p>
    <w:p w:rsidR="001F03AD" w:rsidRPr="00BF32B3" w:rsidRDefault="001F03AD" w:rsidP="00C01CF3">
      <w:pPr>
        <w:pStyle w:val="NewsletterHeading3"/>
      </w:pPr>
      <w:r>
        <w:t>Bond rates used for employee entitlement assessment by for</w:t>
      </w:r>
      <w:r w:rsidR="00E814AF">
        <w:noBreakHyphen/>
      </w:r>
      <w:r>
        <w:t xml:space="preserve">profit entities </w:t>
      </w:r>
    </w:p>
    <w:p w:rsidR="00DD1A51" w:rsidRPr="00CB20E8" w:rsidRDefault="00DD1A51" w:rsidP="001F03AD">
      <w:pPr>
        <w:pStyle w:val="NewsletterNormal"/>
        <w:rPr>
          <w:lang w:val="en"/>
        </w:rPr>
      </w:pPr>
      <w:r w:rsidRPr="00CB20E8">
        <w:rPr>
          <w:lang w:val="en"/>
        </w:rPr>
        <w:t xml:space="preserve">AASB 119 </w:t>
      </w:r>
      <w:r w:rsidRPr="00CB20E8">
        <w:rPr>
          <w:i/>
          <w:lang w:val="en"/>
        </w:rPr>
        <w:t>Employee Benefits</w:t>
      </w:r>
      <w:r w:rsidRPr="00CB20E8">
        <w:rPr>
          <w:lang w:val="en"/>
        </w:rPr>
        <w:t xml:space="preserve"> </w:t>
      </w:r>
      <w:r w:rsidR="008562BF">
        <w:rPr>
          <w:lang w:val="en"/>
        </w:rPr>
        <w:t xml:space="preserve">generally </w:t>
      </w:r>
      <w:r w:rsidRPr="00CB20E8">
        <w:rPr>
          <w:lang w:val="en"/>
        </w:rPr>
        <w:t>requires long</w:t>
      </w:r>
      <w:r w:rsidR="00E814AF">
        <w:rPr>
          <w:lang w:val="en"/>
        </w:rPr>
        <w:noBreakHyphen/>
      </w:r>
      <w:r w:rsidRPr="00CB20E8">
        <w:rPr>
          <w:lang w:val="en"/>
        </w:rPr>
        <w:t xml:space="preserve">term employee benefit liabilities to be </w:t>
      </w:r>
      <w:r w:rsidR="008562BF">
        <w:rPr>
          <w:lang w:val="en"/>
        </w:rPr>
        <w:t xml:space="preserve">discounted using </w:t>
      </w:r>
      <w:r w:rsidRPr="00CB20E8">
        <w:rPr>
          <w:lang w:val="en"/>
        </w:rPr>
        <w:t>market yields</w:t>
      </w:r>
      <w:r w:rsidR="008562BF">
        <w:rPr>
          <w:lang w:val="en"/>
        </w:rPr>
        <w:t xml:space="preserve"> on high quality corporate bonds</w:t>
      </w:r>
      <w:r w:rsidRPr="00CB20E8">
        <w:rPr>
          <w:lang w:val="en"/>
        </w:rPr>
        <w:t xml:space="preserve"> at the end of the reporting period. Where there is no </w:t>
      </w:r>
      <w:r w:rsidR="00696132">
        <w:rPr>
          <w:lang w:val="en"/>
        </w:rPr>
        <w:t>‘</w:t>
      </w:r>
      <w:r w:rsidRPr="00CB20E8">
        <w:rPr>
          <w:lang w:val="en"/>
        </w:rPr>
        <w:t>deep market</w:t>
      </w:r>
      <w:r w:rsidR="00696132">
        <w:rPr>
          <w:lang w:val="en"/>
        </w:rPr>
        <w:t>’</w:t>
      </w:r>
      <w:r w:rsidRPr="00CB20E8">
        <w:rPr>
          <w:lang w:val="en"/>
        </w:rPr>
        <w:t xml:space="preserve"> for such bonds, AASB 119 requires the market yields on government bonds to be used to discount those liabilities.</w:t>
      </w:r>
    </w:p>
    <w:p w:rsidR="00DD1A51" w:rsidRPr="00CB20E8" w:rsidRDefault="00DD1A51" w:rsidP="001F03AD">
      <w:pPr>
        <w:pStyle w:val="NewsletterNormal"/>
        <w:rPr>
          <w:lang w:val="en"/>
        </w:rPr>
      </w:pPr>
      <w:r w:rsidRPr="00CB20E8">
        <w:rPr>
          <w:lang w:val="en"/>
        </w:rPr>
        <w:t xml:space="preserve">Recently, the Group of 100 commissioned </w:t>
      </w:r>
      <w:proofErr w:type="spellStart"/>
      <w:r w:rsidRPr="00CB20E8">
        <w:rPr>
          <w:lang w:val="en"/>
        </w:rPr>
        <w:t>Milliman</w:t>
      </w:r>
      <w:proofErr w:type="spellEnd"/>
      <w:r w:rsidRPr="00CB20E8">
        <w:rPr>
          <w:lang w:val="en"/>
        </w:rPr>
        <w:t xml:space="preserve"> Australia to answer whether there was a deep market for high quality corporate bonds in Australia. The report concluded the Australian high corporate bond market is sufficiently deep to s</w:t>
      </w:r>
      <w:r w:rsidR="00DD4235">
        <w:rPr>
          <w:lang w:val="en"/>
        </w:rPr>
        <w:t>atisfy the requirements in AASB </w:t>
      </w:r>
      <w:r w:rsidRPr="00CB20E8">
        <w:rPr>
          <w:lang w:val="en"/>
        </w:rPr>
        <w:t>119.</w:t>
      </w:r>
    </w:p>
    <w:p w:rsidR="00DD1A51" w:rsidRPr="00CB20E8" w:rsidRDefault="00DD1A51" w:rsidP="001F03AD">
      <w:pPr>
        <w:pStyle w:val="NewsletterNormal"/>
        <w:rPr>
          <w:lang w:val="en"/>
        </w:rPr>
      </w:pPr>
      <w:r w:rsidRPr="00CB20E8">
        <w:rPr>
          <w:lang w:val="en"/>
        </w:rPr>
        <w:t xml:space="preserve">While some accounting firms have publicly supported the Group of 100 and </w:t>
      </w:r>
      <w:proofErr w:type="spellStart"/>
      <w:r w:rsidRPr="00CB20E8">
        <w:rPr>
          <w:lang w:val="en"/>
        </w:rPr>
        <w:t>Milliman</w:t>
      </w:r>
      <w:r w:rsidR="00696132">
        <w:rPr>
          <w:lang w:val="en"/>
        </w:rPr>
        <w:t>’</w:t>
      </w:r>
      <w:r w:rsidRPr="00CB20E8">
        <w:rPr>
          <w:lang w:val="en"/>
        </w:rPr>
        <w:t>s</w:t>
      </w:r>
      <w:proofErr w:type="spellEnd"/>
      <w:r w:rsidRPr="00CB20E8">
        <w:rPr>
          <w:lang w:val="en"/>
        </w:rPr>
        <w:t xml:space="preserve"> </w:t>
      </w:r>
      <w:r w:rsidR="00F3154E" w:rsidRPr="00CB20E8">
        <w:rPr>
          <w:lang w:val="en"/>
        </w:rPr>
        <w:t>findings, there are also opposi</w:t>
      </w:r>
      <w:r w:rsidR="00F3154E">
        <w:rPr>
          <w:lang w:val="en"/>
        </w:rPr>
        <w:t>ng</w:t>
      </w:r>
      <w:r w:rsidRPr="00CB20E8">
        <w:rPr>
          <w:lang w:val="en"/>
        </w:rPr>
        <w:t xml:space="preserve"> views in the market and some participants do </w:t>
      </w:r>
      <w:r w:rsidRPr="00CB20E8">
        <w:rPr>
          <w:u w:val="single"/>
          <w:lang w:val="en"/>
        </w:rPr>
        <w:t>not</w:t>
      </w:r>
      <w:r w:rsidRPr="00CB20E8">
        <w:rPr>
          <w:lang w:val="en"/>
        </w:rPr>
        <w:t xml:space="preserve"> believe that the </w:t>
      </w:r>
      <w:proofErr w:type="spellStart"/>
      <w:r w:rsidRPr="00CB20E8">
        <w:rPr>
          <w:lang w:val="en"/>
        </w:rPr>
        <w:t>Milliman</w:t>
      </w:r>
      <w:proofErr w:type="spellEnd"/>
      <w:r w:rsidRPr="00CB20E8">
        <w:rPr>
          <w:lang w:val="en"/>
        </w:rPr>
        <w:t xml:space="preserve"> report contain</w:t>
      </w:r>
      <w:r w:rsidR="00F3154E">
        <w:rPr>
          <w:lang w:val="en"/>
        </w:rPr>
        <w:t>s</w:t>
      </w:r>
      <w:r w:rsidRPr="00CB20E8">
        <w:rPr>
          <w:lang w:val="en"/>
        </w:rPr>
        <w:t xml:space="preserve"> compelling evidence to support a change from the use of government bond rates.</w:t>
      </w:r>
    </w:p>
    <w:p w:rsidR="00DD1A51" w:rsidRPr="00CB20E8" w:rsidRDefault="00DD1A51" w:rsidP="001F03AD">
      <w:pPr>
        <w:pStyle w:val="NewsletterNormal"/>
        <w:rPr>
          <w:lang w:val="en"/>
        </w:rPr>
      </w:pPr>
      <w:r w:rsidRPr="00CB20E8">
        <w:rPr>
          <w:lang w:val="en"/>
        </w:rPr>
        <w:t xml:space="preserve">The Australian Securities and Investments Commission has not publicly commented on the report. In addition, the AASB has not publicly stated whether they concur with </w:t>
      </w:r>
      <w:proofErr w:type="spellStart"/>
      <w:r w:rsidRPr="00CB20E8">
        <w:rPr>
          <w:lang w:val="en"/>
        </w:rPr>
        <w:t>Milliman</w:t>
      </w:r>
      <w:r w:rsidR="00696132">
        <w:rPr>
          <w:lang w:val="en"/>
        </w:rPr>
        <w:t>’</w:t>
      </w:r>
      <w:r w:rsidRPr="00CB20E8">
        <w:rPr>
          <w:lang w:val="en"/>
        </w:rPr>
        <w:t>s</w:t>
      </w:r>
      <w:proofErr w:type="spellEnd"/>
      <w:r w:rsidRPr="00CB20E8">
        <w:rPr>
          <w:lang w:val="en"/>
        </w:rPr>
        <w:t xml:space="preserve"> findings.</w:t>
      </w:r>
    </w:p>
    <w:p w:rsidR="00DD1A51" w:rsidRPr="00CB20E8" w:rsidRDefault="00DD1A51" w:rsidP="001F03AD">
      <w:pPr>
        <w:pStyle w:val="NewsletterNormal"/>
        <w:rPr>
          <w:lang w:val="en"/>
        </w:rPr>
      </w:pPr>
      <w:r w:rsidRPr="00CB20E8">
        <w:rPr>
          <w:lang w:val="en"/>
        </w:rPr>
        <w:t xml:space="preserve">It should be noted that NFP </w:t>
      </w:r>
      <w:r w:rsidR="008562BF">
        <w:rPr>
          <w:lang w:val="en"/>
        </w:rPr>
        <w:t xml:space="preserve">public sector </w:t>
      </w:r>
      <w:r w:rsidRPr="00CB20E8">
        <w:rPr>
          <w:lang w:val="en"/>
        </w:rPr>
        <w:t>entities are still required to use government bond rates for the discounting of employee benefit liabilities and will be unaffected by this issue.</w:t>
      </w:r>
    </w:p>
    <w:p w:rsidR="001F03AD" w:rsidRPr="00CB20E8" w:rsidRDefault="00DE03A9" w:rsidP="001F03AD">
      <w:pPr>
        <w:pStyle w:val="NewsletterNormal"/>
        <w:rPr>
          <w:b/>
          <w:lang w:val="en"/>
        </w:rPr>
      </w:pPr>
      <w:r>
        <w:rPr>
          <w:lang w:val="en"/>
        </w:rPr>
        <w:t>W</w:t>
      </w:r>
      <w:r w:rsidR="00DD1A51" w:rsidRPr="00CB20E8">
        <w:rPr>
          <w:lang w:val="en"/>
        </w:rPr>
        <w:t>hether Australia has a deep market of high quality corporate bonds is largely subjective and a matter of judg</w:t>
      </w:r>
      <w:r w:rsidR="00EC5C79" w:rsidRPr="00CB20E8">
        <w:rPr>
          <w:lang w:val="en"/>
        </w:rPr>
        <w:t>ment</w:t>
      </w:r>
      <w:r>
        <w:rPr>
          <w:lang w:val="en"/>
        </w:rPr>
        <w:t xml:space="preserve">. </w:t>
      </w:r>
      <w:r w:rsidR="00D57475">
        <w:rPr>
          <w:lang w:val="en"/>
        </w:rPr>
        <w:t xml:space="preserve">DTF </w:t>
      </w:r>
      <w:r w:rsidR="008562BF">
        <w:rPr>
          <w:lang w:val="en"/>
        </w:rPr>
        <w:t xml:space="preserve">is </w:t>
      </w:r>
      <w:r w:rsidR="00DD1A51" w:rsidRPr="00CB20E8">
        <w:rPr>
          <w:lang w:val="en"/>
        </w:rPr>
        <w:t>continu</w:t>
      </w:r>
      <w:r w:rsidR="008562BF">
        <w:rPr>
          <w:lang w:val="en"/>
        </w:rPr>
        <w:t>ing</w:t>
      </w:r>
      <w:r w:rsidR="00DD1A51" w:rsidRPr="00CB20E8">
        <w:rPr>
          <w:lang w:val="en"/>
        </w:rPr>
        <w:t xml:space="preserve"> to monitor emerging practice and </w:t>
      </w:r>
      <w:r w:rsidR="008562BF">
        <w:rPr>
          <w:lang w:val="en"/>
        </w:rPr>
        <w:t xml:space="preserve">consultation </w:t>
      </w:r>
      <w:r>
        <w:rPr>
          <w:lang w:val="en"/>
        </w:rPr>
        <w:t xml:space="preserve">with other jurisdictions. DTF will </w:t>
      </w:r>
      <w:r w:rsidR="00DD1A51" w:rsidRPr="00CB20E8">
        <w:rPr>
          <w:lang w:val="en"/>
        </w:rPr>
        <w:t>advise</w:t>
      </w:r>
      <w:r w:rsidR="008562BF">
        <w:rPr>
          <w:lang w:val="en"/>
        </w:rPr>
        <w:t xml:space="preserve"> </w:t>
      </w:r>
      <w:r w:rsidR="003001BA">
        <w:rPr>
          <w:lang w:val="en"/>
        </w:rPr>
        <w:t xml:space="preserve">the </w:t>
      </w:r>
      <w:r w:rsidR="008562BF">
        <w:rPr>
          <w:lang w:val="en"/>
        </w:rPr>
        <w:t>affected for</w:t>
      </w:r>
      <w:r w:rsidR="00E814AF">
        <w:rPr>
          <w:lang w:val="en"/>
        </w:rPr>
        <w:noBreakHyphen/>
      </w:r>
      <w:r w:rsidR="008562BF">
        <w:rPr>
          <w:lang w:val="en"/>
        </w:rPr>
        <w:t>profit entities of</w:t>
      </w:r>
      <w:r w:rsidR="00DD1A51" w:rsidRPr="00CB20E8">
        <w:rPr>
          <w:lang w:val="en"/>
        </w:rPr>
        <w:t xml:space="preserve"> any change </w:t>
      </w:r>
      <w:r>
        <w:rPr>
          <w:lang w:val="en"/>
        </w:rPr>
        <w:t>as soon as practicable.</w:t>
      </w:r>
    </w:p>
    <w:p w:rsidR="00D57475" w:rsidRPr="00BF32B3" w:rsidRDefault="00D57475" w:rsidP="00C01CF3">
      <w:pPr>
        <w:pStyle w:val="NewsletterHeading3"/>
      </w:pPr>
      <w:r>
        <w:t xml:space="preserve">Long service leave model transition </w:t>
      </w:r>
    </w:p>
    <w:p w:rsidR="00DD1A51" w:rsidRPr="004F1AB6" w:rsidRDefault="00D57475" w:rsidP="004F1AB6">
      <w:pPr>
        <w:pStyle w:val="NewsletterNormal"/>
        <w:rPr>
          <w:lang w:val="en"/>
        </w:rPr>
      </w:pPr>
      <w:r w:rsidRPr="004F1AB6">
        <w:rPr>
          <w:lang w:val="en"/>
        </w:rPr>
        <w:t>DTF currently provides two alternative models (the 2004 and 2008 models) to assist VPS entities to calculate their LSL liability in accordance with the requirements of AASB 119. While the use of DTF models is recommended, it is not mandatory.</w:t>
      </w:r>
    </w:p>
    <w:p w:rsidR="00412ED2" w:rsidRDefault="00E21D73" w:rsidP="00412ED2">
      <w:pPr>
        <w:pStyle w:val="NewsletterNormal"/>
      </w:pPr>
      <w:r>
        <w:t>T</w:t>
      </w:r>
      <w:r w:rsidR="000A6215">
        <w:t xml:space="preserve">he 2004 LSL model </w:t>
      </w:r>
      <w:r w:rsidR="009E1B11">
        <w:t>will be withdrawn from the</w:t>
      </w:r>
      <w:r w:rsidR="000A6215">
        <w:t xml:space="preserve"> </w:t>
      </w:r>
      <w:r w:rsidR="00A30876">
        <w:t xml:space="preserve">DTF </w:t>
      </w:r>
      <w:r w:rsidR="000A6215">
        <w:t xml:space="preserve">website </w:t>
      </w:r>
      <w:r w:rsidR="00A30876">
        <w:t>on</w:t>
      </w:r>
      <w:r w:rsidR="000A6215">
        <w:t xml:space="preserve"> </w:t>
      </w:r>
      <w:r w:rsidR="000A6215" w:rsidRPr="00CB20E8">
        <w:rPr>
          <w:b/>
        </w:rPr>
        <w:t>30 June 2016</w:t>
      </w:r>
      <w:r>
        <w:t xml:space="preserve"> and its maintenance will no longer </w:t>
      </w:r>
      <w:r w:rsidR="009E3DDA">
        <w:t xml:space="preserve">be </w:t>
      </w:r>
      <w:r>
        <w:t>supported by DTF</w:t>
      </w:r>
      <w:r w:rsidR="000A6215">
        <w:t>.</w:t>
      </w:r>
      <w:r w:rsidR="00110B4E">
        <w:t xml:space="preserve"> </w:t>
      </w:r>
      <w:r w:rsidR="00A30876">
        <w:t>D</w:t>
      </w:r>
      <w:r w:rsidR="00110B4E">
        <w:t>epartment</w:t>
      </w:r>
      <w:r w:rsidR="001A4476">
        <w:t>s</w:t>
      </w:r>
      <w:r w:rsidR="00110B4E">
        <w:t xml:space="preserve"> and entities </w:t>
      </w:r>
      <w:r w:rsidR="00A30876">
        <w:t xml:space="preserve">will need </w:t>
      </w:r>
      <w:r w:rsidR="00110B4E">
        <w:t>to assess the validity of their current models</w:t>
      </w:r>
      <w:r w:rsidR="00696132">
        <w:t>’</w:t>
      </w:r>
      <w:r w:rsidR="00110B4E">
        <w:t xml:space="preserve"> underlying assumptions based on their </w:t>
      </w:r>
      <w:r w:rsidR="003A1683">
        <w:t>current circumstances (employee profiles, leave utilisation patterns, etc.)</w:t>
      </w:r>
      <w:r w:rsidR="00DD1A51">
        <w:t xml:space="preserve"> to determine if the 2004</w:t>
      </w:r>
      <w:r w:rsidR="00B1475C">
        <w:t> </w:t>
      </w:r>
      <w:r w:rsidR="00DD1A51">
        <w:t>LSL model</w:t>
      </w:r>
      <w:r w:rsidR="00A30876">
        <w:t xml:space="preserve"> continue</w:t>
      </w:r>
      <w:r w:rsidR="00DD1A51">
        <w:t>s</w:t>
      </w:r>
      <w:r w:rsidR="00A30876">
        <w:t xml:space="preserve"> to </w:t>
      </w:r>
      <w:r w:rsidR="00851D4E">
        <w:t>reflect the substance of the entity</w:t>
      </w:r>
      <w:r w:rsidR="00696132">
        <w:t>’</w:t>
      </w:r>
      <w:r w:rsidR="00851D4E">
        <w:t>s employee profile and leave utilisation p</w:t>
      </w:r>
      <w:r w:rsidR="00295A7A">
        <w:t>attern</w:t>
      </w:r>
      <w:r w:rsidR="004F1AB6">
        <w:t xml:space="preserve"> as per the requirements of AASB 119</w:t>
      </w:r>
      <w:r w:rsidR="003A1683">
        <w:t xml:space="preserve">. If the assessment suggests </w:t>
      </w:r>
      <w:r w:rsidR="00A30876">
        <w:t>that the assumptions are inconsistent with the utilisation prospect of their employees</w:t>
      </w:r>
      <w:r w:rsidR="00696132">
        <w:t>’</w:t>
      </w:r>
      <w:r w:rsidR="00A30876">
        <w:t xml:space="preserve"> entitled LSL</w:t>
      </w:r>
      <w:r w:rsidR="00BE1758">
        <w:t xml:space="preserve">, departments and </w:t>
      </w:r>
      <w:r w:rsidR="003A1683">
        <w:t xml:space="preserve">entities should </w:t>
      </w:r>
      <w:r w:rsidR="001B1055">
        <w:t>consider</w:t>
      </w:r>
      <w:r w:rsidR="003A1683">
        <w:t xml:space="preserve"> transition</w:t>
      </w:r>
      <w:r w:rsidR="001B1055">
        <w:t>ing</w:t>
      </w:r>
      <w:r w:rsidR="003A1683">
        <w:t xml:space="preserve"> to </w:t>
      </w:r>
      <w:r w:rsidR="001B1055">
        <w:t>an appropriate</w:t>
      </w:r>
      <w:r w:rsidR="003A1683">
        <w:t xml:space="preserve"> model and </w:t>
      </w:r>
      <w:r w:rsidR="00DD1A51">
        <w:t xml:space="preserve">advise </w:t>
      </w:r>
      <w:r w:rsidR="00B214A8">
        <w:t>their relevant DTF or portfolio</w:t>
      </w:r>
      <w:r w:rsidR="003A1683">
        <w:t xml:space="preserve"> </w:t>
      </w:r>
      <w:r w:rsidR="00B214A8">
        <w:t xml:space="preserve">departmental </w:t>
      </w:r>
      <w:r w:rsidR="003A1683">
        <w:t xml:space="preserve">contact </w:t>
      </w:r>
      <w:r w:rsidR="001B1055">
        <w:t>of</w:t>
      </w:r>
      <w:r w:rsidR="003A1683">
        <w:t xml:space="preserve"> the </w:t>
      </w:r>
      <w:r w:rsidR="001B1055">
        <w:t xml:space="preserve">expected </w:t>
      </w:r>
      <w:r w:rsidR="003A1683">
        <w:t>transitional impact</w:t>
      </w:r>
      <w:r w:rsidR="001A4476">
        <w:t xml:space="preserve"> and </w:t>
      </w:r>
      <w:r w:rsidR="001B1055">
        <w:t>any</w:t>
      </w:r>
      <w:r w:rsidR="001A4476">
        <w:t xml:space="preserve"> funding </w:t>
      </w:r>
      <w:r w:rsidR="00F57872">
        <w:t>i</w:t>
      </w:r>
      <w:r w:rsidR="00B214A8">
        <w:t>mplication</w:t>
      </w:r>
      <w:r w:rsidR="003A1683">
        <w:t>.</w:t>
      </w:r>
    </w:p>
    <w:p w:rsidR="003A1683" w:rsidRDefault="003A1683" w:rsidP="00412ED2">
      <w:pPr>
        <w:pStyle w:val="NewsletterNormal"/>
      </w:pPr>
      <w:r>
        <w:t>There are three major differences between the two DTF models</w:t>
      </w:r>
      <w:r w:rsidR="0007519D">
        <w:t xml:space="preserve"> as follows</w:t>
      </w:r>
      <w:r>
        <w:t>:</w:t>
      </w:r>
    </w:p>
    <w:p w:rsidR="003A1683" w:rsidRPr="00204511" w:rsidRDefault="00CD73F6" w:rsidP="003A1683">
      <w:pPr>
        <w:pStyle w:val="NewsletterBullet1"/>
      </w:pPr>
      <w:r w:rsidRPr="00204511">
        <w:rPr>
          <w:b/>
        </w:rPr>
        <w:t>leave utilisation patterns:</w:t>
      </w:r>
      <w:r w:rsidRPr="00204511">
        <w:t xml:space="preserve"> </w:t>
      </w:r>
      <w:r w:rsidR="003A1683" w:rsidRPr="00204511">
        <w:t>the 2008 model assumes a more prolonged leave utilisation pattern;</w:t>
      </w:r>
    </w:p>
    <w:p w:rsidR="003A1683" w:rsidRPr="00204511" w:rsidRDefault="00CD73F6" w:rsidP="00DD4235">
      <w:pPr>
        <w:pStyle w:val="NewsletterBullet1"/>
      </w:pPr>
      <w:r w:rsidRPr="00204511">
        <w:rPr>
          <w:b/>
        </w:rPr>
        <w:t>discount rates:</w:t>
      </w:r>
      <w:r w:rsidRPr="00204511">
        <w:t xml:space="preserve"> the 2008 model uses a single weighted average discount rate</w:t>
      </w:r>
      <w:r w:rsidR="00C45ABB">
        <w:t>,</w:t>
      </w:r>
      <w:r w:rsidRPr="00204511">
        <w:t xml:space="preserve"> whereas the 2004 model uses rates based on bond rates with d</w:t>
      </w:r>
      <w:r w:rsidR="00DD2109">
        <w:t>ifferent maturity periods from one</w:t>
      </w:r>
      <w:r w:rsidR="00DD4235">
        <w:t xml:space="preserve"> year to 12 </w:t>
      </w:r>
      <w:r w:rsidRPr="00204511">
        <w:t>years.</w:t>
      </w:r>
      <w:r w:rsidR="00FA09F5">
        <w:t xml:space="preserve"> The 2008 model adopts a simplified approach permitted by AASB 119</w:t>
      </w:r>
      <w:r w:rsidRPr="00204511">
        <w:t>; and</w:t>
      </w:r>
    </w:p>
    <w:p w:rsidR="00CD73F6" w:rsidRPr="00204511" w:rsidRDefault="00CD73F6" w:rsidP="003A1683">
      <w:pPr>
        <w:pStyle w:val="NewsletterBullet1"/>
      </w:pPr>
      <w:r w:rsidRPr="00204511">
        <w:rPr>
          <w:b/>
        </w:rPr>
        <w:t>employee retention rates:</w:t>
      </w:r>
      <w:r w:rsidRPr="00204511">
        <w:t xml:space="preserve"> the 2008 model uses an average retention rate for all employees</w:t>
      </w:r>
      <w:r w:rsidR="00C45ABB">
        <w:t>,</w:t>
      </w:r>
      <w:r w:rsidRPr="00204511">
        <w:t xml:space="preserve"> whereas the 2004 model uses different retention rates for employees with different years of service.</w:t>
      </w:r>
    </w:p>
    <w:p w:rsidR="00DD4235" w:rsidRDefault="00DD4235">
      <w:pPr>
        <w:spacing w:before="0" w:after="200" w:line="276" w:lineRule="auto"/>
      </w:pPr>
      <w:r>
        <w:br w:type="page"/>
      </w:r>
    </w:p>
    <w:p w:rsidR="009D51CC" w:rsidRDefault="00DD4235" w:rsidP="009D51CC">
      <w:pPr>
        <w:pStyle w:val="NewsletterNormal"/>
      </w:pPr>
      <w:r>
        <w:lastRenderedPageBreak/>
        <w:br w:type="column"/>
      </w:r>
      <w:r w:rsidR="00D97D3B">
        <w:lastRenderedPageBreak/>
        <w:t>Depending on an entity</w:t>
      </w:r>
      <w:r w:rsidR="00696132">
        <w:t>’</w:t>
      </w:r>
      <w:r w:rsidR="00D97D3B">
        <w:t xml:space="preserve">s employee profile, there may be </w:t>
      </w:r>
      <w:r w:rsidR="00DD1A51" w:rsidRPr="00204511">
        <w:t>a modest</w:t>
      </w:r>
      <w:r w:rsidR="00DD1A51">
        <w:t xml:space="preserve"> </w:t>
      </w:r>
      <w:r w:rsidR="00DD1A51" w:rsidRPr="00204511">
        <w:t>increase in the LSL liability on transition to the 2008 LSL model for departments</w:t>
      </w:r>
      <w:r w:rsidR="008562BF">
        <w:t xml:space="preserve"> and </w:t>
      </w:r>
      <w:r w:rsidR="00DD1A51" w:rsidRPr="00204511">
        <w:t>entities applying the standard wage indexation rate published by DTF. However, there may be a larger impact for departments</w:t>
      </w:r>
      <w:r w:rsidR="008562BF">
        <w:t xml:space="preserve"> and </w:t>
      </w:r>
      <w:r w:rsidR="00DD1A51" w:rsidRPr="00204511">
        <w:t>entities applying a higher wage</w:t>
      </w:r>
      <w:r w:rsidR="00DD1A51">
        <w:t xml:space="preserve"> indexation rate or having a significant population with long years of service due to the higher net rate of the wage indexation and discounting. Therefore, these departments</w:t>
      </w:r>
      <w:r w:rsidR="008562BF">
        <w:t xml:space="preserve"> and </w:t>
      </w:r>
      <w:r w:rsidR="00DD1A51">
        <w:t xml:space="preserve">entities will expect a higher increase in LSL provision and related expenses, </w:t>
      </w:r>
      <w:r w:rsidR="00B214A8">
        <w:t>requiring management of leave balances and consideration of funding implications</w:t>
      </w:r>
      <w:r w:rsidR="00DD1A51">
        <w:t>.</w:t>
      </w:r>
      <w:r w:rsidR="009D51CC">
        <w:t xml:space="preserve"> </w:t>
      </w:r>
    </w:p>
    <w:p w:rsidR="00EF2D2D" w:rsidRPr="00EF2D2D" w:rsidRDefault="00412ED2" w:rsidP="009D51CC">
      <w:pPr>
        <w:pStyle w:val="NewsletterHeading2"/>
        <w:rPr>
          <w:color w:val="000000" w:themeColor="text1"/>
          <w:lang w:val="en"/>
        </w:rPr>
      </w:pPr>
      <w:r w:rsidRPr="00547CF1">
        <w:t>2015</w:t>
      </w:r>
      <w:r w:rsidR="00E814AF">
        <w:noBreakHyphen/>
      </w:r>
      <w:r w:rsidRPr="00547CF1">
        <w:t>16</w:t>
      </w:r>
      <w:r w:rsidR="00EF2D2D" w:rsidRPr="00547CF1">
        <w:t xml:space="preserve"> Model Report for Victorian </w:t>
      </w:r>
      <w:r w:rsidR="00547CF1">
        <w:t>Government Departments (2015</w:t>
      </w:r>
      <w:r w:rsidR="00E814AF">
        <w:noBreakHyphen/>
      </w:r>
      <w:r w:rsidR="00547CF1">
        <w:t>16</w:t>
      </w:r>
      <w:r w:rsidR="00037844" w:rsidRPr="00547CF1">
        <w:t> </w:t>
      </w:r>
      <w:r w:rsidR="00EF2D2D" w:rsidRPr="00547CF1">
        <w:t>Model Report)</w:t>
      </w:r>
    </w:p>
    <w:p w:rsidR="00914DEE" w:rsidRPr="00EA615C" w:rsidRDefault="00914DEE" w:rsidP="00914DEE">
      <w:pPr>
        <w:pStyle w:val="NewsletterNormal"/>
      </w:pPr>
      <w:r w:rsidRPr="00EA615C">
        <w:t xml:space="preserve">DTF </w:t>
      </w:r>
      <w:r w:rsidR="00B801A5">
        <w:t>anticipates a</w:t>
      </w:r>
      <w:r w:rsidRPr="00EA615C">
        <w:t xml:space="preserve"> release</w:t>
      </w:r>
      <w:r w:rsidR="00B801A5">
        <w:t xml:space="preserve"> of</w:t>
      </w:r>
      <w:r w:rsidRPr="00EA615C">
        <w:t xml:space="preserve"> the 2015</w:t>
      </w:r>
      <w:r w:rsidR="00E814AF">
        <w:noBreakHyphen/>
      </w:r>
      <w:r w:rsidRPr="00EA615C">
        <w:t>16 Model Report by mid</w:t>
      </w:r>
      <w:r w:rsidR="00E814AF">
        <w:noBreakHyphen/>
      </w:r>
      <w:r w:rsidRPr="00EA615C">
        <w:t>April 2016.</w:t>
      </w:r>
    </w:p>
    <w:p w:rsidR="00914DEE" w:rsidRPr="00EA615C" w:rsidRDefault="00914DEE" w:rsidP="00914DEE">
      <w:pPr>
        <w:pStyle w:val="NewsletterNormal"/>
      </w:pPr>
      <w:r w:rsidRPr="00EA615C">
        <w:t>The key changes compared with the 2014</w:t>
      </w:r>
      <w:r w:rsidR="00E814AF">
        <w:noBreakHyphen/>
      </w:r>
      <w:r w:rsidRPr="00EA615C">
        <w:t>15 Model Report include:</w:t>
      </w:r>
    </w:p>
    <w:p w:rsidR="00914DEE" w:rsidRPr="00EA615C" w:rsidRDefault="00DD1A51" w:rsidP="00A91167">
      <w:pPr>
        <w:pStyle w:val="NewsletterBullet1"/>
        <w:spacing w:before="80"/>
        <w:ind w:left="288" w:hanging="288"/>
      </w:pPr>
      <w:r>
        <w:t>new</w:t>
      </w:r>
      <w:r w:rsidR="00BC1079">
        <w:t xml:space="preserve"> illustrative disclosures</w:t>
      </w:r>
      <w:r w:rsidR="00914DEE" w:rsidRPr="00EA615C">
        <w:t xml:space="preserve"> </w:t>
      </w:r>
      <w:r w:rsidR="00B801A5">
        <w:t>for</w:t>
      </w:r>
      <w:r w:rsidR="00BC1079">
        <w:t xml:space="preserve"> information communication technology </w:t>
      </w:r>
      <w:r w:rsidR="00B801A5">
        <w:t xml:space="preserve">(ICT) </w:t>
      </w:r>
      <w:r w:rsidR="00BC1079">
        <w:t>expenditure</w:t>
      </w:r>
      <w:r w:rsidR="00914DEE" w:rsidRPr="00EA615C">
        <w:t xml:space="preserve"> and </w:t>
      </w:r>
      <w:r w:rsidR="00B801A5">
        <w:t>revised illustrative disclosures</w:t>
      </w:r>
      <w:r w:rsidR="00B801A5" w:rsidRPr="00EA615C">
        <w:t xml:space="preserve"> </w:t>
      </w:r>
      <w:r w:rsidR="00B801A5">
        <w:t xml:space="preserve">for </w:t>
      </w:r>
      <w:r w:rsidR="00914DEE" w:rsidRPr="00EA615C">
        <w:t>government advertising expenditure</w:t>
      </w:r>
      <w:r w:rsidR="00BC1079">
        <w:t xml:space="preserve"> due to revised </w:t>
      </w:r>
      <w:r w:rsidR="00BC1079" w:rsidRPr="00EA615C">
        <w:t>reporting requirements</w:t>
      </w:r>
      <w:r w:rsidR="00914DEE" w:rsidRPr="00EA615C">
        <w:t xml:space="preserve"> in FRD 22G </w:t>
      </w:r>
      <w:r w:rsidR="00914DEE" w:rsidRPr="00EA615C">
        <w:rPr>
          <w:i/>
        </w:rPr>
        <w:t>Standard Disclosures in the Report of Operations</w:t>
      </w:r>
      <w:r w:rsidR="00DD4568">
        <w:rPr>
          <w:i/>
        </w:rPr>
        <w:t xml:space="preserve"> </w:t>
      </w:r>
      <w:r w:rsidR="00DD4568" w:rsidRPr="00DD4568">
        <w:t>(</w:t>
      </w:r>
      <w:r w:rsidR="008562BF">
        <w:t>refer</w:t>
      </w:r>
      <w:r w:rsidR="00DD4568" w:rsidRPr="00DD4568">
        <w:t xml:space="preserve"> in further detail below)</w:t>
      </w:r>
      <w:r w:rsidR="00BC1079" w:rsidRPr="00DD4568">
        <w:t>;</w:t>
      </w:r>
    </w:p>
    <w:p w:rsidR="00914DEE" w:rsidRDefault="00DD1A51" w:rsidP="00A91167">
      <w:pPr>
        <w:pStyle w:val="NewsletterBullet1"/>
        <w:spacing w:before="80"/>
        <w:ind w:left="288" w:hanging="288"/>
      </w:pPr>
      <w:r>
        <w:t>new</w:t>
      </w:r>
      <w:r w:rsidR="00BC1079">
        <w:t xml:space="preserve"> illustrative disclosure of </w:t>
      </w:r>
      <w:r w:rsidR="008E5F3F" w:rsidRPr="008E5F3F">
        <w:t>completed capital projects</w:t>
      </w:r>
      <w:r w:rsidR="00914DEE" w:rsidRPr="00EA615C">
        <w:t xml:space="preserve"> </w:t>
      </w:r>
      <w:r w:rsidR="00BC1079">
        <w:t xml:space="preserve">based on </w:t>
      </w:r>
      <w:r w:rsidR="00914DEE" w:rsidRPr="00EA615C">
        <w:t>the Public Accounts and Estim</w:t>
      </w:r>
      <w:r w:rsidR="008E5F3F">
        <w:t>ates Committee recommendation;</w:t>
      </w:r>
    </w:p>
    <w:p w:rsidR="008E5F3F" w:rsidRDefault="008E5F3F" w:rsidP="00A91167">
      <w:pPr>
        <w:pStyle w:val="NewsletterBullet1"/>
        <w:spacing w:before="80"/>
        <w:ind w:left="288" w:hanging="288"/>
      </w:pPr>
      <w:r>
        <w:t xml:space="preserve">enhanced illustrative disclosure of the performance reporting section </w:t>
      </w:r>
      <w:r w:rsidR="001B68CD">
        <w:t xml:space="preserve">required under FRDs </w:t>
      </w:r>
      <w:r>
        <w:t>in the Report of Operations; and</w:t>
      </w:r>
    </w:p>
    <w:p w:rsidR="00914DEE" w:rsidRDefault="00DD1A51" w:rsidP="00A91167">
      <w:pPr>
        <w:pStyle w:val="NewsletterBullet1"/>
        <w:spacing w:before="80"/>
        <w:ind w:left="288" w:hanging="288"/>
      </w:pPr>
      <w:r>
        <w:t>minor improvements</w:t>
      </w:r>
      <w:r w:rsidR="00914DEE">
        <w:t xml:space="preserve"> on disclosure</w:t>
      </w:r>
      <w:r w:rsidR="004909E5">
        <w:t>s</w:t>
      </w:r>
      <w:r w:rsidR="00914DEE">
        <w:t xml:space="preserve"> </w:t>
      </w:r>
      <w:r>
        <w:t>based on</w:t>
      </w:r>
      <w:r w:rsidR="008C31A5">
        <w:t xml:space="preserve"> VAGO</w:t>
      </w:r>
      <w:r w:rsidR="00696132">
        <w:t>’</w:t>
      </w:r>
      <w:r w:rsidR="008E5F3F">
        <w:t>s recommendation</w:t>
      </w:r>
      <w:r w:rsidR="00586BFA">
        <w:t>s</w:t>
      </w:r>
      <w:r w:rsidR="00914DEE">
        <w:t>.</w:t>
      </w:r>
    </w:p>
    <w:p w:rsidR="00D57475" w:rsidRPr="00914DEE" w:rsidRDefault="00D57475" w:rsidP="009B3169">
      <w:pPr>
        <w:pStyle w:val="NewsletterNormal"/>
      </w:pPr>
      <w:r w:rsidRPr="00914DEE">
        <w:t>A</w:t>
      </w:r>
      <w:r>
        <w:t xml:space="preserve"> </w:t>
      </w:r>
      <w:r w:rsidRPr="00914DEE">
        <w:t>list of the significant changes will be included in the Summary of Changes accompanying the 2015</w:t>
      </w:r>
      <w:r w:rsidR="00E814AF">
        <w:noBreakHyphen/>
      </w:r>
      <w:r w:rsidRPr="00914DEE">
        <w:t xml:space="preserve">16 Model Report. </w:t>
      </w:r>
    </w:p>
    <w:p w:rsidR="00D57475" w:rsidRDefault="00D57475" w:rsidP="00D57475">
      <w:pPr>
        <w:pStyle w:val="NewsletterHeading2"/>
      </w:pPr>
      <w:r w:rsidRPr="00F87717">
        <w:t>Financial Report Directions (FRDs) and guidance notes</w:t>
      </w:r>
    </w:p>
    <w:p w:rsidR="00D57475" w:rsidRPr="009B3169" w:rsidRDefault="00D57475" w:rsidP="00D57475">
      <w:pPr>
        <w:rPr>
          <w:sz w:val="19"/>
        </w:rPr>
      </w:pPr>
      <w:r w:rsidRPr="009B3169">
        <w:rPr>
          <w:sz w:val="19"/>
        </w:rPr>
        <w:t xml:space="preserve">Since the last newsletter, FRD 22F </w:t>
      </w:r>
      <w:r w:rsidRPr="009B3169">
        <w:rPr>
          <w:i/>
          <w:sz w:val="19"/>
        </w:rPr>
        <w:t xml:space="preserve">Standard Disclosures in the Report of Operations </w:t>
      </w:r>
      <w:r w:rsidRPr="009B3169">
        <w:rPr>
          <w:sz w:val="19"/>
        </w:rPr>
        <w:t>has been revised to:</w:t>
      </w:r>
    </w:p>
    <w:p w:rsidR="00D57475" w:rsidRDefault="00D57475" w:rsidP="00A91167">
      <w:pPr>
        <w:pStyle w:val="NewsletterBullet1"/>
        <w:spacing w:before="80"/>
        <w:ind w:left="288" w:hanging="288"/>
      </w:pPr>
      <w:r>
        <w:t>incorporate the new disclosure requirement for ICT expenditure; and</w:t>
      </w:r>
    </w:p>
    <w:p w:rsidR="00D57475" w:rsidRDefault="00E33071" w:rsidP="00A91167">
      <w:pPr>
        <w:pStyle w:val="NewsletterBullet1"/>
        <w:spacing w:before="80"/>
        <w:ind w:left="288" w:hanging="288"/>
      </w:pPr>
      <w:r>
        <w:t>reduce</w:t>
      </w:r>
      <w:r w:rsidR="00D57475">
        <w:t xml:space="preserve"> the disclosure threshold for government advertising expenditure from $150 000 to $100 000.</w:t>
      </w:r>
    </w:p>
    <w:p w:rsidR="00D57475" w:rsidRDefault="00D57475" w:rsidP="009B3169">
      <w:pPr>
        <w:pStyle w:val="NewsletterNormal"/>
      </w:pPr>
      <w:r>
        <w:t xml:space="preserve">The revised FRD 22G </w:t>
      </w:r>
      <w:r w:rsidRPr="00BF45E5">
        <w:t>is applicable for the 2015</w:t>
      </w:r>
      <w:r w:rsidR="00E814AF">
        <w:noBreakHyphen/>
      </w:r>
      <w:r w:rsidRPr="00BF45E5">
        <w:t xml:space="preserve">16 reporting period. </w:t>
      </w:r>
    </w:p>
    <w:p w:rsidR="00D57475" w:rsidRPr="00914DEE" w:rsidRDefault="00D57475" w:rsidP="009B3169">
      <w:pPr>
        <w:pStyle w:val="NewsletterNormal"/>
      </w:pPr>
      <w:r>
        <w:t xml:space="preserve">DTF is also </w:t>
      </w:r>
      <w:r w:rsidRPr="00DF5142">
        <w:t xml:space="preserve">reviewing the </w:t>
      </w:r>
      <w:r>
        <w:t xml:space="preserve">whole </w:t>
      </w:r>
      <w:r w:rsidRPr="00DF5142">
        <w:t xml:space="preserve">suite of FRDs for </w:t>
      </w:r>
      <w:r>
        <w:t xml:space="preserve">general </w:t>
      </w:r>
      <w:r w:rsidRPr="00DF5142">
        <w:t>improvemen</w:t>
      </w:r>
      <w:r>
        <w:t>ts, including updates of references and removal of</w:t>
      </w:r>
      <w:r w:rsidRPr="00DF5142">
        <w:t xml:space="preserve"> information </w:t>
      </w:r>
      <w:r>
        <w:t xml:space="preserve">duplicated </w:t>
      </w:r>
      <w:r w:rsidRPr="00DF5142">
        <w:t xml:space="preserve">in the Model Report. The revised suite of FRDs </w:t>
      </w:r>
      <w:r w:rsidR="00247BA7">
        <w:t>will</w:t>
      </w:r>
      <w:r>
        <w:t> </w:t>
      </w:r>
      <w:r w:rsidRPr="00DF5142">
        <w:t>appl</w:t>
      </w:r>
      <w:r>
        <w:t>y </w:t>
      </w:r>
      <w:r w:rsidRPr="00DF5142">
        <w:t>for</w:t>
      </w:r>
      <w:r>
        <w:t xml:space="preserve"> </w:t>
      </w:r>
      <w:r w:rsidRPr="00DF5142">
        <w:t>the</w:t>
      </w:r>
      <w:r>
        <w:t xml:space="preserve"> </w:t>
      </w:r>
      <w:r w:rsidRPr="00DF5142">
        <w:t>2015</w:t>
      </w:r>
      <w:r w:rsidR="00E814AF">
        <w:noBreakHyphen/>
      </w:r>
      <w:r w:rsidRPr="00DF5142">
        <w:t>16</w:t>
      </w:r>
      <w:r w:rsidR="00A91167">
        <w:t xml:space="preserve"> </w:t>
      </w:r>
      <w:r w:rsidRPr="00DF5142">
        <w:t>reporting period</w:t>
      </w:r>
      <w:r w:rsidR="00D97D3B">
        <w:t xml:space="preserve"> </w:t>
      </w:r>
      <w:r w:rsidR="00247BA7">
        <w:t>with no</w:t>
      </w:r>
      <w:r w:rsidR="00D97D3B">
        <w:t xml:space="preserve"> significant changes</w:t>
      </w:r>
      <w:r w:rsidR="00247BA7">
        <w:t xml:space="preserve"> expected from the</w:t>
      </w:r>
      <w:r w:rsidR="00D97D3B">
        <w:t xml:space="preserve"> revisions.</w:t>
      </w:r>
    </w:p>
    <w:p w:rsidR="00D57475" w:rsidRPr="00777785" w:rsidRDefault="00D57475" w:rsidP="00D57475">
      <w:pPr>
        <w:pStyle w:val="NewsletterHeading2"/>
      </w:pPr>
      <w:r w:rsidRPr="00777785">
        <w:t>201</w:t>
      </w:r>
      <w:r>
        <w:t>5</w:t>
      </w:r>
      <w:r w:rsidR="00E814AF">
        <w:noBreakHyphen/>
      </w:r>
      <w:r w:rsidRPr="00777785">
        <w:t>1</w:t>
      </w:r>
      <w:r>
        <w:t>6</w:t>
      </w:r>
      <w:r w:rsidRPr="00777785">
        <w:t xml:space="preserve"> </w:t>
      </w:r>
      <w:r w:rsidRPr="00184F8B">
        <w:t>financial</w:t>
      </w:r>
      <w:r w:rsidRPr="00777785">
        <w:t xml:space="preserve"> </w:t>
      </w:r>
      <w:r w:rsidRPr="00622DD4">
        <w:t>reporting</w:t>
      </w:r>
      <w:r w:rsidRPr="00777785">
        <w:t xml:space="preserve"> legislation</w:t>
      </w:r>
    </w:p>
    <w:p w:rsidR="00D57475" w:rsidRPr="00777785" w:rsidRDefault="00D57475" w:rsidP="00C01CF3">
      <w:pPr>
        <w:pStyle w:val="NewsletterHeading3"/>
      </w:pPr>
      <w:r w:rsidRPr="005964E1">
        <w:t xml:space="preserve">Financial Management Act </w:t>
      </w:r>
    </w:p>
    <w:p w:rsidR="009A5440" w:rsidRDefault="00D57475" w:rsidP="00D57475">
      <w:pPr>
        <w:pStyle w:val="NewsletterNormal"/>
      </w:pPr>
      <w:r w:rsidRPr="00926926">
        <w:t xml:space="preserve">The </w:t>
      </w:r>
      <w:r w:rsidRPr="00C63792">
        <w:rPr>
          <w:i/>
        </w:rPr>
        <w:t>Financial Management Act 1994</w:t>
      </w:r>
      <w:r w:rsidRPr="00926926">
        <w:t xml:space="preserve"> </w:t>
      </w:r>
      <w:r>
        <w:t xml:space="preserve">(FMA) </w:t>
      </w:r>
      <w:r w:rsidRPr="00926926">
        <w:t>continues to be th</w:t>
      </w:r>
      <w:r w:rsidRPr="00C63792">
        <w:t>e</w:t>
      </w:r>
      <w:r w:rsidRPr="00926926">
        <w:t xml:space="preserve"> principal legislation governing VPS financial reporting for 2015</w:t>
      </w:r>
      <w:r w:rsidR="00E814AF">
        <w:noBreakHyphen/>
      </w:r>
      <w:r w:rsidRPr="00926926">
        <w:t>16.</w:t>
      </w:r>
    </w:p>
    <w:p w:rsidR="009A5440" w:rsidRPr="005964E1" w:rsidRDefault="009A5440" w:rsidP="00C01CF3">
      <w:pPr>
        <w:pStyle w:val="NewsletterHeading3"/>
      </w:pPr>
      <w:r>
        <w:t>Standing Directions</w:t>
      </w:r>
    </w:p>
    <w:p w:rsidR="009A5440" w:rsidRDefault="009A5440" w:rsidP="00DD4235">
      <w:pPr>
        <w:pStyle w:val="NewsletterNormal"/>
      </w:pPr>
      <w:r>
        <w:t>The Minister for Finance has committed to revise the Standing Directions issued under the FMA. The reform will help modernise Victoria</w:t>
      </w:r>
      <w:r w:rsidR="00696132">
        <w:t>’</w:t>
      </w:r>
      <w:r>
        <w:t>s public financial management through strengthened accountability, planning and decision</w:t>
      </w:r>
      <w:r w:rsidR="00E814AF">
        <w:noBreakHyphen/>
      </w:r>
      <w:r>
        <w:t>making, and a stronger flow of information between departments, agencies and government.</w:t>
      </w:r>
    </w:p>
    <w:p w:rsidR="009A5440" w:rsidRDefault="009A5440" w:rsidP="009A5440">
      <w:pPr>
        <w:pStyle w:val="NewsletterNormal"/>
      </w:pPr>
      <w:r>
        <w:t>DTF consulted across the VPS on draft revised Dire</w:t>
      </w:r>
      <w:r w:rsidR="00DD4235">
        <w:t>ctions in September and October </w:t>
      </w:r>
      <w:r>
        <w:t>2015. Subject to the Minister</w:t>
      </w:r>
      <w:r w:rsidR="00696132">
        <w:t>’</w:t>
      </w:r>
      <w:r>
        <w:t xml:space="preserve">s approval, the revised Directions are </w:t>
      </w:r>
      <w:r w:rsidR="003C2679">
        <w:t>schedul</w:t>
      </w:r>
      <w:r w:rsidR="00DD4235">
        <w:t>ed for publication in February </w:t>
      </w:r>
      <w:r>
        <w:t xml:space="preserve">2016, with </w:t>
      </w:r>
      <w:r w:rsidR="00DD1A51">
        <w:t>an</w:t>
      </w:r>
      <w:r w:rsidR="003C2679">
        <w:t xml:space="preserve"> effective date of </w:t>
      </w:r>
      <w:r>
        <w:t>1 July 2016 (subject to some transitional arrangements).</w:t>
      </w:r>
    </w:p>
    <w:p w:rsidR="00DD4235" w:rsidRDefault="00DD4235">
      <w:pPr>
        <w:spacing w:before="0" w:after="200" w:line="276" w:lineRule="auto"/>
        <w:rPr>
          <w:b/>
        </w:rPr>
      </w:pPr>
      <w:r>
        <w:br w:type="page"/>
      </w:r>
    </w:p>
    <w:p w:rsidR="00BE6538" w:rsidRPr="005964E1" w:rsidRDefault="00DD4235" w:rsidP="00C01CF3">
      <w:pPr>
        <w:pStyle w:val="NewsletterHeading3"/>
      </w:pPr>
      <w:r>
        <w:lastRenderedPageBreak/>
        <w:br w:type="column"/>
      </w:r>
      <w:r w:rsidR="005641B0">
        <w:lastRenderedPageBreak/>
        <w:t xml:space="preserve">Release of </w:t>
      </w:r>
      <w:r w:rsidR="00CE5C21">
        <w:t xml:space="preserve">the </w:t>
      </w:r>
      <w:r w:rsidR="005641B0">
        <w:t>new ABS manual</w:t>
      </w:r>
    </w:p>
    <w:p w:rsidR="005641B0" w:rsidRPr="00687D3F" w:rsidRDefault="005641B0" w:rsidP="00687D3F">
      <w:pPr>
        <w:pStyle w:val="NewsletterNormal"/>
      </w:pPr>
      <w:r w:rsidRPr="00F208C0">
        <w:t xml:space="preserve">The </w:t>
      </w:r>
      <w:r w:rsidR="00F208C0" w:rsidRPr="00F208C0">
        <w:t>Australian Bureau of Statistics (</w:t>
      </w:r>
      <w:r w:rsidRPr="00F208C0">
        <w:t>ABS</w:t>
      </w:r>
      <w:r w:rsidR="00F208C0" w:rsidRPr="00F208C0">
        <w:t>) has</w:t>
      </w:r>
      <w:r w:rsidRPr="00F208C0">
        <w:t xml:space="preserve"> released a new manual, </w:t>
      </w:r>
      <w:r w:rsidRPr="00687D3F">
        <w:rPr>
          <w:i/>
        </w:rPr>
        <w:t>Australian System of Government Finance Statistics: Concepts, Sources and Methods 2015</w:t>
      </w:r>
      <w:r w:rsidRPr="00F208C0">
        <w:t xml:space="preserve"> </w:t>
      </w:r>
      <w:r w:rsidR="00DD4235">
        <w:t>on 23 </w:t>
      </w:r>
      <w:r w:rsidRPr="00CB20E8">
        <w:t>December 2015</w:t>
      </w:r>
      <w:r w:rsidR="00395879" w:rsidRPr="00CB20E8">
        <w:t xml:space="preserve">. </w:t>
      </w:r>
      <w:r w:rsidRPr="00894244">
        <w:t>The</w:t>
      </w:r>
      <w:r w:rsidRPr="00F208C0">
        <w:t xml:space="preserve"> new manual incorporates the revision</w:t>
      </w:r>
      <w:r w:rsidR="00395879">
        <w:t>s</w:t>
      </w:r>
      <w:r w:rsidRPr="00F208C0">
        <w:t xml:space="preserve"> of the international standard for the compilation of the national ac</w:t>
      </w:r>
      <w:r w:rsidR="00B034E9">
        <w:t>counts statistics as outlined in</w:t>
      </w:r>
      <w:r w:rsidRPr="00F208C0">
        <w:t xml:space="preserve"> the International Monetary Fund</w:t>
      </w:r>
      <w:r w:rsidR="00696132">
        <w:t>’</w:t>
      </w:r>
      <w:r w:rsidRPr="00F208C0">
        <w:t>s G</w:t>
      </w:r>
      <w:r w:rsidR="00687D3F">
        <w:t xml:space="preserve">overnment </w:t>
      </w:r>
      <w:r w:rsidRPr="00F208C0">
        <w:t>F</w:t>
      </w:r>
      <w:r w:rsidR="00687D3F">
        <w:t xml:space="preserve">inance </w:t>
      </w:r>
      <w:r w:rsidRPr="00F208C0">
        <w:t>S</w:t>
      </w:r>
      <w:r w:rsidR="00687D3F">
        <w:t>tatistics</w:t>
      </w:r>
      <w:r w:rsidRPr="00F208C0">
        <w:t xml:space="preserve"> Manual</w:t>
      </w:r>
      <w:r w:rsidR="00C5669C">
        <w:t xml:space="preserve">. </w:t>
      </w:r>
      <w:r w:rsidR="00687D3F">
        <w:t xml:space="preserve">It will be implemented from </w:t>
      </w:r>
      <w:r w:rsidR="00B214A8">
        <w:t xml:space="preserve">the </w:t>
      </w:r>
      <w:r w:rsidRPr="00F208C0">
        <w:t>September</w:t>
      </w:r>
      <w:r w:rsidR="00687D3F">
        <w:t xml:space="preserve"> </w:t>
      </w:r>
      <w:r w:rsidR="00687D3F" w:rsidRPr="00F208C0">
        <w:t>quarter</w:t>
      </w:r>
      <w:r w:rsidR="00687D3F">
        <w:t xml:space="preserve"> of</w:t>
      </w:r>
      <w:r w:rsidRPr="00F208C0">
        <w:t xml:space="preserve"> 2017.</w:t>
      </w:r>
    </w:p>
    <w:p w:rsidR="003C2679" w:rsidRDefault="005641B0" w:rsidP="00687D3F">
      <w:pPr>
        <w:pStyle w:val="NewsletterNormal"/>
      </w:pPr>
      <w:r w:rsidRPr="00F208C0">
        <w:t>DTF centrally submit</w:t>
      </w:r>
      <w:r w:rsidR="0001251B">
        <w:t>s</w:t>
      </w:r>
      <w:r w:rsidRPr="00F208C0">
        <w:t xml:space="preserve"> quarter</w:t>
      </w:r>
      <w:r w:rsidR="00F208C0" w:rsidRPr="00F208C0">
        <w:t>ly</w:t>
      </w:r>
      <w:r w:rsidRPr="00F208C0">
        <w:t xml:space="preserve"> and annual data to the ABS on behalf of the State</w:t>
      </w:r>
      <w:r w:rsidR="0001251B">
        <w:t xml:space="preserve"> and general government sector.</w:t>
      </w:r>
      <w:r w:rsidRPr="00F208C0">
        <w:t xml:space="preserve"> The data is based on the existing actual and</w:t>
      </w:r>
      <w:r w:rsidR="00687D3F">
        <w:t xml:space="preserve"> estimate data feeds in SRIMS.</w:t>
      </w:r>
      <w:r w:rsidRPr="00F208C0">
        <w:t xml:space="preserve"> </w:t>
      </w:r>
    </w:p>
    <w:p w:rsidR="00BE6538" w:rsidRDefault="005641B0" w:rsidP="00687D3F">
      <w:pPr>
        <w:pStyle w:val="NewsletterNormal"/>
      </w:pPr>
      <w:r w:rsidRPr="00F208C0">
        <w:t>DTF is cur</w:t>
      </w:r>
      <w:r w:rsidR="0001251B">
        <w:t>rently in the process of assessing</w:t>
      </w:r>
      <w:r w:rsidRPr="00F208C0">
        <w:t xml:space="preserve"> the impact of th</w:t>
      </w:r>
      <w:r w:rsidR="00537F1D">
        <w:t xml:space="preserve">e changes and will consult </w:t>
      </w:r>
      <w:r w:rsidRPr="00F208C0">
        <w:t>departments</w:t>
      </w:r>
      <w:r w:rsidR="0001251B">
        <w:t xml:space="preserve"> </w:t>
      </w:r>
      <w:r w:rsidR="003C2679">
        <w:t>where appropriate</w:t>
      </w:r>
      <w:r w:rsidRPr="00F208C0">
        <w:t xml:space="preserve">. </w:t>
      </w:r>
      <w:r w:rsidR="00851DEC">
        <w:t>The</w:t>
      </w:r>
      <w:r w:rsidR="00C45ABB">
        <w:t xml:space="preserve"> Consolidated</w:t>
      </w:r>
      <w:r w:rsidR="0001251B">
        <w:t xml:space="preserve"> Reporting and Analysis</w:t>
      </w:r>
      <w:r w:rsidR="00F208C0" w:rsidRPr="00F208C0">
        <w:t xml:space="preserve"> </w:t>
      </w:r>
      <w:r w:rsidR="00DD1A51">
        <w:t xml:space="preserve">(CRA) </w:t>
      </w:r>
      <w:r w:rsidR="00F208C0" w:rsidRPr="00F208C0">
        <w:t xml:space="preserve">team </w:t>
      </w:r>
      <w:r w:rsidR="00851DEC">
        <w:t xml:space="preserve">will communicate the assessment outcome to departments </w:t>
      </w:r>
      <w:r w:rsidRPr="00F208C0">
        <w:t xml:space="preserve">and </w:t>
      </w:r>
      <w:r w:rsidR="0001251B">
        <w:t xml:space="preserve">any </w:t>
      </w:r>
      <w:r w:rsidRPr="00F208C0">
        <w:t>interim enquiries can be dire</w:t>
      </w:r>
      <w:r w:rsidR="0001251B">
        <w:t>cted to Bop Leas (</w:t>
      </w:r>
      <w:r w:rsidR="00851DEC">
        <w:t xml:space="preserve">contact no.: </w:t>
      </w:r>
      <w:r w:rsidR="0001251B">
        <w:t>9651 1622</w:t>
      </w:r>
      <w:r w:rsidR="00045C49">
        <w:t>/</w:t>
      </w:r>
      <w:r w:rsidR="00851DEC">
        <w:t xml:space="preserve">email: </w:t>
      </w:r>
      <w:hyperlink r:id="rId15" w:history="1">
        <w:r w:rsidR="00C5669C" w:rsidRPr="00602A6C">
          <w:rPr>
            <w:rStyle w:val="Hyperlink"/>
          </w:rPr>
          <w:t>bop.leas@dtf.vic.gov.au</w:t>
        </w:r>
      </w:hyperlink>
      <w:r w:rsidRPr="00F208C0">
        <w:t>).</w:t>
      </w:r>
    </w:p>
    <w:p w:rsidR="00DD1A51" w:rsidRPr="00777785" w:rsidRDefault="00DD1A51" w:rsidP="00DD1A51">
      <w:pPr>
        <w:pStyle w:val="NewsletterHeading2"/>
      </w:pPr>
      <w:bookmarkStart w:id="5" w:name="_Toc365553149"/>
      <w:r w:rsidRPr="00777785">
        <w:t xml:space="preserve">Other </w:t>
      </w:r>
      <w:r w:rsidRPr="00164666">
        <w:t>guidance</w:t>
      </w:r>
      <w:r w:rsidRPr="00777785">
        <w:t xml:space="preserve"> </w:t>
      </w:r>
    </w:p>
    <w:p w:rsidR="00DD1A51" w:rsidRPr="00777785" w:rsidRDefault="00DD1A51" w:rsidP="00C01CF3">
      <w:pPr>
        <w:pStyle w:val="NewsletterHeading3"/>
      </w:pPr>
      <w:r w:rsidRPr="00777785">
        <w:t xml:space="preserve">Superannuation </w:t>
      </w:r>
      <w:r w:rsidRPr="00164666">
        <w:t>Guarantee</w:t>
      </w:r>
      <w:r w:rsidRPr="00777785">
        <w:t xml:space="preserve"> Levy</w:t>
      </w:r>
      <w:r w:rsidRPr="00777785">
        <w:rPr>
          <w:vertAlign w:val="superscript"/>
        </w:rPr>
        <w:t xml:space="preserve"> </w:t>
      </w:r>
    </w:p>
    <w:p w:rsidR="00DD1A51" w:rsidRPr="00962BEF" w:rsidRDefault="00DD1A51" w:rsidP="00DD1A51">
      <w:pPr>
        <w:pStyle w:val="NewsletterNormal"/>
      </w:pPr>
      <w:r w:rsidRPr="00962BEF">
        <w:t>The Superannuation Guarantee Levy (SGL) schedule h</w:t>
      </w:r>
      <w:r w:rsidR="00FF11E3">
        <w:t>as been updated in accordance with</w:t>
      </w:r>
      <w:r w:rsidRPr="00962BEF">
        <w:t xml:space="preserve"> the </w:t>
      </w:r>
      <w:r w:rsidRPr="00962BEF">
        <w:rPr>
          <w:i/>
        </w:rPr>
        <w:t>Minerals Resource Rent Tax Repeal and Other Measures Act</w:t>
      </w:r>
      <w:r w:rsidRPr="00962BEF">
        <w:t> </w:t>
      </w:r>
      <w:r w:rsidRPr="00962BEF">
        <w:rPr>
          <w:i/>
        </w:rPr>
        <w:t>2014</w:t>
      </w:r>
      <w:r w:rsidRPr="00962BEF">
        <w:t xml:space="preserve"> (the Act) passed in September 2014. Based on the Act, the future SGL rates will remain at </w:t>
      </w:r>
      <w:r w:rsidR="00045C49" w:rsidRPr="00962BEF">
        <w:t>9.5</w:t>
      </w:r>
      <w:r w:rsidR="00045C49">
        <w:t> per cent</w:t>
      </w:r>
      <w:r w:rsidR="00DD4235">
        <w:t xml:space="preserve"> until 30 </w:t>
      </w:r>
      <w:r w:rsidRPr="00962BEF">
        <w:t xml:space="preserve">June 2021, before making yearly increments of </w:t>
      </w:r>
      <w:r w:rsidR="00045C49" w:rsidRPr="00962BEF">
        <w:t>0.5</w:t>
      </w:r>
      <w:r w:rsidR="00045C49">
        <w:t> per cent</w:t>
      </w:r>
      <w:r w:rsidRPr="00962BEF">
        <w:t xml:space="preserve"> from 2021 to 2025. </w:t>
      </w:r>
    </w:p>
    <w:p w:rsidR="00C5669C" w:rsidRDefault="00DD1A51" w:rsidP="00A55C26">
      <w:pPr>
        <w:pStyle w:val="NewsletterNormal"/>
      </w:pPr>
      <w:r w:rsidRPr="00962BEF">
        <w:t>Departments and entities should use the new SGL schedule whe</w:t>
      </w:r>
      <w:r w:rsidR="00FF11E3">
        <w:t>n estimating and measuring</w:t>
      </w:r>
      <w:r w:rsidRPr="00962BEF">
        <w:t xml:space="preserve"> employee benefit liabilities and expenses for financial reporting and future budget estimates. The table below outlines the new SGL rates for the financial years </w:t>
      </w:r>
      <w:r w:rsidR="00F24998">
        <w:t>beginning from 1 </w:t>
      </w:r>
      <w:r w:rsidR="00DD4235">
        <w:t>July 2015 to 1 </w:t>
      </w:r>
      <w:r w:rsidRPr="00962BEF">
        <w:t>July 2025, with the previous SGL schedule included for comparison.</w:t>
      </w:r>
    </w:p>
    <w:p w:rsidR="0054728F" w:rsidRPr="009D51CC" w:rsidRDefault="0054728F" w:rsidP="00C96B27">
      <w:pPr>
        <w:pStyle w:val="NewsletterNormal"/>
        <w:rPr>
          <w:sz w:val="4"/>
          <w:szCs w:val="4"/>
        </w:rPr>
      </w:pPr>
    </w:p>
    <w:tbl>
      <w:tblPr>
        <w:tblStyle w:val="TableGrid"/>
        <w:tblW w:w="6750" w:type="dxa"/>
        <w:tblInd w:w="72" w:type="dxa"/>
        <w:tblBorders>
          <w:top w:val="single" w:sz="4" w:space="0" w:color="004EA8"/>
          <w:bottom w:val="single" w:sz="4" w:space="0" w:color="004EA8"/>
          <w:insideH w:val="single" w:sz="4" w:space="0" w:color="004EA8"/>
          <w:insideV w:val="single" w:sz="4" w:space="0" w:color="004EA8"/>
        </w:tblBorders>
        <w:tblLayout w:type="fixed"/>
        <w:tblCellMar>
          <w:left w:w="72" w:type="dxa"/>
          <w:right w:w="72" w:type="dxa"/>
        </w:tblCellMar>
        <w:tblLook w:val="04A0" w:firstRow="1" w:lastRow="0" w:firstColumn="1" w:lastColumn="0" w:noHBand="0" w:noVBand="1"/>
      </w:tblPr>
      <w:tblGrid>
        <w:gridCol w:w="1560"/>
        <w:gridCol w:w="2658"/>
        <w:gridCol w:w="2532"/>
      </w:tblGrid>
      <w:tr w:rsidR="00436D70" w:rsidRPr="00184F8B" w:rsidTr="00F24998">
        <w:trPr>
          <w:cnfStyle w:val="100000000000" w:firstRow="1" w:lastRow="0" w:firstColumn="0" w:lastColumn="0" w:oddVBand="0" w:evenVBand="0" w:oddHBand="0" w:evenHBand="0" w:firstRowFirstColumn="0" w:firstRowLastColumn="0" w:lastRowFirstColumn="0" w:lastRowLastColumn="0"/>
          <w:trHeight w:val="335"/>
        </w:trPr>
        <w:tc>
          <w:tcPr>
            <w:tcW w:w="1560" w:type="dxa"/>
            <w:vMerge w:val="restart"/>
            <w:vAlign w:val="center"/>
          </w:tcPr>
          <w:p w:rsidR="00436D70" w:rsidRPr="00184F8B" w:rsidRDefault="00436D70" w:rsidP="00395879">
            <w:pPr>
              <w:pStyle w:val="TableHeading"/>
              <w:jc w:val="center"/>
            </w:pPr>
            <w:r w:rsidRPr="00184F8B">
              <w:t>Date</w:t>
            </w:r>
          </w:p>
        </w:tc>
        <w:tc>
          <w:tcPr>
            <w:tcW w:w="2658" w:type="dxa"/>
          </w:tcPr>
          <w:p w:rsidR="00436D70" w:rsidRPr="00184F8B" w:rsidRDefault="00436D70" w:rsidP="00395879">
            <w:pPr>
              <w:pStyle w:val="TableHeading"/>
              <w:jc w:val="center"/>
            </w:pPr>
            <w:r w:rsidRPr="00184F8B">
              <w:t xml:space="preserve">New SGL </w:t>
            </w:r>
            <w:r>
              <w:t>s</w:t>
            </w:r>
            <w:r w:rsidRPr="00184F8B">
              <w:t>chedule</w:t>
            </w:r>
          </w:p>
        </w:tc>
        <w:tc>
          <w:tcPr>
            <w:tcW w:w="2532" w:type="dxa"/>
          </w:tcPr>
          <w:p w:rsidR="00436D70" w:rsidRPr="00184F8B" w:rsidRDefault="00436D70" w:rsidP="00395879">
            <w:pPr>
              <w:pStyle w:val="TableHeading"/>
              <w:jc w:val="center"/>
            </w:pPr>
            <w:r w:rsidRPr="00184F8B">
              <w:t xml:space="preserve">Old SGL </w:t>
            </w:r>
            <w:r>
              <w:t>s</w:t>
            </w:r>
            <w:r w:rsidRPr="00184F8B">
              <w:t>chedule</w:t>
            </w:r>
          </w:p>
        </w:tc>
      </w:tr>
      <w:tr w:rsidR="00436D70" w:rsidRPr="00184F8B" w:rsidTr="00F24998">
        <w:trPr>
          <w:trHeight w:val="335"/>
        </w:trPr>
        <w:tc>
          <w:tcPr>
            <w:tcW w:w="1560" w:type="dxa"/>
            <w:vMerge/>
            <w:shd w:val="clear" w:color="auto" w:fill="D9D9D9" w:themeFill="background1" w:themeFillShade="D9"/>
          </w:tcPr>
          <w:p w:rsidR="00436D70" w:rsidRPr="00184F8B" w:rsidRDefault="00436D70" w:rsidP="00395879">
            <w:pPr>
              <w:pStyle w:val="TableHeading"/>
              <w:jc w:val="center"/>
            </w:pPr>
          </w:p>
        </w:tc>
        <w:tc>
          <w:tcPr>
            <w:tcW w:w="5190" w:type="dxa"/>
            <w:gridSpan w:val="2"/>
            <w:shd w:val="clear" w:color="auto" w:fill="D9D9D9" w:themeFill="background1" w:themeFillShade="D9"/>
          </w:tcPr>
          <w:p w:rsidR="00436D70" w:rsidRPr="00F273F8" w:rsidRDefault="00436D70" w:rsidP="00395879">
            <w:pPr>
              <w:pStyle w:val="TableText"/>
              <w:jc w:val="center"/>
              <w:rPr>
                <w:b/>
              </w:rPr>
            </w:pPr>
            <w:r w:rsidRPr="00F273F8">
              <w:rPr>
                <w:b/>
              </w:rPr>
              <w:t>(per cent)</w:t>
            </w:r>
          </w:p>
        </w:tc>
      </w:tr>
      <w:tr w:rsidR="00436D70" w:rsidRPr="00184F8B" w:rsidTr="00F24998">
        <w:trPr>
          <w:trHeight w:val="335"/>
        </w:trPr>
        <w:tc>
          <w:tcPr>
            <w:tcW w:w="1560" w:type="dxa"/>
          </w:tcPr>
          <w:p w:rsidR="00436D70" w:rsidRPr="00184F8B" w:rsidRDefault="00436D70" w:rsidP="00395879">
            <w:pPr>
              <w:pStyle w:val="TableText"/>
              <w:jc w:val="center"/>
            </w:pPr>
            <w:r w:rsidRPr="00184F8B">
              <w:t>1 July 2015</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10.00</w:t>
            </w:r>
          </w:p>
        </w:tc>
      </w:tr>
      <w:tr w:rsidR="00436D70" w:rsidRPr="00184F8B" w:rsidTr="00F24998">
        <w:trPr>
          <w:trHeight w:val="325"/>
        </w:trPr>
        <w:tc>
          <w:tcPr>
            <w:tcW w:w="1560" w:type="dxa"/>
          </w:tcPr>
          <w:p w:rsidR="00436D70" w:rsidRPr="00184F8B" w:rsidRDefault="00436D70" w:rsidP="00395879">
            <w:pPr>
              <w:pStyle w:val="TableText"/>
              <w:jc w:val="center"/>
            </w:pPr>
            <w:r w:rsidRPr="00184F8B">
              <w:t>1 July 2016</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10.50</w:t>
            </w:r>
          </w:p>
        </w:tc>
      </w:tr>
      <w:tr w:rsidR="00436D70" w:rsidRPr="00184F8B" w:rsidTr="00F24998">
        <w:trPr>
          <w:trHeight w:val="325"/>
        </w:trPr>
        <w:tc>
          <w:tcPr>
            <w:tcW w:w="1560" w:type="dxa"/>
          </w:tcPr>
          <w:p w:rsidR="00436D70" w:rsidRPr="00184F8B" w:rsidRDefault="00436D70" w:rsidP="00395879">
            <w:pPr>
              <w:pStyle w:val="TableText"/>
              <w:jc w:val="center"/>
            </w:pPr>
            <w:r w:rsidRPr="00184F8B">
              <w:t>1 July 2017</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11.00</w:t>
            </w:r>
          </w:p>
        </w:tc>
      </w:tr>
      <w:tr w:rsidR="00436D70" w:rsidRPr="00184F8B" w:rsidTr="00F24998">
        <w:trPr>
          <w:trHeight w:val="325"/>
        </w:trPr>
        <w:tc>
          <w:tcPr>
            <w:tcW w:w="1560" w:type="dxa"/>
          </w:tcPr>
          <w:p w:rsidR="00436D70" w:rsidRPr="00184F8B" w:rsidRDefault="00436D70" w:rsidP="00395879">
            <w:pPr>
              <w:pStyle w:val="TableText"/>
              <w:jc w:val="center"/>
            </w:pPr>
            <w:r w:rsidRPr="00184F8B">
              <w:t>1 July 2018</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11.50</w:t>
            </w:r>
          </w:p>
        </w:tc>
      </w:tr>
      <w:tr w:rsidR="00436D70" w:rsidRPr="00184F8B" w:rsidTr="00F24998">
        <w:trPr>
          <w:trHeight w:val="335"/>
        </w:trPr>
        <w:tc>
          <w:tcPr>
            <w:tcW w:w="1560" w:type="dxa"/>
          </w:tcPr>
          <w:p w:rsidR="00436D70" w:rsidRPr="00184F8B" w:rsidRDefault="00436D70" w:rsidP="00395879">
            <w:pPr>
              <w:pStyle w:val="TableText"/>
              <w:jc w:val="center"/>
            </w:pPr>
            <w:r w:rsidRPr="00184F8B">
              <w:t>1 July 2019</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12.00</w:t>
            </w:r>
          </w:p>
        </w:tc>
      </w:tr>
      <w:tr w:rsidR="00436D70" w:rsidRPr="00184F8B" w:rsidTr="00F24998">
        <w:trPr>
          <w:trHeight w:val="88"/>
        </w:trPr>
        <w:tc>
          <w:tcPr>
            <w:tcW w:w="1560" w:type="dxa"/>
          </w:tcPr>
          <w:p w:rsidR="00436D70" w:rsidRPr="00184F8B" w:rsidRDefault="00436D70" w:rsidP="00395879">
            <w:pPr>
              <w:pStyle w:val="TableText"/>
              <w:jc w:val="center"/>
            </w:pPr>
            <w:r w:rsidRPr="00184F8B">
              <w:t>1 July 2020</w:t>
            </w:r>
          </w:p>
        </w:tc>
        <w:tc>
          <w:tcPr>
            <w:tcW w:w="2658" w:type="dxa"/>
          </w:tcPr>
          <w:p w:rsidR="00436D70" w:rsidRPr="00184F8B" w:rsidRDefault="00436D70" w:rsidP="00395879">
            <w:pPr>
              <w:pStyle w:val="TableText"/>
              <w:jc w:val="center"/>
            </w:pPr>
            <w:r w:rsidRPr="00184F8B">
              <w:t>9.50</w:t>
            </w:r>
          </w:p>
        </w:tc>
        <w:tc>
          <w:tcPr>
            <w:tcW w:w="2532" w:type="dxa"/>
          </w:tcPr>
          <w:p w:rsidR="00436D70" w:rsidRPr="00184F8B" w:rsidRDefault="00436D70" w:rsidP="00395879">
            <w:pPr>
              <w:pStyle w:val="TableText"/>
              <w:jc w:val="center"/>
            </w:pPr>
            <w:r w:rsidRPr="00184F8B">
              <w:t>12.00</w:t>
            </w:r>
          </w:p>
        </w:tc>
      </w:tr>
      <w:tr w:rsidR="00436D70" w:rsidRPr="00184F8B" w:rsidTr="00F24998">
        <w:trPr>
          <w:trHeight w:val="88"/>
        </w:trPr>
        <w:tc>
          <w:tcPr>
            <w:tcW w:w="1560" w:type="dxa"/>
          </w:tcPr>
          <w:p w:rsidR="00436D70" w:rsidRPr="00184F8B" w:rsidRDefault="00436D70" w:rsidP="00395879">
            <w:pPr>
              <w:pStyle w:val="TableText"/>
              <w:jc w:val="center"/>
            </w:pPr>
            <w:r w:rsidRPr="00184F8B">
              <w:t>1 July 2021</w:t>
            </w:r>
          </w:p>
        </w:tc>
        <w:tc>
          <w:tcPr>
            <w:tcW w:w="2658" w:type="dxa"/>
          </w:tcPr>
          <w:p w:rsidR="00436D70" w:rsidRPr="00184F8B" w:rsidRDefault="00436D70" w:rsidP="00395879">
            <w:pPr>
              <w:pStyle w:val="TableText"/>
              <w:jc w:val="center"/>
            </w:pPr>
            <w:r w:rsidRPr="00184F8B">
              <w:t>10.00</w:t>
            </w:r>
          </w:p>
        </w:tc>
        <w:tc>
          <w:tcPr>
            <w:tcW w:w="2532" w:type="dxa"/>
          </w:tcPr>
          <w:p w:rsidR="00436D70" w:rsidRPr="00184F8B" w:rsidRDefault="00436D70" w:rsidP="00395879">
            <w:pPr>
              <w:pStyle w:val="TableText"/>
              <w:jc w:val="center"/>
            </w:pPr>
            <w:r w:rsidRPr="00184F8B">
              <w:t>12.00</w:t>
            </w:r>
          </w:p>
        </w:tc>
      </w:tr>
      <w:tr w:rsidR="00436D70" w:rsidRPr="00184F8B" w:rsidTr="00F24998">
        <w:tblPrEx>
          <w:tblLook w:val="0480" w:firstRow="0" w:lastRow="0" w:firstColumn="1" w:lastColumn="0" w:noHBand="0" w:noVBand="1"/>
        </w:tblPrEx>
        <w:trPr>
          <w:trHeight w:val="88"/>
        </w:trPr>
        <w:tc>
          <w:tcPr>
            <w:tcW w:w="1560" w:type="dxa"/>
          </w:tcPr>
          <w:p w:rsidR="00436D70" w:rsidRPr="00184F8B" w:rsidRDefault="00436D70" w:rsidP="00395879">
            <w:pPr>
              <w:pStyle w:val="TableText"/>
              <w:jc w:val="center"/>
            </w:pPr>
            <w:r>
              <w:br w:type="column"/>
            </w:r>
            <w:r w:rsidRPr="00184F8B">
              <w:t>1 July 2022</w:t>
            </w:r>
          </w:p>
        </w:tc>
        <w:tc>
          <w:tcPr>
            <w:tcW w:w="2658" w:type="dxa"/>
          </w:tcPr>
          <w:p w:rsidR="00436D70" w:rsidRPr="00184F8B" w:rsidRDefault="00436D70" w:rsidP="00395879">
            <w:pPr>
              <w:pStyle w:val="TableText"/>
              <w:jc w:val="center"/>
            </w:pPr>
            <w:r w:rsidRPr="00184F8B">
              <w:t>10.50</w:t>
            </w:r>
          </w:p>
        </w:tc>
        <w:tc>
          <w:tcPr>
            <w:tcW w:w="2532" w:type="dxa"/>
          </w:tcPr>
          <w:p w:rsidR="00436D70" w:rsidRPr="00184F8B" w:rsidRDefault="00436D70" w:rsidP="00395879">
            <w:pPr>
              <w:pStyle w:val="TableText"/>
              <w:jc w:val="center"/>
            </w:pPr>
            <w:r w:rsidRPr="00184F8B">
              <w:t>12.00</w:t>
            </w:r>
          </w:p>
        </w:tc>
      </w:tr>
      <w:tr w:rsidR="00436D70" w:rsidRPr="00184F8B" w:rsidTr="00F24998">
        <w:tblPrEx>
          <w:tblLook w:val="0480" w:firstRow="0" w:lastRow="0" w:firstColumn="1" w:lastColumn="0" w:noHBand="0" w:noVBand="1"/>
        </w:tblPrEx>
        <w:trPr>
          <w:trHeight w:val="88"/>
        </w:trPr>
        <w:tc>
          <w:tcPr>
            <w:tcW w:w="1560" w:type="dxa"/>
          </w:tcPr>
          <w:p w:rsidR="00436D70" w:rsidRPr="00184F8B" w:rsidRDefault="00436D70" w:rsidP="00395879">
            <w:pPr>
              <w:pStyle w:val="TableText"/>
              <w:jc w:val="center"/>
            </w:pPr>
            <w:r w:rsidRPr="00184F8B">
              <w:t>1 July 2023</w:t>
            </w:r>
          </w:p>
        </w:tc>
        <w:tc>
          <w:tcPr>
            <w:tcW w:w="2658" w:type="dxa"/>
          </w:tcPr>
          <w:p w:rsidR="00436D70" w:rsidRPr="00184F8B" w:rsidRDefault="00436D70" w:rsidP="00395879">
            <w:pPr>
              <w:pStyle w:val="TableText"/>
              <w:jc w:val="center"/>
            </w:pPr>
            <w:r w:rsidRPr="00184F8B">
              <w:t>11.00</w:t>
            </w:r>
          </w:p>
        </w:tc>
        <w:tc>
          <w:tcPr>
            <w:tcW w:w="2532" w:type="dxa"/>
          </w:tcPr>
          <w:p w:rsidR="00436D70" w:rsidRPr="00184F8B" w:rsidRDefault="00436D70" w:rsidP="00395879">
            <w:pPr>
              <w:pStyle w:val="TableText"/>
              <w:jc w:val="center"/>
            </w:pPr>
            <w:r w:rsidRPr="00184F8B">
              <w:t>12.00</w:t>
            </w:r>
          </w:p>
        </w:tc>
      </w:tr>
      <w:tr w:rsidR="00436D70" w:rsidRPr="00184F8B" w:rsidTr="00F24998">
        <w:tblPrEx>
          <w:tblLook w:val="0480" w:firstRow="0" w:lastRow="0" w:firstColumn="1" w:lastColumn="0" w:noHBand="0" w:noVBand="1"/>
        </w:tblPrEx>
        <w:trPr>
          <w:trHeight w:val="88"/>
        </w:trPr>
        <w:tc>
          <w:tcPr>
            <w:tcW w:w="1560" w:type="dxa"/>
          </w:tcPr>
          <w:p w:rsidR="00436D70" w:rsidRPr="00184F8B" w:rsidRDefault="00436D70" w:rsidP="00395879">
            <w:pPr>
              <w:pStyle w:val="TableText"/>
              <w:jc w:val="center"/>
            </w:pPr>
            <w:r w:rsidRPr="00184F8B">
              <w:t>1 July 2024</w:t>
            </w:r>
          </w:p>
        </w:tc>
        <w:tc>
          <w:tcPr>
            <w:tcW w:w="2658" w:type="dxa"/>
          </w:tcPr>
          <w:p w:rsidR="00436D70" w:rsidRPr="00184F8B" w:rsidRDefault="00436D70" w:rsidP="00395879">
            <w:pPr>
              <w:pStyle w:val="TableText"/>
              <w:jc w:val="center"/>
            </w:pPr>
            <w:r w:rsidRPr="00184F8B">
              <w:t>11.50</w:t>
            </w:r>
          </w:p>
        </w:tc>
        <w:tc>
          <w:tcPr>
            <w:tcW w:w="2532" w:type="dxa"/>
          </w:tcPr>
          <w:p w:rsidR="00436D70" w:rsidRPr="00184F8B" w:rsidRDefault="00436D70" w:rsidP="00395879">
            <w:pPr>
              <w:pStyle w:val="TableText"/>
              <w:jc w:val="center"/>
            </w:pPr>
            <w:r w:rsidRPr="00184F8B">
              <w:t>12.00</w:t>
            </w:r>
          </w:p>
        </w:tc>
      </w:tr>
      <w:tr w:rsidR="00436D70" w:rsidRPr="00184F8B" w:rsidTr="00F24998">
        <w:tblPrEx>
          <w:tblLook w:val="0480" w:firstRow="0" w:lastRow="0" w:firstColumn="1" w:lastColumn="0" w:noHBand="0" w:noVBand="1"/>
        </w:tblPrEx>
        <w:trPr>
          <w:trHeight w:val="88"/>
        </w:trPr>
        <w:tc>
          <w:tcPr>
            <w:tcW w:w="1560" w:type="dxa"/>
          </w:tcPr>
          <w:p w:rsidR="00436D70" w:rsidRPr="00184F8B" w:rsidRDefault="00436D70" w:rsidP="00395879">
            <w:pPr>
              <w:pStyle w:val="TableText"/>
              <w:jc w:val="center"/>
            </w:pPr>
            <w:r w:rsidRPr="00184F8B">
              <w:t>1 July 2025</w:t>
            </w:r>
          </w:p>
        </w:tc>
        <w:tc>
          <w:tcPr>
            <w:tcW w:w="2658" w:type="dxa"/>
          </w:tcPr>
          <w:p w:rsidR="00436D70" w:rsidRPr="00184F8B" w:rsidRDefault="00436D70" w:rsidP="00395879">
            <w:pPr>
              <w:pStyle w:val="TableText"/>
              <w:jc w:val="center"/>
            </w:pPr>
            <w:r w:rsidRPr="00184F8B">
              <w:t>12.00</w:t>
            </w:r>
          </w:p>
        </w:tc>
        <w:tc>
          <w:tcPr>
            <w:tcW w:w="2532" w:type="dxa"/>
          </w:tcPr>
          <w:p w:rsidR="00436D70" w:rsidRPr="00184F8B" w:rsidRDefault="00436D70" w:rsidP="00395879">
            <w:pPr>
              <w:pStyle w:val="TableText"/>
              <w:jc w:val="center"/>
            </w:pPr>
            <w:r w:rsidRPr="00184F8B">
              <w:t>12.00</w:t>
            </w:r>
          </w:p>
        </w:tc>
      </w:tr>
    </w:tbl>
    <w:p w:rsidR="001D6076" w:rsidRPr="00DD4235" w:rsidRDefault="001D6076" w:rsidP="00DD4235">
      <w:pPr>
        <w:pStyle w:val="NewsletterNormal"/>
      </w:pPr>
    </w:p>
    <w:p w:rsidR="00DD1A51" w:rsidRPr="00777785" w:rsidRDefault="00DD1A51" w:rsidP="00C01CF3">
      <w:pPr>
        <w:pStyle w:val="NewsletterHeading3"/>
      </w:pPr>
      <w:r w:rsidRPr="00777785">
        <w:t xml:space="preserve">Wage </w:t>
      </w:r>
      <w:r w:rsidRPr="00164666">
        <w:t>inflation</w:t>
      </w:r>
      <w:r w:rsidRPr="00777785">
        <w:t xml:space="preserve"> and </w:t>
      </w:r>
      <w:r w:rsidRPr="00622DD4">
        <w:t>discount</w:t>
      </w:r>
      <w:r w:rsidRPr="00777785">
        <w:t xml:space="preserve"> rates </w:t>
      </w:r>
    </w:p>
    <w:p w:rsidR="00DD1A51" w:rsidRDefault="00DD1A51" w:rsidP="00DD1A51">
      <w:pPr>
        <w:pStyle w:val="NewsletterNormal"/>
      </w:pPr>
      <w:r w:rsidRPr="006F1EE9">
        <w:t xml:space="preserve">The wage inflation and discount rates are published quarterly (monthly in the last quarter of each financial year), to assist </w:t>
      </w:r>
      <w:r>
        <w:t xml:space="preserve">VPS </w:t>
      </w:r>
      <w:r w:rsidRPr="006F1EE9">
        <w:t>entities in ascertaining their financial position for the year</w:t>
      </w:r>
      <w:r w:rsidR="00E814AF">
        <w:noBreakHyphen/>
      </w:r>
      <w:r w:rsidRPr="006F1EE9">
        <w:t>end. The rates for 31 December 2015 were published on the DTF website on 4 January 2016. The rates for 31 March 2016 will be published at the beginning of April.</w:t>
      </w:r>
    </w:p>
    <w:p w:rsidR="009D51CC" w:rsidRDefault="00DD1A51" w:rsidP="00DD4235">
      <w:pPr>
        <w:pStyle w:val="NewsletterNormal"/>
        <w:rPr>
          <w:rFonts w:ascii="Calibri" w:hAnsi="Calibri" w:cs="Calibri"/>
          <w:color w:val="000000"/>
          <w:sz w:val="19"/>
        </w:rPr>
      </w:pPr>
      <w:r>
        <w:t xml:space="preserve">There have been fluctuations in the annual effective discount rates published by DTF in the recent two years as illustrated in the graph below. </w:t>
      </w:r>
      <w:r w:rsidRPr="00213191">
        <w:t xml:space="preserve">Entities are reminded to </w:t>
      </w:r>
      <w:r w:rsidRPr="00213191">
        <w:rPr>
          <w:b/>
        </w:rPr>
        <w:t>remeasure</w:t>
      </w:r>
      <w:r w:rsidRPr="00213191">
        <w:t xml:space="preserve"> the provisions to reflect </w:t>
      </w:r>
      <w:r>
        <w:t xml:space="preserve">the impact of </w:t>
      </w:r>
      <w:r w:rsidRPr="00213191">
        <w:t>the</w:t>
      </w:r>
      <w:r>
        <w:t xml:space="preserve"> updated</w:t>
      </w:r>
      <w:r w:rsidRPr="00213191">
        <w:t xml:space="preserve"> wage inflation rate and d</w:t>
      </w:r>
      <w:r>
        <w:t>iscount rates in preparation of</w:t>
      </w:r>
      <w:r w:rsidRPr="00213191">
        <w:t xml:space="preserve"> the </w:t>
      </w:r>
      <w:r>
        <w:t xml:space="preserve">upcoming </w:t>
      </w:r>
      <w:r w:rsidRPr="00213191">
        <w:t>State</w:t>
      </w:r>
      <w:r w:rsidR="00696132">
        <w:t>’</w:t>
      </w:r>
      <w:r w:rsidRPr="00213191">
        <w:t xml:space="preserve">s </w:t>
      </w:r>
      <w:r w:rsidRPr="00FF11E3">
        <w:rPr>
          <w:i/>
        </w:rPr>
        <w:t>Mid</w:t>
      </w:r>
      <w:r w:rsidR="00E814AF">
        <w:rPr>
          <w:i/>
        </w:rPr>
        <w:noBreakHyphen/>
      </w:r>
      <w:r w:rsidRPr="00FF11E3">
        <w:rPr>
          <w:i/>
        </w:rPr>
        <w:t>Year Financial Report</w:t>
      </w:r>
      <w:r w:rsidRPr="00213191">
        <w:t>.</w:t>
      </w:r>
      <w:r>
        <w:t xml:space="preserve"> </w:t>
      </w:r>
      <w:r w:rsidRPr="000468E5">
        <w:t>Keeping other factors constant,</w:t>
      </w:r>
      <w:r>
        <w:t xml:space="preserve"> a lower discount rate will result in</w:t>
      </w:r>
      <w:r w:rsidRPr="000468E5">
        <w:t xml:space="preserve"> an increase in employee entitlement provision and the related expenses, and vice versa.</w:t>
      </w:r>
      <w:r w:rsidR="009D51CC">
        <w:rPr>
          <w:rFonts w:ascii="Calibri" w:hAnsi="Calibri" w:cs="Calibri"/>
          <w:color w:val="000000"/>
        </w:rPr>
        <w:br w:type="page"/>
      </w:r>
    </w:p>
    <w:p w:rsidR="009D51CC" w:rsidRDefault="009D51CC" w:rsidP="00DD1A51">
      <w:pPr>
        <w:pStyle w:val="NewsletterNormal"/>
        <w:rPr>
          <w:rFonts w:ascii="Calibri" w:hAnsi="Calibri" w:cs="Calibri"/>
          <w:color w:val="000000"/>
        </w:rPr>
      </w:pPr>
      <w:r>
        <w:rPr>
          <w:rFonts w:ascii="Calibri" w:hAnsi="Calibri" w:cs="Calibri"/>
          <w:color w:val="000000"/>
        </w:rPr>
        <w:lastRenderedPageBreak/>
        <w:br w:type="column"/>
      </w:r>
    </w:p>
    <w:p w:rsidR="00F273F8" w:rsidRDefault="00DD1A51" w:rsidP="004F1AB6">
      <w:pPr>
        <w:pStyle w:val="NewsletterNormal"/>
      </w:pPr>
      <w:r>
        <w:rPr>
          <w:noProof/>
        </w:rPr>
        <w:drawing>
          <wp:inline distT="0" distB="0" distL="0" distR="0" wp14:anchorId="5F32C23E" wp14:editId="3952BDAF">
            <wp:extent cx="4271749" cy="24720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79041" cy="2476248"/>
                    </a:xfrm>
                    <a:prstGeom prst="rect">
                      <a:avLst/>
                    </a:prstGeom>
                    <a:noFill/>
                  </pic:spPr>
                </pic:pic>
              </a:graphicData>
            </a:graphic>
          </wp:inline>
        </w:drawing>
      </w:r>
    </w:p>
    <w:p w:rsidR="009D51CC" w:rsidRPr="009D51CC" w:rsidRDefault="009D51CC" w:rsidP="009D51CC">
      <w:pPr>
        <w:pStyle w:val="NewsletterNormal"/>
        <w:rPr>
          <w:sz w:val="10"/>
          <w:szCs w:val="10"/>
        </w:rPr>
      </w:pPr>
      <w:bookmarkStart w:id="6" w:name="_Toc365553150"/>
      <w:bookmarkEnd w:id="5"/>
    </w:p>
    <w:p w:rsidR="001C61F7" w:rsidRPr="00777785" w:rsidRDefault="005964E1" w:rsidP="00164666">
      <w:pPr>
        <w:pStyle w:val="NewsletterHeading2"/>
      </w:pPr>
      <w:r>
        <w:t>2015</w:t>
      </w:r>
      <w:r w:rsidR="00E814AF">
        <w:noBreakHyphen/>
      </w:r>
      <w:r>
        <w:t>16 k</w:t>
      </w:r>
      <w:r w:rsidR="001C61F7" w:rsidRPr="00777785">
        <w:t xml:space="preserve">ey financial publication </w:t>
      </w:r>
      <w:r w:rsidR="001C61F7" w:rsidRPr="00164666">
        <w:t>dates</w:t>
      </w:r>
      <w:r w:rsidR="001C61F7" w:rsidRPr="00777785">
        <w:t xml:space="preserve"> for the State of Victoria</w:t>
      </w:r>
      <w:bookmarkEnd w:id="6"/>
      <w:r w:rsidR="002909CF">
        <w:t xml:space="preserve"> </w:t>
      </w:r>
    </w:p>
    <w:p w:rsidR="001C61F7" w:rsidRDefault="0011357F" w:rsidP="00164666">
      <w:pPr>
        <w:pStyle w:val="NewsletterNormal"/>
      </w:pPr>
      <w:r w:rsidRPr="002C703F">
        <w:t>The following table shows the indicative key publication tabling dates for the State</w:t>
      </w:r>
      <w:r w:rsidR="00696132">
        <w:t>’</w:t>
      </w:r>
      <w:r w:rsidRPr="002C703F">
        <w:t>s upcoming financial publications</w:t>
      </w:r>
      <w:r>
        <w:t>.</w:t>
      </w:r>
    </w:p>
    <w:tbl>
      <w:tblPr>
        <w:tblStyle w:val="TableGrid"/>
        <w:tblW w:w="8953" w:type="dxa"/>
        <w:tblBorders>
          <w:top w:val="single" w:sz="4" w:space="0" w:color="1665A1"/>
        </w:tblBorders>
        <w:tblLook w:val="01E0" w:firstRow="1" w:lastRow="1" w:firstColumn="1" w:lastColumn="1" w:noHBand="0" w:noVBand="0"/>
      </w:tblPr>
      <w:tblGrid>
        <w:gridCol w:w="1483"/>
        <w:gridCol w:w="2700"/>
        <w:gridCol w:w="4770"/>
      </w:tblGrid>
      <w:tr w:rsidR="00DD1A51" w:rsidRPr="00184F8B" w:rsidTr="00E81FCF">
        <w:trPr>
          <w:cnfStyle w:val="100000000000" w:firstRow="1" w:lastRow="0" w:firstColumn="0" w:lastColumn="0" w:oddVBand="0" w:evenVBand="0" w:oddHBand="0" w:evenHBand="0" w:firstRowFirstColumn="0" w:firstRowLastColumn="0" w:lastRowFirstColumn="0" w:lastRowLastColumn="0"/>
          <w:tblHeader/>
        </w:trPr>
        <w:tc>
          <w:tcPr>
            <w:tcW w:w="1483" w:type="dxa"/>
          </w:tcPr>
          <w:p w:rsidR="00DD1A51" w:rsidRPr="00184F8B" w:rsidRDefault="00DD1A51" w:rsidP="00FE6A81">
            <w:pPr>
              <w:pStyle w:val="TableHeading"/>
            </w:pPr>
            <w:r w:rsidRPr="00184F8B">
              <w:t>Reporting year</w:t>
            </w:r>
          </w:p>
        </w:tc>
        <w:tc>
          <w:tcPr>
            <w:tcW w:w="2700" w:type="dxa"/>
          </w:tcPr>
          <w:p w:rsidR="00DD1A51" w:rsidRPr="00184F8B" w:rsidRDefault="00DD1A51" w:rsidP="00FE6A81">
            <w:pPr>
              <w:pStyle w:val="TableHeading"/>
            </w:pPr>
            <w:r w:rsidRPr="00184F8B">
              <w:t>Publication</w:t>
            </w:r>
          </w:p>
        </w:tc>
        <w:tc>
          <w:tcPr>
            <w:tcW w:w="4770" w:type="dxa"/>
          </w:tcPr>
          <w:p w:rsidR="00DD1A51" w:rsidRPr="00184F8B" w:rsidRDefault="00DD1A51" w:rsidP="00F24998">
            <w:pPr>
              <w:pStyle w:val="TableHeading"/>
            </w:pPr>
            <w:r>
              <w:t>Anticipated tabling</w:t>
            </w:r>
            <w:r w:rsidRPr="00184F8B">
              <w:t xml:space="preserve"> dates – </w:t>
            </w:r>
            <w:r w:rsidRPr="00184F8B">
              <w:br/>
              <w:t>actual dates to be confirmed</w:t>
            </w:r>
          </w:p>
        </w:tc>
      </w:tr>
      <w:tr w:rsidR="00DD1A51" w:rsidRPr="00184F8B" w:rsidTr="00E81FCF">
        <w:tc>
          <w:tcPr>
            <w:tcW w:w="1483" w:type="dxa"/>
          </w:tcPr>
          <w:p w:rsidR="00DD1A51" w:rsidRDefault="00DD1A51" w:rsidP="00FE6A81">
            <w:pPr>
              <w:pStyle w:val="TableHeading"/>
            </w:pPr>
            <w:r>
              <w:t>2015</w:t>
            </w:r>
            <w:r w:rsidR="00E814AF">
              <w:noBreakHyphen/>
            </w:r>
            <w:r>
              <w:t>16</w:t>
            </w:r>
          </w:p>
        </w:tc>
        <w:tc>
          <w:tcPr>
            <w:tcW w:w="2700" w:type="dxa"/>
          </w:tcPr>
          <w:p w:rsidR="00DD1A51" w:rsidRPr="009F5277" w:rsidRDefault="00DD1A51" w:rsidP="00FE6A81">
            <w:pPr>
              <w:pStyle w:val="TableText"/>
              <w:rPr>
                <w:i/>
              </w:rPr>
            </w:pPr>
            <w:r w:rsidRPr="009F5277">
              <w:rPr>
                <w:i/>
              </w:rPr>
              <w:t>Mid</w:t>
            </w:r>
            <w:r w:rsidR="00E814AF">
              <w:rPr>
                <w:i/>
              </w:rPr>
              <w:noBreakHyphen/>
            </w:r>
            <w:r w:rsidRPr="009F5277">
              <w:rPr>
                <w:i/>
              </w:rPr>
              <w:t>Year Financial Report</w:t>
            </w:r>
          </w:p>
        </w:tc>
        <w:tc>
          <w:tcPr>
            <w:tcW w:w="4770" w:type="dxa"/>
          </w:tcPr>
          <w:p w:rsidR="00DD1A51" w:rsidRPr="00F24998" w:rsidRDefault="00DD1A51" w:rsidP="00F24998">
            <w:pPr>
              <w:pStyle w:val="TableText"/>
            </w:pPr>
            <w:r w:rsidRPr="00F24998">
              <w:t>Legislative due date is 15 March 2016.</w:t>
            </w:r>
          </w:p>
        </w:tc>
      </w:tr>
      <w:tr w:rsidR="00DD1A51" w:rsidRPr="00184F8B" w:rsidTr="00E81FCF">
        <w:tblPrEx>
          <w:tblLook w:val="01C0" w:firstRow="0" w:lastRow="1" w:firstColumn="1" w:lastColumn="1" w:noHBand="0" w:noVBand="0"/>
        </w:tblPrEx>
        <w:tc>
          <w:tcPr>
            <w:tcW w:w="1483" w:type="dxa"/>
          </w:tcPr>
          <w:p w:rsidR="00DD1A51" w:rsidRPr="00184F8B" w:rsidRDefault="00DD1A51" w:rsidP="00FE6A81">
            <w:pPr>
              <w:pStyle w:val="TableHeading"/>
            </w:pPr>
            <w:r>
              <w:t>2016</w:t>
            </w:r>
            <w:r w:rsidR="00E814AF">
              <w:noBreakHyphen/>
            </w:r>
            <w:r>
              <w:t>17</w:t>
            </w:r>
          </w:p>
        </w:tc>
        <w:tc>
          <w:tcPr>
            <w:tcW w:w="2700" w:type="dxa"/>
          </w:tcPr>
          <w:p w:rsidR="00DD1A51" w:rsidRPr="00F24998" w:rsidRDefault="00DD1A51" w:rsidP="00F24998">
            <w:pPr>
              <w:pStyle w:val="TableText"/>
            </w:pPr>
            <w:r w:rsidRPr="00F24998">
              <w:t>Budget papers</w:t>
            </w:r>
          </w:p>
        </w:tc>
        <w:tc>
          <w:tcPr>
            <w:tcW w:w="4770" w:type="dxa"/>
          </w:tcPr>
          <w:p w:rsidR="00DD1A51" w:rsidRPr="00F24998" w:rsidRDefault="00DD1A51" w:rsidP="00F24998">
            <w:pPr>
              <w:pStyle w:val="TableText"/>
            </w:pPr>
            <w:r w:rsidRPr="00F24998">
              <w:t>Expected date is 3 May 2016 (first Tuesday of May).</w:t>
            </w:r>
          </w:p>
        </w:tc>
      </w:tr>
      <w:tr w:rsidR="00DD1A51" w:rsidRPr="00184F8B" w:rsidTr="00E81FCF">
        <w:tblPrEx>
          <w:tblLook w:val="01C0" w:firstRow="0" w:lastRow="1" w:firstColumn="1" w:lastColumn="1" w:noHBand="0" w:noVBand="0"/>
        </w:tblPrEx>
        <w:tc>
          <w:tcPr>
            <w:tcW w:w="1483" w:type="dxa"/>
          </w:tcPr>
          <w:p w:rsidR="00DD1A51" w:rsidRPr="00184F8B" w:rsidRDefault="00DD1A51" w:rsidP="00FE6A81">
            <w:pPr>
              <w:pStyle w:val="TableHeading"/>
            </w:pPr>
            <w:r w:rsidRPr="00184F8B">
              <w:t>201</w:t>
            </w:r>
            <w:r>
              <w:t>5</w:t>
            </w:r>
            <w:r w:rsidR="00E814AF">
              <w:noBreakHyphen/>
            </w:r>
            <w:r w:rsidRPr="00184F8B">
              <w:t>1</w:t>
            </w:r>
            <w:r>
              <w:t>6</w:t>
            </w:r>
          </w:p>
        </w:tc>
        <w:tc>
          <w:tcPr>
            <w:tcW w:w="2700" w:type="dxa"/>
          </w:tcPr>
          <w:p w:rsidR="00DD1A51" w:rsidRPr="00F24998" w:rsidRDefault="00DD1A51" w:rsidP="00F24998">
            <w:pPr>
              <w:pStyle w:val="TableText"/>
            </w:pPr>
            <w:r w:rsidRPr="00F24998">
              <w:t>Annual Financial Report</w:t>
            </w:r>
          </w:p>
        </w:tc>
        <w:tc>
          <w:tcPr>
            <w:tcW w:w="4770" w:type="dxa"/>
          </w:tcPr>
          <w:p w:rsidR="00DD1A51" w:rsidRPr="00F24998" w:rsidRDefault="00DD1A51" w:rsidP="00F24998">
            <w:pPr>
              <w:pStyle w:val="TableText"/>
            </w:pPr>
            <w:r w:rsidRPr="00F24998">
              <w:t>Anticipated for the end of September 2016. Legislated due date is 15 October 2016.</w:t>
            </w:r>
          </w:p>
        </w:tc>
      </w:tr>
      <w:tr w:rsidR="00DD1A51" w:rsidRPr="00184F8B" w:rsidTr="00E81FCF">
        <w:tblPrEx>
          <w:tblLook w:val="01C0" w:firstRow="0"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tcW w:w="1483" w:type="dxa"/>
            <w:tcBorders>
              <w:top w:val="none" w:sz="0" w:space="0" w:color="auto"/>
              <w:left w:val="none" w:sz="0" w:space="0" w:color="auto"/>
              <w:bottom w:val="none" w:sz="0" w:space="0" w:color="auto"/>
              <w:right w:val="none" w:sz="0" w:space="0" w:color="auto"/>
            </w:tcBorders>
          </w:tcPr>
          <w:p w:rsidR="00DD1A51" w:rsidRPr="00184F8B" w:rsidRDefault="00DD1A51" w:rsidP="00FE6A81">
            <w:pPr>
              <w:pStyle w:val="TableHeading"/>
            </w:pPr>
            <w:r>
              <w:t>2015</w:t>
            </w:r>
            <w:r w:rsidR="00E814AF">
              <w:noBreakHyphen/>
            </w:r>
            <w:r>
              <w:t>16</w:t>
            </w:r>
          </w:p>
        </w:tc>
        <w:tc>
          <w:tcPr>
            <w:tcW w:w="2700" w:type="dxa"/>
            <w:tcBorders>
              <w:top w:val="none" w:sz="0" w:space="0" w:color="auto"/>
              <w:left w:val="none" w:sz="0" w:space="0" w:color="auto"/>
              <w:bottom w:val="none" w:sz="0" w:space="0" w:color="auto"/>
              <w:right w:val="none" w:sz="0" w:space="0" w:color="auto"/>
            </w:tcBorders>
          </w:tcPr>
          <w:p w:rsidR="00DD1A51" w:rsidRPr="00F24998" w:rsidRDefault="00DD1A51" w:rsidP="00F24998">
            <w:pPr>
              <w:pStyle w:val="TableText"/>
            </w:pPr>
            <w:r w:rsidRPr="00F24998">
              <w:t>Department and entity reporting</w:t>
            </w:r>
          </w:p>
        </w:tc>
        <w:tc>
          <w:tcPr>
            <w:tcW w:w="4770" w:type="dxa"/>
            <w:tcBorders>
              <w:top w:val="none" w:sz="0" w:space="0" w:color="auto"/>
              <w:left w:val="none" w:sz="0" w:space="0" w:color="auto"/>
              <w:bottom w:val="none" w:sz="0" w:space="0" w:color="auto"/>
              <w:right w:val="none" w:sz="0" w:space="0" w:color="auto"/>
            </w:tcBorders>
          </w:tcPr>
          <w:p w:rsidR="00DD1A51" w:rsidRPr="00F24998" w:rsidRDefault="00DD1A51" w:rsidP="00F24998">
            <w:pPr>
              <w:pStyle w:val="TableText"/>
            </w:pPr>
            <w:r w:rsidRPr="00F24998">
              <w:t xml:space="preserve">Expected to be tabled progressively on or before the last sitting day in </w:t>
            </w:r>
            <w:r w:rsidR="00C5669C" w:rsidRPr="00F24998">
              <w:t>September </w:t>
            </w:r>
            <w:r w:rsidRPr="00F24998">
              <w:t>2016.</w:t>
            </w:r>
          </w:p>
        </w:tc>
      </w:tr>
    </w:tbl>
    <w:p w:rsidR="00DD4235" w:rsidRPr="00DD4235" w:rsidRDefault="00DD4235" w:rsidP="00DD4235">
      <w:pPr>
        <w:pStyle w:val="NewsletterNote"/>
        <w:spacing w:before="0"/>
        <w:rPr>
          <w:sz w:val="10"/>
          <w:szCs w:val="10"/>
        </w:rPr>
      </w:pPr>
    </w:p>
    <w:p w:rsidR="00DD1A51" w:rsidRDefault="00DD1A51" w:rsidP="00DD1A51">
      <w:pPr>
        <w:pStyle w:val="NewsletterHeading1"/>
      </w:pPr>
      <w:bookmarkStart w:id="7" w:name="_Toc440382501"/>
      <w:r w:rsidRPr="00E34219">
        <w:t xml:space="preserve">Looking </w:t>
      </w:r>
      <w:r w:rsidRPr="00164666">
        <w:t>forward</w:t>
      </w:r>
      <w:bookmarkEnd w:id="7"/>
    </w:p>
    <w:p w:rsidR="00DD1A51" w:rsidRPr="00777785" w:rsidRDefault="00DD1A51" w:rsidP="00DD1A51">
      <w:pPr>
        <w:pStyle w:val="NewsletterHeading2"/>
      </w:pPr>
      <w:r w:rsidRPr="00777785">
        <w:t xml:space="preserve">Key AASB Standards </w:t>
      </w:r>
      <w:r w:rsidRPr="00164666">
        <w:t>issued</w:t>
      </w:r>
      <w:r w:rsidRPr="00777785">
        <w:t xml:space="preserve"> </w:t>
      </w:r>
      <w:r>
        <w:t>but not effective for 2015</w:t>
      </w:r>
      <w:r w:rsidR="00E814AF">
        <w:noBreakHyphen/>
      </w:r>
      <w:r w:rsidRPr="00777785">
        <w:t>1</w:t>
      </w:r>
      <w:r>
        <w:t>6</w:t>
      </w:r>
    </w:p>
    <w:p w:rsidR="00DD1A51" w:rsidRDefault="00DD1A51" w:rsidP="00C01CF3">
      <w:pPr>
        <w:pStyle w:val="NewsletterHeading3"/>
      </w:pPr>
      <w:r>
        <w:t>Deferral of AASB 15 Revenue from Contracts with C</w:t>
      </w:r>
      <w:r w:rsidRPr="007A74B1">
        <w:t>ustomers</w:t>
      </w:r>
    </w:p>
    <w:p w:rsidR="00DD1A51" w:rsidRDefault="00DD1A51" w:rsidP="00DD1A51">
      <w:pPr>
        <w:pStyle w:val="NewsletterNormal"/>
      </w:pPr>
      <w:r w:rsidRPr="007A74B1">
        <w:t xml:space="preserve">The </w:t>
      </w:r>
      <w:r>
        <w:t>AASB</w:t>
      </w:r>
      <w:r w:rsidRPr="007A74B1">
        <w:t xml:space="preserve"> recently issued </w:t>
      </w:r>
      <w:hyperlink r:id="rId17" w:history="1">
        <w:r w:rsidRPr="007A74B1">
          <w:t>AASB 2015</w:t>
        </w:r>
        <w:r w:rsidR="00E814AF">
          <w:noBreakHyphen/>
        </w:r>
        <w:r w:rsidRPr="007A74B1">
          <w:t>8</w:t>
        </w:r>
      </w:hyperlink>
      <w:r w:rsidRPr="007A74B1">
        <w:t xml:space="preserve"> </w:t>
      </w:r>
      <w:r w:rsidRPr="007A74B1">
        <w:rPr>
          <w:i/>
        </w:rPr>
        <w:t>Amendments to Australian Accounting Standards – Effective Date of AASB 15</w:t>
      </w:r>
      <w:r>
        <w:t xml:space="preserve">. This Standard defers the mandatory effective date </w:t>
      </w:r>
      <w:r w:rsidRPr="007A74B1">
        <w:t>of AASB</w:t>
      </w:r>
      <w:r w:rsidR="00696132">
        <w:t> </w:t>
      </w:r>
      <w:r>
        <w:t>15</w:t>
      </w:r>
      <w:r w:rsidRPr="007A74B1">
        <w:t xml:space="preserve"> </w:t>
      </w:r>
      <w:r w:rsidR="00696132">
        <w:t>from 1 </w:t>
      </w:r>
      <w:r>
        <w:t>January 2017 to 1 January 2018</w:t>
      </w:r>
      <w:r w:rsidRPr="007A74B1">
        <w:t xml:space="preserve">. </w:t>
      </w:r>
    </w:p>
    <w:p w:rsidR="00DD1A51" w:rsidRPr="00777785" w:rsidRDefault="00DD1A51" w:rsidP="00DD1A51">
      <w:pPr>
        <w:pStyle w:val="NewsletterHeading2"/>
      </w:pPr>
      <w:r>
        <w:t>AASB</w:t>
      </w:r>
      <w:r w:rsidR="00696132">
        <w:t>’</w:t>
      </w:r>
      <w:r>
        <w:t>s major domestic projects</w:t>
      </w:r>
    </w:p>
    <w:p w:rsidR="00DD1A51" w:rsidRPr="000A5AC8" w:rsidRDefault="00DD1A51" w:rsidP="00C01CF3">
      <w:pPr>
        <w:pStyle w:val="NewsletterHeading3"/>
      </w:pPr>
      <w:r>
        <w:t>Income from transactions of not</w:t>
      </w:r>
      <w:r w:rsidR="00E814AF">
        <w:noBreakHyphen/>
      </w:r>
      <w:r>
        <w:t>for</w:t>
      </w:r>
      <w:r w:rsidR="00E814AF">
        <w:noBreakHyphen/>
      </w:r>
      <w:r>
        <w:t>profit</w:t>
      </w:r>
      <w:r w:rsidRPr="000A5AC8">
        <w:t xml:space="preserve"> entities</w:t>
      </w:r>
    </w:p>
    <w:p w:rsidR="00DD1A51" w:rsidRDefault="00DD1A51" w:rsidP="00DD1A51">
      <w:pPr>
        <w:pStyle w:val="NewsletterNormal"/>
      </w:pPr>
      <w:r w:rsidRPr="00D76697">
        <w:t xml:space="preserve">Following the issuance of </w:t>
      </w:r>
      <w:r>
        <w:t>Exposure Draft (</w:t>
      </w:r>
      <w:r w:rsidRPr="00D76697">
        <w:t>ED</w:t>
      </w:r>
      <w:r>
        <w:t>)</w:t>
      </w:r>
      <w:r w:rsidRPr="00D76697">
        <w:t xml:space="preserve"> 260 </w:t>
      </w:r>
      <w:r w:rsidRPr="00D76697">
        <w:rPr>
          <w:i/>
        </w:rPr>
        <w:t>Income of Not</w:t>
      </w:r>
      <w:r w:rsidR="00E814AF">
        <w:rPr>
          <w:i/>
        </w:rPr>
        <w:noBreakHyphen/>
      </w:r>
      <w:r w:rsidRPr="00D76697">
        <w:rPr>
          <w:i/>
        </w:rPr>
        <w:t>for</w:t>
      </w:r>
      <w:r w:rsidR="00E814AF">
        <w:rPr>
          <w:i/>
        </w:rPr>
        <w:noBreakHyphen/>
      </w:r>
      <w:r w:rsidRPr="00D76697">
        <w:rPr>
          <w:i/>
        </w:rPr>
        <w:t xml:space="preserve">Profit Entities </w:t>
      </w:r>
      <w:r w:rsidR="00DD4235">
        <w:t>in April </w:t>
      </w:r>
      <w:r w:rsidRPr="00251D03">
        <w:t>2015</w:t>
      </w:r>
      <w:r w:rsidRPr="00D76697">
        <w:rPr>
          <w:i/>
        </w:rPr>
        <w:t xml:space="preserve">, </w:t>
      </w:r>
      <w:r>
        <w:t xml:space="preserve">the AASB has been considering the feedback from the comment letters received. For an </w:t>
      </w:r>
      <w:r w:rsidR="00B214A8">
        <w:t xml:space="preserve">overview </w:t>
      </w:r>
      <w:r>
        <w:t xml:space="preserve">of the major implications of the ED, please refer to </w:t>
      </w:r>
      <w:r w:rsidRPr="00251860">
        <w:rPr>
          <w:i/>
        </w:rPr>
        <w:t>Accounting policy update, Newsletter – Edition No. 28</w:t>
      </w:r>
      <w:r>
        <w:t>.</w:t>
      </w:r>
    </w:p>
    <w:p w:rsidR="00DD1A51" w:rsidRDefault="00DD1A51" w:rsidP="00DD1A51">
      <w:pPr>
        <w:pStyle w:val="NewsletterNormal"/>
      </w:pPr>
      <w:r>
        <w:t xml:space="preserve">The predominant concerns </w:t>
      </w:r>
      <w:r w:rsidR="00B214A8">
        <w:t>from constituents</w:t>
      </w:r>
      <w:r w:rsidR="00696132">
        <w:t>’</w:t>
      </w:r>
      <w:r w:rsidR="00B214A8">
        <w:t xml:space="preserve"> feedback </w:t>
      </w:r>
      <w:r>
        <w:t xml:space="preserve">relate to the </w:t>
      </w:r>
      <w:r w:rsidR="00696132">
        <w:t>‘</w:t>
      </w:r>
      <w:r>
        <w:t>sufficiently specific</w:t>
      </w:r>
      <w:r w:rsidR="00696132">
        <w:t>’</w:t>
      </w:r>
      <w:r>
        <w:t xml:space="preserve"> and </w:t>
      </w:r>
      <w:r w:rsidR="00696132">
        <w:t>‘</w:t>
      </w:r>
      <w:r>
        <w:t>enforceability</w:t>
      </w:r>
      <w:r w:rsidR="00696132">
        <w:t>’</w:t>
      </w:r>
      <w:r>
        <w:t xml:space="preserve"> characteristics, as income from grants can only be deferred upon the fulfilment of both characteristics.</w:t>
      </w:r>
    </w:p>
    <w:p w:rsidR="009D51CC" w:rsidRDefault="009D51CC">
      <w:pPr>
        <w:spacing w:before="0" w:after="200" w:line="276" w:lineRule="auto"/>
        <w:rPr>
          <w:sz w:val="19"/>
        </w:rPr>
      </w:pPr>
      <w:r>
        <w:br w:type="page"/>
      </w:r>
    </w:p>
    <w:p w:rsidR="00DD1A51" w:rsidRDefault="009D51CC" w:rsidP="00DD1A51">
      <w:pPr>
        <w:pStyle w:val="NewsletterNormal"/>
      </w:pPr>
      <w:r>
        <w:lastRenderedPageBreak/>
        <w:br w:type="column"/>
      </w:r>
      <w:r w:rsidR="00DD1A51">
        <w:lastRenderedPageBreak/>
        <w:t>The AASB has tentatively decided:</w:t>
      </w:r>
    </w:p>
    <w:p w:rsidR="00DD1A51" w:rsidRDefault="00DD1A51" w:rsidP="00696132">
      <w:pPr>
        <w:pStyle w:val="NewsletterBullet1"/>
      </w:pPr>
      <w:r>
        <w:t xml:space="preserve">to retain the </w:t>
      </w:r>
      <w:r w:rsidR="00696132">
        <w:t>‘</w:t>
      </w:r>
      <w:r>
        <w:t>sufficiently specific</w:t>
      </w:r>
      <w:r w:rsidR="00696132">
        <w:t>’</w:t>
      </w:r>
      <w:r>
        <w:t xml:space="preserve"> principle in order to determine when a performance obligation exists for the deferral of revenue recognition;</w:t>
      </w:r>
    </w:p>
    <w:p w:rsidR="00DD1A51" w:rsidRDefault="00DD1A51" w:rsidP="00696132">
      <w:pPr>
        <w:pStyle w:val="NewsletterBullet1"/>
      </w:pPr>
      <w:r>
        <w:t xml:space="preserve">to further explore the link between </w:t>
      </w:r>
      <w:r w:rsidR="00696132">
        <w:t>‘</w:t>
      </w:r>
      <w:r>
        <w:t>sufficiently specific</w:t>
      </w:r>
      <w:r w:rsidR="00696132">
        <w:t>’</w:t>
      </w:r>
      <w:r>
        <w:t xml:space="preserve"> and </w:t>
      </w:r>
      <w:r w:rsidR="00696132">
        <w:t>‘</w:t>
      </w:r>
      <w:r>
        <w:t>distinct</w:t>
      </w:r>
      <w:r w:rsidR="00696132">
        <w:t>’</w:t>
      </w:r>
      <w:r w:rsidR="00DD4235">
        <w:t xml:space="preserve"> as used in AASB </w:t>
      </w:r>
      <w:r>
        <w:t>15 and in the context of an explicit and/or implied promise. AASB 15 requires that, to qualify as a performance obligation, the goods or services in an entity</w:t>
      </w:r>
      <w:r w:rsidR="00696132">
        <w:t>’</w:t>
      </w:r>
      <w:r>
        <w:t xml:space="preserve">s promise to transfer goods or services must be </w:t>
      </w:r>
      <w:r w:rsidR="00696132">
        <w:t>‘</w:t>
      </w:r>
      <w:r>
        <w:t>distinct</w:t>
      </w:r>
      <w:r w:rsidR="00696132">
        <w:t>’</w:t>
      </w:r>
      <w:r>
        <w:t xml:space="preserve"> and therefore that promise is separately identifiable from other promises in the contract;</w:t>
      </w:r>
    </w:p>
    <w:p w:rsidR="00D57475" w:rsidRDefault="00D57475" w:rsidP="00696132">
      <w:pPr>
        <w:pStyle w:val="NewsletterBullet1"/>
      </w:pPr>
      <w:r>
        <w:t xml:space="preserve">that a transfer to a NFP entity that has a single purpose charter (e.g. counselling service) would not automatically result in such a promise meeting the </w:t>
      </w:r>
      <w:r w:rsidR="00696132">
        <w:t>‘</w:t>
      </w:r>
      <w:r>
        <w:t>sufficiently specific</w:t>
      </w:r>
      <w:r w:rsidR="00696132">
        <w:t>’</w:t>
      </w:r>
      <w:r>
        <w:t xml:space="preserve"> criterion. The transfer must also have an attached condition of when the service should be provided; and</w:t>
      </w:r>
    </w:p>
    <w:p w:rsidR="00D57475" w:rsidRDefault="00D57475" w:rsidP="00696132">
      <w:pPr>
        <w:pStyle w:val="NewsletterBullet1"/>
      </w:pPr>
      <w:r>
        <w:t>to retain the notion that a transferor</w:t>
      </w:r>
      <w:r w:rsidR="00696132">
        <w:t>’</w:t>
      </w:r>
      <w:r>
        <w:t xml:space="preserve">s stipulation to use the transferred funds over a particular time period, without any other conditions, does not meet the </w:t>
      </w:r>
      <w:r w:rsidR="00696132">
        <w:t>‘</w:t>
      </w:r>
      <w:r>
        <w:t>sufficiently specific</w:t>
      </w:r>
      <w:r w:rsidR="00696132">
        <w:t>’</w:t>
      </w:r>
      <w:r>
        <w:t xml:space="preserve"> criterion as time is not a good or service.</w:t>
      </w:r>
    </w:p>
    <w:p w:rsidR="00D57475" w:rsidRDefault="00D57475" w:rsidP="00696132">
      <w:pPr>
        <w:pStyle w:val="NewsletterNormal"/>
      </w:pPr>
      <w:r>
        <w:t xml:space="preserve">The AASB will continue its redeliberation of when an agreement is </w:t>
      </w:r>
      <w:r w:rsidR="00696132">
        <w:t>‘</w:t>
      </w:r>
      <w:r>
        <w:t>enforceable</w:t>
      </w:r>
      <w:r w:rsidR="00696132">
        <w:t>’</w:t>
      </w:r>
      <w:r w:rsidR="009F5277">
        <w:t xml:space="preserve"> at</w:t>
      </w:r>
      <w:r>
        <w:t xml:space="preserve"> the next Board meeting in February 2016.</w:t>
      </w:r>
    </w:p>
    <w:p w:rsidR="00D57475" w:rsidRPr="00777785" w:rsidRDefault="00D57475" w:rsidP="00C01CF3">
      <w:pPr>
        <w:pStyle w:val="NewsletterHeading3"/>
      </w:pPr>
      <w:r w:rsidRPr="00777785">
        <w:t xml:space="preserve">Service </w:t>
      </w:r>
      <w:r w:rsidRPr="00164666">
        <w:t>concession</w:t>
      </w:r>
      <w:r w:rsidRPr="00777785">
        <w:t xml:space="preserve"> </w:t>
      </w:r>
      <w:r w:rsidRPr="00184F8B">
        <w:t>arrangements</w:t>
      </w:r>
      <w:r w:rsidRPr="00777785">
        <w:t>: grantor accounting</w:t>
      </w:r>
    </w:p>
    <w:p w:rsidR="00D57475" w:rsidRPr="006E00E9" w:rsidRDefault="00D57475" w:rsidP="00696132">
      <w:pPr>
        <w:pStyle w:val="NewsletterNormal"/>
      </w:pPr>
      <w:r>
        <w:t>Following the issue of</w:t>
      </w:r>
      <w:r w:rsidRPr="006E00E9">
        <w:t xml:space="preserve"> ED 261 </w:t>
      </w:r>
      <w:r w:rsidRPr="006E00E9">
        <w:rPr>
          <w:i/>
        </w:rPr>
        <w:t>Service Concession Arrangements: Grantor</w:t>
      </w:r>
      <w:r w:rsidRPr="006E00E9">
        <w:t xml:space="preserve"> </w:t>
      </w:r>
      <w:r>
        <w:t xml:space="preserve">in May 2015 (please refer to </w:t>
      </w:r>
      <w:r w:rsidRPr="00251860">
        <w:rPr>
          <w:i/>
        </w:rPr>
        <w:t xml:space="preserve">Accounting policy update, Newsletter – Edition </w:t>
      </w:r>
      <w:r w:rsidR="00C5669C">
        <w:rPr>
          <w:i/>
        </w:rPr>
        <w:t>No. </w:t>
      </w:r>
      <w:r w:rsidRPr="00251860">
        <w:rPr>
          <w:i/>
        </w:rPr>
        <w:t>28</w:t>
      </w:r>
      <w:r>
        <w:rPr>
          <w:i/>
        </w:rPr>
        <w:t xml:space="preserve"> </w:t>
      </w:r>
      <w:r w:rsidRPr="00F11AE4">
        <w:t>for details</w:t>
      </w:r>
      <w:r>
        <w:t xml:space="preserve">), the AASB has initiated </w:t>
      </w:r>
      <w:r w:rsidRPr="006E00E9">
        <w:t>field test</w:t>
      </w:r>
      <w:r>
        <w:t>ing</w:t>
      </w:r>
      <w:r w:rsidRPr="006E00E9">
        <w:t xml:space="preserve"> </w:t>
      </w:r>
      <w:r>
        <w:t>of</w:t>
      </w:r>
      <w:r w:rsidRPr="006E00E9">
        <w:t xml:space="preserve"> </w:t>
      </w:r>
      <w:r>
        <w:t xml:space="preserve">the requirements of </w:t>
      </w:r>
      <w:r w:rsidRPr="006E00E9">
        <w:t>ED</w:t>
      </w:r>
      <w:r w:rsidR="00C5669C">
        <w:t> </w:t>
      </w:r>
      <w:r w:rsidRPr="006E00E9">
        <w:t>261</w:t>
      </w:r>
      <w:r>
        <w:t>.</w:t>
      </w:r>
    </w:p>
    <w:p w:rsidR="00D57475" w:rsidRPr="006E00E9" w:rsidRDefault="00D57475" w:rsidP="00D57475">
      <w:pPr>
        <w:pStyle w:val="NewsletterNormal"/>
      </w:pPr>
      <w:r w:rsidRPr="006E00E9">
        <w:t xml:space="preserve">The objective of the field test is to gain a deeper understanding of the issues </w:t>
      </w:r>
      <w:r>
        <w:t xml:space="preserve">and challenges </w:t>
      </w:r>
      <w:r w:rsidRPr="006E00E9">
        <w:t>in accounting for service concession arrangements to a</w:t>
      </w:r>
      <w:r>
        <w:t>ssist the AASB</w:t>
      </w:r>
      <w:r w:rsidRPr="006E00E9">
        <w:t xml:space="preserve"> in finalising the service concession arrangements project. </w:t>
      </w:r>
    </w:p>
    <w:p w:rsidR="00D57475" w:rsidRDefault="00D57475" w:rsidP="00D57475">
      <w:pPr>
        <w:pStyle w:val="NewsletterNormal"/>
      </w:pPr>
      <w:r>
        <w:t>Discussions have commenced</w:t>
      </w:r>
      <w:r w:rsidRPr="00A9500F">
        <w:t xml:space="preserve"> with </w:t>
      </w:r>
      <w:r>
        <w:t>field test participants</w:t>
      </w:r>
      <w:r w:rsidRPr="006E00E9">
        <w:t xml:space="preserve"> to discuss </w:t>
      </w:r>
      <w:r w:rsidRPr="00A9500F">
        <w:t>the s</w:t>
      </w:r>
      <w:r w:rsidRPr="006E00E9">
        <w:t>cope of issu</w:t>
      </w:r>
      <w:r>
        <w:t>es to be explored in the field test.</w:t>
      </w:r>
    </w:p>
    <w:p w:rsidR="00D57475" w:rsidRDefault="00D57475" w:rsidP="004F1AB6">
      <w:pPr>
        <w:pStyle w:val="NewsletterNormal"/>
      </w:pPr>
      <w:r w:rsidRPr="006E00E9">
        <w:t xml:space="preserve">AASB staff </w:t>
      </w:r>
      <w:r>
        <w:t>anticipate</w:t>
      </w:r>
      <w:r w:rsidRPr="006E00E9">
        <w:t xml:space="preserve"> that the field test may result in the inclusion of additional guidance and complex examples to address areas of concerns </w:t>
      </w:r>
      <w:r>
        <w:t>identified in the field test</w:t>
      </w:r>
      <w:r w:rsidRPr="006E00E9">
        <w:t xml:space="preserve">. </w:t>
      </w:r>
      <w:r>
        <w:t xml:space="preserve">It is expected that the </w:t>
      </w:r>
      <w:r w:rsidRPr="00A9500F">
        <w:t>finding</w:t>
      </w:r>
      <w:r>
        <w:t xml:space="preserve">s and guidance will be presented for </w:t>
      </w:r>
      <w:r w:rsidRPr="00A9500F">
        <w:t>B</w:t>
      </w:r>
      <w:r>
        <w:t>oard consideration in June 2016.</w:t>
      </w:r>
    </w:p>
    <w:p w:rsidR="00BE6538" w:rsidRPr="000A5AC8" w:rsidRDefault="00F1685E" w:rsidP="00C01CF3">
      <w:pPr>
        <w:pStyle w:val="NewsletterHeading3"/>
      </w:pPr>
      <w:r>
        <w:t>Depreciated replacement cost as a measure of value in use</w:t>
      </w:r>
    </w:p>
    <w:p w:rsidR="00BB5B51" w:rsidRPr="002B2D58" w:rsidRDefault="00C35C6B" w:rsidP="00BE6538">
      <w:pPr>
        <w:pStyle w:val="NewsletterNormal"/>
      </w:pPr>
      <w:r w:rsidRPr="002B2D58">
        <w:t xml:space="preserve">Currently </w:t>
      </w:r>
      <w:r w:rsidR="00BB5B51" w:rsidRPr="002B2D58">
        <w:t xml:space="preserve">AASB 136 </w:t>
      </w:r>
      <w:r w:rsidR="00BB5B51" w:rsidRPr="002B2D58">
        <w:rPr>
          <w:i/>
        </w:rPr>
        <w:t>Impairment of Assets</w:t>
      </w:r>
      <w:r w:rsidRPr="002B2D58">
        <w:rPr>
          <w:i/>
        </w:rPr>
        <w:t xml:space="preserve"> </w:t>
      </w:r>
      <w:r w:rsidRPr="002B2D58">
        <w:t>adopts the concept of</w:t>
      </w:r>
      <w:r w:rsidRPr="002B2D58">
        <w:rPr>
          <w:i/>
        </w:rPr>
        <w:t xml:space="preserve"> </w:t>
      </w:r>
      <w:r w:rsidRPr="002B2D58">
        <w:t xml:space="preserve">depreciated replacement cost </w:t>
      </w:r>
      <w:r w:rsidR="006C344A" w:rsidRPr="002B2D58">
        <w:t>(DRC) while</w:t>
      </w:r>
      <w:r w:rsidR="00C15C80" w:rsidRPr="002B2D58">
        <w:t xml:space="preserve"> AASB 13 </w:t>
      </w:r>
      <w:r w:rsidR="00C15C80" w:rsidRPr="002B2D58">
        <w:rPr>
          <w:i/>
        </w:rPr>
        <w:t>Fair Value Measurement</w:t>
      </w:r>
      <w:r w:rsidR="00C15C80" w:rsidRPr="002B2D58">
        <w:t xml:space="preserve"> adopts the concept of current replacement cost (CRC). AASB 136 </w:t>
      </w:r>
      <w:r w:rsidR="00BB5B51" w:rsidRPr="002B2D58">
        <w:t xml:space="preserve">requires </w:t>
      </w:r>
      <w:r w:rsidR="00A24043">
        <w:t>NFP</w:t>
      </w:r>
      <w:r w:rsidR="00CB0AF3" w:rsidRPr="002B2D58">
        <w:t xml:space="preserve"> entities to use </w:t>
      </w:r>
      <w:r w:rsidR="00C15C80" w:rsidRPr="002B2D58">
        <w:t xml:space="preserve">DRC </w:t>
      </w:r>
      <w:r w:rsidR="00BB5B51" w:rsidRPr="002B2D58">
        <w:t>as a measure of value in use of an asset not</w:t>
      </w:r>
      <w:r w:rsidR="006C344A" w:rsidRPr="002B2D58">
        <w:t xml:space="preserve"> held</w:t>
      </w:r>
      <w:r w:rsidR="00BB5B51" w:rsidRPr="002B2D58">
        <w:t xml:space="preserve"> primarily to generate net cash inflows and where the entity would, if deprived of the asset, replace its remaining f</w:t>
      </w:r>
      <w:r w:rsidR="006C344A" w:rsidRPr="002B2D58">
        <w:t>uture economic benefits. In comparison</w:t>
      </w:r>
      <w:r w:rsidR="00BB5B51" w:rsidRPr="002B2D58">
        <w:t xml:space="preserve">, the </w:t>
      </w:r>
      <w:r w:rsidR="00C15C80" w:rsidRPr="002B2D58">
        <w:t>CRC</w:t>
      </w:r>
      <w:r w:rsidR="00BB5B51" w:rsidRPr="002B2D58">
        <w:t xml:space="preserve"> approach under </w:t>
      </w:r>
      <w:r w:rsidR="00DD4235">
        <w:t>AASB </w:t>
      </w:r>
      <w:r w:rsidR="00BB5B51" w:rsidRPr="002B2D58">
        <w:t xml:space="preserve">13 reflects the amount that would be required currently to replace the service capacity of an asset. </w:t>
      </w:r>
    </w:p>
    <w:p w:rsidR="00C15C80" w:rsidRPr="002B2D58" w:rsidRDefault="00C15C80" w:rsidP="00BE6538">
      <w:pPr>
        <w:pStyle w:val="NewsletterNormal"/>
      </w:pPr>
      <w:r w:rsidRPr="002B2D58">
        <w:t xml:space="preserve">The AASB noted the two concepts are expected to result in </w:t>
      </w:r>
      <w:r w:rsidR="00696B0B">
        <w:t>similar outcomes</w:t>
      </w:r>
      <w:r w:rsidRPr="002B2D58">
        <w:t xml:space="preserve">, and in practice </w:t>
      </w:r>
      <w:proofErr w:type="spellStart"/>
      <w:r w:rsidRPr="002B2D58">
        <w:t>valuers</w:t>
      </w:r>
      <w:proofErr w:type="spellEnd"/>
      <w:r w:rsidRPr="002B2D58">
        <w:t xml:space="preserve"> treat them interchangeably for specialised assets. To eliminate any potential confusion, the AASB issued ED 269 </w:t>
      </w:r>
      <w:r w:rsidRPr="002B2D58">
        <w:rPr>
          <w:i/>
        </w:rPr>
        <w:t>Recoverable Amount of Non</w:t>
      </w:r>
      <w:r w:rsidR="00E814AF">
        <w:rPr>
          <w:i/>
        </w:rPr>
        <w:noBreakHyphen/>
      </w:r>
      <w:r w:rsidRPr="002B2D58">
        <w:rPr>
          <w:i/>
        </w:rPr>
        <w:t>cash</w:t>
      </w:r>
      <w:r w:rsidR="00E814AF">
        <w:rPr>
          <w:i/>
        </w:rPr>
        <w:noBreakHyphen/>
      </w:r>
      <w:r w:rsidRPr="002B2D58">
        <w:rPr>
          <w:i/>
        </w:rPr>
        <w:t>generating Specialised Assets of Not</w:t>
      </w:r>
      <w:r w:rsidR="00E814AF">
        <w:rPr>
          <w:i/>
        </w:rPr>
        <w:noBreakHyphen/>
      </w:r>
      <w:r w:rsidRPr="002B2D58">
        <w:rPr>
          <w:i/>
        </w:rPr>
        <w:t>fo</w:t>
      </w:r>
      <w:r w:rsidR="001C594B" w:rsidRPr="002B2D58">
        <w:rPr>
          <w:i/>
        </w:rPr>
        <w:t>r</w:t>
      </w:r>
      <w:r w:rsidR="00E814AF">
        <w:rPr>
          <w:i/>
        </w:rPr>
        <w:noBreakHyphen/>
      </w:r>
      <w:r w:rsidRPr="002B2D58">
        <w:rPr>
          <w:i/>
        </w:rPr>
        <w:t>Profit Entities</w:t>
      </w:r>
      <w:r w:rsidRPr="002B2D58">
        <w:t>, proposing to amend AASB 136 to remove the references to using DR</w:t>
      </w:r>
      <w:r w:rsidR="006C344A" w:rsidRPr="002B2D58">
        <w:t>C as a measure of value in use</w:t>
      </w:r>
      <w:r w:rsidRPr="002B2D58">
        <w:t xml:space="preserve"> for NFP entities. The ED also proposes to clarify that many assets of NFP entities that are not held primarily to generate net cash inflows are typically specialised assets. </w:t>
      </w:r>
      <w:r w:rsidR="001A710B" w:rsidRPr="002B2D58">
        <w:t xml:space="preserve">As these assets are </w:t>
      </w:r>
      <w:r w:rsidR="00CB1A1E" w:rsidRPr="002B2D58">
        <w:t xml:space="preserve">held for continuing use of their service capacity </w:t>
      </w:r>
      <w:r w:rsidR="00CB1A1E">
        <w:t xml:space="preserve">and </w:t>
      </w:r>
      <w:r w:rsidR="001A710B" w:rsidRPr="002B2D58">
        <w:t xml:space="preserve">rarely sold, their cost of disposal is typically negligible, and their recoverable amount is expected to be materially the same as </w:t>
      </w:r>
      <w:r w:rsidR="006C344A" w:rsidRPr="002B2D58">
        <w:t xml:space="preserve">the </w:t>
      </w:r>
      <w:r w:rsidR="001A710B" w:rsidRPr="002B2D58">
        <w:t>fair value determined under AASB 13.</w:t>
      </w:r>
    </w:p>
    <w:p w:rsidR="00DD4235" w:rsidRDefault="00D57475" w:rsidP="00DD4235">
      <w:pPr>
        <w:pStyle w:val="NewsletterNormal"/>
      </w:pPr>
      <w:r w:rsidRPr="002B2D58">
        <w:t>The AASB is planning to issue the amending standard in Q1 2016. NFP entities that revalue their primarily non</w:t>
      </w:r>
      <w:r w:rsidR="00E814AF">
        <w:noBreakHyphen/>
      </w:r>
      <w:r w:rsidRPr="002B2D58">
        <w:t>cash</w:t>
      </w:r>
      <w:r w:rsidR="00E814AF">
        <w:noBreakHyphen/>
      </w:r>
      <w:r w:rsidRPr="002B2D58">
        <w:t xml:space="preserve">generating specialised assets to fair value regularly would </w:t>
      </w:r>
      <w:r>
        <w:t xml:space="preserve">automatically meet the </w:t>
      </w:r>
      <w:r w:rsidRPr="002B2D58">
        <w:t xml:space="preserve">impairment </w:t>
      </w:r>
      <w:r>
        <w:t>requirements</w:t>
      </w:r>
      <w:r w:rsidR="00C5669C">
        <w:t xml:space="preserve"> under AASB </w:t>
      </w:r>
      <w:r w:rsidRPr="002B2D58">
        <w:t>136.</w:t>
      </w:r>
    </w:p>
    <w:p w:rsidR="00C5669C" w:rsidRPr="00DD4235" w:rsidRDefault="00C5669C" w:rsidP="00DD4235">
      <w:pPr>
        <w:pStyle w:val="NewsletterNormal"/>
      </w:pPr>
      <w:r>
        <w:br w:type="page"/>
      </w:r>
    </w:p>
    <w:p w:rsidR="00C5669C" w:rsidRDefault="00C5669C" w:rsidP="00DD4235">
      <w:pPr>
        <w:pStyle w:val="NewsletterNormal"/>
      </w:pPr>
    </w:p>
    <w:p w:rsidR="00D57475" w:rsidRPr="00777785" w:rsidRDefault="00C5669C" w:rsidP="00D57475">
      <w:pPr>
        <w:pStyle w:val="NewsletterHeading2"/>
      </w:pPr>
      <w:r>
        <w:br w:type="column"/>
      </w:r>
      <w:r w:rsidR="00D57475">
        <w:lastRenderedPageBreak/>
        <w:t xml:space="preserve">Major </w:t>
      </w:r>
      <w:r w:rsidR="00D57475" w:rsidRPr="003A27FA">
        <w:t>international</w:t>
      </w:r>
      <w:r w:rsidR="00D57475">
        <w:t xml:space="preserve"> project</w:t>
      </w:r>
    </w:p>
    <w:p w:rsidR="00D57475" w:rsidRDefault="00D57475" w:rsidP="00C01CF3">
      <w:pPr>
        <w:pStyle w:val="NewsletterHeading3"/>
      </w:pPr>
      <w:r w:rsidRPr="003A27FA">
        <w:t>Leases</w:t>
      </w:r>
    </w:p>
    <w:p w:rsidR="00D57475" w:rsidRDefault="00D57475" w:rsidP="00696132">
      <w:pPr>
        <w:pStyle w:val="NewsletterNormal"/>
      </w:pPr>
      <w:r w:rsidRPr="00A85024">
        <w:t xml:space="preserve">This is an </w:t>
      </w:r>
      <w:r w:rsidRPr="00B4599E">
        <w:t xml:space="preserve">International Accounting Standards Board </w:t>
      </w:r>
      <w:r>
        <w:t>(</w:t>
      </w:r>
      <w:r w:rsidRPr="00A85024">
        <w:t>IASB</w:t>
      </w:r>
      <w:r>
        <w:t>)</w:t>
      </w:r>
      <w:r w:rsidRPr="00A85024">
        <w:t xml:space="preserve"> and Financial Accounting Standard Board joint project to develop a new standard for both lessors and lessees, which would supersede the current requirements under IAS 17 </w:t>
      </w:r>
      <w:r w:rsidRPr="00A85024">
        <w:rPr>
          <w:i/>
        </w:rPr>
        <w:t>Leases</w:t>
      </w:r>
      <w:r w:rsidRPr="00A85024">
        <w:t xml:space="preserve">. The AASB issued ED 242 </w:t>
      </w:r>
      <w:r w:rsidRPr="00A85024">
        <w:rPr>
          <w:i/>
        </w:rPr>
        <w:t>Leases</w:t>
      </w:r>
      <w:r w:rsidR="00DD4235">
        <w:t xml:space="preserve"> in </w:t>
      </w:r>
      <w:r w:rsidRPr="00A85024">
        <w:t>2013, which incorporated the IASB</w:t>
      </w:r>
      <w:r w:rsidR="00696132">
        <w:t>’</w:t>
      </w:r>
      <w:r w:rsidRPr="00A85024">
        <w:t>s corresponding ED. For</w:t>
      </w:r>
      <w:r>
        <w:t xml:space="preserve"> an analysis of the major implications of the ED, please refer to </w:t>
      </w:r>
      <w:r w:rsidRPr="00251860">
        <w:rPr>
          <w:i/>
        </w:rPr>
        <w:t>Accounting policy u</w:t>
      </w:r>
      <w:r w:rsidR="00DD4235">
        <w:rPr>
          <w:i/>
        </w:rPr>
        <w:t>pdate, Newsletter – Edition No. </w:t>
      </w:r>
      <w:r w:rsidRPr="00251860">
        <w:rPr>
          <w:i/>
        </w:rPr>
        <w:t>28</w:t>
      </w:r>
      <w:r>
        <w:t>.</w:t>
      </w:r>
    </w:p>
    <w:p w:rsidR="001A710B" w:rsidRPr="002B2D58" w:rsidRDefault="00D57475" w:rsidP="00535F39">
      <w:pPr>
        <w:pStyle w:val="NewsletterNormal"/>
        <w:rPr>
          <w:highlight w:val="yellow"/>
        </w:rPr>
      </w:pPr>
      <w:r>
        <w:t xml:space="preserve">The new lessee accounting model in ED 242 removes the finance/operating lease distinction by introducing a single model of recognising </w:t>
      </w:r>
      <w:r w:rsidR="00696132">
        <w:t>‘</w:t>
      </w:r>
      <w:r>
        <w:t>right of use</w:t>
      </w:r>
      <w:r w:rsidR="00696132">
        <w:t>’</w:t>
      </w:r>
      <w:r>
        <w:t xml:space="preserve"> assets and lease liabilities.</w:t>
      </w:r>
    </w:p>
    <w:p w:rsidR="00436D70" w:rsidRDefault="00D57475" w:rsidP="00535F39">
      <w:pPr>
        <w:pStyle w:val="NewsletterNormal"/>
      </w:pPr>
      <w:r>
        <w:t>However, Government Financ</w:t>
      </w:r>
      <w:r w:rsidR="008C0C68">
        <w:t>e Statistics (GFS) distinguish</w:t>
      </w:r>
      <w:r>
        <w:t xml:space="preserve"> leases between operating and finance leases based on whether there is a transfer of risks incidental to ownership of the underlying leased asset. Therefore, the new lessee model would introduce differences between GFS and Australian Accounting Standards in the recognition, measurement and classification of leases. The differences would need to be disclosed in a reconciliation note to the financial statements with an explanation of the difference as required by AASB 1049 </w:t>
      </w:r>
      <w:r w:rsidRPr="00EC752D">
        <w:rPr>
          <w:i/>
        </w:rPr>
        <w:t>Whole of Government and General Sector Financial Reporting</w:t>
      </w:r>
      <w:r>
        <w:t xml:space="preserve">. Therefore, entities </w:t>
      </w:r>
      <w:r w:rsidR="00D97D3B">
        <w:t>may</w:t>
      </w:r>
      <w:r>
        <w:t xml:space="preserve"> need to keep a set of record</w:t>
      </w:r>
      <w:r w:rsidR="008C0C68">
        <w:t>s</w:t>
      </w:r>
      <w:r>
        <w:t xml:space="preserve"> separate from </w:t>
      </w:r>
      <w:r w:rsidR="00BD3E85">
        <w:t xml:space="preserve">the </w:t>
      </w:r>
      <w:r>
        <w:t xml:space="preserve">accounting record for the data feed to DTF to meet the </w:t>
      </w:r>
      <w:r w:rsidR="00045C49">
        <w:t>whole</w:t>
      </w:r>
      <w:r w:rsidR="008C0C68">
        <w:t xml:space="preserve"> </w:t>
      </w:r>
      <w:r w:rsidR="00045C49">
        <w:t>of</w:t>
      </w:r>
      <w:r w:rsidR="008C0C68">
        <w:t xml:space="preserve"> </w:t>
      </w:r>
      <w:r w:rsidR="00D97D3B">
        <w:t xml:space="preserve">government </w:t>
      </w:r>
      <w:r>
        <w:t>GFS disclosure requirement</w:t>
      </w:r>
      <w:r w:rsidR="00D97D3B">
        <w:t xml:space="preserve">s. DTF will provide further </w:t>
      </w:r>
      <w:r w:rsidR="00133574">
        <w:t>advice</w:t>
      </w:r>
      <w:r w:rsidR="00D97D3B">
        <w:t xml:space="preserve"> on this in due course.</w:t>
      </w:r>
    </w:p>
    <w:p w:rsidR="003A27FA" w:rsidRDefault="00463601" w:rsidP="00535F39">
      <w:pPr>
        <w:pStyle w:val="NewsletterNormal"/>
      </w:pPr>
      <w:r w:rsidRPr="005A4444">
        <w:t>The</w:t>
      </w:r>
      <w:r w:rsidR="00F273F8" w:rsidRPr="005A4444">
        <w:t> </w:t>
      </w:r>
      <w:r w:rsidR="004B10CD" w:rsidRPr="005A4444">
        <w:t xml:space="preserve">AASB </w:t>
      </w:r>
      <w:r w:rsidRPr="005A4444">
        <w:t xml:space="preserve">is planning to issue the new leasing </w:t>
      </w:r>
      <w:r w:rsidR="004B10CD" w:rsidRPr="005A4444">
        <w:t xml:space="preserve">standard </w:t>
      </w:r>
      <w:r w:rsidR="007F1D37" w:rsidRPr="005A4444">
        <w:t>in Q1 2016</w:t>
      </w:r>
      <w:r w:rsidR="004B10CD" w:rsidRPr="005A4444">
        <w:t>.</w:t>
      </w:r>
      <w:r w:rsidR="007F1D37" w:rsidRPr="005A4444">
        <w:t xml:space="preserve"> The</w:t>
      </w:r>
      <w:r w:rsidR="007F1D37">
        <w:t xml:space="preserve"> tentative effective date of the new standard is 1 January 2019.</w:t>
      </w:r>
    </w:p>
    <w:p w:rsidR="00F1685E" w:rsidRDefault="00F1685E" w:rsidP="00C01CF3">
      <w:pPr>
        <w:pStyle w:val="NewsletterHeading3"/>
      </w:pPr>
      <w:r>
        <w:t>Application of mate</w:t>
      </w:r>
      <w:r w:rsidR="00C701D1">
        <w:t>riality to financial statements</w:t>
      </w:r>
    </w:p>
    <w:p w:rsidR="00B4599E" w:rsidRPr="00B4599E" w:rsidRDefault="00375330" w:rsidP="00535F39">
      <w:pPr>
        <w:pStyle w:val="NewsletterNormal"/>
      </w:pPr>
      <w:r>
        <w:t>The IASB</w:t>
      </w:r>
      <w:r w:rsidR="00B4599E" w:rsidRPr="00B4599E">
        <w:t xml:space="preserve"> carried out research on the term </w:t>
      </w:r>
      <w:r w:rsidR="00696132">
        <w:t>‘</w:t>
      </w:r>
      <w:r w:rsidR="00B4599E" w:rsidRPr="00B4599E">
        <w:t>materiality</w:t>
      </w:r>
      <w:r w:rsidR="00696132">
        <w:t>’</w:t>
      </w:r>
      <w:r w:rsidR="00B4599E" w:rsidRPr="00B4599E">
        <w:t xml:space="preserve"> as part of its Disclosure Initiative project. </w:t>
      </w:r>
      <w:r w:rsidR="00B4599E">
        <w:t>The</w:t>
      </w:r>
      <w:r w:rsidR="00B4599E" w:rsidRPr="00B4599E">
        <w:t xml:space="preserve"> objective is to help preparers, auditors and regulators to use judgement when applying the concept of materiality. The IASB issued ED/2015/8 IFRS Practice Statement: </w:t>
      </w:r>
      <w:r w:rsidR="00B4599E" w:rsidRPr="00B4599E">
        <w:rPr>
          <w:i/>
        </w:rPr>
        <w:t>Application of Materiality to Financial Statements</w:t>
      </w:r>
      <w:r w:rsidR="00B4599E" w:rsidRPr="00B4599E">
        <w:t xml:space="preserve"> </w:t>
      </w:r>
      <w:r w:rsidR="00B4599E">
        <w:t>in October 2015, seeking comments until February</w:t>
      </w:r>
      <w:r w:rsidR="0097251D">
        <w:t xml:space="preserve"> </w:t>
      </w:r>
      <w:r w:rsidR="00B4599E">
        <w:t>2016.</w:t>
      </w:r>
      <w:r w:rsidR="00B4599E" w:rsidRPr="00B4599E">
        <w:t xml:space="preserve"> </w:t>
      </w:r>
    </w:p>
    <w:p w:rsidR="00C64600" w:rsidRPr="00C64600" w:rsidRDefault="00C64600" w:rsidP="00535F39">
      <w:pPr>
        <w:pStyle w:val="NewsletterNormal"/>
      </w:pPr>
      <w:r w:rsidRPr="00C64600">
        <w:t xml:space="preserve">Information is material if omitting or misstating it could influence decisions that users make on the basis of financial information about a specific reporting entity. </w:t>
      </w:r>
      <w:r>
        <w:t>The draft</w:t>
      </w:r>
      <w:r w:rsidRPr="00C64600">
        <w:t xml:space="preserve"> Practice Statement provides guidance in the following three main areas: </w:t>
      </w:r>
    </w:p>
    <w:p w:rsidR="00C64600" w:rsidRPr="00C64600" w:rsidRDefault="0069586C" w:rsidP="00535F39">
      <w:pPr>
        <w:pStyle w:val="NewsletterHeading4"/>
      </w:pPr>
      <w:r>
        <w:t>General c</w:t>
      </w:r>
      <w:r w:rsidR="00C64600" w:rsidRPr="00C64600">
        <w:t xml:space="preserve">haracteristics of materiality </w:t>
      </w:r>
    </w:p>
    <w:p w:rsidR="00B4599E" w:rsidRPr="00B03ECD" w:rsidRDefault="008C0C68" w:rsidP="00535F39">
      <w:pPr>
        <w:pStyle w:val="NewsletterNormal"/>
      </w:pPr>
      <w:r w:rsidRPr="00B03ECD">
        <w:t>The d</w:t>
      </w:r>
      <w:r w:rsidR="00C64600" w:rsidRPr="00B03ECD">
        <w:t>raft Practice Statement discusses the characteristics of materiality, including:</w:t>
      </w:r>
    </w:p>
    <w:p w:rsidR="00C64600" w:rsidRPr="00696132" w:rsidRDefault="00375330" w:rsidP="00696132">
      <w:pPr>
        <w:pStyle w:val="NewsletterBullet1"/>
      </w:pPr>
      <w:r>
        <w:t>t</w:t>
      </w:r>
      <w:r w:rsidR="00D63C72" w:rsidRPr="0069586C">
        <w:t xml:space="preserve">he </w:t>
      </w:r>
      <w:r w:rsidR="00564DAA" w:rsidRPr="00696132">
        <w:t>pervasiveness of the</w:t>
      </w:r>
      <w:r w:rsidR="00D63C72" w:rsidRPr="00696132">
        <w:t xml:space="preserve"> materiality </w:t>
      </w:r>
      <w:r w:rsidR="00564DAA" w:rsidRPr="00696132">
        <w:t xml:space="preserve">concept </w:t>
      </w:r>
      <w:r w:rsidR="00D63C72" w:rsidRPr="00696132">
        <w:t>to the preparation of financial statements;</w:t>
      </w:r>
    </w:p>
    <w:p w:rsidR="00D63C72" w:rsidRPr="00696132" w:rsidRDefault="00375330" w:rsidP="00696132">
      <w:pPr>
        <w:pStyle w:val="NewsletterBullet1"/>
      </w:pPr>
      <w:r w:rsidRPr="00696132">
        <w:t>management</w:t>
      </w:r>
      <w:r w:rsidR="00696132" w:rsidRPr="00696132">
        <w:t>’</w:t>
      </w:r>
      <w:r w:rsidRPr="00696132">
        <w:t>s consideration of</w:t>
      </w:r>
      <w:r w:rsidR="00D63C72" w:rsidRPr="00696132">
        <w:t xml:space="preserve"> both the entity</w:t>
      </w:r>
      <w:r w:rsidR="00696132" w:rsidRPr="00696132">
        <w:t>’</w:t>
      </w:r>
      <w:r w:rsidR="00D63C72" w:rsidRPr="00696132">
        <w:t xml:space="preserve">s specific circumstances and </w:t>
      </w:r>
      <w:r w:rsidRPr="00696132">
        <w:t>the intended uses</w:t>
      </w:r>
      <w:r w:rsidR="00D63C72" w:rsidRPr="00696132">
        <w:t xml:space="preserve"> by </w:t>
      </w:r>
      <w:r w:rsidRPr="00696132">
        <w:t>the financial statement users</w:t>
      </w:r>
      <w:r w:rsidR="00D63C72" w:rsidRPr="00696132">
        <w:t>;</w:t>
      </w:r>
    </w:p>
    <w:p w:rsidR="00D63C72" w:rsidRPr="00696132" w:rsidRDefault="00375330" w:rsidP="00696132">
      <w:pPr>
        <w:pStyle w:val="NewsletterBullet1"/>
      </w:pPr>
      <w:r w:rsidRPr="00696132">
        <w:t>management</w:t>
      </w:r>
      <w:r w:rsidR="00696132" w:rsidRPr="00696132">
        <w:t>’</w:t>
      </w:r>
      <w:r w:rsidRPr="00696132">
        <w:t>s</w:t>
      </w:r>
      <w:r w:rsidR="00D63C72" w:rsidRPr="00696132">
        <w:t xml:space="preserve"> consider</w:t>
      </w:r>
      <w:r w:rsidRPr="00696132">
        <w:t>ation of</w:t>
      </w:r>
      <w:r w:rsidR="00D63C72" w:rsidRPr="00696132">
        <w:t xml:space="preserve"> the characteristics of primary users of financial statements, including their likely interests and decision types;</w:t>
      </w:r>
    </w:p>
    <w:p w:rsidR="00D57475" w:rsidRPr="00696132" w:rsidRDefault="00D57475" w:rsidP="00696132">
      <w:pPr>
        <w:pStyle w:val="NewsletterBullet1"/>
      </w:pPr>
      <w:r w:rsidRPr="00696132">
        <w:t>roles of both qualitative and quantitative factors in applying materiality; and</w:t>
      </w:r>
    </w:p>
    <w:p w:rsidR="00D57475" w:rsidRDefault="00D57475" w:rsidP="00696132">
      <w:pPr>
        <w:pStyle w:val="NewsletterBullet1"/>
      </w:pPr>
      <w:r w:rsidRPr="00696132">
        <w:t xml:space="preserve">the </w:t>
      </w:r>
      <w:r w:rsidRPr="0069586C">
        <w:t>assessment of materiality on both an individual and a collective basis.</w:t>
      </w:r>
    </w:p>
    <w:p w:rsidR="00696132" w:rsidRDefault="00696132">
      <w:pPr>
        <w:spacing w:before="0" w:after="200" w:line="276" w:lineRule="auto"/>
        <w:rPr>
          <w:b/>
          <w:color w:val="53565A"/>
        </w:rPr>
      </w:pPr>
      <w:r>
        <w:br w:type="page"/>
      </w:r>
    </w:p>
    <w:p w:rsidR="00710D9D" w:rsidRPr="006A5B86" w:rsidRDefault="00696132" w:rsidP="00710D9D">
      <w:pPr>
        <w:pStyle w:val="NewsletterHeading4"/>
      </w:pPr>
      <w:r>
        <w:lastRenderedPageBreak/>
        <w:br w:type="column"/>
      </w:r>
      <w:r w:rsidR="00710D9D" w:rsidRPr="006A5B86">
        <w:lastRenderedPageBreak/>
        <w:t>Making judgements about materiality when deciding how to present and disclose information</w:t>
      </w:r>
    </w:p>
    <w:p w:rsidR="00D57475" w:rsidRPr="00710D9D" w:rsidRDefault="008C0C68" w:rsidP="00535F39">
      <w:pPr>
        <w:pStyle w:val="NewsletterNormal"/>
      </w:pPr>
      <w:r>
        <w:t>The d</w:t>
      </w:r>
      <w:r w:rsidR="00D57475" w:rsidRPr="00710D9D">
        <w:t>raft Practice Statement provides guidance to help management make judgements about materiality when deciding how to present and disclose information in the financial statements:</w:t>
      </w:r>
    </w:p>
    <w:p w:rsidR="00D57475" w:rsidRPr="00696132" w:rsidRDefault="00D57475" w:rsidP="00696132">
      <w:pPr>
        <w:pStyle w:val="NewsletterBullet1"/>
      </w:pPr>
      <w:r>
        <w:t xml:space="preserve">the </w:t>
      </w:r>
      <w:r w:rsidRPr="00696132">
        <w:t>concept of materiality should be applied in the light of the objective of the financial statements;</w:t>
      </w:r>
    </w:p>
    <w:p w:rsidR="00D57475" w:rsidRPr="00696132" w:rsidRDefault="00D57475" w:rsidP="00696132">
      <w:pPr>
        <w:pStyle w:val="NewsletterBullet1"/>
      </w:pPr>
      <w:r w:rsidRPr="00696132">
        <w:t>providing immaterial information may obscure material information and consequently make financial statements less understandable;</w:t>
      </w:r>
    </w:p>
    <w:p w:rsidR="00D57475" w:rsidRPr="00696132" w:rsidRDefault="00D57475" w:rsidP="00696132">
      <w:pPr>
        <w:pStyle w:val="NewsletterBullet1"/>
      </w:pPr>
      <w:r w:rsidRPr="00696132">
        <w:t xml:space="preserve">management should assess whether the information that would be </w:t>
      </w:r>
      <w:r w:rsidR="00696132" w:rsidRPr="00696132">
        <w:t>‘</w:t>
      </w:r>
      <w:r w:rsidRPr="00696132">
        <w:t>lost</w:t>
      </w:r>
      <w:r w:rsidR="00696132" w:rsidRPr="00696132">
        <w:t>’</w:t>
      </w:r>
      <w:r w:rsidRPr="00696132">
        <w:t xml:space="preserve"> through aggregation is material in determining the level of aggregation;</w:t>
      </w:r>
      <w:r w:rsidR="00146BEA" w:rsidRPr="00696132">
        <w:t xml:space="preserve"> and</w:t>
      </w:r>
    </w:p>
    <w:p w:rsidR="00535F39" w:rsidRDefault="00D57475" w:rsidP="00696132">
      <w:pPr>
        <w:pStyle w:val="NewsletterBullet1"/>
      </w:pPr>
      <w:r w:rsidRPr="00696132">
        <w:t xml:space="preserve">there </w:t>
      </w:r>
      <w:r>
        <w:t>will be different conclusions regarding whether information is material in the different context of the primary financial statements, the notes to the financial statements, the complete set of financial statements and interim reports, due to their different roles and objectives.</w:t>
      </w:r>
      <w:r w:rsidR="00535F39">
        <w:t xml:space="preserve"> </w:t>
      </w:r>
    </w:p>
    <w:p w:rsidR="00E34A64" w:rsidRPr="00E34A64" w:rsidRDefault="00E34A64" w:rsidP="00535F39">
      <w:pPr>
        <w:pStyle w:val="NewsletterHeading4"/>
      </w:pPr>
      <w:bookmarkStart w:id="8" w:name="_Toc365556385"/>
      <w:r w:rsidRPr="00E34A64">
        <w:t>Assessing whether omissions and misstatements of information are material</w:t>
      </w:r>
    </w:p>
    <w:p w:rsidR="00E34A64" w:rsidRPr="00E34A64" w:rsidRDefault="00E34A64" w:rsidP="00535F39">
      <w:pPr>
        <w:pStyle w:val="NewsletterNormal"/>
      </w:pPr>
      <w:r w:rsidRPr="00E34A64">
        <w:t>Omissions and other misstatements of information are material if, individually or</w:t>
      </w:r>
      <w:r>
        <w:t xml:space="preserve"> </w:t>
      </w:r>
      <w:r w:rsidRPr="00E34A64">
        <w:t>collectively, they could reasonably be expe</w:t>
      </w:r>
      <w:r w:rsidR="006F1E66">
        <w:t>cted to influence decisions of</w:t>
      </w:r>
      <w:r w:rsidRPr="00E34A64">
        <w:t xml:space="preserve"> the primary users of the financial statements.</w:t>
      </w:r>
    </w:p>
    <w:p w:rsidR="00E34A64" w:rsidRPr="00E34A64" w:rsidRDefault="005F7593" w:rsidP="00535F39">
      <w:pPr>
        <w:pStyle w:val="NewsletterNormal"/>
      </w:pPr>
      <w:r>
        <w:t>The d</w:t>
      </w:r>
      <w:r w:rsidR="00E34A64" w:rsidRPr="00E34A64">
        <w:t>raft Practice Statement includes guidance on:</w:t>
      </w:r>
    </w:p>
    <w:p w:rsidR="00E34A64" w:rsidRPr="00E34A64" w:rsidRDefault="00E34A64" w:rsidP="00535F39">
      <w:pPr>
        <w:pStyle w:val="NewsletterBullet1"/>
      </w:pPr>
      <w:r w:rsidRPr="00E34A64">
        <w:t>assessing whether misstatements are material;</w:t>
      </w:r>
    </w:p>
    <w:p w:rsidR="00E34A64" w:rsidRPr="00E34A64" w:rsidRDefault="00E34A64" w:rsidP="00535F39">
      <w:pPr>
        <w:pStyle w:val="NewsletterBullet1"/>
      </w:pPr>
      <w:r w:rsidRPr="00E34A64">
        <w:t>current period misstatements versus prior period misstatements; and</w:t>
      </w:r>
    </w:p>
    <w:p w:rsidR="00E34A64" w:rsidRDefault="006F1E66" w:rsidP="00535F39">
      <w:pPr>
        <w:pStyle w:val="NewsletterBullet1"/>
      </w:pPr>
      <w:r>
        <w:t xml:space="preserve">misstatements </w:t>
      </w:r>
      <w:r w:rsidR="00E34A64" w:rsidRPr="00E34A64">
        <w:t>made intentionally to mislead.</w:t>
      </w:r>
    </w:p>
    <w:p w:rsidR="00375330" w:rsidRPr="00710D9D" w:rsidRDefault="00375330" w:rsidP="00535F39">
      <w:pPr>
        <w:pStyle w:val="NewsletterNormal"/>
      </w:pPr>
      <w:r w:rsidRPr="00710D9D">
        <w:t xml:space="preserve">The AASB has incorporated IASB ED/2015/8 into AASB ED 271 </w:t>
      </w:r>
      <w:r w:rsidRPr="00710D9D">
        <w:rPr>
          <w:i/>
        </w:rPr>
        <w:t>IFRS Practice Statement: Application of Materiality to Financial Statements</w:t>
      </w:r>
      <w:r w:rsidRPr="00710D9D">
        <w:t xml:space="preserve"> and tentatively decided to issue it as a non</w:t>
      </w:r>
      <w:r w:rsidR="00E814AF">
        <w:noBreakHyphen/>
      </w:r>
      <w:r w:rsidRPr="00710D9D">
        <w:t>mandatory AASB Practice Statement when finalised.</w:t>
      </w:r>
    </w:p>
    <w:p w:rsidR="00535F39" w:rsidRDefault="00535F39">
      <w:pPr>
        <w:spacing w:before="0" w:after="200" w:line="276" w:lineRule="auto"/>
      </w:pPr>
      <w:r>
        <w:br w:type="page"/>
      </w:r>
    </w:p>
    <w:p w:rsidR="00535F39" w:rsidRDefault="00535F39" w:rsidP="00535F39">
      <w:pPr>
        <w:pStyle w:val="NewsletterNormal"/>
      </w:pPr>
    </w:p>
    <w:p w:rsidR="00535F39" w:rsidRDefault="00535F39" w:rsidP="00535F39">
      <w:pPr>
        <w:pStyle w:val="NewsletterHeading1"/>
      </w:pPr>
      <w:r>
        <w:br w:type="column"/>
      </w:r>
      <w:bookmarkStart w:id="9" w:name="_Toc440373458"/>
      <w:bookmarkStart w:id="10" w:name="_Toc440382502"/>
      <w:r w:rsidRPr="00E27478">
        <w:lastRenderedPageBreak/>
        <w:t>How to contact us</w:t>
      </w:r>
      <w:bookmarkEnd w:id="9"/>
      <w:bookmarkEnd w:id="10"/>
    </w:p>
    <w:p w:rsidR="00535F39" w:rsidRPr="009A160D" w:rsidRDefault="00535F39" w:rsidP="00535F39">
      <w:pPr>
        <w:pStyle w:val="NewsletterHeading2"/>
      </w:pPr>
      <w:proofErr w:type="spellStart"/>
      <w:r w:rsidRPr="009A160D">
        <w:t>AccPol</w:t>
      </w:r>
      <w:proofErr w:type="spellEnd"/>
      <w:r w:rsidRPr="009A160D">
        <w:t xml:space="preserve"> </w:t>
      </w:r>
      <w:r w:rsidRPr="003A27FA">
        <w:t>mail</w:t>
      </w:r>
      <w:r w:rsidRPr="009A160D">
        <w:t xml:space="preserve"> box</w:t>
      </w:r>
    </w:p>
    <w:p w:rsidR="00A315F4" w:rsidRPr="009A160D" w:rsidRDefault="00A315F4" w:rsidP="00A315F4">
      <w:pPr>
        <w:pStyle w:val="NewsletterNormal"/>
        <w:rPr>
          <w:rFonts w:eastAsiaTheme="minorHAnsi"/>
          <w:lang w:eastAsia="en-US"/>
        </w:rPr>
      </w:pPr>
      <w:r w:rsidRPr="009A160D">
        <w:rPr>
          <w:rFonts w:eastAsiaTheme="minorHAnsi"/>
          <w:lang w:eastAsia="en-US"/>
        </w:rPr>
        <w:t xml:space="preserve">When </w:t>
      </w:r>
      <w:r w:rsidRPr="009A160D">
        <w:t xml:space="preserve">directing accounting policy enquiries to DTF at </w:t>
      </w:r>
      <w:hyperlink r:id="rId18" w:history="1">
        <w:r w:rsidRPr="009A160D">
          <w:rPr>
            <w:rStyle w:val="Hyperlink"/>
          </w:rPr>
          <w:t>accpol@dtf.vic.gov.au</w:t>
        </w:r>
      </w:hyperlink>
      <w:r w:rsidRPr="009A160D">
        <w:t>,</w:t>
      </w:r>
      <w:r w:rsidRPr="009A160D">
        <w:rPr>
          <w:rFonts w:eastAsiaTheme="minorHAnsi"/>
          <w:lang w:eastAsia="en-US"/>
        </w:rPr>
        <w:t xml:space="preserve"> </w:t>
      </w:r>
      <w:r w:rsidRPr="009A160D">
        <w:rPr>
          <w:rFonts w:eastAsiaTheme="minorHAnsi"/>
          <w:b/>
          <w:bCs/>
          <w:lang w:eastAsia="en-US"/>
        </w:rPr>
        <w:t>Departments</w:t>
      </w:r>
      <w:r w:rsidRPr="009A160D">
        <w:rPr>
          <w:rFonts w:eastAsiaTheme="minorHAnsi"/>
          <w:lang w:eastAsia="en-US"/>
        </w:rPr>
        <w:t xml:space="preserve"> are requested to </w:t>
      </w:r>
      <w:r w:rsidRPr="003A27FA">
        <w:t>support</w:t>
      </w:r>
      <w:r w:rsidRPr="009A160D">
        <w:rPr>
          <w:rFonts w:eastAsiaTheme="minorHAnsi"/>
          <w:lang w:eastAsia="en-US"/>
        </w:rPr>
        <w:t xml:space="preserve"> their questions with the facts and with clear referencing to Accounting Standards, FRDs and </w:t>
      </w:r>
      <w:r w:rsidRPr="009A160D">
        <w:t>other</w:t>
      </w:r>
      <w:r w:rsidRPr="009A160D">
        <w:rPr>
          <w:rFonts w:eastAsiaTheme="minorHAnsi"/>
          <w:lang w:eastAsia="en-US"/>
        </w:rPr>
        <w:t xml:space="preserve"> authoritative pronouncements related to their queries. </w:t>
      </w:r>
    </w:p>
    <w:p w:rsidR="00A315F4" w:rsidRPr="009A160D" w:rsidRDefault="00A315F4" w:rsidP="00A315F4">
      <w:pPr>
        <w:pStyle w:val="NewsletterNormal"/>
      </w:pPr>
      <w:r w:rsidRPr="009A160D">
        <w:rPr>
          <w:rFonts w:eastAsiaTheme="minorHAnsi"/>
          <w:b/>
          <w:bCs/>
          <w:lang w:eastAsia="en-US"/>
        </w:rPr>
        <w:t>Other entities</w:t>
      </w:r>
      <w:r w:rsidRPr="009A160D">
        <w:rPr>
          <w:rFonts w:eastAsiaTheme="minorHAnsi"/>
          <w:lang w:eastAsia="en-US"/>
        </w:rPr>
        <w:t xml:space="preserve"> are requested to contact their portfolio department in the first instance to resolve any accounting policy issues.</w:t>
      </w:r>
    </w:p>
    <w:p w:rsidR="00A315F4" w:rsidRPr="009A160D" w:rsidRDefault="00A315F4" w:rsidP="00A315F4">
      <w:pPr>
        <w:pStyle w:val="NewsletterHeading2"/>
      </w:pPr>
      <w:r w:rsidRPr="003A27FA">
        <w:t>Useful</w:t>
      </w:r>
      <w:r w:rsidRPr="009A160D">
        <w:t xml:space="preserve"> </w:t>
      </w:r>
      <w:r w:rsidRPr="003A27FA">
        <w:t>websites</w:t>
      </w:r>
    </w:p>
    <w:p w:rsidR="00A315F4" w:rsidRPr="009A160D" w:rsidRDefault="00A315F4" w:rsidP="00A315F4">
      <w:pPr>
        <w:pStyle w:val="NewsletterNormal"/>
      </w:pPr>
      <w:r w:rsidRPr="009A160D">
        <w:rPr>
          <w:b/>
        </w:rPr>
        <w:t>AASB</w:t>
      </w:r>
      <w:r w:rsidRPr="009A160D">
        <w:t xml:space="preserve"> – </w:t>
      </w:r>
      <w:hyperlink r:id="rId19" w:history="1">
        <w:r w:rsidRPr="009A160D">
          <w:rPr>
            <w:rStyle w:val="Hyperlink"/>
          </w:rPr>
          <w:t>www.aasb.com.au</w:t>
        </w:r>
      </w:hyperlink>
      <w:r w:rsidRPr="009A160D">
        <w:t xml:space="preserve"> for information on AASB pronouncements, discussion papers and ED publications.</w:t>
      </w:r>
    </w:p>
    <w:p w:rsidR="00A315F4" w:rsidRDefault="00A315F4" w:rsidP="00A315F4">
      <w:pPr>
        <w:pStyle w:val="NewsletterNormal"/>
      </w:pPr>
      <w:r w:rsidRPr="009A160D">
        <w:rPr>
          <w:b/>
        </w:rPr>
        <w:t>International Public Sector Accounting Standards Board</w:t>
      </w:r>
      <w:r w:rsidRPr="009A160D">
        <w:t xml:space="preserve"> (IPSASB) – </w:t>
      </w:r>
      <w:hyperlink r:id="rId20" w:history="1">
        <w:r w:rsidR="00E814AF" w:rsidRPr="008B4334">
          <w:rPr>
            <w:rStyle w:val="Hyperlink"/>
          </w:rPr>
          <w:t>www.ifac.org/public</w:t>
        </w:r>
        <w:r w:rsidR="00E814AF">
          <w:rPr>
            <w:rStyle w:val="Hyperlink"/>
          </w:rPr>
          <w:noBreakHyphen/>
        </w:r>
        <w:r w:rsidR="00E814AF" w:rsidRPr="008B4334">
          <w:rPr>
            <w:rStyle w:val="Hyperlink"/>
          </w:rPr>
          <w:t>sector</w:t>
        </w:r>
      </w:hyperlink>
      <w:r>
        <w:rPr>
          <w:rStyle w:val="Hyperlink"/>
          <w:color w:val="auto"/>
        </w:rPr>
        <w:t>/</w:t>
      </w:r>
      <w:r w:rsidRPr="009A160D">
        <w:t xml:space="preserve"> for information on IPSASB and IPSASB pronouncements</w:t>
      </w:r>
      <w:r>
        <w:t xml:space="preserve">. </w:t>
      </w:r>
    </w:p>
    <w:p w:rsidR="00A315F4" w:rsidRPr="009A160D" w:rsidRDefault="00A315F4" w:rsidP="00A315F4">
      <w:pPr>
        <w:pStyle w:val="NewsletterHeading2"/>
      </w:pPr>
      <w:r w:rsidRPr="009A160D">
        <w:t xml:space="preserve">DTF website </w:t>
      </w:r>
    </w:p>
    <w:p w:rsidR="00A315F4" w:rsidRPr="009A160D" w:rsidRDefault="00A315F4" w:rsidP="00A315F4">
      <w:pPr>
        <w:pStyle w:val="NewsletterNormal"/>
      </w:pPr>
      <w:r w:rsidRPr="009A160D">
        <w:rPr>
          <w:b/>
        </w:rPr>
        <w:t>The DTF website (for all internet users)</w:t>
      </w:r>
      <w:r w:rsidRPr="009A160D">
        <w:t xml:space="preserve"> – </w:t>
      </w:r>
      <w:hyperlink r:id="rId21" w:history="1">
        <w:r w:rsidRPr="00ED647B">
          <w:rPr>
            <w:rStyle w:val="Hyperlink"/>
          </w:rPr>
          <w:t>www.dtf.vic.gov.au</w:t>
        </w:r>
      </w:hyperlink>
      <w:r w:rsidRPr="009A160D">
        <w:t xml:space="preserve">, covers FRDs and guidance, the Model Report, accounting policy updates, </w:t>
      </w:r>
      <w:r>
        <w:t>wage inflation and</w:t>
      </w:r>
      <w:r w:rsidRPr="009A160D">
        <w:t xml:space="preserve"> discount rates. From the menu on the top of the home page, users should select Government Financial Management, then Financial Reporting Policy.</w:t>
      </w:r>
    </w:p>
    <w:p w:rsidR="00A315F4" w:rsidRPr="009A160D" w:rsidRDefault="00A315F4" w:rsidP="00A315F4">
      <w:pPr>
        <w:pStyle w:val="NewsletterNormal"/>
      </w:pPr>
      <w:r w:rsidRPr="009A160D">
        <w:rPr>
          <w:b/>
        </w:rPr>
        <w:t>VPS users</w:t>
      </w:r>
      <w:r w:rsidRPr="009A160D">
        <w:t xml:space="preserve"> should contact their portfolio department in the first instance for the login </w:t>
      </w:r>
      <w:r w:rsidRPr="003A27FA">
        <w:t>details</w:t>
      </w:r>
      <w:r w:rsidRPr="009A160D">
        <w:t xml:space="preserve"> to access the information relating to the 2008 L</w:t>
      </w:r>
      <w:r>
        <w:t xml:space="preserve">ong </w:t>
      </w:r>
      <w:r w:rsidRPr="009A160D">
        <w:t>S</w:t>
      </w:r>
      <w:r>
        <w:t xml:space="preserve">ervice </w:t>
      </w:r>
      <w:r w:rsidRPr="009A160D">
        <w:t>L</w:t>
      </w:r>
      <w:r>
        <w:t>eave</w:t>
      </w:r>
      <w:r w:rsidRPr="009A160D">
        <w:t xml:space="preserve"> Model, the </w:t>
      </w:r>
      <w:proofErr w:type="spellStart"/>
      <w:r w:rsidRPr="009A160D">
        <w:t>Valuer</w:t>
      </w:r>
      <w:proofErr w:type="spellEnd"/>
      <w:r w:rsidR="00E814AF">
        <w:noBreakHyphen/>
      </w:r>
      <w:r w:rsidRPr="009A160D">
        <w:t xml:space="preserve">General </w:t>
      </w:r>
      <w:r>
        <w:t>b</w:t>
      </w:r>
      <w:r w:rsidRPr="009A160D">
        <w:t xml:space="preserve">uilding and </w:t>
      </w:r>
      <w:r>
        <w:t>l</w:t>
      </w:r>
      <w:r w:rsidRPr="009A160D">
        <w:t xml:space="preserve">and </w:t>
      </w:r>
      <w:r>
        <w:t>i</w:t>
      </w:r>
      <w:r w:rsidRPr="009A160D">
        <w:t xml:space="preserve">ndices. </w:t>
      </w:r>
    </w:p>
    <w:p w:rsidR="00A315F4" w:rsidRDefault="00A315F4" w:rsidP="00A315F4">
      <w:pPr>
        <w:pStyle w:val="NewsletterNormal"/>
        <w:rPr>
          <w:rStyle w:val="Hyperlink"/>
        </w:rPr>
      </w:pPr>
      <w:r w:rsidRPr="009A160D">
        <w:t xml:space="preserve">For assistance with technical difficulties using the DTF website, e.g. broken links, please contact the DTF web team via email at </w:t>
      </w:r>
      <w:hyperlink r:id="rId22" w:history="1">
        <w:r w:rsidRPr="009A160D">
          <w:rPr>
            <w:rStyle w:val="Hyperlink"/>
          </w:rPr>
          <w:t>dtfweb@dtf.vic.gov.au</w:t>
        </w:r>
      </w:hyperlink>
      <w:r>
        <w:rPr>
          <w:rStyle w:val="Hyperlink"/>
        </w:rPr>
        <w:t>.</w:t>
      </w:r>
    </w:p>
    <w:p w:rsidR="00A315F4" w:rsidRPr="009A160D" w:rsidRDefault="00A315F4" w:rsidP="00A315F4">
      <w:pPr>
        <w:pStyle w:val="NewsletterHeading1"/>
      </w:pPr>
      <w:bookmarkStart w:id="11" w:name="_Toc440296236"/>
      <w:bookmarkStart w:id="12" w:name="_Toc440382503"/>
      <w:r w:rsidRPr="009A160D">
        <w:t>About the Accounting Policy Update</w:t>
      </w:r>
      <w:bookmarkEnd w:id="11"/>
      <w:bookmarkEnd w:id="12"/>
    </w:p>
    <w:p w:rsidR="00A315F4" w:rsidRPr="009A160D" w:rsidRDefault="00A315F4" w:rsidP="00A315F4">
      <w:pPr>
        <w:pStyle w:val="NewsletterNormal"/>
      </w:pPr>
      <w:r w:rsidRPr="009A160D">
        <w:t>Accounting Policy Update is published by the Accounting Policy team of DTF twice a year. The aim of the newsletter is to highlight changes in financial reporting requirements affecting public sector entities, outlining any financial reporting related policy decisions reached by DTF and to inform readers of other developments that are under consideration by the AASB.</w:t>
      </w:r>
    </w:p>
    <w:p w:rsidR="00A315F4" w:rsidRDefault="00A315F4" w:rsidP="00A315F4">
      <w:pPr>
        <w:pStyle w:val="NewsletterNormal"/>
        <w:pBdr>
          <w:bottom w:val="single" w:sz="4" w:space="1" w:color="1665A1"/>
        </w:pBdr>
      </w:pPr>
    </w:p>
    <w:p w:rsidR="00A315F4" w:rsidRPr="00DD6C6B" w:rsidRDefault="00A315F4" w:rsidP="00A315F4">
      <w:pPr>
        <w:pStyle w:val="NewsletterNormal"/>
        <w:spacing w:after="0"/>
      </w:pPr>
      <w:r w:rsidRPr="00DD6C6B">
        <w:rPr>
          <w:b/>
        </w:rPr>
        <w:t>Disclaimer:</w:t>
      </w:r>
      <w:r w:rsidRPr="00DD6C6B">
        <w:t xml:space="preserve"> No responsibility is taken for any action(s) taken on the basis of information contained in this </w:t>
      </w:r>
      <w:r>
        <w:t>n</w:t>
      </w:r>
      <w:r w:rsidRPr="00DD6C6B">
        <w:t>ewsletter nor for any errors or omissions in that information.</w:t>
      </w:r>
    </w:p>
    <w:p w:rsidR="00A315F4" w:rsidRPr="00F273F8" w:rsidRDefault="00A315F4" w:rsidP="00A315F4">
      <w:pPr>
        <w:pStyle w:val="NewsletterNormal"/>
        <w:pBdr>
          <w:bottom w:val="single" w:sz="4" w:space="1" w:color="1665A1"/>
        </w:pBdr>
        <w:spacing w:before="0"/>
        <w:rPr>
          <w:sz w:val="8"/>
          <w:szCs w:val="8"/>
        </w:rPr>
      </w:pPr>
    </w:p>
    <w:p w:rsidR="00A315F4" w:rsidRDefault="00A315F4" w:rsidP="00A315F4">
      <w:pPr>
        <w:pStyle w:val="NewsletterNormal"/>
      </w:pPr>
    </w:p>
    <w:p w:rsidR="00535F39" w:rsidRPr="004B443C" w:rsidRDefault="00535F39" w:rsidP="00535F39">
      <w:pPr>
        <w:pStyle w:val="NewsletterNote"/>
      </w:pPr>
      <w:r w:rsidRPr="004B443C">
        <w:t xml:space="preserve">Accounting Policy Update </w:t>
      </w:r>
      <w:r>
        <w:br/>
      </w:r>
      <w:r w:rsidRPr="004B443C">
        <w:t>ISSN 2205</w:t>
      </w:r>
      <w:r w:rsidR="00E814AF">
        <w:noBreakHyphen/>
      </w:r>
      <w:r w:rsidRPr="004B443C">
        <w:t>4014</w:t>
      </w:r>
    </w:p>
    <w:p w:rsidR="00535F39" w:rsidRPr="00AD0D31" w:rsidRDefault="00535F39" w:rsidP="00535F39">
      <w:pPr>
        <w:pStyle w:val="NewsletterNote"/>
      </w:pPr>
      <w:r>
        <w:t>© State of Victoria 2016</w:t>
      </w:r>
    </w:p>
    <w:p w:rsidR="00535F39" w:rsidRPr="00AD0D31" w:rsidRDefault="00535F39" w:rsidP="00535F39">
      <w:pPr>
        <w:pStyle w:val="NewsletterNote"/>
      </w:pPr>
      <w:r w:rsidRPr="00AD0D31">
        <w:rPr>
          <w:noProof/>
          <w:lang w:eastAsia="en-AU"/>
        </w:rPr>
        <w:drawing>
          <wp:inline distT="0" distB="0" distL="0" distR="0" wp14:anchorId="1226A2AE" wp14:editId="6F3BB238">
            <wp:extent cx="1117460" cy="393651"/>
            <wp:effectExtent l="0" t="0" r="6985" b="6985"/>
            <wp:docPr id="15" name="Picture 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535F39" w:rsidRDefault="00535F39" w:rsidP="00535F39">
      <w:pPr>
        <w:pStyle w:val="NewsletterNote"/>
      </w:pPr>
      <w:r>
        <w:t>You are free to re</w:t>
      </w:r>
      <w:r w:rsidR="00E814AF">
        <w:noBreakHyphen/>
      </w:r>
      <w:r w:rsidRPr="00600E46">
        <w:t>use this work under a</w:t>
      </w:r>
      <w:r w:rsidRPr="00535F39">
        <w:t xml:space="preserve"> </w:t>
      </w:r>
      <w:hyperlink r:id="rId25" w:history="1">
        <w:r w:rsidRPr="00535F39">
          <w:rPr>
            <w:rStyle w:val="Hyperlink"/>
            <w:rFonts w:cstheme="minorHAnsi"/>
            <w:sz w:val="16"/>
            <w:szCs w:val="16"/>
          </w:rPr>
          <w:t>Creative Commons Attribution 4.0 licence</w:t>
        </w:r>
      </w:hyperlink>
      <w:r w:rsidRPr="00535F39">
        <w:t>, provided you credit the State of Victoria (Department of Treasury and Finance) as author, indicate if changes we</w:t>
      </w:r>
      <w:r w:rsidRPr="00600E46">
        <w:t>re made and comply with the other licence terms. The licence does not apply to any branding, including Government logos.</w:t>
      </w:r>
    </w:p>
    <w:p w:rsidR="00535F39" w:rsidRDefault="00535F39" w:rsidP="00535F39">
      <w:pPr>
        <w:pStyle w:val="NewsletterNote"/>
      </w:pPr>
      <w:r w:rsidRPr="00AD0D31">
        <w:t xml:space="preserve">Copyright queries may be directed to </w:t>
      </w:r>
      <w:hyperlink r:id="rId26" w:history="1">
        <w:r w:rsidR="00E814AF">
          <w:rPr>
            <w:rStyle w:val="Hyperlink"/>
            <w:sz w:val="16"/>
          </w:rPr>
          <w:t>IPpolicy@dtf.vic.gov.au</w:t>
        </w:r>
      </w:hyperlink>
      <w:r w:rsidRPr="00AD0D31">
        <w:t xml:space="preserve">. </w:t>
      </w:r>
    </w:p>
    <w:p w:rsidR="00535F39" w:rsidRPr="00535F39" w:rsidRDefault="00535F39" w:rsidP="00E814AF">
      <w:pPr>
        <w:pStyle w:val="NewsletterNormal"/>
      </w:pPr>
    </w:p>
    <w:bookmarkEnd w:id="8"/>
    <w:sectPr w:rsidR="00535F39" w:rsidRPr="00535F39" w:rsidSect="00C01CF3">
      <w:headerReference w:type="first" r:id="rId27"/>
      <w:pgSz w:w="11906" w:h="16838" w:code="9"/>
      <w:pgMar w:top="1134" w:right="709" w:bottom="1134" w:left="709" w:header="561" w:footer="454" w:gutter="0"/>
      <w:cols w:num="2" w:space="450" w:equalWidth="0">
        <w:col w:w="1138" w:space="450"/>
        <w:col w:w="89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923" w:rsidRDefault="007B5923" w:rsidP="002620A4">
      <w:pPr>
        <w:spacing w:after="0"/>
      </w:pPr>
      <w:r>
        <w:separator/>
      </w:r>
    </w:p>
  </w:endnote>
  <w:endnote w:type="continuationSeparator" w:id="0">
    <w:p w:rsidR="007B5923" w:rsidRDefault="007B5923" w:rsidP="00262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oundryForm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A6" w:rsidRDefault="00804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5A" w:rsidRDefault="008049A6" w:rsidP="002D235A">
    <w:r>
      <w:rPr>
        <w:noProof/>
      </w:rPr>
      <mc:AlternateContent>
        <mc:Choice Requires="wps">
          <w:drawing>
            <wp:anchor distT="0" distB="0" distL="114300" distR="114300" simplePos="0" relativeHeight="251719167" behindDoc="0" locked="0" layoutInCell="1" allowOverlap="1" wp14:anchorId="5CDBE5ED" wp14:editId="7B10A9FC">
              <wp:simplePos x="0" y="0"/>
              <wp:positionH relativeFrom="column">
                <wp:posOffset>-237490</wp:posOffset>
              </wp:positionH>
              <wp:positionV relativeFrom="paragraph">
                <wp:posOffset>-1602105</wp:posOffset>
              </wp:positionV>
              <wp:extent cx="1218565" cy="2242820"/>
              <wp:effectExtent l="2223" t="0" r="2857" b="2858"/>
              <wp:wrapNone/>
              <wp:docPr id="20" name="Rectangle 20"/>
              <wp:cNvGraphicFramePr/>
              <a:graphic xmlns:a="http://schemas.openxmlformats.org/drawingml/2006/main">
                <a:graphicData uri="http://schemas.microsoft.com/office/word/2010/wordprocessingShape">
                  <wps:wsp>
                    <wps:cNvSpPr/>
                    <wps:spPr>
                      <a:xfrm rot="16200000">
                        <a:off x="0" y="0"/>
                        <a:ext cx="1218565" cy="2242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235A" w:rsidRDefault="002D235A" w:rsidP="002D235A">
                          <w:pPr>
                            <w:jc w:val="center"/>
                          </w:pPr>
                          <w:r>
                            <w:t>`</w:t>
                          </w:r>
                        </w:p>
                        <w:p w:rsidR="002D235A" w:rsidRDefault="002D235A" w:rsidP="002D2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18.7pt;margin-top:-126.15pt;width:95.95pt;height:176.6pt;rotation:-90;z-index:251719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" fillcolor="white [3212]" stroked="f" strokeweight="2pt">
              <v:textbox>
                <w:txbxContent>
                  <w:p w:rsidR="002D235A" w:rsidRDefault="002D235A" w:rsidP="002D235A">
                    <w:pPr>
                      <w:jc w:val="center"/>
                    </w:pPr>
                    <w:r>
                      <w:t>`</w:t>
                    </w:r>
                  </w:p>
                  <w:p w:rsidR="002D235A" w:rsidRDefault="002D235A" w:rsidP="002D235A">
                    <w:pPr>
                      <w:jc w:val="center"/>
                    </w:pPr>
                  </w:p>
                </w:txbxContent>
              </v:textbox>
            </v:rect>
          </w:pict>
        </mc:Fallback>
      </mc:AlternateContent>
    </w:r>
    <w:r w:rsidR="00302EA4">
      <w:rPr>
        <w:noProof/>
      </w:rPr>
      <mc:AlternateContent>
        <mc:Choice Requires="wps">
          <w:drawing>
            <wp:anchor distT="0" distB="0" distL="114300" distR="114300" simplePos="0" relativeHeight="251697151" behindDoc="1" locked="0" layoutInCell="1" allowOverlap="1" wp14:anchorId="4956102C" wp14:editId="05B749EB">
              <wp:simplePos x="0" y="0"/>
              <wp:positionH relativeFrom="column">
                <wp:posOffset>-469265</wp:posOffset>
              </wp:positionH>
              <wp:positionV relativeFrom="paragraph">
                <wp:posOffset>136525</wp:posOffset>
              </wp:positionV>
              <wp:extent cx="7600950" cy="733425"/>
              <wp:effectExtent l="0" t="0" r="0" b="9525"/>
              <wp:wrapNone/>
              <wp:docPr id="5" name="Rectangle 5"/>
              <wp:cNvGraphicFramePr/>
              <a:graphic xmlns:a="http://schemas.openxmlformats.org/drawingml/2006/main">
                <a:graphicData uri="http://schemas.microsoft.com/office/word/2010/wordprocessingShape">
                  <wps:wsp>
                    <wps:cNvSpPr/>
                    <wps:spPr>
                      <a:xfrm>
                        <a:off x="0" y="0"/>
                        <a:ext cx="7600950" cy="733425"/>
                      </a:xfrm>
                      <a:prstGeom prst="rect">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6.95pt;margin-top:10.75pt;width:598.5pt;height:57.75pt;z-index:-25161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" fillcolor="#201547" stroked="f" strokeweight="2pt"/>
          </w:pict>
        </mc:Fallback>
      </mc:AlternateContent>
    </w:r>
    <w:r w:rsidR="00302EA4">
      <w:rPr>
        <w:noProof/>
      </w:rPr>
      <mc:AlternateContent>
        <mc:Choice Requires="wps">
          <w:drawing>
            <wp:anchor distT="0" distB="0" distL="114300" distR="114300" simplePos="0" relativeHeight="251718654" behindDoc="0" locked="0" layoutInCell="1" allowOverlap="1" wp14:anchorId="639B7F5B" wp14:editId="5F71AEBB">
              <wp:simplePos x="0" y="0"/>
              <wp:positionH relativeFrom="column">
                <wp:posOffset>-1386205</wp:posOffset>
              </wp:positionH>
              <wp:positionV relativeFrom="paragraph">
                <wp:posOffset>-280035</wp:posOffset>
              </wp:positionV>
              <wp:extent cx="2647315" cy="2388870"/>
              <wp:effectExtent l="438150" t="514350" r="343535" b="525780"/>
              <wp:wrapNone/>
              <wp:docPr id="2" name="Rectangle 2"/>
              <wp:cNvGraphicFramePr/>
              <a:graphic xmlns:a="http://schemas.openxmlformats.org/drawingml/2006/main">
                <a:graphicData uri="http://schemas.microsoft.com/office/word/2010/wordprocessingShape">
                  <wps:wsp>
                    <wps:cNvSpPr/>
                    <wps:spPr>
                      <a:xfrm rot="19756978">
                        <a:off x="0" y="0"/>
                        <a:ext cx="2647315" cy="2388870"/>
                      </a:xfrm>
                      <a:prstGeom prst="rect">
                        <a:avLst/>
                      </a:prstGeom>
                      <a:solidFill>
                        <a:srgbClr val="D9D9D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704E" w:rsidRDefault="00F3704E" w:rsidP="00302E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margin-left:-109.15pt;margin-top:-22.05pt;width:208.45pt;height:188.1pt;rotation:-2013071fd;z-index:251718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" fillcolor="#d9d9d6" stroked="f" strokeweight="2pt">
              <v:fill opacity="52428f"/>
              <v:textbox>
                <w:txbxContent>
                  <w:p w:rsidR="00F3704E" w:rsidRDefault="00F3704E" w:rsidP="00302EA4">
                    <w:pPr>
                      <w:jc w:val="center"/>
                    </w:pPr>
                  </w:p>
                </w:txbxContent>
              </v:textbox>
            </v:rect>
          </w:pict>
        </mc:Fallback>
      </mc:AlternateContent>
    </w:r>
  </w:p>
  <w:p w:rsidR="00FE6A81" w:rsidRDefault="00FE6A81" w:rsidP="00F24998">
    <w:pPr>
      <w:pStyle w:val="Footer"/>
    </w:pPr>
    <w:r>
      <w:t>P</w:t>
    </w:r>
    <w:r w:rsidRPr="00BE3677">
      <w:t xml:space="preserve">age </w:t>
    </w:r>
    <w:r w:rsidRPr="00BE3677">
      <w:fldChar w:fldCharType="begin"/>
    </w:r>
    <w:r w:rsidRPr="00BE3677">
      <w:instrText xml:space="preserve"> page </w:instrText>
    </w:r>
    <w:r w:rsidRPr="00BE3677">
      <w:fldChar w:fldCharType="separate"/>
    </w:r>
    <w:r w:rsidR="00FD760D">
      <w:t>2</w:t>
    </w:r>
    <w:r w:rsidRPr="00BE3677">
      <w:fldChar w:fldCharType="end"/>
    </w:r>
  </w:p>
  <w:p w:rsidR="00395879" w:rsidRPr="002D235A" w:rsidRDefault="00FE6A81" w:rsidP="00F24998">
    <w:pPr>
      <w:pStyle w:val="Footer"/>
    </w:pPr>
    <w:r>
      <w:t>Accounting pol</w:t>
    </w:r>
    <w:r w:rsidR="00F24998">
      <w:t xml:space="preserve">icy update, Newsletter – Edition </w:t>
    </w:r>
    <w:r>
      <w:t>No. 29, January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5A" w:rsidRDefault="00D867AD" w:rsidP="002D235A">
    <w:r>
      <w:rPr>
        <w:noProof/>
      </w:rPr>
      <w:drawing>
        <wp:anchor distT="0" distB="0" distL="114300" distR="114300" simplePos="0" relativeHeight="251720191" behindDoc="0" locked="0" layoutInCell="1" allowOverlap="1" wp14:anchorId="4511067D" wp14:editId="3932B5FD">
          <wp:simplePos x="0" y="0"/>
          <wp:positionH relativeFrom="column">
            <wp:posOffset>5093335</wp:posOffset>
          </wp:positionH>
          <wp:positionV relativeFrom="paragraph">
            <wp:posOffset>-126365</wp:posOffset>
          </wp:positionV>
          <wp:extent cx="1537335" cy="4572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335" cy="457200"/>
                  </a:xfrm>
                  <a:prstGeom prst="rect">
                    <a:avLst/>
                  </a:prstGeom>
                </pic:spPr>
              </pic:pic>
            </a:graphicData>
          </a:graphic>
          <wp14:sizeRelH relativeFrom="page">
            <wp14:pctWidth>0</wp14:pctWidth>
          </wp14:sizeRelH>
          <wp14:sizeRelV relativeFrom="page">
            <wp14:pctHeight>0</wp14:pctHeight>
          </wp14:sizeRelV>
        </wp:anchor>
      </w:drawing>
    </w:r>
  </w:p>
  <w:p w:rsidR="00395879" w:rsidRDefault="00395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923" w:rsidRDefault="007B5923" w:rsidP="002620A4">
      <w:pPr>
        <w:spacing w:after="0"/>
      </w:pPr>
      <w:r>
        <w:separator/>
      </w:r>
    </w:p>
  </w:footnote>
  <w:footnote w:type="continuationSeparator" w:id="0">
    <w:p w:rsidR="007B5923" w:rsidRDefault="007B5923" w:rsidP="002620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A6" w:rsidRDefault="00804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79" w:rsidRDefault="00395879" w:rsidP="00C3131C">
    <w:pPr>
      <w:pStyle w:val="Header"/>
      <w:ind w:right="41"/>
      <w:jc w:val="right"/>
    </w:pPr>
  </w:p>
  <w:p w:rsidR="00395879" w:rsidRDefault="00395879" w:rsidP="00C313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879" w:rsidRDefault="002D235A" w:rsidP="00C3131C">
    <w:pPr>
      <w:pStyle w:val="Header"/>
      <w:ind w:right="41"/>
      <w:jc w:val="right"/>
    </w:pPr>
    <w:r>
      <w:rPr>
        <w:noProof/>
      </w:rPr>
      <mc:AlternateContent>
        <mc:Choice Requires="wps">
          <w:drawing>
            <wp:anchor distT="0" distB="0" distL="114300" distR="114300" simplePos="0" relativeHeight="251702399" behindDoc="0" locked="0" layoutInCell="1" allowOverlap="1" wp14:anchorId="2749329F" wp14:editId="3E27CCD0">
              <wp:simplePos x="0" y="0"/>
              <wp:positionH relativeFrom="column">
                <wp:posOffset>170148</wp:posOffset>
              </wp:positionH>
              <wp:positionV relativeFrom="paragraph">
                <wp:posOffset>-926966</wp:posOffset>
              </wp:positionV>
              <wp:extent cx="1578212" cy="3041015"/>
              <wp:effectExtent l="609600" t="209550" r="593725" b="197485"/>
              <wp:wrapNone/>
              <wp:docPr id="3" name="Rectangle 3"/>
              <wp:cNvGraphicFramePr/>
              <a:graphic xmlns:a="http://schemas.openxmlformats.org/drawingml/2006/main">
                <a:graphicData uri="http://schemas.microsoft.com/office/word/2010/wordprocessingShape">
                  <wps:wsp>
                    <wps:cNvSpPr/>
                    <wps:spPr>
                      <a:xfrm rot="20015751">
                        <a:off x="0" y="0"/>
                        <a:ext cx="1578212" cy="3041015"/>
                      </a:xfrm>
                      <a:prstGeom prst="rect">
                        <a:avLst/>
                      </a:prstGeom>
                      <a:solidFill>
                        <a:srgbClr val="53565A">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235A" w:rsidRDefault="002D235A" w:rsidP="002D2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3.4pt;margin-top:-73pt;width:124.25pt;height:239.45pt;rotation:-1730422fd;z-index:251702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" fillcolor="#53565a" stroked="f" strokeweight="2pt">
              <v:fill opacity="32896f"/>
              <v:textbox>
                <w:txbxContent>
                  <w:p w:rsidR="002D235A" w:rsidRDefault="002D235A" w:rsidP="002D235A">
                    <w:pPr>
                      <w:jc w:val="center"/>
                    </w:pPr>
                  </w:p>
                </w:txbxContent>
              </v:textbox>
            </v:rect>
          </w:pict>
        </mc:Fallback>
      </mc:AlternateContent>
    </w:r>
    <w:r w:rsidR="0004107E">
      <w:rPr>
        <w:noProof/>
      </w:rPr>
      <mc:AlternateContent>
        <mc:Choice Requires="wps">
          <w:drawing>
            <wp:anchor distT="0" distB="0" distL="114300" distR="114300" simplePos="0" relativeHeight="251698176" behindDoc="0" locked="0" layoutInCell="1" allowOverlap="1" wp14:anchorId="17E9133E" wp14:editId="6393F688">
              <wp:simplePos x="0" y="0"/>
              <wp:positionH relativeFrom="column">
                <wp:posOffset>-450215</wp:posOffset>
              </wp:positionH>
              <wp:positionV relativeFrom="paragraph">
                <wp:posOffset>-356235</wp:posOffset>
              </wp:positionV>
              <wp:extent cx="7574280" cy="1800225"/>
              <wp:effectExtent l="0" t="0" r="7620" b="9525"/>
              <wp:wrapNone/>
              <wp:docPr id="9" name="Rectangle 9"/>
              <wp:cNvGraphicFramePr/>
              <a:graphic xmlns:a="http://schemas.openxmlformats.org/drawingml/2006/main">
                <a:graphicData uri="http://schemas.microsoft.com/office/word/2010/wordprocessingShape">
                  <wps:wsp>
                    <wps:cNvSpPr/>
                    <wps:spPr>
                      <a:xfrm>
                        <a:off x="0" y="0"/>
                        <a:ext cx="7574280" cy="1800225"/>
                      </a:xfrm>
                      <a:prstGeom prst="rect">
                        <a:avLst/>
                      </a:prstGeom>
                      <a:solidFill>
                        <a:srgbClr val="D9D9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5.45pt;margin-top:-28.05pt;width:596.4pt;height:14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" fillcolor="#d9d9d6" stroked="f" strokeweight="2pt"/>
          </w:pict>
        </mc:Fallback>
      </mc:AlternateContent>
    </w:r>
    <w:r w:rsidR="0004107E">
      <w:rPr>
        <w:noProof/>
      </w:rPr>
      <mc:AlternateContent>
        <mc:Choice Requires="wps">
          <w:drawing>
            <wp:anchor distT="0" distB="0" distL="114300" distR="114300" simplePos="0" relativeHeight="251700224" behindDoc="0" locked="0" layoutInCell="1" allowOverlap="1" wp14:anchorId="3E65A469" wp14:editId="5C61244A">
              <wp:simplePos x="0" y="0"/>
              <wp:positionH relativeFrom="column">
                <wp:posOffset>-705997</wp:posOffset>
              </wp:positionH>
              <wp:positionV relativeFrom="paragraph">
                <wp:posOffset>-1146901</wp:posOffset>
              </wp:positionV>
              <wp:extent cx="2504097" cy="3041015"/>
              <wp:effectExtent l="552450" t="400050" r="525145" b="407035"/>
              <wp:wrapNone/>
              <wp:docPr id="10" name="Rectangle 10"/>
              <wp:cNvGraphicFramePr/>
              <a:graphic xmlns:a="http://schemas.openxmlformats.org/drawingml/2006/main">
                <a:graphicData uri="http://schemas.microsoft.com/office/word/2010/wordprocessingShape">
                  <wps:wsp>
                    <wps:cNvSpPr/>
                    <wps:spPr>
                      <a:xfrm rot="1546663">
                        <a:off x="0" y="0"/>
                        <a:ext cx="2504097" cy="3041015"/>
                      </a:xfrm>
                      <a:prstGeom prst="rect">
                        <a:avLst/>
                      </a:prstGeom>
                      <a:solidFill>
                        <a:srgbClr val="201547">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107E" w:rsidRDefault="0004107E" w:rsidP="000410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9" style="position:absolute;left:0;text-align:left;margin-left:-55.6pt;margin-top:-90.3pt;width:197.15pt;height:239.45pt;rotation:168936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" fillcolor="#201547" stroked="f" strokeweight="2pt">
              <v:fill opacity="52428f"/>
              <v:textbox>
                <w:txbxContent>
                  <w:p w:rsidR="0004107E" w:rsidRDefault="0004107E" w:rsidP="0004107E">
                    <w:pPr>
                      <w:jc w:val="center"/>
                    </w:pPr>
                  </w:p>
                </w:txbxContent>
              </v:textbox>
            </v:rect>
          </w:pict>
        </mc:Fallback>
      </mc:AlternateContent>
    </w:r>
    <w:r w:rsidR="00395879">
      <w:rPr>
        <w:noProof/>
      </w:rPr>
      <mc:AlternateContent>
        <mc:Choice Requires="wps">
          <w:drawing>
            <wp:anchor distT="0" distB="0" distL="114300" distR="114300" simplePos="0" relativeHeight="251702783" behindDoc="0" locked="1" layoutInCell="1" allowOverlap="1" wp14:anchorId="15BA040D" wp14:editId="1C3A200C">
              <wp:simplePos x="0" y="0"/>
              <wp:positionH relativeFrom="page">
                <wp:posOffset>2674620</wp:posOffset>
              </wp:positionH>
              <wp:positionV relativeFrom="page">
                <wp:posOffset>579755</wp:posOffset>
              </wp:positionV>
              <wp:extent cx="4803775" cy="968375"/>
              <wp:effectExtent l="0" t="0" r="15875"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95879" w:rsidRPr="005C12CC" w:rsidRDefault="00395879" w:rsidP="005C12CC">
                          <w:pPr>
                            <w:pStyle w:val="Title"/>
                          </w:pPr>
                          <w:r w:rsidRPr="005C12CC">
                            <w:t>Accounting policy update</w:t>
                          </w:r>
                        </w:p>
                        <w:p w:rsidR="00395879" w:rsidRPr="001C38C1" w:rsidRDefault="00395879" w:rsidP="00DF2401">
                          <w:pPr>
                            <w:pStyle w:val="Subtitle"/>
                          </w:pPr>
                          <w:r>
                            <w:t>Newsletter – Edition No. 29, January</w:t>
                          </w:r>
                          <w:r w:rsidRPr="001C38C1">
                            <w:t xml:space="preserve"> </w:t>
                          </w:r>
                          <w:r>
                            <w:t>2016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left:0;text-align:left;margin-left:210.6pt;margin-top:45.65pt;width:378.25pt;height:76.25pt;z-index:251702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srwIAALA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" filled="f" stroked="f" strokeweight=".5pt">
              <v:textbox inset="0,0,0,0">
                <w:txbxContent>
                  <w:p w:rsidR="00395879" w:rsidRPr="005C12CC" w:rsidRDefault="00395879" w:rsidP="005C12CC">
                    <w:pPr>
                      <w:pStyle w:val="Title"/>
                    </w:pPr>
                    <w:r w:rsidRPr="005C12CC">
                      <w:t>Accounting policy update</w:t>
                    </w:r>
                  </w:p>
                  <w:p w:rsidR="00395879" w:rsidRPr="001C38C1" w:rsidRDefault="00395879" w:rsidP="00DF2401">
                    <w:pPr>
                      <w:pStyle w:val="Subtitle"/>
                    </w:pPr>
                    <w:r>
                      <w:t>Newsletter – Edition No. 29, January</w:t>
                    </w:r>
                    <w:r w:rsidRPr="001C38C1">
                      <w:t xml:space="preserve"> </w:t>
                    </w:r>
                    <w:r>
                      <w:t>2016</w:t>
                    </w:r>
                  </w:p>
                </w:txbxContent>
              </v:textbox>
              <w10:wrap anchorx="page" anchory="page"/>
              <w10:anchorlock/>
            </v:shape>
          </w:pict>
        </mc:Fallback>
      </mc:AlternateContent>
    </w:r>
  </w:p>
  <w:p w:rsidR="00395879" w:rsidRDefault="002D235A" w:rsidP="00C3131C">
    <w:pPr>
      <w:pStyle w:val="Header"/>
    </w:pPr>
    <w:r>
      <w:rPr>
        <w:noProof/>
      </w:rPr>
      <mc:AlternateContent>
        <mc:Choice Requires="wps">
          <w:drawing>
            <wp:anchor distT="0" distB="0" distL="114300" distR="114300" simplePos="0" relativeHeight="251702462" behindDoc="0" locked="0" layoutInCell="1" allowOverlap="1" wp14:anchorId="7CEC1E1C" wp14:editId="094C0964">
              <wp:simplePos x="0" y="0"/>
              <wp:positionH relativeFrom="column">
                <wp:posOffset>274002</wp:posOffset>
              </wp:positionH>
              <wp:positionV relativeFrom="paragraph">
                <wp:posOffset>27623</wp:posOffset>
              </wp:positionV>
              <wp:extent cx="951865" cy="3352800"/>
              <wp:effectExtent l="0" t="317" r="317" b="318"/>
              <wp:wrapNone/>
              <wp:docPr id="12" name="Rectangle 12"/>
              <wp:cNvGraphicFramePr/>
              <a:graphic xmlns:a="http://schemas.openxmlformats.org/drawingml/2006/main">
                <a:graphicData uri="http://schemas.microsoft.com/office/word/2010/wordprocessingShape">
                  <wps:wsp>
                    <wps:cNvSpPr/>
                    <wps:spPr>
                      <a:xfrm rot="5400000">
                        <a:off x="0" y="0"/>
                        <a:ext cx="951865" cy="3352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107E" w:rsidRDefault="0004107E" w:rsidP="0004107E">
                          <w:pPr>
                            <w:jc w:val="center"/>
                          </w:pPr>
                          <w:r>
                            <w:t>`</w:t>
                          </w:r>
                        </w:p>
                        <w:p w:rsidR="0004107E" w:rsidRDefault="0004107E" w:rsidP="000410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1" style="position:absolute;margin-left:21.55pt;margin-top:2.2pt;width:74.95pt;height:264pt;rotation:90;z-index:251702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" fillcolor="white [3212]" stroked="f" strokeweight="2pt">
              <v:textbox>
                <w:txbxContent>
                  <w:p w:rsidR="0004107E" w:rsidRDefault="0004107E" w:rsidP="0004107E">
                    <w:pPr>
                      <w:jc w:val="center"/>
                    </w:pPr>
                    <w:r>
                      <w:t>`</w:t>
                    </w:r>
                  </w:p>
                  <w:p w:rsidR="0004107E" w:rsidRDefault="0004107E" w:rsidP="0004107E">
                    <w:pPr>
                      <w:jc w:val="center"/>
                    </w:pPr>
                  </w:p>
                </w:txbxContent>
              </v:textbox>
            </v:rect>
          </w:pict>
        </mc:Fallback>
      </mc:AlternateContent>
    </w:r>
  </w:p>
  <w:p w:rsidR="00395879" w:rsidRDefault="00395879" w:rsidP="00C3131C">
    <w:pPr>
      <w:pStyle w:val="Header"/>
    </w:pPr>
  </w:p>
  <w:p w:rsidR="00395879" w:rsidRPr="00C3131C" w:rsidRDefault="00395879" w:rsidP="00C313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F3" w:rsidRDefault="00C01CF3" w:rsidP="00C3131C">
    <w:pPr>
      <w:pStyle w:val="Header"/>
      <w:ind w:right="41"/>
      <w:jc w:val="right"/>
    </w:pPr>
    <w:r>
      <w:rPr>
        <w:noProof/>
      </w:rPr>
      <mc:AlternateContent>
        <mc:Choice Requires="wps">
          <w:drawing>
            <wp:anchor distT="0" distB="0" distL="114300" distR="114300" simplePos="0" relativeHeight="251724287" behindDoc="0" locked="0" layoutInCell="1" allowOverlap="1" wp14:anchorId="129829C6" wp14:editId="7287393D">
              <wp:simplePos x="0" y="0"/>
              <wp:positionH relativeFrom="column">
                <wp:posOffset>170148</wp:posOffset>
              </wp:positionH>
              <wp:positionV relativeFrom="paragraph">
                <wp:posOffset>-926966</wp:posOffset>
              </wp:positionV>
              <wp:extent cx="1578212" cy="3041015"/>
              <wp:effectExtent l="609600" t="209550" r="593725" b="197485"/>
              <wp:wrapNone/>
              <wp:docPr id="6" name="Rectangle 6"/>
              <wp:cNvGraphicFramePr/>
              <a:graphic xmlns:a="http://schemas.openxmlformats.org/drawingml/2006/main">
                <a:graphicData uri="http://schemas.microsoft.com/office/word/2010/wordprocessingShape">
                  <wps:wsp>
                    <wps:cNvSpPr/>
                    <wps:spPr>
                      <a:xfrm rot="20015751">
                        <a:off x="0" y="0"/>
                        <a:ext cx="1578212" cy="3041015"/>
                      </a:xfrm>
                      <a:prstGeom prst="rect">
                        <a:avLst/>
                      </a:prstGeom>
                      <a:solidFill>
                        <a:srgbClr val="53565A">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CF3" w:rsidRDefault="00C01CF3" w:rsidP="002D23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13.4pt;margin-top:-73pt;width:124.25pt;height:239.45pt;rotation:-1730422fd;z-index:251724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" fillcolor="#53565a" stroked="f" strokeweight="2pt">
              <v:fill opacity="32896f"/>
              <v:textbox>
                <w:txbxContent>
                  <w:p w:rsidR="00C01CF3" w:rsidRDefault="00C01CF3" w:rsidP="002D235A">
                    <w:pPr>
                      <w:jc w:val="center"/>
                    </w:pPr>
                  </w:p>
                </w:txbxContent>
              </v:textbox>
            </v:rect>
          </w:pict>
        </mc:Fallback>
      </mc:AlternateContent>
    </w:r>
    <w:r>
      <w:rPr>
        <w:noProof/>
      </w:rPr>
      <mc:AlternateContent>
        <mc:Choice Requires="wps">
          <w:drawing>
            <wp:anchor distT="0" distB="0" distL="114300" distR="114300" simplePos="0" relativeHeight="251722239" behindDoc="0" locked="0" layoutInCell="1" allowOverlap="1" wp14:anchorId="48ABCEB9" wp14:editId="022668E6">
              <wp:simplePos x="0" y="0"/>
              <wp:positionH relativeFrom="column">
                <wp:posOffset>-450215</wp:posOffset>
              </wp:positionH>
              <wp:positionV relativeFrom="paragraph">
                <wp:posOffset>-356235</wp:posOffset>
              </wp:positionV>
              <wp:extent cx="7574280" cy="1800225"/>
              <wp:effectExtent l="0" t="0" r="7620" b="9525"/>
              <wp:wrapNone/>
              <wp:docPr id="8" name="Rectangle 8"/>
              <wp:cNvGraphicFramePr/>
              <a:graphic xmlns:a="http://schemas.openxmlformats.org/drawingml/2006/main">
                <a:graphicData uri="http://schemas.microsoft.com/office/word/2010/wordprocessingShape">
                  <wps:wsp>
                    <wps:cNvSpPr/>
                    <wps:spPr>
                      <a:xfrm>
                        <a:off x="0" y="0"/>
                        <a:ext cx="7574280" cy="1800225"/>
                      </a:xfrm>
                      <a:prstGeom prst="rect">
                        <a:avLst/>
                      </a:prstGeom>
                      <a:solidFill>
                        <a:srgbClr val="D9D9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35.45pt;margin-top:-28.05pt;width:596.4pt;height:141.75pt;z-index:251722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" fillcolor="#d9d9d6" stroked="f" strokeweight="2pt"/>
          </w:pict>
        </mc:Fallback>
      </mc:AlternateContent>
    </w:r>
    <w:r>
      <w:rPr>
        <w:noProof/>
      </w:rPr>
      <mc:AlternateContent>
        <mc:Choice Requires="wps">
          <w:drawing>
            <wp:anchor distT="0" distB="0" distL="114300" distR="114300" simplePos="0" relativeHeight="251723263" behindDoc="0" locked="0" layoutInCell="1" allowOverlap="1" wp14:anchorId="1693034B" wp14:editId="20F20F85">
              <wp:simplePos x="0" y="0"/>
              <wp:positionH relativeFrom="column">
                <wp:posOffset>-705997</wp:posOffset>
              </wp:positionH>
              <wp:positionV relativeFrom="paragraph">
                <wp:posOffset>-1146901</wp:posOffset>
              </wp:positionV>
              <wp:extent cx="2504097" cy="3041015"/>
              <wp:effectExtent l="552450" t="400050" r="525145" b="407035"/>
              <wp:wrapNone/>
              <wp:docPr id="11" name="Rectangle 11"/>
              <wp:cNvGraphicFramePr/>
              <a:graphic xmlns:a="http://schemas.openxmlformats.org/drawingml/2006/main">
                <a:graphicData uri="http://schemas.microsoft.com/office/word/2010/wordprocessingShape">
                  <wps:wsp>
                    <wps:cNvSpPr/>
                    <wps:spPr>
                      <a:xfrm rot="1546663">
                        <a:off x="0" y="0"/>
                        <a:ext cx="2504097" cy="3041015"/>
                      </a:xfrm>
                      <a:prstGeom prst="rect">
                        <a:avLst/>
                      </a:prstGeom>
                      <a:solidFill>
                        <a:srgbClr val="201547">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CF3" w:rsidRDefault="00C01CF3" w:rsidP="000410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55.6pt;margin-top:-90.3pt;width:197.15pt;height:239.45pt;rotation:1689368fd;z-index:251723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" fillcolor="#201547" stroked="f" strokeweight="2pt">
              <v:fill opacity="52428f"/>
              <v:textbox>
                <w:txbxContent>
                  <w:p w:rsidR="00C01CF3" w:rsidRDefault="00C01CF3" w:rsidP="0004107E">
                    <w:pPr>
                      <w:jc w:val="center"/>
                    </w:pPr>
                  </w:p>
                </w:txbxContent>
              </v:textbox>
            </v:rect>
          </w:pict>
        </mc:Fallback>
      </mc:AlternateContent>
    </w:r>
    <w:r>
      <w:rPr>
        <w:noProof/>
      </w:rPr>
      <mc:AlternateContent>
        <mc:Choice Requires="wps">
          <w:drawing>
            <wp:anchor distT="0" distB="0" distL="114300" distR="114300" simplePos="0" relativeHeight="251726335" behindDoc="0" locked="1" layoutInCell="1" allowOverlap="1" wp14:anchorId="014A1F70" wp14:editId="13A4AF0F">
              <wp:simplePos x="0" y="0"/>
              <wp:positionH relativeFrom="page">
                <wp:posOffset>2674620</wp:posOffset>
              </wp:positionH>
              <wp:positionV relativeFrom="page">
                <wp:posOffset>579755</wp:posOffset>
              </wp:positionV>
              <wp:extent cx="4803775" cy="968375"/>
              <wp:effectExtent l="0" t="0" r="15875" b="31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1CF3" w:rsidRPr="005C12CC" w:rsidRDefault="00C01CF3" w:rsidP="005C12CC">
                          <w:pPr>
                            <w:pStyle w:val="Title"/>
                          </w:pPr>
                          <w:r w:rsidRPr="005C12CC">
                            <w:t>Accounting policy update</w:t>
                          </w:r>
                        </w:p>
                        <w:p w:rsidR="00C01CF3" w:rsidRPr="001C38C1" w:rsidRDefault="00C01CF3" w:rsidP="00DF2401">
                          <w:pPr>
                            <w:pStyle w:val="Subtitle"/>
                          </w:pPr>
                          <w:r>
                            <w:t>Newsletter – Edition No. 29, January</w:t>
                          </w:r>
                          <w:r w:rsidRPr="001C38C1">
                            <w:t xml:space="preserve"> </w:t>
                          </w:r>
                          <w:r>
                            <w:t>2016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10.6pt;margin-top:45.65pt;width:378.25pt;height:76.25pt;z-index:251726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Jd5sAIAALE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" filled="f" stroked="f" strokeweight=".5pt">
              <v:textbox inset="0,0,0,0">
                <w:txbxContent>
                  <w:p w:rsidR="00C01CF3" w:rsidRPr="005C12CC" w:rsidRDefault="00C01CF3" w:rsidP="005C12CC">
                    <w:pPr>
                      <w:pStyle w:val="Title"/>
                    </w:pPr>
                    <w:r w:rsidRPr="005C12CC">
                      <w:t>Accounting policy update</w:t>
                    </w:r>
                  </w:p>
                  <w:p w:rsidR="00C01CF3" w:rsidRPr="001C38C1" w:rsidRDefault="00C01CF3" w:rsidP="00DF2401">
                    <w:pPr>
                      <w:pStyle w:val="Subtitle"/>
                    </w:pPr>
                    <w:r>
                      <w:t>Newsletter – Edition No. 29, January</w:t>
                    </w:r>
                    <w:r w:rsidRPr="001C38C1">
                      <w:t xml:space="preserve"> </w:t>
                    </w:r>
                    <w:r>
                      <w:t>2016</w:t>
                    </w:r>
                  </w:p>
                </w:txbxContent>
              </v:textbox>
              <w10:wrap anchorx="page" anchory="page"/>
              <w10:anchorlock/>
            </v:shape>
          </w:pict>
        </mc:Fallback>
      </mc:AlternateContent>
    </w:r>
  </w:p>
  <w:p w:rsidR="00C01CF3" w:rsidRDefault="00C01CF3" w:rsidP="00C3131C">
    <w:pPr>
      <w:pStyle w:val="Header"/>
    </w:pPr>
    <w:r>
      <w:rPr>
        <w:noProof/>
      </w:rPr>
      <mc:AlternateContent>
        <mc:Choice Requires="wps">
          <w:drawing>
            <wp:anchor distT="0" distB="0" distL="114300" distR="114300" simplePos="0" relativeHeight="251725311" behindDoc="0" locked="0" layoutInCell="1" allowOverlap="1" wp14:anchorId="2FDC7BBD" wp14:editId="3883C3DC">
              <wp:simplePos x="0" y="0"/>
              <wp:positionH relativeFrom="column">
                <wp:posOffset>274002</wp:posOffset>
              </wp:positionH>
              <wp:positionV relativeFrom="paragraph">
                <wp:posOffset>27623</wp:posOffset>
              </wp:positionV>
              <wp:extent cx="951865" cy="3352800"/>
              <wp:effectExtent l="0" t="317" r="317" b="318"/>
              <wp:wrapNone/>
              <wp:docPr id="14" name="Rectangle 14"/>
              <wp:cNvGraphicFramePr/>
              <a:graphic xmlns:a="http://schemas.openxmlformats.org/drawingml/2006/main">
                <a:graphicData uri="http://schemas.microsoft.com/office/word/2010/wordprocessingShape">
                  <wps:wsp>
                    <wps:cNvSpPr/>
                    <wps:spPr>
                      <a:xfrm rot="5400000">
                        <a:off x="0" y="0"/>
                        <a:ext cx="951865" cy="3352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1CF3" w:rsidRDefault="00C01CF3" w:rsidP="0004107E">
                          <w:pPr>
                            <w:jc w:val="center"/>
                          </w:pPr>
                          <w:r>
                            <w:t>`</w:t>
                          </w:r>
                        </w:p>
                        <w:p w:rsidR="00C01CF3" w:rsidRDefault="00C01CF3" w:rsidP="000410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5" style="position:absolute;margin-left:21.55pt;margin-top:2.2pt;width:74.95pt;height:264pt;rotation:90;z-index:251725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" fillcolor="white [3212]" stroked="f" strokeweight="2pt">
              <v:textbox>
                <w:txbxContent>
                  <w:p w:rsidR="00C01CF3" w:rsidRDefault="00C01CF3" w:rsidP="0004107E">
                    <w:pPr>
                      <w:jc w:val="center"/>
                    </w:pPr>
                    <w:r>
                      <w:t>`</w:t>
                    </w:r>
                  </w:p>
                  <w:p w:rsidR="00C01CF3" w:rsidRDefault="00C01CF3" w:rsidP="0004107E">
                    <w:pPr>
                      <w:jc w:val="center"/>
                    </w:pPr>
                  </w:p>
                </w:txbxContent>
              </v:textbox>
            </v:rect>
          </w:pict>
        </mc:Fallback>
      </mc:AlternateContent>
    </w:r>
  </w:p>
  <w:p w:rsidR="00C01CF3" w:rsidRDefault="00C01CF3" w:rsidP="00C3131C">
    <w:pPr>
      <w:pStyle w:val="Header"/>
    </w:pPr>
  </w:p>
  <w:p w:rsidR="00C01CF3" w:rsidRPr="00C3131C" w:rsidRDefault="00C01CF3" w:rsidP="00C31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F6549E"/>
    <w:lvl w:ilvl="0">
      <w:numFmt w:val="bullet"/>
      <w:lvlText w:val="*"/>
      <w:lvlJc w:val="left"/>
    </w:lvl>
  </w:abstractNum>
  <w:abstractNum w:abstractNumId="1">
    <w:nsid w:val="24CE26AB"/>
    <w:multiLevelType w:val="multilevel"/>
    <w:tmpl w:val="D7709B78"/>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
    <w:nsid w:val="446D3A6A"/>
    <w:multiLevelType w:val="multilevel"/>
    <w:tmpl w:val="CA42BB1A"/>
    <w:lvl w:ilvl="0">
      <w:start w:val="1"/>
      <w:numFmt w:val="bullet"/>
      <w:pStyle w:val="NewsletterBullet1"/>
      <w:lvlText w:val=""/>
      <w:lvlJc w:val="left"/>
      <w:pPr>
        <w:tabs>
          <w:tab w:val="num" w:pos="283"/>
        </w:tabs>
        <w:ind w:left="283" w:hanging="283"/>
      </w:pPr>
      <w:rPr>
        <w:rFonts w:ascii="Symbol" w:hAnsi="Symbol" w:hint="default"/>
        <w:b w:val="0"/>
        <w:i w:val="0"/>
        <w:vanish w:val="0"/>
        <w:color w:val="auto"/>
        <w:sz w:val="18"/>
      </w:rPr>
    </w:lvl>
    <w:lvl w:ilvl="1">
      <w:start w:val="1"/>
      <w:numFmt w:val="bullet"/>
      <w:pStyle w:val="NewsletterBullet2"/>
      <w:lvlText w:val="–"/>
      <w:lvlJc w:val="left"/>
      <w:pPr>
        <w:tabs>
          <w:tab w:val="num" w:pos="567"/>
        </w:tabs>
        <w:ind w:left="567" w:hanging="284"/>
      </w:pPr>
      <w:rPr>
        <w:rFonts w:ascii="Calibri" w:hAnsi="Calibri" w:hint="default"/>
        <w:b w:val="0"/>
        <w:i w:val="0"/>
        <w:vanish w:val="0"/>
        <w:color w:val="auto"/>
        <w:sz w:val="18"/>
      </w:rPr>
    </w:lvl>
    <w:lvl w:ilvl="2">
      <w:start w:val="1"/>
      <w:numFmt w:val="bullet"/>
      <w:pStyle w:val="NewsletterBullet3"/>
      <w:lvlText w:val=""/>
      <w:lvlJc w:val="left"/>
      <w:pPr>
        <w:tabs>
          <w:tab w:val="num" w:pos="850"/>
        </w:tabs>
        <w:ind w:left="850" w:hanging="283"/>
      </w:pPr>
      <w:rPr>
        <w:rFonts w:ascii="Symbol" w:hAnsi="Symbol" w:hint="default"/>
        <w:b w:val="0"/>
        <w:i w:val="0"/>
        <w:vanish w:val="0"/>
        <w:color w:val="auto"/>
        <w:sz w:val="18"/>
      </w:rPr>
    </w:lvl>
    <w:lvl w:ilvl="3">
      <w:start w:val="1"/>
      <w:numFmt w:val="bullet"/>
      <w:lvlText w:val=""/>
      <w:lvlJc w:val="left"/>
      <w:pPr>
        <w:tabs>
          <w:tab w:val="num" w:pos="1134"/>
        </w:tabs>
        <w:ind w:left="1134" w:hanging="284"/>
      </w:pPr>
      <w:rPr>
        <w:rFonts w:ascii="Symbol" w:hAnsi="Symbol" w:hint="default"/>
        <w:b w:val="0"/>
        <w:i w:val="0"/>
        <w:vanish w:val="0"/>
        <w:color w:val="auto"/>
        <w:sz w:val="18"/>
      </w:rPr>
    </w:lvl>
    <w:lvl w:ilvl="4">
      <w:start w:val="1"/>
      <w:numFmt w:val="bullet"/>
      <w:lvlText w:val=""/>
      <w:lvlJc w:val="left"/>
      <w:pPr>
        <w:tabs>
          <w:tab w:val="num" w:pos="1417"/>
        </w:tabs>
        <w:ind w:left="1417" w:hanging="283"/>
      </w:pPr>
      <w:rPr>
        <w:rFonts w:ascii="Symbol" w:hAnsi="Symbol" w:hint="default"/>
        <w:b w:val="0"/>
        <w:i w:val="0"/>
        <w:vanish w:val="0"/>
        <w:color w:val="auto"/>
        <w:sz w:val="18"/>
      </w:rPr>
    </w:lvl>
    <w:lvl w:ilvl="5">
      <w:start w:val="1"/>
      <w:numFmt w:val="bullet"/>
      <w:lvlText w:val=""/>
      <w:lvlJc w:val="left"/>
      <w:pPr>
        <w:tabs>
          <w:tab w:val="num" w:pos="1701"/>
        </w:tabs>
        <w:ind w:left="1701" w:hanging="284"/>
      </w:pPr>
      <w:rPr>
        <w:rFonts w:ascii="Symbol" w:hAnsi="Symbol" w:hint="default"/>
        <w:b w:val="0"/>
        <w:i w:val="0"/>
        <w:vanish w:val="0"/>
        <w:color w:val="auto"/>
        <w:sz w:val="18"/>
      </w:rPr>
    </w:lvl>
    <w:lvl w:ilvl="6">
      <w:start w:val="1"/>
      <w:numFmt w:val="bullet"/>
      <w:lvlText w:val=""/>
      <w:lvlJc w:val="left"/>
      <w:pPr>
        <w:tabs>
          <w:tab w:val="num" w:pos="1984"/>
        </w:tabs>
        <w:ind w:left="1984" w:hanging="283"/>
      </w:pPr>
      <w:rPr>
        <w:rFonts w:ascii="Symbol" w:hAnsi="Symbol" w:hint="default"/>
        <w:b w:val="0"/>
        <w:i w:val="0"/>
        <w:vanish w:val="0"/>
        <w:color w:val="auto"/>
        <w:sz w:val="18"/>
      </w:rPr>
    </w:lvl>
    <w:lvl w:ilvl="7">
      <w:start w:val="1"/>
      <w:numFmt w:val="bullet"/>
      <w:lvlText w:val=""/>
      <w:lvlJc w:val="left"/>
      <w:pPr>
        <w:tabs>
          <w:tab w:val="num" w:pos="2268"/>
        </w:tabs>
        <w:ind w:left="2268" w:hanging="284"/>
      </w:pPr>
      <w:rPr>
        <w:rFonts w:ascii="Symbol" w:hAnsi="Symbol" w:hint="default"/>
        <w:b w:val="0"/>
        <w:i w:val="0"/>
        <w:vanish w:val="0"/>
        <w:color w:val="auto"/>
        <w:sz w:val="18"/>
      </w:rPr>
    </w:lvl>
    <w:lvl w:ilvl="8">
      <w:start w:val="1"/>
      <w:numFmt w:val="bullet"/>
      <w:lvlText w:val=""/>
      <w:lvlJc w:val="left"/>
      <w:pPr>
        <w:tabs>
          <w:tab w:val="num" w:pos="2551"/>
        </w:tabs>
        <w:ind w:left="2551" w:hanging="283"/>
      </w:pPr>
      <w:rPr>
        <w:rFonts w:ascii="Symbol" w:hAnsi="Symbol" w:hint="default"/>
        <w:b w:val="0"/>
        <w:i w:val="0"/>
        <w:vanish w:val="0"/>
        <w:color w:val="auto"/>
        <w:sz w:val="18"/>
      </w:rPr>
    </w:lvl>
  </w:abstractNum>
  <w:abstractNum w:abstractNumId="3">
    <w:nsid w:val="52204C64"/>
    <w:multiLevelType w:val="hybridMultilevel"/>
    <w:tmpl w:val="E066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D457E3"/>
    <w:multiLevelType w:val="multilevel"/>
    <w:tmpl w:val="09AC77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5">
    <w:nsid w:val="75B57864"/>
    <w:multiLevelType w:val="hybridMultilevel"/>
    <w:tmpl w:val="E784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2"/>
  </w:num>
  <w:num w:numId="5">
    <w:abstractNumId w:val="2"/>
  </w:num>
  <w:num w:numId="6">
    <w:abstractNumId w:val="3"/>
  </w:num>
  <w:num w:numId="7">
    <w:abstractNumId w:val="2"/>
  </w:num>
  <w:num w:numId="8">
    <w:abstractNumId w:val="2"/>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2"/>
  </w:num>
  <w:num w:numId="11">
    <w:abstractNumId w:val="4"/>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5C"/>
    <w:rsid w:val="000005BE"/>
    <w:rsid w:val="000014C0"/>
    <w:rsid w:val="00003AB2"/>
    <w:rsid w:val="00004DD1"/>
    <w:rsid w:val="0001142B"/>
    <w:rsid w:val="000117EE"/>
    <w:rsid w:val="00011B1B"/>
    <w:rsid w:val="00011D95"/>
    <w:rsid w:val="0001251B"/>
    <w:rsid w:val="00013019"/>
    <w:rsid w:val="000131C9"/>
    <w:rsid w:val="00014680"/>
    <w:rsid w:val="00015695"/>
    <w:rsid w:val="000156FA"/>
    <w:rsid w:val="00016415"/>
    <w:rsid w:val="000167AB"/>
    <w:rsid w:val="00016C21"/>
    <w:rsid w:val="00020839"/>
    <w:rsid w:val="00022CEB"/>
    <w:rsid w:val="0002693F"/>
    <w:rsid w:val="00037844"/>
    <w:rsid w:val="000402B0"/>
    <w:rsid w:val="0004107E"/>
    <w:rsid w:val="00042C41"/>
    <w:rsid w:val="0004394A"/>
    <w:rsid w:val="00043A0B"/>
    <w:rsid w:val="00045C49"/>
    <w:rsid w:val="000468E5"/>
    <w:rsid w:val="000472F4"/>
    <w:rsid w:val="00047D42"/>
    <w:rsid w:val="00050004"/>
    <w:rsid w:val="00055887"/>
    <w:rsid w:val="000562F7"/>
    <w:rsid w:val="00056E07"/>
    <w:rsid w:val="00057B6D"/>
    <w:rsid w:val="000604D5"/>
    <w:rsid w:val="000622F3"/>
    <w:rsid w:val="00063047"/>
    <w:rsid w:val="00067C51"/>
    <w:rsid w:val="0007073E"/>
    <w:rsid w:val="00070EAC"/>
    <w:rsid w:val="0007116B"/>
    <w:rsid w:val="0007275C"/>
    <w:rsid w:val="00072B77"/>
    <w:rsid w:val="00073066"/>
    <w:rsid w:val="00073142"/>
    <w:rsid w:val="0007519D"/>
    <w:rsid w:val="000755B9"/>
    <w:rsid w:val="00075DAD"/>
    <w:rsid w:val="00076543"/>
    <w:rsid w:val="0008090B"/>
    <w:rsid w:val="00082E95"/>
    <w:rsid w:val="00085F6F"/>
    <w:rsid w:val="000907B3"/>
    <w:rsid w:val="0009397F"/>
    <w:rsid w:val="00095435"/>
    <w:rsid w:val="000A00D6"/>
    <w:rsid w:val="000A227A"/>
    <w:rsid w:val="000A3DD8"/>
    <w:rsid w:val="000A4B72"/>
    <w:rsid w:val="000A5134"/>
    <w:rsid w:val="000A6215"/>
    <w:rsid w:val="000A6242"/>
    <w:rsid w:val="000A6D68"/>
    <w:rsid w:val="000A728F"/>
    <w:rsid w:val="000C149F"/>
    <w:rsid w:val="000C4B14"/>
    <w:rsid w:val="000C4D60"/>
    <w:rsid w:val="000C7C38"/>
    <w:rsid w:val="000C7EBC"/>
    <w:rsid w:val="000D283A"/>
    <w:rsid w:val="000D2D68"/>
    <w:rsid w:val="000D41B1"/>
    <w:rsid w:val="000D507C"/>
    <w:rsid w:val="000D6FE5"/>
    <w:rsid w:val="000D79BA"/>
    <w:rsid w:val="000E1E37"/>
    <w:rsid w:val="000E515D"/>
    <w:rsid w:val="000E5812"/>
    <w:rsid w:val="000F00C5"/>
    <w:rsid w:val="000F39DE"/>
    <w:rsid w:val="000F3DAE"/>
    <w:rsid w:val="000F74EE"/>
    <w:rsid w:val="00101DCF"/>
    <w:rsid w:val="001027E8"/>
    <w:rsid w:val="00102FAB"/>
    <w:rsid w:val="001037CC"/>
    <w:rsid w:val="00104502"/>
    <w:rsid w:val="00107BAE"/>
    <w:rsid w:val="00110880"/>
    <w:rsid w:val="00110B4E"/>
    <w:rsid w:val="00112516"/>
    <w:rsid w:val="0011357F"/>
    <w:rsid w:val="00114693"/>
    <w:rsid w:val="00114B11"/>
    <w:rsid w:val="0011679B"/>
    <w:rsid w:val="00116F0B"/>
    <w:rsid w:val="001172AD"/>
    <w:rsid w:val="001206B4"/>
    <w:rsid w:val="00123B68"/>
    <w:rsid w:val="00124047"/>
    <w:rsid w:val="0012494E"/>
    <w:rsid w:val="001250D0"/>
    <w:rsid w:val="00125ABB"/>
    <w:rsid w:val="00127EE5"/>
    <w:rsid w:val="00133574"/>
    <w:rsid w:val="00136A22"/>
    <w:rsid w:val="00141537"/>
    <w:rsid w:val="00142370"/>
    <w:rsid w:val="00142D71"/>
    <w:rsid w:val="00143829"/>
    <w:rsid w:val="00143C08"/>
    <w:rsid w:val="00144145"/>
    <w:rsid w:val="00144E0D"/>
    <w:rsid w:val="00145167"/>
    <w:rsid w:val="001453D4"/>
    <w:rsid w:val="00145528"/>
    <w:rsid w:val="001469E0"/>
    <w:rsid w:val="00146BEA"/>
    <w:rsid w:val="00150807"/>
    <w:rsid w:val="00151052"/>
    <w:rsid w:val="00152D2A"/>
    <w:rsid w:val="00154BAE"/>
    <w:rsid w:val="0016022F"/>
    <w:rsid w:val="00161242"/>
    <w:rsid w:val="00161B1F"/>
    <w:rsid w:val="0016260D"/>
    <w:rsid w:val="00164666"/>
    <w:rsid w:val="00164F59"/>
    <w:rsid w:val="0016715B"/>
    <w:rsid w:val="00167818"/>
    <w:rsid w:val="00170508"/>
    <w:rsid w:val="00171E10"/>
    <w:rsid w:val="0017264F"/>
    <w:rsid w:val="001726F1"/>
    <w:rsid w:val="00174F43"/>
    <w:rsid w:val="00176D6B"/>
    <w:rsid w:val="00177A4C"/>
    <w:rsid w:val="0018174E"/>
    <w:rsid w:val="00184F8B"/>
    <w:rsid w:val="00190B64"/>
    <w:rsid w:val="0019206D"/>
    <w:rsid w:val="00196590"/>
    <w:rsid w:val="00197470"/>
    <w:rsid w:val="001A189D"/>
    <w:rsid w:val="001A3B80"/>
    <w:rsid w:val="001A4476"/>
    <w:rsid w:val="001A459C"/>
    <w:rsid w:val="001A710B"/>
    <w:rsid w:val="001B1055"/>
    <w:rsid w:val="001B1301"/>
    <w:rsid w:val="001B2727"/>
    <w:rsid w:val="001B49F3"/>
    <w:rsid w:val="001B4F9F"/>
    <w:rsid w:val="001B68CD"/>
    <w:rsid w:val="001C0573"/>
    <w:rsid w:val="001C07C0"/>
    <w:rsid w:val="001C0CFA"/>
    <w:rsid w:val="001C0E51"/>
    <w:rsid w:val="001C1338"/>
    <w:rsid w:val="001C2E40"/>
    <w:rsid w:val="001C2FC3"/>
    <w:rsid w:val="001C38C1"/>
    <w:rsid w:val="001C3EF8"/>
    <w:rsid w:val="001C4B57"/>
    <w:rsid w:val="001C54D9"/>
    <w:rsid w:val="001C5838"/>
    <w:rsid w:val="001C594B"/>
    <w:rsid w:val="001C61F7"/>
    <w:rsid w:val="001C76F4"/>
    <w:rsid w:val="001D0CCA"/>
    <w:rsid w:val="001D0E6B"/>
    <w:rsid w:val="001D47E0"/>
    <w:rsid w:val="001D56CC"/>
    <w:rsid w:val="001D6076"/>
    <w:rsid w:val="001D664B"/>
    <w:rsid w:val="001E1526"/>
    <w:rsid w:val="001E31A5"/>
    <w:rsid w:val="001E38AB"/>
    <w:rsid w:val="001E3E38"/>
    <w:rsid w:val="001F03AD"/>
    <w:rsid w:val="001F240B"/>
    <w:rsid w:val="001F3E68"/>
    <w:rsid w:val="001F4688"/>
    <w:rsid w:val="002036D5"/>
    <w:rsid w:val="00204511"/>
    <w:rsid w:val="00204723"/>
    <w:rsid w:val="00205CF7"/>
    <w:rsid w:val="00211976"/>
    <w:rsid w:val="00213277"/>
    <w:rsid w:val="00213551"/>
    <w:rsid w:val="00214C31"/>
    <w:rsid w:val="00217853"/>
    <w:rsid w:val="00220B6F"/>
    <w:rsid w:val="00221CD7"/>
    <w:rsid w:val="00223283"/>
    <w:rsid w:val="002246F0"/>
    <w:rsid w:val="00226EC8"/>
    <w:rsid w:val="00227520"/>
    <w:rsid w:val="002308ED"/>
    <w:rsid w:val="00230D26"/>
    <w:rsid w:val="0023271A"/>
    <w:rsid w:val="00233FC3"/>
    <w:rsid w:val="00235EE0"/>
    <w:rsid w:val="00237B56"/>
    <w:rsid w:val="00240EBC"/>
    <w:rsid w:val="00243A01"/>
    <w:rsid w:val="00246CDA"/>
    <w:rsid w:val="00247BA7"/>
    <w:rsid w:val="00251860"/>
    <w:rsid w:val="00251D03"/>
    <w:rsid w:val="00251F21"/>
    <w:rsid w:val="0025204B"/>
    <w:rsid w:val="002546BD"/>
    <w:rsid w:val="00255A77"/>
    <w:rsid w:val="002570D8"/>
    <w:rsid w:val="0026093D"/>
    <w:rsid w:val="00261A30"/>
    <w:rsid w:val="002620A4"/>
    <w:rsid w:val="0026349D"/>
    <w:rsid w:val="00265324"/>
    <w:rsid w:val="00265893"/>
    <w:rsid w:val="00267702"/>
    <w:rsid w:val="002709FB"/>
    <w:rsid w:val="00270A21"/>
    <w:rsid w:val="00270A7B"/>
    <w:rsid w:val="002721DE"/>
    <w:rsid w:val="0027415C"/>
    <w:rsid w:val="002750AC"/>
    <w:rsid w:val="00280E59"/>
    <w:rsid w:val="002816E9"/>
    <w:rsid w:val="0028172C"/>
    <w:rsid w:val="002819C4"/>
    <w:rsid w:val="00281F4A"/>
    <w:rsid w:val="0028402F"/>
    <w:rsid w:val="00284340"/>
    <w:rsid w:val="00285A9E"/>
    <w:rsid w:val="00286F5D"/>
    <w:rsid w:val="00287272"/>
    <w:rsid w:val="002909CF"/>
    <w:rsid w:val="00290F86"/>
    <w:rsid w:val="002959F3"/>
    <w:rsid w:val="00295A7A"/>
    <w:rsid w:val="00295DA9"/>
    <w:rsid w:val="00296017"/>
    <w:rsid w:val="00296AA1"/>
    <w:rsid w:val="00296E09"/>
    <w:rsid w:val="002A1FB3"/>
    <w:rsid w:val="002A324D"/>
    <w:rsid w:val="002A515A"/>
    <w:rsid w:val="002A68B2"/>
    <w:rsid w:val="002B0427"/>
    <w:rsid w:val="002B0DFC"/>
    <w:rsid w:val="002B0F37"/>
    <w:rsid w:val="002B26B2"/>
    <w:rsid w:val="002B2BA9"/>
    <w:rsid w:val="002B2D58"/>
    <w:rsid w:val="002B312F"/>
    <w:rsid w:val="002B466F"/>
    <w:rsid w:val="002B5039"/>
    <w:rsid w:val="002B7A50"/>
    <w:rsid w:val="002C0986"/>
    <w:rsid w:val="002C0E81"/>
    <w:rsid w:val="002C1688"/>
    <w:rsid w:val="002C25D0"/>
    <w:rsid w:val="002C35A8"/>
    <w:rsid w:val="002C3DE3"/>
    <w:rsid w:val="002C7AB1"/>
    <w:rsid w:val="002D235A"/>
    <w:rsid w:val="002D432A"/>
    <w:rsid w:val="002D61E4"/>
    <w:rsid w:val="002D7228"/>
    <w:rsid w:val="002D75FE"/>
    <w:rsid w:val="002E03E6"/>
    <w:rsid w:val="002E1667"/>
    <w:rsid w:val="002E3B6E"/>
    <w:rsid w:val="002E4541"/>
    <w:rsid w:val="002E5726"/>
    <w:rsid w:val="002E6CB9"/>
    <w:rsid w:val="002F0305"/>
    <w:rsid w:val="002F2F53"/>
    <w:rsid w:val="002F38AE"/>
    <w:rsid w:val="002F523E"/>
    <w:rsid w:val="002F6096"/>
    <w:rsid w:val="002F66E6"/>
    <w:rsid w:val="003001BA"/>
    <w:rsid w:val="0030238C"/>
    <w:rsid w:val="00302E4C"/>
    <w:rsid w:val="00302EA4"/>
    <w:rsid w:val="00302F3A"/>
    <w:rsid w:val="003037F9"/>
    <w:rsid w:val="00304BE2"/>
    <w:rsid w:val="003068A4"/>
    <w:rsid w:val="00311C96"/>
    <w:rsid w:val="00312DD3"/>
    <w:rsid w:val="0031399E"/>
    <w:rsid w:val="0031473F"/>
    <w:rsid w:val="0031599E"/>
    <w:rsid w:val="00315B01"/>
    <w:rsid w:val="00321127"/>
    <w:rsid w:val="00322950"/>
    <w:rsid w:val="00322E64"/>
    <w:rsid w:val="00322F68"/>
    <w:rsid w:val="00325E5D"/>
    <w:rsid w:val="003260F6"/>
    <w:rsid w:val="0032624A"/>
    <w:rsid w:val="003264DE"/>
    <w:rsid w:val="003272D6"/>
    <w:rsid w:val="003312A9"/>
    <w:rsid w:val="00331AB8"/>
    <w:rsid w:val="003330A5"/>
    <w:rsid w:val="00333559"/>
    <w:rsid w:val="00333AF5"/>
    <w:rsid w:val="00333D5A"/>
    <w:rsid w:val="003348CE"/>
    <w:rsid w:val="00340CCA"/>
    <w:rsid w:val="00341809"/>
    <w:rsid w:val="00343086"/>
    <w:rsid w:val="00343AB2"/>
    <w:rsid w:val="003454BA"/>
    <w:rsid w:val="00345F09"/>
    <w:rsid w:val="00346930"/>
    <w:rsid w:val="00346CF6"/>
    <w:rsid w:val="00347EED"/>
    <w:rsid w:val="0035052F"/>
    <w:rsid w:val="003508EB"/>
    <w:rsid w:val="003515BD"/>
    <w:rsid w:val="0035167F"/>
    <w:rsid w:val="00352E0B"/>
    <w:rsid w:val="00353BC7"/>
    <w:rsid w:val="0035743E"/>
    <w:rsid w:val="00360823"/>
    <w:rsid w:val="00361268"/>
    <w:rsid w:val="0036494F"/>
    <w:rsid w:val="003652E1"/>
    <w:rsid w:val="00367872"/>
    <w:rsid w:val="0037004D"/>
    <w:rsid w:val="00371CC5"/>
    <w:rsid w:val="00372FEE"/>
    <w:rsid w:val="00373280"/>
    <w:rsid w:val="00373643"/>
    <w:rsid w:val="003748F6"/>
    <w:rsid w:val="00374D78"/>
    <w:rsid w:val="00375330"/>
    <w:rsid w:val="00376FC8"/>
    <w:rsid w:val="00384ED2"/>
    <w:rsid w:val="00387B90"/>
    <w:rsid w:val="003926EA"/>
    <w:rsid w:val="00393927"/>
    <w:rsid w:val="00395879"/>
    <w:rsid w:val="003968C0"/>
    <w:rsid w:val="00396B49"/>
    <w:rsid w:val="00396E95"/>
    <w:rsid w:val="003A1683"/>
    <w:rsid w:val="003A1B15"/>
    <w:rsid w:val="003A216E"/>
    <w:rsid w:val="003A27FA"/>
    <w:rsid w:val="003A34E2"/>
    <w:rsid w:val="003A3A20"/>
    <w:rsid w:val="003A48C4"/>
    <w:rsid w:val="003A4B02"/>
    <w:rsid w:val="003A62DC"/>
    <w:rsid w:val="003A7540"/>
    <w:rsid w:val="003B04AF"/>
    <w:rsid w:val="003B1A5A"/>
    <w:rsid w:val="003B2D45"/>
    <w:rsid w:val="003C0D7A"/>
    <w:rsid w:val="003C2679"/>
    <w:rsid w:val="003C32C1"/>
    <w:rsid w:val="003C446A"/>
    <w:rsid w:val="003C65E4"/>
    <w:rsid w:val="003C70A1"/>
    <w:rsid w:val="003C72B4"/>
    <w:rsid w:val="003D3EDA"/>
    <w:rsid w:val="003D6CD4"/>
    <w:rsid w:val="003D70D2"/>
    <w:rsid w:val="003E0A9C"/>
    <w:rsid w:val="003E7C1C"/>
    <w:rsid w:val="003F016A"/>
    <w:rsid w:val="003F03B3"/>
    <w:rsid w:val="003F075C"/>
    <w:rsid w:val="003F085C"/>
    <w:rsid w:val="003F1CB0"/>
    <w:rsid w:val="003F2B15"/>
    <w:rsid w:val="003F31CE"/>
    <w:rsid w:val="003F36C3"/>
    <w:rsid w:val="003F6DB0"/>
    <w:rsid w:val="003F736C"/>
    <w:rsid w:val="004009F8"/>
    <w:rsid w:val="00401F8A"/>
    <w:rsid w:val="0040230A"/>
    <w:rsid w:val="00402EE5"/>
    <w:rsid w:val="004050B9"/>
    <w:rsid w:val="0040685C"/>
    <w:rsid w:val="00407CF9"/>
    <w:rsid w:val="00411ED6"/>
    <w:rsid w:val="00412ED2"/>
    <w:rsid w:val="00413492"/>
    <w:rsid w:val="004138CF"/>
    <w:rsid w:val="00415A6A"/>
    <w:rsid w:val="00415CFC"/>
    <w:rsid w:val="004171A2"/>
    <w:rsid w:val="00417353"/>
    <w:rsid w:val="00420AD9"/>
    <w:rsid w:val="00421171"/>
    <w:rsid w:val="00421201"/>
    <w:rsid w:val="00421402"/>
    <w:rsid w:val="00422591"/>
    <w:rsid w:val="004227D9"/>
    <w:rsid w:val="004228F9"/>
    <w:rsid w:val="00423106"/>
    <w:rsid w:val="00430F16"/>
    <w:rsid w:val="0043320C"/>
    <w:rsid w:val="004332E9"/>
    <w:rsid w:val="00434242"/>
    <w:rsid w:val="00436C3F"/>
    <w:rsid w:val="00436D70"/>
    <w:rsid w:val="004376CF"/>
    <w:rsid w:val="0044120D"/>
    <w:rsid w:val="00444573"/>
    <w:rsid w:val="00445EFD"/>
    <w:rsid w:val="00447F34"/>
    <w:rsid w:val="00455EA2"/>
    <w:rsid w:val="004572FA"/>
    <w:rsid w:val="00457D4D"/>
    <w:rsid w:val="00460351"/>
    <w:rsid w:val="00462BE3"/>
    <w:rsid w:val="00463601"/>
    <w:rsid w:val="0046427D"/>
    <w:rsid w:val="00467669"/>
    <w:rsid w:val="004739BC"/>
    <w:rsid w:val="004749BC"/>
    <w:rsid w:val="00474D6E"/>
    <w:rsid w:val="00476BE3"/>
    <w:rsid w:val="004830BC"/>
    <w:rsid w:val="0048441F"/>
    <w:rsid w:val="00485344"/>
    <w:rsid w:val="00485E23"/>
    <w:rsid w:val="00486940"/>
    <w:rsid w:val="004909E5"/>
    <w:rsid w:val="00490E66"/>
    <w:rsid w:val="00491CA4"/>
    <w:rsid w:val="00491CC5"/>
    <w:rsid w:val="0049765F"/>
    <w:rsid w:val="00497AF6"/>
    <w:rsid w:val="004A1859"/>
    <w:rsid w:val="004A2DF4"/>
    <w:rsid w:val="004A374B"/>
    <w:rsid w:val="004A6357"/>
    <w:rsid w:val="004B027D"/>
    <w:rsid w:val="004B05DD"/>
    <w:rsid w:val="004B10CD"/>
    <w:rsid w:val="004B166E"/>
    <w:rsid w:val="004B17B1"/>
    <w:rsid w:val="004B20E6"/>
    <w:rsid w:val="004B2C7D"/>
    <w:rsid w:val="004B33B2"/>
    <w:rsid w:val="004B3EFE"/>
    <w:rsid w:val="004B443C"/>
    <w:rsid w:val="004B4EFB"/>
    <w:rsid w:val="004B737C"/>
    <w:rsid w:val="004C6077"/>
    <w:rsid w:val="004C676C"/>
    <w:rsid w:val="004D03EB"/>
    <w:rsid w:val="004D4052"/>
    <w:rsid w:val="004D40C9"/>
    <w:rsid w:val="004D582C"/>
    <w:rsid w:val="004E012F"/>
    <w:rsid w:val="004E0DB3"/>
    <w:rsid w:val="004E17E7"/>
    <w:rsid w:val="004E2AA1"/>
    <w:rsid w:val="004E36DF"/>
    <w:rsid w:val="004E73FC"/>
    <w:rsid w:val="004E7DF4"/>
    <w:rsid w:val="004E7F85"/>
    <w:rsid w:val="004F1272"/>
    <w:rsid w:val="004F1AB6"/>
    <w:rsid w:val="004F3762"/>
    <w:rsid w:val="004F3CCC"/>
    <w:rsid w:val="004F4794"/>
    <w:rsid w:val="00501EBB"/>
    <w:rsid w:val="00502FD2"/>
    <w:rsid w:val="00503D16"/>
    <w:rsid w:val="0050534F"/>
    <w:rsid w:val="005056B2"/>
    <w:rsid w:val="00506D07"/>
    <w:rsid w:val="0051104C"/>
    <w:rsid w:val="005111F6"/>
    <w:rsid w:val="0051126B"/>
    <w:rsid w:val="00511B4B"/>
    <w:rsid w:val="005122E0"/>
    <w:rsid w:val="005168F2"/>
    <w:rsid w:val="00523E09"/>
    <w:rsid w:val="00524559"/>
    <w:rsid w:val="00524C11"/>
    <w:rsid w:val="00526DB5"/>
    <w:rsid w:val="00527C37"/>
    <w:rsid w:val="00530524"/>
    <w:rsid w:val="00530793"/>
    <w:rsid w:val="00531D00"/>
    <w:rsid w:val="00533A74"/>
    <w:rsid w:val="00535942"/>
    <w:rsid w:val="00535F39"/>
    <w:rsid w:val="00536C7D"/>
    <w:rsid w:val="005375C6"/>
    <w:rsid w:val="00537F1D"/>
    <w:rsid w:val="00542B5C"/>
    <w:rsid w:val="00544133"/>
    <w:rsid w:val="00544770"/>
    <w:rsid w:val="00544C2C"/>
    <w:rsid w:val="00546803"/>
    <w:rsid w:val="0054728F"/>
    <w:rsid w:val="00547CF1"/>
    <w:rsid w:val="00550A5C"/>
    <w:rsid w:val="00551F8F"/>
    <w:rsid w:val="005555A9"/>
    <w:rsid w:val="0055568A"/>
    <w:rsid w:val="00555DCE"/>
    <w:rsid w:val="0056048C"/>
    <w:rsid w:val="00561D4C"/>
    <w:rsid w:val="00561D5E"/>
    <w:rsid w:val="005641B0"/>
    <w:rsid w:val="00564324"/>
    <w:rsid w:val="00564AD7"/>
    <w:rsid w:val="00564DAA"/>
    <w:rsid w:val="00565AE6"/>
    <w:rsid w:val="00573382"/>
    <w:rsid w:val="00580749"/>
    <w:rsid w:val="005819A1"/>
    <w:rsid w:val="005828A4"/>
    <w:rsid w:val="00583827"/>
    <w:rsid w:val="00586BFA"/>
    <w:rsid w:val="00593C9E"/>
    <w:rsid w:val="005950F5"/>
    <w:rsid w:val="005964E1"/>
    <w:rsid w:val="00596FC8"/>
    <w:rsid w:val="0059798D"/>
    <w:rsid w:val="005A069D"/>
    <w:rsid w:val="005A14D8"/>
    <w:rsid w:val="005A317D"/>
    <w:rsid w:val="005A4444"/>
    <w:rsid w:val="005A4792"/>
    <w:rsid w:val="005A4B86"/>
    <w:rsid w:val="005A784B"/>
    <w:rsid w:val="005A7A13"/>
    <w:rsid w:val="005B05F3"/>
    <w:rsid w:val="005B36D7"/>
    <w:rsid w:val="005B6D18"/>
    <w:rsid w:val="005C03BB"/>
    <w:rsid w:val="005C0D35"/>
    <w:rsid w:val="005C12CC"/>
    <w:rsid w:val="005C29F1"/>
    <w:rsid w:val="005C334E"/>
    <w:rsid w:val="005C40FD"/>
    <w:rsid w:val="005C69A3"/>
    <w:rsid w:val="005D1A3C"/>
    <w:rsid w:val="005D1AC8"/>
    <w:rsid w:val="005D2D80"/>
    <w:rsid w:val="005D3320"/>
    <w:rsid w:val="005D429D"/>
    <w:rsid w:val="005D6EF3"/>
    <w:rsid w:val="005D72C0"/>
    <w:rsid w:val="005E14B3"/>
    <w:rsid w:val="005E36C9"/>
    <w:rsid w:val="005E65B0"/>
    <w:rsid w:val="005E6E69"/>
    <w:rsid w:val="005F0C0E"/>
    <w:rsid w:val="005F0EA2"/>
    <w:rsid w:val="005F1D76"/>
    <w:rsid w:val="005F37B9"/>
    <w:rsid w:val="005F4D37"/>
    <w:rsid w:val="005F7593"/>
    <w:rsid w:val="00600AC4"/>
    <w:rsid w:val="00600B66"/>
    <w:rsid w:val="00600BF2"/>
    <w:rsid w:val="00601516"/>
    <w:rsid w:val="00602BEC"/>
    <w:rsid w:val="00604F9C"/>
    <w:rsid w:val="00606352"/>
    <w:rsid w:val="006075DD"/>
    <w:rsid w:val="00607F3D"/>
    <w:rsid w:val="0061456C"/>
    <w:rsid w:val="00614675"/>
    <w:rsid w:val="00615193"/>
    <w:rsid w:val="00620BCA"/>
    <w:rsid w:val="00621132"/>
    <w:rsid w:val="0062122D"/>
    <w:rsid w:val="00622DD4"/>
    <w:rsid w:val="006309D1"/>
    <w:rsid w:val="00632867"/>
    <w:rsid w:val="0063293E"/>
    <w:rsid w:val="00632BB8"/>
    <w:rsid w:val="00632DAE"/>
    <w:rsid w:val="00636F43"/>
    <w:rsid w:val="00641D99"/>
    <w:rsid w:val="006447F8"/>
    <w:rsid w:val="00644812"/>
    <w:rsid w:val="00645EE2"/>
    <w:rsid w:val="006461E9"/>
    <w:rsid w:val="00646B57"/>
    <w:rsid w:val="00652789"/>
    <w:rsid w:val="006533C1"/>
    <w:rsid w:val="00657084"/>
    <w:rsid w:val="006611D4"/>
    <w:rsid w:val="00661F96"/>
    <w:rsid w:val="00665A4B"/>
    <w:rsid w:val="0066716B"/>
    <w:rsid w:val="006702BC"/>
    <w:rsid w:val="00670B95"/>
    <w:rsid w:val="00672ED6"/>
    <w:rsid w:val="00672F5A"/>
    <w:rsid w:val="00675C81"/>
    <w:rsid w:val="006763FB"/>
    <w:rsid w:val="00676F9F"/>
    <w:rsid w:val="00677ACE"/>
    <w:rsid w:val="00677AD9"/>
    <w:rsid w:val="0068050F"/>
    <w:rsid w:val="00680ABE"/>
    <w:rsid w:val="00681D1C"/>
    <w:rsid w:val="006821FA"/>
    <w:rsid w:val="00682B26"/>
    <w:rsid w:val="006852F6"/>
    <w:rsid w:val="00685510"/>
    <w:rsid w:val="0068667D"/>
    <w:rsid w:val="0068706A"/>
    <w:rsid w:val="00687D3F"/>
    <w:rsid w:val="00690627"/>
    <w:rsid w:val="00690BA2"/>
    <w:rsid w:val="00691F0D"/>
    <w:rsid w:val="006920D6"/>
    <w:rsid w:val="00693331"/>
    <w:rsid w:val="0069421C"/>
    <w:rsid w:val="00694739"/>
    <w:rsid w:val="0069586C"/>
    <w:rsid w:val="0069609B"/>
    <w:rsid w:val="00696132"/>
    <w:rsid w:val="00696B0B"/>
    <w:rsid w:val="006A0DD2"/>
    <w:rsid w:val="006A0FC2"/>
    <w:rsid w:val="006A142D"/>
    <w:rsid w:val="006A189A"/>
    <w:rsid w:val="006A19BD"/>
    <w:rsid w:val="006A332D"/>
    <w:rsid w:val="006A4328"/>
    <w:rsid w:val="006A5B86"/>
    <w:rsid w:val="006A5D3C"/>
    <w:rsid w:val="006A60D9"/>
    <w:rsid w:val="006A6157"/>
    <w:rsid w:val="006A78AA"/>
    <w:rsid w:val="006B0B07"/>
    <w:rsid w:val="006B1583"/>
    <w:rsid w:val="006B278D"/>
    <w:rsid w:val="006B2C4A"/>
    <w:rsid w:val="006B33C9"/>
    <w:rsid w:val="006B3A50"/>
    <w:rsid w:val="006B45F7"/>
    <w:rsid w:val="006B4ABD"/>
    <w:rsid w:val="006C0896"/>
    <w:rsid w:val="006C1239"/>
    <w:rsid w:val="006C344A"/>
    <w:rsid w:val="006C3D37"/>
    <w:rsid w:val="006C5036"/>
    <w:rsid w:val="006C687B"/>
    <w:rsid w:val="006C77F3"/>
    <w:rsid w:val="006C7ECF"/>
    <w:rsid w:val="006D1EE0"/>
    <w:rsid w:val="006D2D24"/>
    <w:rsid w:val="006D3231"/>
    <w:rsid w:val="006D3A19"/>
    <w:rsid w:val="006D3C21"/>
    <w:rsid w:val="006D3D82"/>
    <w:rsid w:val="006D4593"/>
    <w:rsid w:val="006D4D42"/>
    <w:rsid w:val="006D5CEE"/>
    <w:rsid w:val="006D7B8E"/>
    <w:rsid w:val="006E00E9"/>
    <w:rsid w:val="006E13CE"/>
    <w:rsid w:val="006E1C0D"/>
    <w:rsid w:val="006E1FA4"/>
    <w:rsid w:val="006E2A09"/>
    <w:rsid w:val="006E5089"/>
    <w:rsid w:val="006E5BFB"/>
    <w:rsid w:val="006E654A"/>
    <w:rsid w:val="006F042D"/>
    <w:rsid w:val="006F079C"/>
    <w:rsid w:val="006F1E66"/>
    <w:rsid w:val="006F4619"/>
    <w:rsid w:val="006F4A0A"/>
    <w:rsid w:val="006F6B0E"/>
    <w:rsid w:val="0070033F"/>
    <w:rsid w:val="0070163A"/>
    <w:rsid w:val="00702748"/>
    <w:rsid w:val="00702EEB"/>
    <w:rsid w:val="00705EE0"/>
    <w:rsid w:val="00710D9D"/>
    <w:rsid w:val="00713818"/>
    <w:rsid w:val="00714C2D"/>
    <w:rsid w:val="0072074A"/>
    <w:rsid w:val="00720959"/>
    <w:rsid w:val="00726E33"/>
    <w:rsid w:val="00727BC0"/>
    <w:rsid w:val="00727D57"/>
    <w:rsid w:val="007328FD"/>
    <w:rsid w:val="00732A7D"/>
    <w:rsid w:val="00732F1E"/>
    <w:rsid w:val="007336FE"/>
    <w:rsid w:val="007374F6"/>
    <w:rsid w:val="00737F10"/>
    <w:rsid w:val="0074046C"/>
    <w:rsid w:val="00741A5F"/>
    <w:rsid w:val="007428F4"/>
    <w:rsid w:val="00742E86"/>
    <w:rsid w:val="00743793"/>
    <w:rsid w:val="00743C08"/>
    <w:rsid w:val="007445CF"/>
    <w:rsid w:val="007454D5"/>
    <w:rsid w:val="00746ABC"/>
    <w:rsid w:val="00750DD3"/>
    <w:rsid w:val="00750FB2"/>
    <w:rsid w:val="00752A76"/>
    <w:rsid w:val="00754E18"/>
    <w:rsid w:val="00756AA5"/>
    <w:rsid w:val="00757891"/>
    <w:rsid w:val="00760D2E"/>
    <w:rsid w:val="00760E23"/>
    <w:rsid w:val="00762859"/>
    <w:rsid w:val="007647BE"/>
    <w:rsid w:val="00764B79"/>
    <w:rsid w:val="00766163"/>
    <w:rsid w:val="00770CEF"/>
    <w:rsid w:val="00772E83"/>
    <w:rsid w:val="007735A0"/>
    <w:rsid w:val="00774FA2"/>
    <w:rsid w:val="007760EE"/>
    <w:rsid w:val="00777785"/>
    <w:rsid w:val="00786C07"/>
    <w:rsid w:val="00786DA2"/>
    <w:rsid w:val="00787EBA"/>
    <w:rsid w:val="00790976"/>
    <w:rsid w:val="00791403"/>
    <w:rsid w:val="0079285C"/>
    <w:rsid w:val="0079321E"/>
    <w:rsid w:val="007942C6"/>
    <w:rsid w:val="007969E6"/>
    <w:rsid w:val="007A06DF"/>
    <w:rsid w:val="007A324E"/>
    <w:rsid w:val="007A35BB"/>
    <w:rsid w:val="007A41BF"/>
    <w:rsid w:val="007A4F2B"/>
    <w:rsid w:val="007A5991"/>
    <w:rsid w:val="007A5D01"/>
    <w:rsid w:val="007A74B1"/>
    <w:rsid w:val="007B1E14"/>
    <w:rsid w:val="007B3240"/>
    <w:rsid w:val="007B3776"/>
    <w:rsid w:val="007B3B98"/>
    <w:rsid w:val="007B5923"/>
    <w:rsid w:val="007B5EA8"/>
    <w:rsid w:val="007B743E"/>
    <w:rsid w:val="007C08C4"/>
    <w:rsid w:val="007C0D03"/>
    <w:rsid w:val="007C3494"/>
    <w:rsid w:val="007C4FF4"/>
    <w:rsid w:val="007C6C9A"/>
    <w:rsid w:val="007D04F9"/>
    <w:rsid w:val="007D098B"/>
    <w:rsid w:val="007D0C99"/>
    <w:rsid w:val="007D236C"/>
    <w:rsid w:val="007D3C1A"/>
    <w:rsid w:val="007D66C6"/>
    <w:rsid w:val="007D77E3"/>
    <w:rsid w:val="007D7A6F"/>
    <w:rsid w:val="007E061E"/>
    <w:rsid w:val="007E0CA1"/>
    <w:rsid w:val="007E173C"/>
    <w:rsid w:val="007E2267"/>
    <w:rsid w:val="007E2991"/>
    <w:rsid w:val="007E6E15"/>
    <w:rsid w:val="007F0211"/>
    <w:rsid w:val="007F102D"/>
    <w:rsid w:val="007F1D37"/>
    <w:rsid w:val="007F3D2F"/>
    <w:rsid w:val="007F438E"/>
    <w:rsid w:val="007F56A4"/>
    <w:rsid w:val="00803543"/>
    <w:rsid w:val="008049A6"/>
    <w:rsid w:val="00806F1D"/>
    <w:rsid w:val="00811579"/>
    <w:rsid w:val="00812C4F"/>
    <w:rsid w:val="008130BC"/>
    <w:rsid w:val="00813D61"/>
    <w:rsid w:val="008145AB"/>
    <w:rsid w:val="008153A4"/>
    <w:rsid w:val="008204E1"/>
    <w:rsid w:val="00820D86"/>
    <w:rsid w:val="00822649"/>
    <w:rsid w:val="008264C3"/>
    <w:rsid w:val="008271D9"/>
    <w:rsid w:val="00827942"/>
    <w:rsid w:val="00832BFB"/>
    <w:rsid w:val="00837489"/>
    <w:rsid w:val="008376C7"/>
    <w:rsid w:val="008448EA"/>
    <w:rsid w:val="00844FE2"/>
    <w:rsid w:val="00846FD1"/>
    <w:rsid w:val="008473F9"/>
    <w:rsid w:val="0085078A"/>
    <w:rsid w:val="00850B25"/>
    <w:rsid w:val="00850FD9"/>
    <w:rsid w:val="00851D4E"/>
    <w:rsid w:val="00851DEC"/>
    <w:rsid w:val="00851EEB"/>
    <w:rsid w:val="008562BF"/>
    <w:rsid w:val="008606CC"/>
    <w:rsid w:val="00861BDA"/>
    <w:rsid w:val="00864490"/>
    <w:rsid w:val="00865A49"/>
    <w:rsid w:val="00866158"/>
    <w:rsid w:val="00866C93"/>
    <w:rsid w:val="00867567"/>
    <w:rsid w:val="00867F04"/>
    <w:rsid w:val="00870AD7"/>
    <w:rsid w:val="008718C4"/>
    <w:rsid w:val="00873485"/>
    <w:rsid w:val="008765DF"/>
    <w:rsid w:val="0087738B"/>
    <w:rsid w:val="00882230"/>
    <w:rsid w:val="008844BB"/>
    <w:rsid w:val="00886F48"/>
    <w:rsid w:val="0088718B"/>
    <w:rsid w:val="00887C59"/>
    <w:rsid w:val="00890AC0"/>
    <w:rsid w:val="008916E2"/>
    <w:rsid w:val="00891719"/>
    <w:rsid w:val="00894244"/>
    <w:rsid w:val="008964AC"/>
    <w:rsid w:val="00896EE5"/>
    <w:rsid w:val="008A1E8F"/>
    <w:rsid w:val="008A2627"/>
    <w:rsid w:val="008A3280"/>
    <w:rsid w:val="008A36EC"/>
    <w:rsid w:val="008A3CDC"/>
    <w:rsid w:val="008B01F4"/>
    <w:rsid w:val="008B0605"/>
    <w:rsid w:val="008B0E2C"/>
    <w:rsid w:val="008B112B"/>
    <w:rsid w:val="008B1300"/>
    <w:rsid w:val="008B138E"/>
    <w:rsid w:val="008B169A"/>
    <w:rsid w:val="008B1E91"/>
    <w:rsid w:val="008B728E"/>
    <w:rsid w:val="008B75EC"/>
    <w:rsid w:val="008B77B3"/>
    <w:rsid w:val="008C0C68"/>
    <w:rsid w:val="008C23B6"/>
    <w:rsid w:val="008C2CED"/>
    <w:rsid w:val="008C31A5"/>
    <w:rsid w:val="008C409E"/>
    <w:rsid w:val="008C516D"/>
    <w:rsid w:val="008C725F"/>
    <w:rsid w:val="008C7396"/>
    <w:rsid w:val="008D12F5"/>
    <w:rsid w:val="008D1E61"/>
    <w:rsid w:val="008D23F8"/>
    <w:rsid w:val="008D493D"/>
    <w:rsid w:val="008D7597"/>
    <w:rsid w:val="008E176C"/>
    <w:rsid w:val="008E17B7"/>
    <w:rsid w:val="008E1EAA"/>
    <w:rsid w:val="008E2B97"/>
    <w:rsid w:val="008E5F36"/>
    <w:rsid w:val="008E5F3F"/>
    <w:rsid w:val="008E61FA"/>
    <w:rsid w:val="008E740B"/>
    <w:rsid w:val="008F0629"/>
    <w:rsid w:val="008F1D0A"/>
    <w:rsid w:val="008F5666"/>
    <w:rsid w:val="009013CE"/>
    <w:rsid w:val="00902188"/>
    <w:rsid w:val="00903D69"/>
    <w:rsid w:val="00905202"/>
    <w:rsid w:val="00911F60"/>
    <w:rsid w:val="0091315E"/>
    <w:rsid w:val="0091317E"/>
    <w:rsid w:val="009135DB"/>
    <w:rsid w:val="00913965"/>
    <w:rsid w:val="00914DEE"/>
    <w:rsid w:val="00916E85"/>
    <w:rsid w:val="00920D32"/>
    <w:rsid w:val="0092211F"/>
    <w:rsid w:val="009225F0"/>
    <w:rsid w:val="009226E1"/>
    <w:rsid w:val="00923B69"/>
    <w:rsid w:val="00927391"/>
    <w:rsid w:val="00927E36"/>
    <w:rsid w:val="009319EE"/>
    <w:rsid w:val="00935170"/>
    <w:rsid w:val="0093548B"/>
    <w:rsid w:val="00936B5E"/>
    <w:rsid w:val="0093738A"/>
    <w:rsid w:val="0094321A"/>
    <w:rsid w:val="009450B9"/>
    <w:rsid w:val="009453C4"/>
    <w:rsid w:val="00946D61"/>
    <w:rsid w:val="00950AF8"/>
    <w:rsid w:val="00950DBB"/>
    <w:rsid w:val="0095190C"/>
    <w:rsid w:val="009529FB"/>
    <w:rsid w:val="00953CAD"/>
    <w:rsid w:val="0096348E"/>
    <w:rsid w:val="00963A2C"/>
    <w:rsid w:val="009658B9"/>
    <w:rsid w:val="00970E2E"/>
    <w:rsid w:val="009720A5"/>
    <w:rsid w:val="0097251D"/>
    <w:rsid w:val="009734F5"/>
    <w:rsid w:val="00975E7E"/>
    <w:rsid w:val="00987382"/>
    <w:rsid w:val="00987F53"/>
    <w:rsid w:val="00991BD9"/>
    <w:rsid w:val="0099290F"/>
    <w:rsid w:val="0099384D"/>
    <w:rsid w:val="00996A0D"/>
    <w:rsid w:val="009A160D"/>
    <w:rsid w:val="009A1DB7"/>
    <w:rsid w:val="009A27E7"/>
    <w:rsid w:val="009A298E"/>
    <w:rsid w:val="009A2C7B"/>
    <w:rsid w:val="009A39C7"/>
    <w:rsid w:val="009A3E8D"/>
    <w:rsid w:val="009A4160"/>
    <w:rsid w:val="009A44A7"/>
    <w:rsid w:val="009A5440"/>
    <w:rsid w:val="009A5B5A"/>
    <w:rsid w:val="009A61C1"/>
    <w:rsid w:val="009A6749"/>
    <w:rsid w:val="009A6FB0"/>
    <w:rsid w:val="009B0141"/>
    <w:rsid w:val="009B3169"/>
    <w:rsid w:val="009B61E3"/>
    <w:rsid w:val="009B7B51"/>
    <w:rsid w:val="009C097D"/>
    <w:rsid w:val="009C39F4"/>
    <w:rsid w:val="009C5EC8"/>
    <w:rsid w:val="009C6542"/>
    <w:rsid w:val="009D2E89"/>
    <w:rsid w:val="009D51CC"/>
    <w:rsid w:val="009D6933"/>
    <w:rsid w:val="009D77D1"/>
    <w:rsid w:val="009E0387"/>
    <w:rsid w:val="009E0CC2"/>
    <w:rsid w:val="009E1B11"/>
    <w:rsid w:val="009E3DDA"/>
    <w:rsid w:val="009E52B5"/>
    <w:rsid w:val="009F0C97"/>
    <w:rsid w:val="009F2159"/>
    <w:rsid w:val="009F2FB9"/>
    <w:rsid w:val="009F322F"/>
    <w:rsid w:val="009F3BFC"/>
    <w:rsid w:val="009F3C6A"/>
    <w:rsid w:val="009F5277"/>
    <w:rsid w:val="009F5349"/>
    <w:rsid w:val="009F69D0"/>
    <w:rsid w:val="00A006F8"/>
    <w:rsid w:val="00A00E84"/>
    <w:rsid w:val="00A01825"/>
    <w:rsid w:val="00A02174"/>
    <w:rsid w:val="00A023A7"/>
    <w:rsid w:val="00A07BF9"/>
    <w:rsid w:val="00A10DB2"/>
    <w:rsid w:val="00A17DFE"/>
    <w:rsid w:val="00A20256"/>
    <w:rsid w:val="00A20306"/>
    <w:rsid w:val="00A2257B"/>
    <w:rsid w:val="00A24043"/>
    <w:rsid w:val="00A251A6"/>
    <w:rsid w:val="00A25A0F"/>
    <w:rsid w:val="00A25CC1"/>
    <w:rsid w:val="00A26FC4"/>
    <w:rsid w:val="00A30876"/>
    <w:rsid w:val="00A30AA7"/>
    <w:rsid w:val="00A31521"/>
    <w:rsid w:val="00A315F4"/>
    <w:rsid w:val="00A3185F"/>
    <w:rsid w:val="00A322D8"/>
    <w:rsid w:val="00A3346A"/>
    <w:rsid w:val="00A3476E"/>
    <w:rsid w:val="00A34B1D"/>
    <w:rsid w:val="00A35746"/>
    <w:rsid w:val="00A40F48"/>
    <w:rsid w:val="00A41F78"/>
    <w:rsid w:val="00A428F8"/>
    <w:rsid w:val="00A43F9E"/>
    <w:rsid w:val="00A445C0"/>
    <w:rsid w:val="00A522F4"/>
    <w:rsid w:val="00A52DDD"/>
    <w:rsid w:val="00A53A2F"/>
    <w:rsid w:val="00A5422F"/>
    <w:rsid w:val="00A55C26"/>
    <w:rsid w:val="00A63511"/>
    <w:rsid w:val="00A67661"/>
    <w:rsid w:val="00A71A9D"/>
    <w:rsid w:val="00A7264B"/>
    <w:rsid w:val="00A72EAF"/>
    <w:rsid w:val="00A72F54"/>
    <w:rsid w:val="00A75D2B"/>
    <w:rsid w:val="00A805A4"/>
    <w:rsid w:val="00A80922"/>
    <w:rsid w:val="00A822C7"/>
    <w:rsid w:val="00A84E93"/>
    <w:rsid w:val="00A85024"/>
    <w:rsid w:val="00A85FDE"/>
    <w:rsid w:val="00A8673A"/>
    <w:rsid w:val="00A91167"/>
    <w:rsid w:val="00A9118D"/>
    <w:rsid w:val="00A92813"/>
    <w:rsid w:val="00A94519"/>
    <w:rsid w:val="00A94BF6"/>
    <w:rsid w:val="00A9500F"/>
    <w:rsid w:val="00A96AA0"/>
    <w:rsid w:val="00A97041"/>
    <w:rsid w:val="00AA19F5"/>
    <w:rsid w:val="00AA750B"/>
    <w:rsid w:val="00AB0170"/>
    <w:rsid w:val="00AB0A40"/>
    <w:rsid w:val="00AB2309"/>
    <w:rsid w:val="00AB5379"/>
    <w:rsid w:val="00AB71C8"/>
    <w:rsid w:val="00AC54D3"/>
    <w:rsid w:val="00AC5C20"/>
    <w:rsid w:val="00AC5C63"/>
    <w:rsid w:val="00AD2DD8"/>
    <w:rsid w:val="00AD2EEC"/>
    <w:rsid w:val="00AD3D71"/>
    <w:rsid w:val="00AD4EB4"/>
    <w:rsid w:val="00AD5BFE"/>
    <w:rsid w:val="00AD60EF"/>
    <w:rsid w:val="00AE170C"/>
    <w:rsid w:val="00AE1B53"/>
    <w:rsid w:val="00AE2B9E"/>
    <w:rsid w:val="00AE304D"/>
    <w:rsid w:val="00AE38E6"/>
    <w:rsid w:val="00AE3F9C"/>
    <w:rsid w:val="00AE4E0D"/>
    <w:rsid w:val="00AE74C4"/>
    <w:rsid w:val="00AF100D"/>
    <w:rsid w:val="00AF1744"/>
    <w:rsid w:val="00AF300F"/>
    <w:rsid w:val="00AF325A"/>
    <w:rsid w:val="00AF53B1"/>
    <w:rsid w:val="00AF5717"/>
    <w:rsid w:val="00AF6A16"/>
    <w:rsid w:val="00B0009C"/>
    <w:rsid w:val="00B021B8"/>
    <w:rsid w:val="00B02B93"/>
    <w:rsid w:val="00B034E9"/>
    <w:rsid w:val="00B035BC"/>
    <w:rsid w:val="00B03ECD"/>
    <w:rsid w:val="00B13845"/>
    <w:rsid w:val="00B1475C"/>
    <w:rsid w:val="00B1553F"/>
    <w:rsid w:val="00B17F87"/>
    <w:rsid w:val="00B214A8"/>
    <w:rsid w:val="00B21BD4"/>
    <w:rsid w:val="00B21E5B"/>
    <w:rsid w:val="00B26C9E"/>
    <w:rsid w:val="00B27089"/>
    <w:rsid w:val="00B27DEC"/>
    <w:rsid w:val="00B3085E"/>
    <w:rsid w:val="00B30F2D"/>
    <w:rsid w:val="00B31167"/>
    <w:rsid w:val="00B315F1"/>
    <w:rsid w:val="00B330D4"/>
    <w:rsid w:val="00B34B3B"/>
    <w:rsid w:val="00B357F5"/>
    <w:rsid w:val="00B360A7"/>
    <w:rsid w:val="00B3784C"/>
    <w:rsid w:val="00B40D97"/>
    <w:rsid w:val="00B41E9C"/>
    <w:rsid w:val="00B4599E"/>
    <w:rsid w:val="00B5055A"/>
    <w:rsid w:val="00B50928"/>
    <w:rsid w:val="00B528DE"/>
    <w:rsid w:val="00B52BA1"/>
    <w:rsid w:val="00B545BF"/>
    <w:rsid w:val="00B56FD8"/>
    <w:rsid w:val="00B60E94"/>
    <w:rsid w:val="00B63888"/>
    <w:rsid w:val="00B63C3D"/>
    <w:rsid w:val="00B64E82"/>
    <w:rsid w:val="00B654DA"/>
    <w:rsid w:val="00B66615"/>
    <w:rsid w:val="00B668AA"/>
    <w:rsid w:val="00B70179"/>
    <w:rsid w:val="00B72895"/>
    <w:rsid w:val="00B73FBE"/>
    <w:rsid w:val="00B801A5"/>
    <w:rsid w:val="00B8289D"/>
    <w:rsid w:val="00B83936"/>
    <w:rsid w:val="00B842DD"/>
    <w:rsid w:val="00B8457D"/>
    <w:rsid w:val="00B849A1"/>
    <w:rsid w:val="00B863DF"/>
    <w:rsid w:val="00B87489"/>
    <w:rsid w:val="00B917B2"/>
    <w:rsid w:val="00B91A4E"/>
    <w:rsid w:val="00B964BB"/>
    <w:rsid w:val="00B96575"/>
    <w:rsid w:val="00BA5A11"/>
    <w:rsid w:val="00BA70BA"/>
    <w:rsid w:val="00BB2018"/>
    <w:rsid w:val="00BB2FDE"/>
    <w:rsid w:val="00BB53E8"/>
    <w:rsid w:val="00BB5B51"/>
    <w:rsid w:val="00BB6731"/>
    <w:rsid w:val="00BB74A6"/>
    <w:rsid w:val="00BB7A48"/>
    <w:rsid w:val="00BB7F21"/>
    <w:rsid w:val="00BC1079"/>
    <w:rsid w:val="00BC3BB1"/>
    <w:rsid w:val="00BC6160"/>
    <w:rsid w:val="00BD1ED9"/>
    <w:rsid w:val="00BD256A"/>
    <w:rsid w:val="00BD3E85"/>
    <w:rsid w:val="00BD46CD"/>
    <w:rsid w:val="00BE074D"/>
    <w:rsid w:val="00BE0954"/>
    <w:rsid w:val="00BE1758"/>
    <w:rsid w:val="00BE187D"/>
    <w:rsid w:val="00BE1D21"/>
    <w:rsid w:val="00BE20B7"/>
    <w:rsid w:val="00BE2F42"/>
    <w:rsid w:val="00BE3677"/>
    <w:rsid w:val="00BE6538"/>
    <w:rsid w:val="00BF0BB8"/>
    <w:rsid w:val="00BF32B3"/>
    <w:rsid w:val="00BF5622"/>
    <w:rsid w:val="00C00021"/>
    <w:rsid w:val="00C01CF3"/>
    <w:rsid w:val="00C035B4"/>
    <w:rsid w:val="00C06327"/>
    <w:rsid w:val="00C06B6D"/>
    <w:rsid w:val="00C10DC6"/>
    <w:rsid w:val="00C11E3D"/>
    <w:rsid w:val="00C11F2F"/>
    <w:rsid w:val="00C132F1"/>
    <w:rsid w:val="00C15C80"/>
    <w:rsid w:val="00C1675C"/>
    <w:rsid w:val="00C175BC"/>
    <w:rsid w:val="00C21672"/>
    <w:rsid w:val="00C24E0D"/>
    <w:rsid w:val="00C25C9A"/>
    <w:rsid w:val="00C2790B"/>
    <w:rsid w:val="00C30359"/>
    <w:rsid w:val="00C3131C"/>
    <w:rsid w:val="00C32DED"/>
    <w:rsid w:val="00C3421F"/>
    <w:rsid w:val="00C35C6B"/>
    <w:rsid w:val="00C37199"/>
    <w:rsid w:val="00C40630"/>
    <w:rsid w:val="00C4190E"/>
    <w:rsid w:val="00C42259"/>
    <w:rsid w:val="00C45002"/>
    <w:rsid w:val="00C45ABB"/>
    <w:rsid w:val="00C46CA4"/>
    <w:rsid w:val="00C514C9"/>
    <w:rsid w:val="00C51D82"/>
    <w:rsid w:val="00C5325D"/>
    <w:rsid w:val="00C5379A"/>
    <w:rsid w:val="00C53F62"/>
    <w:rsid w:val="00C55A10"/>
    <w:rsid w:val="00C55D13"/>
    <w:rsid w:val="00C564C6"/>
    <w:rsid w:val="00C5669C"/>
    <w:rsid w:val="00C60F2D"/>
    <w:rsid w:val="00C62DA7"/>
    <w:rsid w:val="00C631F4"/>
    <w:rsid w:val="00C63792"/>
    <w:rsid w:val="00C63EA0"/>
    <w:rsid w:val="00C641BF"/>
    <w:rsid w:val="00C64600"/>
    <w:rsid w:val="00C64E09"/>
    <w:rsid w:val="00C66051"/>
    <w:rsid w:val="00C66F0C"/>
    <w:rsid w:val="00C701D1"/>
    <w:rsid w:val="00C70665"/>
    <w:rsid w:val="00C77B4A"/>
    <w:rsid w:val="00C80E15"/>
    <w:rsid w:val="00C81FD1"/>
    <w:rsid w:val="00C853D3"/>
    <w:rsid w:val="00C85B3C"/>
    <w:rsid w:val="00C8626B"/>
    <w:rsid w:val="00C86696"/>
    <w:rsid w:val="00C876F7"/>
    <w:rsid w:val="00C90C56"/>
    <w:rsid w:val="00C90E50"/>
    <w:rsid w:val="00C9103F"/>
    <w:rsid w:val="00C93EDD"/>
    <w:rsid w:val="00C94097"/>
    <w:rsid w:val="00C941BF"/>
    <w:rsid w:val="00C96776"/>
    <w:rsid w:val="00C96B27"/>
    <w:rsid w:val="00CA08FA"/>
    <w:rsid w:val="00CA1461"/>
    <w:rsid w:val="00CA3BBE"/>
    <w:rsid w:val="00CA5C29"/>
    <w:rsid w:val="00CA5FCE"/>
    <w:rsid w:val="00CA65A7"/>
    <w:rsid w:val="00CA6A30"/>
    <w:rsid w:val="00CA6B02"/>
    <w:rsid w:val="00CA6B1D"/>
    <w:rsid w:val="00CB0AF3"/>
    <w:rsid w:val="00CB1A1E"/>
    <w:rsid w:val="00CB20E8"/>
    <w:rsid w:val="00CB2A75"/>
    <w:rsid w:val="00CB4FA0"/>
    <w:rsid w:val="00CB5701"/>
    <w:rsid w:val="00CB6C1C"/>
    <w:rsid w:val="00CC1EE6"/>
    <w:rsid w:val="00CC2278"/>
    <w:rsid w:val="00CC461E"/>
    <w:rsid w:val="00CC51CC"/>
    <w:rsid w:val="00CC6B9C"/>
    <w:rsid w:val="00CD035D"/>
    <w:rsid w:val="00CD3175"/>
    <w:rsid w:val="00CD3576"/>
    <w:rsid w:val="00CD38C4"/>
    <w:rsid w:val="00CD3BFE"/>
    <w:rsid w:val="00CD4DB0"/>
    <w:rsid w:val="00CD5F6F"/>
    <w:rsid w:val="00CD73F6"/>
    <w:rsid w:val="00CE2BB9"/>
    <w:rsid w:val="00CE41B6"/>
    <w:rsid w:val="00CE5C21"/>
    <w:rsid w:val="00CE5D7F"/>
    <w:rsid w:val="00CF3C4F"/>
    <w:rsid w:val="00CF5FB9"/>
    <w:rsid w:val="00CF63BD"/>
    <w:rsid w:val="00CF6B29"/>
    <w:rsid w:val="00CF74CF"/>
    <w:rsid w:val="00D0032A"/>
    <w:rsid w:val="00D017AB"/>
    <w:rsid w:val="00D02622"/>
    <w:rsid w:val="00D029DB"/>
    <w:rsid w:val="00D05402"/>
    <w:rsid w:val="00D06410"/>
    <w:rsid w:val="00D0778A"/>
    <w:rsid w:val="00D14658"/>
    <w:rsid w:val="00D14FB6"/>
    <w:rsid w:val="00D16DF8"/>
    <w:rsid w:val="00D1708D"/>
    <w:rsid w:val="00D20566"/>
    <w:rsid w:val="00D22E5A"/>
    <w:rsid w:val="00D246CC"/>
    <w:rsid w:val="00D3274F"/>
    <w:rsid w:val="00D32DFD"/>
    <w:rsid w:val="00D34176"/>
    <w:rsid w:val="00D351AA"/>
    <w:rsid w:val="00D35397"/>
    <w:rsid w:val="00D37247"/>
    <w:rsid w:val="00D42E21"/>
    <w:rsid w:val="00D52E54"/>
    <w:rsid w:val="00D53F2B"/>
    <w:rsid w:val="00D55773"/>
    <w:rsid w:val="00D57475"/>
    <w:rsid w:val="00D6059D"/>
    <w:rsid w:val="00D60D82"/>
    <w:rsid w:val="00D62844"/>
    <w:rsid w:val="00D62CB5"/>
    <w:rsid w:val="00D63C72"/>
    <w:rsid w:val="00D63E48"/>
    <w:rsid w:val="00D64448"/>
    <w:rsid w:val="00D71351"/>
    <w:rsid w:val="00D73061"/>
    <w:rsid w:val="00D74346"/>
    <w:rsid w:val="00D76697"/>
    <w:rsid w:val="00D83187"/>
    <w:rsid w:val="00D83690"/>
    <w:rsid w:val="00D8370D"/>
    <w:rsid w:val="00D860B4"/>
    <w:rsid w:val="00D867AD"/>
    <w:rsid w:val="00D93423"/>
    <w:rsid w:val="00D93711"/>
    <w:rsid w:val="00D944EE"/>
    <w:rsid w:val="00D9519C"/>
    <w:rsid w:val="00D951A7"/>
    <w:rsid w:val="00D96A2B"/>
    <w:rsid w:val="00D96B5B"/>
    <w:rsid w:val="00D97D3B"/>
    <w:rsid w:val="00D97E24"/>
    <w:rsid w:val="00DA017E"/>
    <w:rsid w:val="00DA3CAA"/>
    <w:rsid w:val="00DA47BD"/>
    <w:rsid w:val="00DB0081"/>
    <w:rsid w:val="00DB038C"/>
    <w:rsid w:val="00DB0E62"/>
    <w:rsid w:val="00DB64C9"/>
    <w:rsid w:val="00DB7751"/>
    <w:rsid w:val="00DB7D19"/>
    <w:rsid w:val="00DC0743"/>
    <w:rsid w:val="00DC56BD"/>
    <w:rsid w:val="00DD00A7"/>
    <w:rsid w:val="00DD1435"/>
    <w:rsid w:val="00DD1A51"/>
    <w:rsid w:val="00DD2109"/>
    <w:rsid w:val="00DD4235"/>
    <w:rsid w:val="00DD4568"/>
    <w:rsid w:val="00DD5F1F"/>
    <w:rsid w:val="00DD6C6B"/>
    <w:rsid w:val="00DD6EDE"/>
    <w:rsid w:val="00DD776A"/>
    <w:rsid w:val="00DD7959"/>
    <w:rsid w:val="00DE0132"/>
    <w:rsid w:val="00DE0217"/>
    <w:rsid w:val="00DE03A9"/>
    <w:rsid w:val="00DE1CFD"/>
    <w:rsid w:val="00DE3042"/>
    <w:rsid w:val="00DE51D3"/>
    <w:rsid w:val="00DE5C57"/>
    <w:rsid w:val="00DE68C3"/>
    <w:rsid w:val="00DF1CC0"/>
    <w:rsid w:val="00DF2401"/>
    <w:rsid w:val="00DF42FB"/>
    <w:rsid w:val="00DF49F8"/>
    <w:rsid w:val="00DF5D0D"/>
    <w:rsid w:val="00DF71E8"/>
    <w:rsid w:val="00E011C4"/>
    <w:rsid w:val="00E01CE3"/>
    <w:rsid w:val="00E046B7"/>
    <w:rsid w:val="00E04A04"/>
    <w:rsid w:val="00E06DF6"/>
    <w:rsid w:val="00E06FE1"/>
    <w:rsid w:val="00E1022E"/>
    <w:rsid w:val="00E12394"/>
    <w:rsid w:val="00E1408A"/>
    <w:rsid w:val="00E148C0"/>
    <w:rsid w:val="00E14EC2"/>
    <w:rsid w:val="00E15ED4"/>
    <w:rsid w:val="00E1777D"/>
    <w:rsid w:val="00E20255"/>
    <w:rsid w:val="00E20D51"/>
    <w:rsid w:val="00E20E91"/>
    <w:rsid w:val="00E21D73"/>
    <w:rsid w:val="00E241C9"/>
    <w:rsid w:val="00E24BD8"/>
    <w:rsid w:val="00E24F83"/>
    <w:rsid w:val="00E25C8E"/>
    <w:rsid w:val="00E25EF8"/>
    <w:rsid w:val="00E27167"/>
    <w:rsid w:val="00E27478"/>
    <w:rsid w:val="00E27C61"/>
    <w:rsid w:val="00E300B6"/>
    <w:rsid w:val="00E3070E"/>
    <w:rsid w:val="00E31E1D"/>
    <w:rsid w:val="00E32A89"/>
    <w:rsid w:val="00E33071"/>
    <w:rsid w:val="00E3373F"/>
    <w:rsid w:val="00E34219"/>
    <w:rsid w:val="00E34A64"/>
    <w:rsid w:val="00E35B6E"/>
    <w:rsid w:val="00E36821"/>
    <w:rsid w:val="00E36ABC"/>
    <w:rsid w:val="00E36EAA"/>
    <w:rsid w:val="00E4155D"/>
    <w:rsid w:val="00E42E0A"/>
    <w:rsid w:val="00E4321B"/>
    <w:rsid w:val="00E4360C"/>
    <w:rsid w:val="00E43772"/>
    <w:rsid w:val="00E46CA8"/>
    <w:rsid w:val="00E518F8"/>
    <w:rsid w:val="00E523DA"/>
    <w:rsid w:val="00E52636"/>
    <w:rsid w:val="00E56AD3"/>
    <w:rsid w:val="00E643EB"/>
    <w:rsid w:val="00E70CBA"/>
    <w:rsid w:val="00E740A9"/>
    <w:rsid w:val="00E74166"/>
    <w:rsid w:val="00E80ECC"/>
    <w:rsid w:val="00E814AF"/>
    <w:rsid w:val="00E81FCF"/>
    <w:rsid w:val="00E83A72"/>
    <w:rsid w:val="00E8432A"/>
    <w:rsid w:val="00E8643F"/>
    <w:rsid w:val="00E86837"/>
    <w:rsid w:val="00E92857"/>
    <w:rsid w:val="00E92F4D"/>
    <w:rsid w:val="00E94E73"/>
    <w:rsid w:val="00E95776"/>
    <w:rsid w:val="00E95B4C"/>
    <w:rsid w:val="00EA1BD3"/>
    <w:rsid w:val="00EA2410"/>
    <w:rsid w:val="00EA4B5E"/>
    <w:rsid w:val="00EA4BE0"/>
    <w:rsid w:val="00EA4C24"/>
    <w:rsid w:val="00EA561A"/>
    <w:rsid w:val="00EA6582"/>
    <w:rsid w:val="00EA6F74"/>
    <w:rsid w:val="00EA76E0"/>
    <w:rsid w:val="00EB11F3"/>
    <w:rsid w:val="00EB3C17"/>
    <w:rsid w:val="00EB4D8A"/>
    <w:rsid w:val="00EB6E6D"/>
    <w:rsid w:val="00EC0064"/>
    <w:rsid w:val="00EC02E9"/>
    <w:rsid w:val="00EC30F1"/>
    <w:rsid w:val="00EC3438"/>
    <w:rsid w:val="00EC5C79"/>
    <w:rsid w:val="00EC752D"/>
    <w:rsid w:val="00ED0343"/>
    <w:rsid w:val="00ED2052"/>
    <w:rsid w:val="00ED2FA6"/>
    <w:rsid w:val="00ED5692"/>
    <w:rsid w:val="00ED647B"/>
    <w:rsid w:val="00EE2618"/>
    <w:rsid w:val="00EE4D4A"/>
    <w:rsid w:val="00EE78B9"/>
    <w:rsid w:val="00EF0B85"/>
    <w:rsid w:val="00EF2D2D"/>
    <w:rsid w:val="00EF407D"/>
    <w:rsid w:val="00EF4EC7"/>
    <w:rsid w:val="00EF6A13"/>
    <w:rsid w:val="00EF71BC"/>
    <w:rsid w:val="00F00552"/>
    <w:rsid w:val="00F02C71"/>
    <w:rsid w:val="00F05332"/>
    <w:rsid w:val="00F05567"/>
    <w:rsid w:val="00F106B2"/>
    <w:rsid w:val="00F108E3"/>
    <w:rsid w:val="00F11AE4"/>
    <w:rsid w:val="00F1366E"/>
    <w:rsid w:val="00F1685E"/>
    <w:rsid w:val="00F1696A"/>
    <w:rsid w:val="00F17163"/>
    <w:rsid w:val="00F208C0"/>
    <w:rsid w:val="00F217A3"/>
    <w:rsid w:val="00F23758"/>
    <w:rsid w:val="00F23A0E"/>
    <w:rsid w:val="00F24164"/>
    <w:rsid w:val="00F24998"/>
    <w:rsid w:val="00F26244"/>
    <w:rsid w:val="00F273F8"/>
    <w:rsid w:val="00F3076B"/>
    <w:rsid w:val="00F30ED5"/>
    <w:rsid w:val="00F3154E"/>
    <w:rsid w:val="00F33317"/>
    <w:rsid w:val="00F344AF"/>
    <w:rsid w:val="00F358B2"/>
    <w:rsid w:val="00F35B43"/>
    <w:rsid w:val="00F36DB2"/>
    <w:rsid w:val="00F3704E"/>
    <w:rsid w:val="00F3730D"/>
    <w:rsid w:val="00F37371"/>
    <w:rsid w:val="00F3753E"/>
    <w:rsid w:val="00F40383"/>
    <w:rsid w:val="00F40849"/>
    <w:rsid w:val="00F43EED"/>
    <w:rsid w:val="00F443E4"/>
    <w:rsid w:val="00F44B23"/>
    <w:rsid w:val="00F46A60"/>
    <w:rsid w:val="00F50B83"/>
    <w:rsid w:val="00F50E17"/>
    <w:rsid w:val="00F50FA2"/>
    <w:rsid w:val="00F522E5"/>
    <w:rsid w:val="00F52879"/>
    <w:rsid w:val="00F52B10"/>
    <w:rsid w:val="00F54152"/>
    <w:rsid w:val="00F54440"/>
    <w:rsid w:val="00F552B3"/>
    <w:rsid w:val="00F554A9"/>
    <w:rsid w:val="00F57872"/>
    <w:rsid w:val="00F57DAB"/>
    <w:rsid w:val="00F65A3F"/>
    <w:rsid w:val="00F65FE5"/>
    <w:rsid w:val="00F67120"/>
    <w:rsid w:val="00F70C56"/>
    <w:rsid w:val="00F73AAC"/>
    <w:rsid w:val="00F755CA"/>
    <w:rsid w:val="00F75680"/>
    <w:rsid w:val="00F76AA9"/>
    <w:rsid w:val="00F8086E"/>
    <w:rsid w:val="00F8089A"/>
    <w:rsid w:val="00F80D41"/>
    <w:rsid w:val="00F87717"/>
    <w:rsid w:val="00F91B2C"/>
    <w:rsid w:val="00F93E6A"/>
    <w:rsid w:val="00F946C5"/>
    <w:rsid w:val="00F97DE8"/>
    <w:rsid w:val="00FA09F5"/>
    <w:rsid w:val="00FA1936"/>
    <w:rsid w:val="00FA2746"/>
    <w:rsid w:val="00FA6B6F"/>
    <w:rsid w:val="00FA72DC"/>
    <w:rsid w:val="00FB02E5"/>
    <w:rsid w:val="00FB398B"/>
    <w:rsid w:val="00FB4096"/>
    <w:rsid w:val="00FB7EC7"/>
    <w:rsid w:val="00FC34BB"/>
    <w:rsid w:val="00FC363D"/>
    <w:rsid w:val="00FC54A3"/>
    <w:rsid w:val="00FC57F9"/>
    <w:rsid w:val="00FC5CDC"/>
    <w:rsid w:val="00FC7588"/>
    <w:rsid w:val="00FD35F7"/>
    <w:rsid w:val="00FD5150"/>
    <w:rsid w:val="00FD5574"/>
    <w:rsid w:val="00FD5F8D"/>
    <w:rsid w:val="00FD60A6"/>
    <w:rsid w:val="00FD760D"/>
    <w:rsid w:val="00FD7A48"/>
    <w:rsid w:val="00FE037F"/>
    <w:rsid w:val="00FE1B56"/>
    <w:rsid w:val="00FE1C39"/>
    <w:rsid w:val="00FE3602"/>
    <w:rsid w:val="00FE3D5F"/>
    <w:rsid w:val="00FE42DA"/>
    <w:rsid w:val="00FE54A7"/>
    <w:rsid w:val="00FE6A81"/>
    <w:rsid w:val="00FE7DCD"/>
    <w:rsid w:val="00FF0DC5"/>
    <w:rsid w:val="00FF11E3"/>
    <w:rsid w:val="00FF2D71"/>
    <w:rsid w:val="00FF77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A6B1D"/>
    <w:pPr>
      <w:spacing w:before="100" w:after="60" w:line="252" w:lineRule="auto"/>
    </w:pPr>
    <w:rPr>
      <w:rFonts w:ascii="Arial" w:hAnsi="Arial"/>
      <w:spacing w:val="4"/>
      <w:sz w:val="20"/>
    </w:rPr>
  </w:style>
  <w:style w:type="paragraph" w:styleId="Heading1">
    <w:name w:val="heading 1"/>
    <w:basedOn w:val="Normal"/>
    <w:next w:val="Normal"/>
    <w:link w:val="Heading1Char"/>
    <w:uiPriority w:val="9"/>
    <w:semiHidden/>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qFormat/>
    <w:rsid w:val="00CA6B1D"/>
    <w:pPr>
      <w:spacing w:before="200" w:after="0"/>
      <w:outlineLvl w:val="1"/>
    </w:pPr>
    <w:rPr>
      <w:rFonts w:eastAsiaTheme="majorEastAsia" w:cstheme="majorBidi"/>
      <w:b/>
      <w:bCs/>
      <w:sz w:val="22"/>
      <w:szCs w:val="26"/>
    </w:rPr>
  </w:style>
  <w:style w:type="paragraph" w:styleId="Heading3">
    <w:name w:val="heading 3"/>
    <w:basedOn w:val="Normal"/>
    <w:next w:val="Normal"/>
    <w:link w:val="Heading3Char"/>
    <w:uiPriority w:val="9"/>
    <w:semiHidden/>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F24998"/>
    <w:pPr>
      <w:tabs>
        <w:tab w:val="right" w:pos="8220"/>
      </w:tabs>
      <w:spacing w:before="40" w:after="40" w:line="240" w:lineRule="auto"/>
      <w:jc w:val="right"/>
    </w:pPr>
    <w:rPr>
      <w:rFonts w:ascii="Arial" w:eastAsia="Times New Roman" w:hAnsi="Arial" w:cs="Calibri"/>
      <w:noProof/>
      <w:color w:val="FFFFFF" w:themeColor="background1"/>
      <w:sz w:val="16"/>
    </w:rPr>
  </w:style>
  <w:style w:type="character" w:customStyle="1" w:styleId="FooterChar">
    <w:name w:val="Footer Char"/>
    <w:basedOn w:val="DefaultParagraphFont"/>
    <w:link w:val="Footer"/>
    <w:uiPriority w:val="24"/>
    <w:semiHidden/>
    <w:rsid w:val="00F24998"/>
    <w:rPr>
      <w:rFonts w:ascii="Arial" w:eastAsia="Times New Roman" w:hAnsi="Arial" w:cs="Calibri"/>
      <w:noProof/>
      <w:color w:val="FFFFFF" w:themeColor="background1"/>
      <w:sz w:val="16"/>
    </w:rPr>
  </w:style>
  <w:style w:type="paragraph" w:customStyle="1" w:styleId="NewsletterTitle">
    <w:name w:val="Newsletter Title"/>
    <w:basedOn w:val="Normal"/>
    <w:rsid w:val="00AF6A16"/>
    <w:pPr>
      <w:spacing w:after="0" w:line="560" w:lineRule="exact"/>
    </w:pPr>
    <w:rPr>
      <w:rFonts w:eastAsia="Times New Roman" w:cs="Calibri"/>
      <w:b/>
      <w:color w:val="201547"/>
      <w:kern w:val="28"/>
      <w:sz w:val="56"/>
    </w:rPr>
  </w:style>
  <w:style w:type="paragraph" w:customStyle="1" w:styleId="NewsletterSubtitle">
    <w:name w:val="Newsletter Subtitle"/>
    <w:basedOn w:val="NewsletterTitle"/>
    <w:rsid w:val="00BD256A"/>
    <w:pPr>
      <w:spacing w:line="252" w:lineRule="auto"/>
    </w:pPr>
    <w:rPr>
      <w:b w:val="0"/>
      <w:color w:val="4D4D4D"/>
      <w:sz w:val="32"/>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1"/>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qFormat/>
    <w:rsid w:val="00A315F4"/>
  </w:style>
  <w:style w:type="character" w:customStyle="1" w:styleId="NewsletterNormalChar">
    <w:name w:val="Newsletter Normal Char"/>
    <w:basedOn w:val="DefaultParagraphFont"/>
    <w:link w:val="NewsletterNormal"/>
    <w:rsid w:val="00A315F4"/>
    <w:rPr>
      <w:rFonts w:ascii="Arial" w:hAnsi="Arial"/>
      <w:spacing w:val="4"/>
      <w:sz w:val="20"/>
    </w:rPr>
  </w:style>
  <w:style w:type="paragraph" w:customStyle="1" w:styleId="NewsletterBullet1">
    <w:name w:val="Newsletter Bullet 1"/>
    <w:basedOn w:val="NewsletterNormal"/>
    <w:qFormat/>
    <w:rsid w:val="00B360A7"/>
    <w:pPr>
      <w:numPr>
        <w:numId w:val="2"/>
      </w:numPr>
    </w:p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qFormat/>
    <w:rsid w:val="00BD256A"/>
    <w:pPr>
      <w:keepNext/>
      <w:keepLines/>
      <w:spacing w:before="240" w:after="0" w:line="252" w:lineRule="auto"/>
    </w:pPr>
    <w:rPr>
      <w:rFonts w:ascii="Arial" w:eastAsia="Times New Roman" w:hAnsi="Arial" w:cs="Calibri"/>
      <w:b/>
      <w:bCs/>
      <w:color w:val="004EA8"/>
      <w:spacing w:val="4"/>
      <w:sz w:val="24"/>
      <w:szCs w:val="24"/>
    </w:rPr>
  </w:style>
  <w:style w:type="paragraph" w:customStyle="1" w:styleId="NewsletterHeading2">
    <w:name w:val="Newsletter Heading 2"/>
    <w:basedOn w:val="NewsletterHeading1"/>
    <w:rsid w:val="00BD256A"/>
    <w:pPr>
      <w:spacing w:before="120"/>
    </w:pPr>
    <w:rPr>
      <w:color w:val="0072CE"/>
      <w:sz w:val="21"/>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BD256A"/>
    <w:pPr>
      <w:keepNext/>
      <w:keepLines/>
      <w:spacing w:after="0"/>
    </w:pPr>
    <w:rPr>
      <w:rFonts w:eastAsia="Times New Roman" w:cs="Calibri"/>
      <w:color w:val="000000"/>
      <w:sz w:val="16"/>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661F96"/>
    <w:rPr>
      <w:rFonts w:ascii="Arial" w:hAnsi="Arial"/>
      <w:color w:val="404040"/>
      <w:spacing w:val="4"/>
      <w:sz w:val="20"/>
      <w:u w:val="none"/>
    </w:rPr>
  </w:style>
  <w:style w:type="paragraph" w:styleId="TOC1">
    <w:name w:val="toc 1"/>
    <w:basedOn w:val="Normal"/>
    <w:next w:val="Normal"/>
    <w:autoRedefine/>
    <w:uiPriority w:val="39"/>
    <w:rsid w:val="00F24998"/>
    <w:pPr>
      <w:tabs>
        <w:tab w:val="right" w:leader="dot" w:pos="2951"/>
      </w:tabs>
      <w:spacing w:before="0" w:after="0"/>
      <w:ind w:left="181" w:right="191" w:hanging="181"/>
    </w:pPr>
    <w:rPr>
      <w:rFonts w:eastAsia="Times New Roman" w:cs="Calibri"/>
      <w:noProof/>
      <w:color w:val="4C4C4C"/>
      <w:sz w:val="16"/>
      <w:szCs w:val="16"/>
    </w:rPr>
  </w:style>
  <w:style w:type="paragraph" w:customStyle="1" w:styleId="NewsletterIntroductoryCopy">
    <w:name w:val="Newsletter Introductory Copy"/>
    <w:basedOn w:val="Normal"/>
    <w:rsid w:val="00CA6B1D"/>
    <w:pPr>
      <w:keepNext/>
      <w:keepLines/>
      <w:widowControl w:val="0"/>
      <w:spacing w:before="260" w:line="216" w:lineRule="auto"/>
      <w:outlineLvl w:val="1"/>
    </w:pPr>
    <w:rPr>
      <w:rFonts w:eastAsia="Times New Roman" w:cs="Calibri"/>
      <w:color w:val="0072CE"/>
      <w:sz w:val="26"/>
      <w:lang w:eastAsia="en-US"/>
    </w:rPr>
  </w:style>
  <w:style w:type="paragraph" w:customStyle="1" w:styleId="NewsletterTOCheading">
    <w:name w:val="Newsletter TOC heading"/>
    <w:basedOn w:val="NewsletterNormal"/>
    <w:semiHidden/>
    <w:rsid w:val="00B1475C"/>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Borders>
        <w:bottom w:val="single" w:sz="4" w:space="0" w:color="1665A1"/>
        <w:insideH w:val="single" w:sz="4" w:space="0" w:color="1665A1"/>
      </w:tblBorders>
      <w:tblCellMar>
        <w:left w:w="43"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Cs w:val="20"/>
      <w:lang w:val="en-US" w:eastAsia="en-US"/>
    </w:rPr>
  </w:style>
  <w:style w:type="paragraph" w:customStyle="1" w:styleId="NewsletterHeading3">
    <w:name w:val="Newsletter Heading 3"/>
    <w:basedOn w:val="NewsletterNormal"/>
    <w:rsid w:val="00C01CF3"/>
    <w:pPr>
      <w:tabs>
        <w:tab w:val="left" w:pos="567"/>
      </w:tabs>
    </w:pPr>
    <w:rPr>
      <w:b/>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9D51CC"/>
    <w:pPr>
      <w:spacing w:before="60" w:line="230" w:lineRule="atLeast"/>
    </w:pPr>
    <w:rPr>
      <w:rFonts w:eastAsia="Times New Roman" w:cs="Calibri"/>
      <w:sz w:val="16"/>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semiHidden/>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semiHidden/>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semiHidden/>
    <w:qFormat/>
    <w:rsid w:val="004B3EFE"/>
    <w:pPr>
      <w:ind w:left="720"/>
      <w:contextualSpacing/>
    </w:pPr>
  </w:style>
  <w:style w:type="character" w:styleId="Emphasis">
    <w:name w:val="Emphasis"/>
    <w:uiPriority w:val="20"/>
    <w:semiHidden/>
    <w:qFormat/>
    <w:rsid w:val="004B3EFE"/>
    <w:rPr>
      <w:b/>
      <w:bCs/>
      <w:i/>
      <w:iCs/>
      <w:spacing w:val="10"/>
      <w:bdr w:val="none" w:sz="0" w:space="0" w:color="auto"/>
      <w:shd w:val="clear" w:color="auto" w:fill="auto"/>
    </w:rPr>
  </w:style>
  <w:style w:type="character" w:customStyle="1" w:styleId="radewrongword">
    <w:name w:val="radewrongword"/>
    <w:basedOn w:val="DefaultParagraphFont"/>
    <w:semiHidden/>
    <w:rsid w:val="006C7ECF"/>
  </w:style>
  <w:style w:type="character" w:customStyle="1" w:styleId="st1">
    <w:name w:val="st1"/>
    <w:basedOn w:val="DefaultParagraphFont"/>
    <w:semiHidden/>
    <w:rsid w:val="00702EEB"/>
  </w:style>
  <w:style w:type="paragraph" w:customStyle="1" w:styleId="Listindent2">
    <w:name w:val="List indent 2"/>
    <w:basedOn w:val="NewsletterBullet1"/>
    <w:semiHidden/>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semiHidden/>
    <w:rsid w:val="00B8748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6B1D"/>
    <w:rPr>
      <w:rFonts w:ascii="Arial" w:eastAsiaTheme="majorEastAsia" w:hAnsi="Arial" w:cstheme="majorBidi"/>
      <w:b/>
      <w:bCs/>
      <w:spacing w:val="4"/>
      <w:szCs w:val="26"/>
    </w:rPr>
  </w:style>
  <w:style w:type="character" w:customStyle="1" w:styleId="Heading3Char">
    <w:name w:val="Heading 3 Char"/>
    <w:basedOn w:val="DefaultParagraphFont"/>
    <w:link w:val="Heading3"/>
    <w:uiPriority w:val="9"/>
    <w:semiHidden/>
    <w:rsid w:val="00B8748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ewsletterTitle"/>
    <w:next w:val="Normal"/>
    <w:link w:val="TitleChar"/>
    <w:uiPriority w:val="10"/>
    <w:qFormat/>
    <w:rsid w:val="005C12CC"/>
  </w:style>
  <w:style w:type="character" w:customStyle="1" w:styleId="TitleChar">
    <w:name w:val="Title Char"/>
    <w:basedOn w:val="DefaultParagraphFont"/>
    <w:link w:val="Title"/>
    <w:uiPriority w:val="10"/>
    <w:rsid w:val="005C12CC"/>
    <w:rPr>
      <w:rFonts w:ascii="Calibri" w:eastAsia="Times New Roman" w:hAnsi="Calibri" w:cs="Calibri"/>
      <w:b/>
      <w:color w:val="201547"/>
      <w:kern w:val="28"/>
      <w:sz w:val="60"/>
    </w:rPr>
  </w:style>
  <w:style w:type="paragraph" w:styleId="Subtitle">
    <w:name w:val="Subtitle"/>
    <w:basedOn w:val="NewsletterSubtitle"/>
    <w:next w:val="Normal"/>
    <w:link w:val="SubtitleChar"/>
    <w:uiPriority w:val="11"/>
    <w:qFormat/>
    <w:rsid w:val="00661F96"/>
    <w:rPr>
      <w:color w:val="53565A"/>
    </w:rPr>
  </w:style>
  <w:style w:type="character" w:customStyle="1" w:styleId="SubtitleChar">
    <w:name w:val="Subtitle Char"/>
    <w:basedOn w:val="DefaultParagraphFont"/>
    <w:link w:val="Subtitle"/>
    <w:uiPriority w:val="11"/>
    <w:rsid w:val="00661F96"/>
    <w:rPr>
      <w:rFonts w:ascii="Arial" w:eastAsia="Times New Roman" w:hAnsi="Arial" w:cs="Calibri"/>
      <w:color w:val="53565A"/>
      <w:spacing w:val="4"/>
      <w:kern w:val="28"/>
      <w:sz w:val="32"/>
    </w:rPr>
  </w:style>
  <w:style w:type="character" w:styleId="Strong">
    <w:name w:val="Strong"/>
    <w:uiPriority w:val="22"/>
    <w:semiHidden/>
    <w:qFormat/>
    <w:rsid w:val="004B3EFE"/>
    <w:rPr>
      <w:b/>
      <w:bCs/>
    </w:rPr>
  </w:style>
  <w:style w:type="paragraph" w:styleId="NoSpacing">
    <w:name w:val="No Spacing"/>
    <w:basedOn w:val="Normal"/>
    <w:uiPriority w:val="1"/>
    <w:semiHidden/>
    <w:qFormat/>
    <w:rsid w:val="004B3EFE"/>
    <w:pPr>
      <w:spacing w:after="0"/>
    </w:pPr>
  </w:style>
  <w:style w:type="paragraph" w:styleId="Quote">
    <w:name w:val="Quote"/>
    <w:basedOn w:val="Normal"/>
    <w:next w:val="Normal"/>
    <w:link w:val="QuoteChar"/>
    <w:uiPriority w:val="29"/>
    <w:semiHidden/>
    <w:qFormat/>
    <w:rsid w:val="004B3EFE"/>
    <w:pPr>
      <w:spacing w:before="200" w:after="0"/>
      <w:ind w:left="360" w:right="360"/>
    </w:pPr>
    <w:rPr>
      <w:i/>
      <w:iCs/>
    </w:rPr>
  </w:style>
  <w:style w:type="character" w:customStyle="1" w:styleId="QuoteChar">
    <w:name w:val="Quote Char"/>
    <w:basedOn w:val="DefaultParagraphFont"/>
    <w:link w:val="Quote"/>
    <w:uiPriority w:val="29"/>
    <w:semiHidden/>
    <w:rsid w:val="00B87489"/>
    <w:rPr>
      <w:i/>
      <w:iCs/>
    </w:rPr>
  </w:style>
  <w:style w:type="paragraph" w:styleId="IntenseQuote">
    <w:name w:val="Intense Quote"/>
    <w:basedOn w:val="Normal"/>
    <w:next w:val="Normal"/>
    <w:link w:val="IntenseQuoteChar"/>
    <w:uiPriority w:val="30"/>
    <w:semiHidden/>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B87489"/>
    <w:rPr>
      <w:b/>
      <w:bCs/>
      <w:i/>
      <w:iCs/>
    </w:rPr>
  </w:style>
  <w:style w:type="character" w:styleId="SubtleEmphasis">
    <w:name w:val="Subtle Emphasis"/>
    <w:uiPriority w:val="19"/>
    <w:semiHidden/>
    <w:qFormat/>
    <w:rsid w:val="004B3EFE"/>
    <w:rPr>
      <w:i/>
      <w:iCs/>
    </w:rPr>
  </w:style>
  <w:style w:type="character" w:styleId="IntenseEmphasis">
    <w:name w:val="Intense Emphasis"/>
    <w:uiPriority w:val="21"/>
    <w:semiHidden/>
    <w:qFormat/>
    <w:rsid w:val="004B3EFE"/>
    <w:rPr>
      <w:b/>
      <w:bCs/>
    </w:rPr>
  </w:style>
  <w:style w:type="character" w:styleId="SubtleReference">
    <w:name w:val="Subtle Reference"/>
    <w:uiPriority w:val="31"/>
    <w:semiHidden/>
    <w:qFormat/>
    <w:rsid w:val="004B3EFE"/>
    <w:rPr>
      <w:smallCaps/>
    </w:rPr>
  </w:style>
  <w:style w:type="character" w:styleId="IntenseReference">
    <w:name w:val="Intense Reference"/>
    <w:uiPriority w:val="32"/>
    <w:semiHidden/>
    <w:qFormat/>
    <w:rsid w:val="004B3EFE"/>
    <w:rPr>
      <w:smallCaps/>
      <w:spacing w:val="5"/>
      <w:u w:val="single"/>
    </w:rPr>
  </w:style>
  <w:style w:type="character" w:styleId="BookTitle">
    <w:name w:val="Book Title"/>
    <w:uiPriority w:val="33"/>
    <w:semiHidden/>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Borders>
        <w:top w:val="single" w:sz="4" w:space="0" w:color="auto"/>
        <w:bottom w:val="single" w:sz="4" w:space="0" w:color="auto"/>
        <w:insideH w:val="single" w:sz="4" w:space="0" w:color="auto"/>
      </w:tblBorders>
    </w:tbl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semiHidden/>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661F96"/>
    <w:rPr>
      <w:rFonts w:ascii="Arial" w:hAnsi="Arial"/>
      <w:sz w:val="16"/>
    </w:rPr>
  </w:style>
  <w:style w:type="paragraph" w:customStyle="1" w:styleId="TableHeading">
    <w:name w:val="Table Heading"/>
    <w:basedOn w:val="TableText"/>
    <w:qFormat/>
    <w:rsid w:val="00184F8B"/>
    <w:rPr>
      <w:b/>
      <w:szCs w:val="20"/>
    </w:rPr>
  </w:style>
  <w:style w:type="paragraph" w:customStyle="1" w:styleId="Heading2NoNum">
    <w:name w:val="Heading 2 NoNum"/>
    <w:basedOn w:val="Heading2"/>
    <w:next w:val="Normal"/>
    <w:uiPriority w:val="4"/>
    <w:semiHidden/>
    <w:qFormat/>
    <w:rsid w:val="004B443C"/>
    <w:pPr>
      <w:keepNext/>
      <w:keepLines/>
      <w:widowControl w:val="0"/>
      <w:spacing w:before="240" w:after="120"/>
    </w:pPr>
    <w:rPr>
      <w:rFonts w:ascii="Calibri" w:eastAsia="Times New Roman" w:hAnsi="Calibri" w:cs="Calibri"/>
      <w:bCs w:val="0"/>
      <w:color w:val="4D4D4D"/>
      <w:sz w:val="24"/>
      <w:szCs w:val="22"/>
      <w:lang w:eastAsia="en-US"/>
    </w:rPr>
  </w:style>
  <w:style w:type="paragraph" w:customStyle="1" w:styleId="NewsletterHeading4">
    <w:name w:val="Newsletter Heading 4"/>
    <w:basedOn w:val="NewsletterNormal"/>
    <w:qFormat/>
    <w:rsid w:val="00C01CF3"/>
    <w:rPr>
      <w:b/>
      <w:color w:val="53565A"/>
    </w:rPr>
  </w:style>
  <w:style w:type="character" w:styleId="PlaceholderText">
    <w:name w:val="Placeholder Text"/>
    <w:basedOn w:val="DefaultParagraphFont"/>
    <w:uiPriority w:val="99"/>
    <w:semiHidden/>
    <w:rsid w:val="005A31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lsdException w:name="header" w:uiPriority="24"/>
    <w:lsdException w:name="footer" w:uiPriority="24"/>
    <w:lsdException w:name="caption" w:uiPriority="35"/>
    <w:lsdException w:name="footnote reference" w:uiPriority="49"/>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A6B1D"/>
    <w:pPr>
      <w:spacing w:before="100" w:after="60" w:line="252" w:lineRule="auto"/>
    </w:pPr>
    <w:rPr>
      <w:rFonts w:ascii="Arial" w:hAnsi="Arial"/>
      <w:spacing w:val="4"/>
      <w:sz w:val="20"/>
    </w:rPr>
  </w:style>
  <w:style w:type="paragraph" w:styleId="Heading1">
    <w:name w:val="heading 1"/>
    <w:basedOn w:val="Normal"/>
    <w:next w:val="Normal"/>
    <w:link w:val="Heading1Char"/>
    <w:uiPriority w:val="9"/>
    <w:semiHidden/>
    <w:qFormat/>
    <w:rsid w:val="004B3E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qFormat/>
    <w:rsid w:val="00CA6B1D"/>
    <w:pPr>
      <w:spacing w:before="200" w:after="0"/>
      <w:outlineLvl w:val="1"/>
    </w:pPr>
    <w:rPr>
      <w:rFonts w:eastAsiaTheme="majorEastAsia" w:cstheme="majorBidi"/>
      <w:b/>
      <w:bCs/>
      <w:sz w:val="22"/>
      <w:szCs w:val="26"/>
    </w:rPr>
  </w:style>
  <w:style w:type="paragraph" w:styleId="Heading3">
    <w:name w:val="heading 3"/>
    <w:basedOn w:val="Normal"/>
    <w:next w:val="Normal"/>
    <w:link w:val="Heading3Char"/>
    <w:uiPriority w:val="9"/>
    <w:semiHidden/>
    <w:qFormat/>
    <w:rsid w:val="004B3E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B3E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B3E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B3E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B3E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B3EFE"/>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4B3EFE"/>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semiHidden/>
    <w:rsid w:val="002620A4"/>
    <w:pPr>
      <w:tabs>
        <w:tab w:val="center" w:pos="4513"/>
        <w:tab w:val="right" w:pos="9026"/>
      </w:tabs>
      <w:spacing w:after="0"/>
    </w:pPr>
  </w:style>
  <w:style w:type="character" w:customStyle="1" w:styleId="HeaderChar">
    <w:name w:val="Header Char"/>
    <w:basedOn w:val="DefaultParagraphFont"/>
    <w:link w:val="Header"/>
    <w:uiPriority w:val="24"/>
    <w:semiHidden/>
    <w:rsid w:val="00C30359"/>
  </w:style>
  <w:style w:type="paragraph" w:styleId="Footer">
    <w:name w:val="footer"/>
    <w:link w:val="FooterChar"/>
    <w:uiPriority w:val="24"/>
    <w:semiHidden/>
    <w:rsid w:val="00F24998"/>
    <w:pPr>
      <w:tabs>
        <w:tab w:val="right" w:pos="8220"/>
      </w:tabs>
      <w:spacing w:before="40" w:after="40" w:line="240" w:lineRule="auto"/>
      <w:jc w:val="right"/>
    </w:pPr>
    <w:rPr>
      <w:rFonts w:ascii="Arial" w:eastAsia="Times New Roman" w:hAnsi="Arial" w:cs="Calibri"/>
      <w:noProof/>
      <w:color w:val="FFFFFF" w:themeColor="background1"/>
      <w:sz w:val="16"/>
    </w:rPr>
  </w:style>
  <w:style w:type="character" w:customStyle="1" w:styleId="FooterChar">
    <w:name w:val="Footer Char"/>
    <w:basedOn w:val="DefaultParagraphFont"/>
    <w:link w:val="Footer"/>
    <w:uiPriority w:val="24"/>
    <w:semiHidden/>
    <w:rsid w:val="00F24998"/>
    <w:rPr>
      <w:rFonts w:ascii="Arial" w:eastAsia="Times New Roman" w:hAnsi="Arial" w:cs="Calibri"/>
      <w:noProof/>
      <w:color w:val="FFFFFF" w:themeColor="background1"/>
      <w:sz w:val="16"/>
    </w:rPr>
  </w:style>
  <w:style w:type="paragraph" w:customStyle="1" w:styleId="NewsletterTitle">
    <w:name w:val="Newsletter Title"/>
    <w:basedOn w:val="Normal"/>
    <w:rsid w:val="00AF6A16"/>
    <w:pPr>
      <w:spacing w:after="0" w:line="560" w:lineRule="exact"/>
    </w:pPr>
    <w:rPr>
      <w:rFonts w:eastAsia="Times New Roman" w:cs="Calibri"/>
      <w:b/>
      <w:color w:val="201547"/>
      <w:kern w:val="28"/>
      <w:sz w:val="56"/>
    </w:rPr>
  </w:style>
  <w:style w:type="paragraph" w:customStyle="1" w:styleId="NewsletterSubtitle">
    <w:name w:val="Newsletter Subtitle"/>
    <w:basedOn w:val="NewsletterTitle"/>
    <w:rsid w:val="00BD256A"/>
    <w:pPr>
      <w:spacing w:line="252" w:lineRule="auto"/>
    </w:pPr>
    <w:rPr>
      <w:b w:val="0"/>
      <w:color w:val="4D4D4D"/>
      <w:sz w:val="32"/>
    </w:rPr>
  </w:style>
  <w:style w:type="paragraph" w:styleId="TOC2">
    <w:name w:val="toc 2"/>
    <w:next w:val="Normal"/>
    <w:autoRedefine/>
    <w:uiPriority w:val="39"/>
    <w:semiHidden/>
    <w:rsid w:val="00EC02E9"/>
    <w:pPr>
      <w:tabs>
        <w:tab w:val="left" w:pos="1985"/>
        <w:tab w:val="right" w:leader="dot" w:pos="9639"/>
      </w:tabs>
      <w:spacing w:before="20" w:after="0" w:line="240" w:lineRule="auto"/>
      <w:ind w:left="1248" w:right="567" w:hanging="454"/>
      <w:contextualSpacing/>
    </w:pPr>
    <w:rPr>
      <w:rFonts w:ascii="Calibri" w:eastAsia="Times New Roman" w:hAnsi="Calibri" w:cs="Calibri"/>
      <w:noProof/>
      <w:color w:val="000000"/>
      <w:sz w:val="20"/>
      <w:szCs w:val="28"/>
    </w:rPr>
  </w:style>
  <w:style w:type="paragraph" w:customStyle="1" w:styleId="BreakoutNormal">
    <w:name w:val="Breakout Normal"/>
    <w:basedOn w:val="Normal"/>
    <w:semiHidden/>
    <w:rsid w:val="002620A4"/>
    <w:pPr>
      <w:spacing w:after="100"/>
    </w:pPr>
    <w:rPr>
      <w:rFonts w:ascii="Calibri" w:eastAsia="Times New Roman" w:hAnsi="Calibri" w:cs="Calibri"/>
    </w:rPr>
  </w:style>
  <w:style w:type="paragraph" w:customStyle="1" w:styleId="BreakoutHeading">
    <w:name w:val="Breakout Heading"/>
    <w:basedOn w:val="BreakoutNormal"/>
    <w:semiHidden/>
    <w:rsid w:val="002620A4"/>
    <w:pPr>
      <w:framePr w:wrap="around" w:vAnchor="page" w:hAnchor="margin" w:x="114" w:y="13042"/>
      <w:spacing w:line="240" w:lineRule="atLeast"/>
      <w:suppressOverlap/>
    </w:pPr>
    <w:rPr>
      <w:color w:val="4C4C4C"/>
      <w:sz w:val="24"/>
    </w:rPr>
  </w:style>
  <w:style w:type="paragraph" w:customStyle="1" w:styleId="BreakoutList1">
    <w:name w:val="Breakout List 1"/>
    <w:basedOn w:val="BreakoutNormal"/>
    <w:semiHidden/>
    <w:rsid w:val="002620A4"/>
    <w:pPr>
      <w:numPr>
        <w:numId w:val="1"/>
      </w:numPr>
    </w:pPr>
  </w:style>
  <w:style w:type="paragraph" w:customStyle="1" w:styleId="BreakoutList2">
    <w:name w:val="Breakout List 2"/>
    <w:basedOn w:val="BreakoutList1"/>
    <w:semiHidden/>
    <w:rsid w:val="002620A4"/>
    <w:pPr>
      <w:numPr>
        <w:ilvl w:val="1"/>
      </w:numPr>
    </w:pPr>
  </w:style>
  <w:style w:type="paragraph" w:customStyle="1" w:styleId="Bullet1">
    <w:name w:val="Bullet 1"/>
    <w:basedOn w:val="Normal"/>
    <w:uiPriority w:val="11"/>
    <w:semiHidden/>
    <w:rsid w:val="002620A4"/>
    <w:pPr>
      <w:spacing w:before="80" w:after="80"/>
    </w:pPr>
    <w:rPr>
      <w:rFonts w:ascii="Calibri" w:eastAsia="Times New Roman" w:hAnsi="Calibri" w:cs="Calibri"/>
    </w:rPr>
  </w:style>
  <w:style w:type="paragraph" w:customStyle="1" w:styleId="Bullet2">
    <w:name w:val="Bullet 2"/>
    <w:basedOn w:val="Bullet1"/>
    <w:uiPriority w:val="11"/>
    <w:semiHidden/>
    <w:rsid w:val="002620A4"/>
  </w:style>
  <w:style w:type="paragraph" w:customStyle="1" w:styleId="Bullet3">
    <w:name w:val="Bullet 3"/>
    <w:basedOn w:val="Bullet2"/>
    <w:uiPriority w:val="11"/>
    <w:semiHidden/>
    <w:rsid w:val="002620A4"/>
  </w:style>
  <w:style w:type="paragraph" w:customStyle="1" w:styleId="NewsletterNormal">
    <w:name w:val="Newsletter Normal"/>
    <w:basedOn w:val="Normal"/>
    <w:link w:val="NewsletterNormalChar"/>
    <w:qFormat/>
    <w:rsid w:val="00A315F4"/>
  </w:style>
  <w:style w:type="character" w:customStyle="1" w:styleId="NewsletterNormalChar">
    <w:name w:val="Newsletter Normal Char"/>
    <w:basedOn w:val="DefaultParagraphFont"/>
    <w:link w:val="NewsletterNormal"/>
    <w:rsid w:val="00A315F4"/>
    <w:rPr>
      <w:rFonts w:ascii="Arial" w:hAnsi="Arial"/>
      <w:spacing w:val="4"/>
      <w:sz w:val="20"/>
    </w:rPr>
  </w:style>
  <w:style w:type="paragraph" w:customStyle="1" w:styleId="NewsletterBullet1">
    <w:name w:val="Newsletter Bullet 1"/>
    <w:basedOn w:val="NewsletterNormal"/>
    <w:qFormat/>
    <w:rsid w:val="00B360A7"/>
    <w:pPr>
      <w:numPr>
        <w:numId w:val="2"/>
      </w:numPr>
    </w:pPr>
  </w:style>
  <w:style w:type="paragraph" w:customStyle="1" w:styleId="NewsletterBullet2">
    <w:name w:val="Newsletter Bullet 2"/>
    <w:basedOn w:val="NewsletterBullet1"/>
    <w:rsid w:val="001C61F7"/>
    <w:pPr>
      <w:numPr>
        <w:ilvl w:val="1"/>
      </w:numPr>
    </w:pPr>
  </w:style>
  <w:style w:type="paragraph" w:customStyle="1" w:styleId="NewsletterBullet3">
    <w:name w:val="Newsletter Bullet 3"/>
    <w:basedOn w:val="NewsletterBullet2"/>
    <w:rsid w:val="002620A4"/>
    <w:pPr>
      <w:numPr>
        <w:ilvl w:val="2"/>
      </w:numPr>
    </w:pPr>
  </w:style>
  <w:style w:type="paragraph" w:customStyle="1" w:styleId="NewsletterGraphic">
    <w:name w:val="Newsletter Graphic"/>
    <w:basedOn w:val="Normal"/>
    <w:semiHidden/>
    <w:rsid w:val="002620A4"/>
    <w:pPr>
      <w:widowControl w:val="0"/>
      <w:spacing w:before="160" w:after="320"/>
    </w:pPr>
    <w:rPr>
      <w:rFonts w:ascii="Calibri" w:eastAsia="Times New Roman" w:hAnsi="Calibri" w:cs="Calibri"/>
      <w:sz w:val="24"/>
    </w:rPr>
  </w:style>
  <w:style w:type="paragraph" w:customStyle="1" w:styleId="NewsletterHeading1">
    <w:name w:val="Newsletter Heading 1"/>
    <w:qFormat/>
    <w:rsid w:val="00BD256A"/>
    <w:pPr>
      <w:keepNext/>
      <w:keepLines/>
      <w:spacing w:before="240" w:after="0" w:line="252" w:lineRule="auto"/>
    </w:pPr>
    <w:rPr>
      <w:rFonts w:ascii="Arial" w:eastAsia="Times New Roman" w:hAnsi="Arial" w:cs="Calibri"/>
      <w:b/>
      <w:bCs/>
      <w:color w:val="004EA8"/>
      <w:spacing w:val="4"/>
      <w:sz w:val="24"/>
      <w:szCs w:val="24"/>
    </w:rPr>
  </w:style>
  <w:style w:type="paragraph" w:customStyle="1" w:styleId="NewsletterHeading2">
    <w:name w:val="Newsletter Heading 2"/>
    <w:basedOn w:val="NewsletterHeading1"/>
    <w:rsid w:val="00BD256A"/>
    <w:pPr>
      <w:spacing w:before="120"/>
    </w:pPr>
    <w:rPr>
      <w:color w:val="0072CE"/>
      <w:sz w:val="21"/>
    </w:rPr>
  </w:style>
  <w:style w:type="paragraph" w:customStyle="1" w:styleId="NewsletterIntro">
    <w:name w:val="Newsletter Intro"/>
    <w:basedOn w:val="Normal"/>
    <w:semiHidden/>
    <w:rsid w:val="002620A4"/>
    <w:pPr>
      <w:suppressAutoHyphens/>
      <w:autoSpaceDE w:val="0"/>
      <w:autoSpaceDN w:val="0"/>
      <w:adjustRightInd w:val="0"/>
      <w:spacing w:after="120" w:line="216" w:lineRule="auto"/>
      <w:textAlignment w:val="center"/>
    </w:pPr>
    <w:rPr>
      <w:rFonts w:ascii="Calibri" w:eastAsia="Times New Roman" w:hAnsi="Calibri" w:cs="FoundryFormSans Book"/>
      <w:color w:val="969696"/>
      <w:sz w:val="28"/>
      <w:szCs w:val="28"/>
    </w:rPr>
  </w:style>
  <w:style w:type="paragraph" w:customStyle="1" w:styleId="NewsletterNote">
    <w:name w:val="Newsletter Note"/>
    <w:basedOn w:val="Normal"/>
    <w:rsid w:val="00BD256A"/>
    <w:pPr>
      <w:keepNext/>
      <w:keepLines/>
      <w:spacing w:after="0"/>
    </w:pPr>
    <w:rPr>
      <w:rFonts w:eastAsia="Times New Roman" w:cs="Calibri"/>
      <w:color w:val="000000"/>
      <w:sz w:val="16"/>
      <w:lang w:eastAsia="en-US"/>
    </w:rPr>
  </w:style>
  <w:style w:type="character" w:styleId="FootnoteReference">
    <w:name w:val="footnote reference"/>
    <w:uiPriority w:val="49"/>
    <w:semiHidden/>
    <w:rsid w:val="002620A4"/>
    <w:rPr>
      <w:vertAlign w:val="superscript"/>
    </w:rPr>
  </w:style>
  <w:style w:type="paragraph" w:styleId="FootnoteText">
    <w:name w:val="footnote text"/>
    <w:basedOn w:val="Normal"/>
    <w:link w:val="FootnoteTextChar"/>
    <w:uiPriority w:val="49"/>
    <w:semiHidden/>
    <w:rsid w:val="002620A4"/>
    <w:pPr>
      <w:spacing w:after="100"/>
    </w:pPr>
    <w:rPr>
      <w:rFonts w:ascii="Calibri" w:eastAsia="Times New Roman" w:hAnsi="Calibri" w:cs="Calibri"/>
    </w:rPr>
  </w:style>
  <w:style w:type="character" w:customStyle="1" w:styleId="FootnoteTextChar">
    <w:name w:val="Footnote Text Char"/>
    <w:basedOn w:val="DefaultParagraphFont"/>
    <w:link w:val="FootnoteText"/>
    <w:uiPriority w:val="49"/>
    <w:semiHidden/>
    <w:rsid w:val="002620A4"/>
    <w:rPr>
      <w:rFonts w:ascii="Calibri" w:eastAsia="Times New Roman" w:hAnsi="Calibri" w:cs="Calibri"/>
      <w:sz w:val="20"/>
    </w:rPr>
  </w:style>
  <w:style w:type="character" w:styleId="Hyperlink">
    <w:name w:val="Hyperlink"/>
    <w:uiPriority w:val="99"/>
    <w:rsid w:val="00661F96"/>
    <w:rPr>
      <w:rFonts w:ascii="Arial" w:hAnsi="Arial"/>
      <w:color w:val="404040"/>
      <w:spacing w:val="4"/>
      <w:sz w:val="20"/>
      <w:u w:val="none"/>
    </w:rPr>
  </w:style>
  <w:style w:type="paragraph" w:styleId="TOC1">
    <w:name w:val="toc 1"/>
    <w:basedOn w:val="Normal"/>
    <w:next w:val="Normal"/>
    <w:autoRedefine/>
    <w:uiPriority w:val="39"/>
    <w:rsid w:val="00F24998"/>
    <w:pPr>
      <w:tabs>
        <w:tab w:val="right" w:leader="dot" w:pos="2951"/>
      </w:tabs>
      <w:spacing w:before="0" w:after="0"/>
      <w:ind w:left="181" w:right="191" w:hanging="181"/>
    </w:pPr>
    <w:rPr>
      <w:rFonts w:eastAsia="Times New Roman" w:cs="Calibri"/>
      <w:noProof/>
      <w:color w:val="4C4C4C"/>
      <w:sz w:val="16"/>
      <w:szCs w:val="16"/>
    </w:rPr>
  </w:style>
  <w:style w:type="paragraph" w:customStyle="1" w:styleId="NewsletterIntroductoryCopy">
    <w:name w:val="Newsletter Introductory Copy"/>
    <w:basedOn w:val="Normal"/>
    <w:rsid w:val="00CA6B1D"/>
    <w:pPr>
      <w:keepNext/>
      <w:keepLines/>
      <w:widowControl w:val="0"/>
      <w:spacing w:before="260" w:line="216" w:lineRule="auto"/>
      <w:outlineLvl w:val="1"/>
    </w:pPr>
    <w:rPr>
      <w:rFonts w:eastAsia="Times New Roman" w:cs="Calibri"/>
      <w:color w:val="0072CE"/>
      <w:sz w:val="26"/>
      <w:lang w:eastAsia="en-US"/>
    </w:rPr>
  </w:style>
  <w:style w:type="paragraph" w:customStyle="1" w:styleId="NewsletterTOCheading">
    <w:name w:val="Newsletter TOC heading"/>
    <w:basedOn w:val="NewsletterNormal"/>
    <w:semiHidden/>
    <w:rsid w:val="00B1475C"/>
    <w:pPr>
      <w:spacing w:line="230" w:lineRule="atLeast"/>
    </w:pPr>
    <w:rPr>
      <w:b/>
      <w:color w:val="1665A1"/>
      <w:sz w:val="36"/>
      <w:szCs w:val="36"/>
    </w:rPr>
  </w:style>
  <w:style w:type="table" w:styleId="TableGrid">
    <w:name w:val="Table Grid"/>
    <w:basedOn w:val="TableNormal"/>
    <w:uiPriority w:val="59"/>
    <w:rsid w:val="00184F8B"/>
    <w:pPr>
      <w:spacing w:after="0" w:line="240" w:lineRule="auto"/>
    </w:pPr>
    <w:rPr>
      <w:rFonts w:ascii="Calibri" w:hAnsi="Calibri"/>
    </w:rPr>
    <w:tblPr>
      <w:tblBorders>
        <w:bottom w:val="single" w:sz="4" w:space="0" w:color="1665A1"/>
        <w:insideH w:val="single" w:sz="4" w:space="0" w:color="1665A1"/>
      </w:tblBorders>
      <w:tblCellMar>
        <w:left w:w="43" w:type="dxa"/>
        <w:right w:w="43" w:type="dxa"/>
      </w:tblCellMar>
    </w:tblPr>
    <w:trPr>
      <w:cantSplit/>
    </w:tr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Char">
    <w:name w:val="Char"/>
    <w:basedOn w:val="Normal"/>
    <w:semiHidden/>
    <w:rsid w:val="00AB0A40"/>
    <w:pPr>
      <w:spacing w:before="60" w:after="160" w:line="240" w:lineRule="exact"/>
      <w:jc w:val="both"/>
    </w:pPr>
    <w:rPr>
      <w:rFonts w:ascii="Tahoma" w:eastAsia="Times New Roman" w:hAnsi="Tahoma" w:cs="Tahoma"/>
      <w:szCs w:val="20"/>
      <w:lang w:val="en-US" w:eastAsia="en-US"/>
    </w:rPr>
  </w:style>
  <w:style w:type="paragraph" w:customStyle="1" w:styleId="NewsletterHeading3">
    <w:name w:val="Newsletter Heading 3"/>
    <w:basedOn w:val="NewsletterNormal"/>
    <w:rsid w:val="00C01CF3"/>
    <w:pPr>
      <w:tabs>
        <w:tab w:val="left" w:pos="567"/>
      </w:tabs>
    </w:pPr>
    <w:rPr>
      <w:b/>
    </w:rPr>
  </w:style>
  <w:style w:type="paragraph" w:customStyle="1" w:styleId="NewsletterNormalindent">
    <w:name w:val="Newsletter Normal indent"/>
    <w:basedOn w:val="NewsletterNormal"/>
    <w:rsid w:val="00B3784C"/>
    <w:pPr>
      <w:ind w:left="283"/>
    </w:pPr>
  </w:style>
  <w:style w:type="paragraph" w:styleId="NormalWeb">
    <w:name w:val="Normal (Web)"/>
    <w:basedOn w:val="Normal"/>
    <w:uiPriority w:val="99"/>
    <w:semiHidden/>
    <w:unhideWhenUsed/>
    <w:rsid w:val="001C61F7"/>
    <w:pPr>
      <w:spacing w:beforeAutospacing="1" w:after="100" w:afterAutospacing="1"/>
    </w:pPr>
    <w:rPr>
      <w:rFonts w:ascii="Times New Roman" w:hAnsi="Times New Roman" w:cs="Times New Roman"/>
      <w:sz w:val="24"/>
      <w:szCs w:val="24"/>
    </w:rPr>
  </w:style>
  <w:style w:type="paragraph" w:customStyle="1" w:styleId="TableText">
    <w:name w:val="Table Text"/>
    <w:basedOn w:val="NewsletterNormal"/>
    <w:uiPriority w:val="15"/>
    <w:rsid w:val="009D51CC"/>
    <w:pPr>
      <w:spacing w:before="60" w:line="230" w:lineRule="atLeast"/>
    </w:pPr>
    <w:rPr>
      <w:rFonts w:eastAsia="Times New Roman" w:cs="Calibri"/>
      <w:sz w:val="16"/>
    </w:rPr>
  </w:style>
  <w:style w:type="character" w:styleId="CommentReference">
    <w:name w:val="annotation reference"/>
    <w:basedOn w:val="DefaultParagraphFont"/>
    <w:uiPriority w:val="99"/>
    <w:semiHidden/>
    <w:unhideWhenUsed/>
    <w:rsid w:val="003E7C1C"/>
    <w:rPr>
      <w:sz w:val="16"/>
      <w:szCs w:val="16"/>
    </w:rPr>
  </w:style>
  <w:style w:type="paragraph" w:styleId="CommentText">
    <w:name w:val="annotation text"/>
    <w:basedOn w:val="Normal"/>
    <w:link w:val="CommentTextChar"/>
    <w:uiPriority w:val="99"/>
    <w:semiHidden/>
    <w:unhideWhenUsed/>
    <w:rsid w:val="003E7C1C"/>
    <w:rPr>
      <w:szCs w:val="20"/>
    </w:rPr>
  </w:style>
  <w:style w:type="character" w:customStyle="1" w:styleId="CommentTextChar">
    <w:name w:val="Comment Text Char"/>
    <w:basedOn w:val="DefaultParagraphFont"/>
    <w:link w:val="CommentText"/>
    <w:uiPriority w:val="99"/>
    <w:semiHidden/>
    <w:rsid w:val="003E7C1C"/>
    <w:rPr>
      <w:sz w:val="20"/>
      <w:szCs w:val="20"/>
    </w:rPr>
  </w:style>
  <w:style w:type="paragraph" w:styleId="CommentSubject">
    <w:name w:val="annotation subject"/>
    <w:basedOn w:val="CommentText"/>
    <w:next w:val="CommentText"/>
    <w:link w:val="CommentSubjectChar"/>
    <w:uiPriority w:val="99"/>
    <w:semiHidden/>
    <w:unhideWhenUsed/>
    <w:rsid w:val="003E7C1C"/>
    <w:rPr>
      <w:b/>
      <w:bCs/>
    </w:rPr>
  </w:style>
  <w:style w:type="character" w:customStyle="1" w:styleId="CommentSubjectChar">
    <w:name w:val="Comment Subject Char"/>
    <w:basedOn w:val="CommentTextChar"/>
    <w:link w:val="CommentSubject"/>
    <w:uiPriority w:val="99"/>
    <w:semiHidden/>
    <w:rsid w:val="003E7C1C"/>
    <w:rPr>
      <w:b/>
      <w:bCs/>
      <w:sz w:val="20"/>
      <w:szCs w:val="20"/>
    </w:rPr>
  </w:style>
  <w:style w:type="paragraph" w:styleId="Revision">
    <w:name w:val="Revision"/>
    <w:hidden/>
    <w:uiPriority w:val="99"/>
    <w:semiHidden/>
    <w:rsid w:val="003E7C1C"/>
    <w:pPr>
      <w:spacing w:after="0" w:line="240" w:lineRule="auto"/>
    </w:pPr>
  </w:style>
  <w:style w:type="paragraph" w:styleId="BalloonText">
    <w:name w:val="Balloon Text"/>
    <w:basedOn w:val="Normal"/>
    <w:link w:val="BalloonTextChar"/>
    <w:uiPriority w:val="99"/>
    <w:semiHidden/>
    <w:unhideWhenUsed/>
    <w:rsid w:val="003E7C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C"/>
    <w:rPr>
      <w:rFonts w:ascii="Tahoma" w:hAnsi="Tahoma" w:cs="Tahoma"/>
      <w:sz w:val="16"/>
      <w:szCs w:val="16"/>
    </w:rPr>
  </w:style>
  <w:style w:type="paragraph" w:customStyle="1" w:styleId="Default">
    <w:name w:val="Default"/>
    <w:semiHidden/>
    <w:rsid w:val="0037004D"/>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articledesc">
    <w:name w:val="articledesc"/>
    <w:basedOn w:val="Normal"/>
    <w:semiHidden/>
    <w:rsid w:val="00E94E73"/>
    <w:pPr>
      <w:spacing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3776"/>
    <w:rPr>
      <w:color w:val="800080" w:themeColor="followedHyperlink"/>
      <w:u w:val="single"/>
    </w:rPr>
  </w:style>
  <w:style w:type="paragraph" w:styleId="ListParagraph">
    <w:name w:val="List Paragraph"/>
    <w:basedOn w:val="Normal"/>
    <w:uiPriority w:val="34"/>
    <w:semiHidden/>
    <w:qFormat/>
    <w:rsid w:val="004B3EFE"/>
    <w:pPr>
      <w:ind w:left="720"/>
      <w:contextualSpacing/>
    </w:pPr>
  </w:style>
  <w:style w:type="character" w:styleId="Emphasis">
    <w:name w:val="Emphasis"/>
    <w:uiPriority w:val="20"/>
    <w:semiHidden/>
    <w:qFormat/>
    <w:rsid w:val="004B3EFE"/>
    <w:rPr>
      <w:b/>
      <w:bCs/>
      <w:i/>
      <w:iCs/>
      <w:spacing w:val="10"/>
      <w:bdr w:val="none" w:sz="0" w:space="0" w:color="auto"/>
      <w:shd w:val="clear" w:color="auto" w:fill="auto"/>
    </w:rPr>
  </w:style>
  <w:style w:type="character" w:customStyle="1" w:styleId="radewrongword">
    <w:name w:val="radewrongword"/>
    <w:basedOn w:val="DefaultParagraphFont"/>
    <w:semiHidden/>
    <w:rsid w:val="006C7ECF"/>
  </w:style>
  <w:style w:type="character" w:customStyle="1" w:styleId="st1">
    <w:name w:val="st1"/>
    <w:basedOn w:val="DefaultParagraphFont"/>
    <w:semiHidden/>
    <w:rsid w:val="00702EEB"/>
  </w:style>
  <w:style w:type="paragraph" w:customStyle="1" w:styleId="Listindent2">
    <w:name w:val="List indent 2"/>
    <w:basedOn w:val="NewsletterBullet1"/>
    <w:semiHidden/>
    <w:rsid w:val="00C4190E"/>
    <w:pPr>
      <w:ind w:left="568" w:hanging="284"/>
    </w:pPr>
  </w:style>
  <w:style w:type="paragraph" w:customStyle="1" w:styleId="NewsletterNormalindent2">
    <w:name w:val="Newsletter Normal indent 2"/>
    <w:basedOn w:val="NewsletterNormalindent"/>
    <w:rsid w:val="00C4190E"/>
    <w:pPr>
      <w:ind w:left="567"/>
    </w:pPr>
    <w:rPr>
      <w:color w:val="000000" w:themeColor="text1"/>
    </w:rPr>
  </w:style>
  <w:style w:type="paragraph" w:customStyle="1" w:styleId="TableNote">
    <w:name w:val="Table Note"/>
    <w:basedOn w:val="NewsletterNormal"/>
    <w:rsid w:val="00C4190E"/>
    <w:pPr>
      <w:ind w:left="284" w:hanging="284"/>
    </w:pPr>
    <w:rPr>
      <w:i/>
      <w:sz w:val="18"/>
      <w:szCs w:val="18"/>
    </w:rPr>
  </w:style>
  <w:style w:type="table" w:styleId="LightShading-Accent1">
    <w:name w:val="Light Shading Accent 1"/>
    <w:basedOn w:val="TableNormal"/>
    <w:uiPriority w:val="60"/>
    <w:rsid w:val="009013C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9013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aption">
    <w:name w:val="caption"/>
    <w:basedOn w:val="Normal"/>
    <w:next w:val="Normal"/>
    <w:uiPriority w:val="35"/>
    <w:unhideWhenUsed/>
    <w:rsid w:val="006A189A"/>
    <w:rPr>
      <w:b/>
      <w:bCs/>
      <w:color w:val="4F81BD" w:themeColor="accent1"/>
      <w:sz w:val="18"/>
      <w:szCs w:val="18"/>
    </w:rPr>
  </w:style>
  <w:style w:type="character" w:customStyle="1" w:styleId="Heading1Char">
    <w:name w:val="Heading 1 Char"/>
    <w:basedOn w:val="DefaultParagraphFont"/>
    <w:link w:val="Heading1"/>
    <w:uiPriority w:val="9"/>
    <w:semiHidden/>
    <w:rsid w:val="00B8748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A6B1D"/>
    <w:rPr>
      <w:rFonts w:ascii="Arial" w:eastAsiaTheme="majorEastAsia" w:hAnsi="Arial" w:cstheme="majorBidi"/>
      <w:b/>
      <w:bCs/>
      <w:spacing w:val="4"/>
      <w:szCs w:val="26"/>
    </w:rPr>
  </w:style>
  <w:style w:type="character" w:customStyle="1" w:styleId="Heading3Char">
    <w:name w:val="Heading 3 Char"/>
    <w:basedOn w:val="DefaultParagraphFont"/>
    <w:link w:val="Heading3"/>
    <w:uiPriority w:val="9"/>
    <w:semiHidden/>
    <w:rsid w:val="00B8748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B3E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B3E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B3E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B3E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B3E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B3EFE"/>
    <w:rPr>
      <w:rFonts w:asciiTheme="majorHAnsi" w:eastAsiaTheme="majorEastAsia" w:hAnsiTheme="majorHAnsi" w:cstheme="majorBidi"/>
      <w:i/>
      <w:iCs/>
      <w:spacing w:val="5"/>
      <w:sz w:val="20"/>
      <w:szCs w:val="20"/>
    </w:rPr>
  </w:style>
  <w:style w:type="paragraph" w:styleId="Title">
    <w:name w:val="Title"/>
    <w:basedOn w:val="NewsletterTitle"/>
    <w:next w:val="Normal"/>
    <w:link w:val="TitleChar"/>
    <w:uiPriority w:val="10"/>
    <w:qFormat/>
    <w:rsid w:val="005C12CC"/>
  </w:style>
  <w:style w:type="character" w:customStyle="1" w:styleId="TitleChar">
    <w:name w:val="Title Char"/>
    <w:basedOn w:val="DefaultParagraphFont"/>
    <w:link w:val="Title"/>
    <w:uiPriority w:val="10"/>
    <w:rsid w:val="005C12CC"/>
    <w:rPr>
      <w:rFonts w:ascii="Calibri" w:eastAsia="Times New Roman" w:hAnsi="Calibri" w:cs="Calibri"/>
      <w:b/>
      <w:color w:val="201547"/>
      <w:kern w:val="28"/>
      <w:sz w:val="60"/>
    </w:rPr>
  </w:style>
  <w:style w:type="paragraph" w:styleId="Subtitle">
    <w:name w:val="Subtitle"/>
    <w:basedOn w:val="NewsletterSubtitle"/>
    <w:next w:val="Normal"/>
    <w:link w:val="SubtitleChar"/>
    <w:uiPriority w:val="11"/>
    <w:qFormat/>
    <w:rsid w:val="00661F96"/>
    <w:rPr>
      <w:color w:val="53565A"/>
    </w:rPr>
  </w:style>
  <w:style w:type="character" w:customStyle="1" w:styleId="SubtitleChar">
    <w:name w:val="Subtitle Char"/>
    <w:basedOn w:val="DefaultParagraphFont"/>
    <w:link w:val="Subtitle"/>
    <w:uiPriority w:val="11"/>
    <w:rsid w:val="00661F96"/>
    <w:rPr>
      <w:rFonts w:ascii="Arial" w:eastAsia="Times New Roman" w:hAnsi="Arial" w:cs="Calibri"/>
      <w:color w:val="53565A"/>
      <w:spacing w:val="4"/>
      <w:kern w:val="28"/>
      <w:sz w:val="32"/>
    </w:rPr>
  </w:style>
  <w:style w:type="character" w:styleId="Strong">
    <w:name w:val="Strong"/>
    <w:uiPriority w:val="22"/>
    <w:semiHidden/>
    <w:qFormat/>
    <w:rsid w:val="004B3EFE"/>
    <w:rPr>
      <w:b/>
      <w:bCs/>
    </w:rPr>
  </w:style>
  <w:style w:type="paragraph" w:styleId="NoSpacing">
    <w:name w:val="No Spacing"/>
    <w:basedOn w:val="Normal"/>
    <w:uiPriority w:val="1"/>
    <w:semiHidden/>
    <w:qFormat/>
    <w:rsid w:val="004B3EFE"/>
    <w:pPr>
      <w:spacing w:after="0"/>
    </w:pPr>
  </w:style>
  <w:style w:type="paragraph" w:styleId="Quote">
    <w:name w:val="Quote"/>
    <w:basedOn w:val="Normal"/>
    <w:next w:val="Normal"/>
    <w:link w:val="QuoteChar"/>
    <w:uiPriority w:val="29"/>
    <w:semiHidden/>
    <w:qFormat/>
    <w:rsid w:val="004B3EFE"/>
    <w:pPr>
      <w:spacing w:before="200" w:after="0"/>
      <w:ind w:left="360" w:right="360"/>
    </w:pPr>
    <w:rPr>
      <w:i/>
      <w:iCs/>
    </w:rPr>
  </w:style>
  <w:style w:type="character" w:customStyle="1" w:styleId="QuoteChar">
    <w:name w:val="Quote Char"/>
    <w:basedOn w:val="DefaultParagraphFont"/>
    <w:link w:val="Quote"/>
    <w:uiPriority w:val="29"/>
    <w:semiHidden/>
    <w:rsid w:val="00B87489"/>
    <w:rPr>
      <w:i/>
      <w:iCs/>
    </w:rPr>
  </w:style>
  <w:style w:type="paragraph" w:styleId="IntenseQuote">
    <w:name w:val="Intense Quote"/>
    <w:basedOn w:val="Normal"/>
    <w:next w:val="Normal"/>
    <w:link w:val="IntenseQuoteChar"/>
    <w:uiPriority w:val="30"/>
    <w:semiHidden/>
    <w:qFormat/>
    <w:rsid w:val="004B3E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B87489"/>
    <w:rPr>
      <w:b/>
      <w:bCs/>
      <w:i/>
      <w:iCs/>
    </w:rPr>
  </w:style>
  <w:style w:type="character" w:styleId="SubtleEmphasis">
    <w:name w:val="Subtle Emphasis"/>
    <w:uiPriority w:val="19"/>
    <w:semiHidden/>
    <w:qFormat/>
    <w:rsid w:val="004B3EFE"/>
    <w:rPr>
      <w:i/>
      <w:iCs/>
    </w:rPr>
  </w:style>
  <w:style w:type="character" w:styleId="IntenseEmphasis">
    <w:name w:val="Intense Emphasis"/>
    <w:uiPriority w:val="21"/>
    <w:semiHidden/>
    <w:qFormat/>
    <w:rsid w:val="004B3EFE"/>
    <w:rPr>
      <w:b/>
      <w:bCs/>
    </w:rPr>
  </w:style>
  <w:style w:type="character" w:styleId="SubtleReference">
    <w:name w:val="Subtle Reference"/>
    <w:uiPriority w:val="31"/>
    <w:semiHidden/>
    <w:qFormat/>
    <w:rsid w:val="004B3EFE"/>
    <w:rPr>
      <w:smallCaps/>
    </w:rPr>
  </w:style>
  <w:style w:type="character" w:styleId="IntenseReference">
    <w:name w:val="Intense Reference"/>
    <w:uiPriority w:val="32"/>
    <w:semiHidden/>
    <w:qFormat/>
    <w:rsid w:val="004B3EFE"/>
    <w:rPr>
      <w:smallCaps/>
      <w:spacing w:val="5"/>
      <w:u w:val="single"/>
    </w:rPr>
  </w:style>
  <w:style w:type="character" w:styleId="BookTitle">
    <w:name w:val="Book Title"/>
    <w:uiPriority w:val="33"/>
    <w:semiHidden/>
    <w:qFormat/>
    <w:rsid w:val="004B3EFE"/>
    <w:rPr>
      <w:i/>
      <w:iCs/>
      <w:smallCaps/>
      <w:spacing w:val="5"/>
    </w:rPr>
  </w:style>
  <w:style w:type="paragraph" w:styleId="TOCHeading">
    <w:name w:val="TOC Heading"/>
    <w:basedOn w:val="Heading1"/>
    <w:next w:val="Normal"/>
    <w:uiPriority w:val="39"/>
    <w:semiHidden/>
    <w:unhideWhenUsed/>
    <w:qFormat/>
    <w:rsid w:val="004B3EFE"/>
    <w:pPr>
      <w:outlineLvl w:val="9"/>
    </w:pPr>
    <w:rPr>
      <w:lang w:bidi="en-US"/>
    </w:rPr>
  </w:style>
  <w:style w:type="table" w:customStyle="1" w:styleId="Newslettertable">
    <w:name w:val="Newsletter table"/>
    <w:basedOn w:val="TableGrid"/>
    <w:uiPriority w:val="99"/>
    <w:rsid w:val="003068A4"/>
    <w:tblPr>
      <w:tblBorders>
        <w:top w:val="single" w:sz="4" w:space="0" w:color="auto"/>
        <w:bottom w:val="single" w:sz="4" w:space="0" w:color="auto"/>
        <w:insideH w:val="single" w:sz="4" w:space="0" w:color="auto"/>
      </w:tblBorders>
    </w:tblPr>
    <w:tcPr>
      <w:shd w:val="clear" w:color="auto" w:fill="FFFFFF" w:themeFill="background1"/>
    </w:tcPr>
    <w:tblStylePr w:type="firstRow">
      <w:rPr>
        <w:color w:val="auto"/>
      </w:rPr>
      <w:tblPr/>
      <w:tcPr>
        <w:shd w:val="clear" w:color="auto" w:fill="D9D9D9" w:themeFill="background1" w:themeFillShade="D9"/>
      </w:tcPr>
    </w:tblStylePr>
    <w:tblStylePr w:type="lastRow">
      <w:tblPr/>
      <w:tcPr>
        <w:tcBorders>
          <w:top w:val="nil"/>
          <w:left w:val="nil"/>
          <w:bottom w:val="nil"/>
          <w:right w:val="nil"/>
          <w:insideH w:val="nil"/>
          <w:insideV w:val="nil"/>
        </w:tcBorders>
      </w:tcPr>
    </w:tblStylePr>
  </w:style>
  <w:style w:type="paragraph" w:customStyle="1" w:styleId="ShadedHeading">
    <w:name w:val="Shaded Heading"/>
    <w:basedOn w:val="NewsletterHeading3"/>
    <w:semiHidden/>
    <w:qFormat/>
    <w:rsid w:val="007F56A4"/>
    <w:pPr>
      <w:pBdr>
        <w:top w:val="single" w:sz="6" w:space="1" w:color="000000"/>
        <w:bottom w:val="single" w:sz="6" w:space="1" w:color="000000"/>
      </w:pBdr>
      <w:shd w:val="clear" w:color="auto" w:fill="D9D9D9" w:themeFill="background1" w:themeFillShade="D9"/>
    </w:pPr>
  </w:style>
  <w:style w:type="paragraph" w:customStyle="1" w:styleId="Footnote">
    <w:name w:val="Footnote"/>
    <w:basedOn w:val="FootnoteText"/>
    <w:qFormat/>
    <w:rsid w:val="00661F96"/>
    <w:rPr>
      <w:rFonts w:ascii="Arial" w:hAnsi="Arial"/>
      <w:sz w:val="16"/>
    </w:rPr>
  </w:style>
  <w:style w:type="paragraph" w:customStyle="1" w:styleId="TableHeading">
    <w:name w:val="Table Heading"/>
    <w:basedOn w:val="TableText"/>
    <w:qFormat/>
    <w:rsid w:val="00184F8B"/>
    <w:rPr>
      <w:b/>
      <w:szCs w:val="20"/>
    </w:rPr>
  </w:style>
  <w:style w:type="paragraph" w:customStyle="1" w:styleId="Heading2NoNum">
    <w:name w:val="Heading 2 NoNum"/>
    <w:basedOn w:val="Heading2"/>
    <w:next w:val="Normal"/>
    <w:uiPriority w:val="4"/>
    <w:semiHidden/>
    <w:qFormat/>
    <w:rsid w:val="004B443C"/>
    <w:pPr>
      <w:keepNext/>
      <w:keepLines/>
      <w:widowControl w:val="0"/>
      <w:spacing w:before="240" w:after="120"/>
    </w:pPr>
    <w:rPr>
      <w:rFonts w:ascii="Calibri" w:eastAsia="Times New Roman" w:hAnsi="Calibri" w:cs="Calibri"/>
      <w:bCs w:val="0"/>
      <w:color w:val="4D4D4D"/>
      <w:sz w:val="24"/>
      <w:szCs w:val="22"/>
      <w:lang w:eastAsia="en-US"/>
    </w:rPr>
  </w:style>
  <w:style w:type="paragraph" w:customStyle="1" w:styleId="NewsletterHeading4">
    <w:name w:val="Newsletter Heading 4"/>
    <w:basedOn w:val="NewsletterNormal"/>
    <w:qFormat/>
    <w:rsid w:val="00C01CF3"/>
    <w:rPr>
      <w:b/>
      <w:color w:val="53565A"/>
    </w:rPr>
  </w:style>
  <w:style w:type="character" w:styleId="PlaceholderText">
    <w:name w:val="Placeholder Text"/>
    <w:basedOn w:val="DefaultParagraphFont"/>
    <w:uiPriority w:val="99"/>
    <w:semiHidden/>
    <w:rsid w:val="005A31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47888">
      <w:bodyDiv w:val="1"/>
      <w:marLeft w:val="0"/>
      <w:marRight w:val="0"/>
      <w:marTop w:val="0"/>
      <w:marBottom w:val="0"/>
      <w:divBdr>
        <w:top w:val="none" w:sz="0" w:space="0" w:color="auto"/>
        <w:left w:val="none" w:sz="0" w:space="0" w:color="auto"/>
        <w:bottom w:val="none" w:sz="0" w:space="0" w:color="auto"/>
        <w:right w:val="none" w:sz="0" w:space="0" w:color="auto"/>
      </w:divBdr>
      <w:divsChild>
        <w:div w:id="1824160273">
          <w:marLeft w:val="0"/>
          <w:marRight w:val="0"/>
          <w:marTop w:val="0"/>
          <w:marBottom w:val="320"/>
          <w:divBdr>
            <w:top w:val="none" w:sz="0" w:space="0" w:color="auto"/>
            <w:left w:val="none" w:sz="0" w:space="0" w:color="auto"/>
            <w:bottom w:val="none" w:sz="0" w:space="0" w:color="auto"/>
            <w:right w:val="none" w:sz="0" w:space="0" w:color="auto"/>
          </w:divBdr>
          <w:divsChild>
            <w:div w:id="1370033699">
              <w:marLeft w:val="0"/>
              <w:marRight w:val="0"/>
              <w:marTop w:val="0"/>
              <w:marBottom w:val="0"/>
              <w:divBdr>
                <w:top w:val="none" w:sz="0" w:space="0" w:color="auto"/>
                <w:left w:val="none" w:sz="0" w:space="0" w:color="auto"/>
                <w:bottom w:val="none" w:sz="0" w:space="0" w:color="auto"/>
                <w:right w:val="none" w:sz="0" w:space="0" w:color="auto"/>
              </w:divBdr>
              <w:divsChild>
                <w:div w:id="788427292">
                  <w:marLeft w:val="0"/>
                  <w:marRight w:val="0"/>
                  <w:marTop w:val="0"/>
                  <w:marBottom w:val="0"/>
                  <w:divBdr>
                    <w:top w:val="none" w:sz="0" w:space="0" w:color="auto"/>
                    <w:left w:val="none" w:sz="0" w:space="0" w:color="auto"/>
                    <w:bottom w:val="none" w:sz="0" w:space="0" w:color="auto"/>
                    <w:right w:val="none" w:sz="0" w:space="0" w:color="auto"/>
                  </w:divBdr>
                  <w:divsChild>
                    <w:div w:id="2813775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1886">
      <w:bodyDiv w:val="1"/>
      <w:marLeft w:val="0"/>
      <w:marRight w:val="0"/>
      <w:marTop w:val="0"/>
      <w:marBottom w:val="0"/>
      <w:divBdr>
        <w:top w:val="none" w:sz="0" w:space="0" w:color="auto"/>
        <w:left w:val="none" w:sz="0" w:space="0" w:color="auto"/>
        <w:bottom w:val="none" w:sz="0" w:space="0" w:color="auto"/>
        <w:right w:val="none" w:sz="0" w:space="0" w:color="auto"/>
      </w:divBdr>
      <w:divsChild>
        <w:div w:id="2081753509">
          <w:marLeft w:val="0"/>
          <w:marRight w:val="0"/>
          <w:marTop w:val="0"/>
          <w:marBottom w:val="0"/>
          <w:divBdr>
            <w:top w:val="none" w:sz="0" w:space="0" w:color="auto"/>
            <w:left w:val="none" w:sz="0" w:space="0" w:color="auto"/>
            <w:bottom w:val="none" w:sz="0" w:space="0" w:color="auto"/>
            <w:right w:val="none" w:sz="0" w:space="0" w:color="auto"/>
          </w:divBdr>
          <w:divsChild>
            <w:div w:id="160707320">
              <w:marLeft w:val="0"/>
              <w:marRight w:val="0"/>
              <w:marTop w:val="0"/>
              <w:marBottom w:val="0"/>
              <w:divBdr>
                <w:top w:val="none" w:sz="0" w:space="0" w:color="auto"/>
                <w:left w:val="none" w:sz="0" w:space="0" w:color="auto"/>
                <w:bottom w:val="none" w:sz="0" w:space="0" w:color="auto"/>
                <w:right w:val="none" w:sz="0" w:space="0" w:color="auto"/>
              </w:divBdr>
              <w:divsChild>
                <w:div w:id="907770055">
                  <w:marLeft w:val="0"/>
                  <w:marRight w:val="0"/>
                  <w:marTop w:val="0"/>
                  <w:marBottom w:val="0"/>
                  <w:divBdr>
                    <w:top w:val="none" w:sz="0" w:space="0" w:color="auto"/>
                    <w:left w:val="none" w:sz="0" w:space="0" w:color="auto"/>
                    <w:bottom w:val="none" w:sz="0" w:space="0" w:color="auto"/>
                    <w:right w:val="none" w:sz="0" w:space="0" w:color="auto"/>
                  </w:divBdr>
                  <w:divsChild>
                    <w:div w:id="1159075062">
                      <w:marLeft w:val="0"/>
                      <w:marRight w:val="0"/>
                      <w:marTop w:val="0"/>
                      <w:marBottom w:val="0"/>
                      <w:divBdr>
                        <w:top w:val="none" w:sz="0" w:space="0" w:color="auto"/>
                        <w:left w:val="none" w:sz="0" w:space="0" w:color="auto"/>
                        <w:bottom w:val="none" w:sz="0" w:space="0" w:color="auto"/>
                        <w:right w:val="none" w:sz="0" w:space="0" w:color="auto"/>
                      </w:divBdr>
                      <w:divsChild>
                        <w:div w:id="435710982">
                          <w:marLeft w:val="0"/>
                          <w:marRight w:val="0"/>
                          <w:marTop w:val="0"/>
                          <w:marBottom w:val="0"/>
                          <w:divBdr>
                            <w:top w:val="none" w:sz="0" w:space="0" w:color="auto"/>
                            <w:left w:val="none" w:sz="0" w:space="0" w:color="auto"/>
                            <w:bottom w:val="none" w:sz="0" w:space="0" w:color="auto"/>
                            <w:right w:val="none" w:sz="0" w:space="0" w:color="auto"/>
                          </w:divBdr>
                          <w:divsChild>
                            <w:div w:id="1610894379">
                              <w:marLeft w:val="0"/>
                              <w:marRight w:val="0"/>
                              <w:marTop w:val="0"/>
                              <w:marBottom w:val="0"/>
                              <w:divBdr>
                                <w:top w:val="none" w:sz="0" w:space="0" w:color="auto"/>
                                <w:left w:val="none" w:sz="0" w:space="0" w:color="auto"/>
                                <w:bottom w:val="none" w:sz="0" w:space="0" w:color="auto"/>
                                <w:right w:val="none" w:sz="0" w:space="0" w:color="auto"/>
                              </w:divBdr>
                              <w:divsChild>
                                <w:div w:id="2033726814">
                                  <w:marLeft w:val="0"/>
                                  <w:marRight w:val="0"/>
                                  <w:marTop w:val="0"/>
                                  <w:marBottom w:val="0"/>
                                  <w:divBdr>
                                    <w:top w:val="none" w:sz="0" w:space="0" w:color="auto"/>
                                    <w:left w:val="none" w:sz="0" w:space="0" w:color="auto"/>
                                    <w:bottom w:val="none" w:sz="0" w:space="0" w:color="auto"/>
                                    <w:right w:val="none" w:sz="0" w:space="0" w:color="auto"/>
                                  </w:divBdr>
                                  <w:divsChild>
                                    <w:div w:id="378551787">
                                      <w:marLeft w:val="0"/>
                                      <w:marRight w:val="0"/>
                                      <w:marTop w:val="0"/>
                                      <w:marBottom w:val="0"/>
                                      <w:divBdr>
                                        <w:top w:val="none" w:sz="0" w:space="0" w:color="auto"/>
                                        <w:left w:val="none" w:sz="0" w:space="0" w:color="auto"/>
                                        <w:bottom w:val="none" w:sz="0" w:space="0" w:color="auto"/>
                                        <w:right w:val="none" w:sz="0" w:space="0" w:color="auto"/>
                                      </w:divBdr>
                                      <w:divsChild>
                                        <w:div w:id="1054701397">
                                          <w:marLeft w:val="0"/>
                                          <w:marRight w:val="0"/>
                                          <w:marTop w:val="0"/>
                                          <w:marBottom w:val="0"/>
                                          <w:divBdr>
                                            <w:top w:val="none" w:sz="0" w:space="0" w:color="auto"/>
                                            <w:left w:val="none" w:sz="0" w:space="0" w:color="auto"/>
                                            <w:bottom w:val="none" w:sz="0" w:space="0" w:color="auto"/>
                                            <w:right w:val="none" w:sz="0" w:space="0" w:color="auto"/>
                                          </w:divBdr>
                                          <w:divsChild>
                                            <w:div w:id="1044060767">
                                              <w:marLeft w:val="0"/>
                                              <w:marRight w:val="0"/>
                                              <w:marTop w:val="0"/>
                                              <w:marBottom w:val="0"/>
                                              <w:divBdr>
                                                <w:top w:val="none" w:sz="0" w:space="0" w:color="auto"/>
                                                <w:left w:val="none" w:sz="0" w:space="0" w:color="auto"/>
                                                <w:bottom w:val="none" w:sz="0" w:space="0" w:color="auto"/>
                                                <w:right w:val="none" w:sz="0" w:space="0" w:color="auto"/>
                                              </w:divBdr>
                                              <w:divsChild>
                                                <w:div w:id="483471942">
                                                  <w:marLeft w:val="0"/>
                                                  <w:marRight w:val="0"/>
                                                  <w:marTop w:val="0"/>
                                                  <w:marBottom w:val="0"/>
                                                  <w:divBdr>
                                                    <w:top w:val="none" w:sz="0" w:space="0" w:color="auto"/>
                                                    <w:left w:val="none" w:sz="0" w:space="0" w:color="auto"/>
                                                    <w:bottom w:val="none" w:sz="0" w:space="0" w:color="auto"/>
                                                    <w:right w:val="none" w:sz="0" w:space="0" w:color="auto"/>
                                                  </w:divBdr>
                                                  <w:divsChild>
                                                    <w:div w:id="2104373883">
                                                      <w:marLeft w:val="0"/>
                                                      <w:marRight w:val="0"/>
                                                      <w:marTop w:val="0"/>
                                                      <w:marBottom w:val="0"/>
                                                      <w:divBdr>
                                                        <w:top w:val="none" w:sz="0" w:space="0" w:color="auto"/>
                                                        <w:left w:val="none" w:sz="0" w:space="0" w:color="auto"/>
                                                        <w:bottom w:val="none" w:sz="0" w:space="0" w:color="auto"/>
                                                        <w:right w:val="none" w:sz="0" w:space="0" w:color="auto"/>
                                                      </w:divBdr>
                                                      <w:divsChild>
                                                        <w:div w:id="2115703746">
                                                          <w:marLeft w:val="0"/>
                                                          <w:marRight w:val="0"/>
                                                          <w:marTop w:val="0"/>
                                                          <w:marBottom w:val="0"/>
                                                          <w:divBdr>
                                                            <w:top w:val="none" w:sz="0" w:space="0" w:color="auto"/>
                                                            <w:left w:val="none" w:sz="0" w:space="0" w:color="auto"/>
                                                            <w:bottom w:val="none" w:sz="0" w:space="0" w:color="auto"/>
                                                            <w:right w:val="none" w:sz="0" w:space="0" w:color="auto"/>
                                                          </w:divBdr>
                                                          <w:divsChild>
                                                            <w:div w:id="13954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21968">
      <w:bodyDiv w:val="1"/>
      <w:marLeft w:val="0"/>
      <w:marRight w:val="0"/>
      <w:marTop w:val="0"/>
      <w:marBottom w:val="0"/>
      <w:divBdr>
        <w:top w:val="none" w:sz="0" w:space="0" w:color="auto"/>
        <w:left w:val="none" w:sz="0" w:space="0" w:color="auto"/>
        <w:bottom w:val="none" w:sz="0" w:space="0" w:color="auto"/>
        <w:right w:val="none" w:sz="0" w:space="0" w:color="auto"/>
      </w:divBdr>
      <w:divsChild>
        <w:div w:id="2022929840">
          <w:marLeft w:val="0"/>
          <w:marRight w:val="0"/>
          <w:marTop w:val="0"/>
          <w:marBottom w:val="0"/>
          <w:divBdr>
            <w:top w:val="none" w:sz="0" w:space="0" w:color="auto"/>
            <w:left w:val="none" w:sz="0" w:space="0" w:color="auto"/>
            <w:bottom w:val="none" w:sz="0" w:space="0" w:color="auto"/>
            <w:right w:val="none" w:sz="0" w:space="0" w:color="auto"/>
          </w:divBdr>
          <w:divsChild>
            <w:div w:id="1498612285">
              <w:marLeft w:val="0"/>
              <w:marRight w:val="0"/>
              <w:marTop w:val="0"/>
              <w:marBottom w:val="0"/>
              <w:divBdr>
                <w:top w:val="none" w:sz="0" w:space="0" w:color="auto"/>
                <w:left w:val="none" w:sz="0" w:space="0" w:color="auto"/>
                <w:bottom w:val="none" w:sz="0" w:space="0" w:color="auto"/>
                <w:right w:val="none" w:sz="0" w:space="0" w:color="auto"/>
              </w:divBdr>
              <w:divsChild>
                <w:div w:id="1206605462">
                  <w:marLeft w:val="0"/>
                  <w:marRight w:val="0"/>
                  <w:marTop w:val="0"/>
                  <w:marBottom w:val="0"/>
                  <w:divBdr>
                    <w:top w:val="none" w:sz="0" w:space="0" w:color="auto"/>
                    <w:left w:val="none" w:sz="0" w:space="0" w:color="auto"/>
                    <w:bottom w:val="none" w:sz="0" w:space="0" w:color="auto"/>
                    <w:right w:val="none" w:sz="0" w:space="0" w:color="auto"/>
                  </w:divBdr>
                  <w:divsChild>
                    <w:div w:id="254365837">
                      <w:marLeft w:val="0"/>
                      <w:marRight w:val="0"/>
                      <w:marTop w:val="0"/>
                      <w:marBottom w:val="0"/>
                      <w:divBdr>
                        <w:top w:val="none" w:sz="0" w:space="0" w:color="auto"/>
                        <w:left w:val="none" w:sz="0" w:space="0" w:color="auto"/>
                        <w:bottom w:val="none" w:sz="0" w:space="0" w:color="auto"/>
                        <w:right w:val="none" w:sz="0" w:space="0" w:color="auto"/>
                      </w:divBdr>
                      <w:divsChild>
                        <w:div w:id="1911189469">
                          <w:marLeft w:val="0"/>
                          <w:marRight w:val="0"/>
                          <w:marTop w:val="0"/>
                          <w:marBottom w:val="0"/>
                          <w:divBdr>
                            <w:top w:val="none" w:sz="0" w:space="0" w:color="auto"/>
                            <w:left w:val="none" w:sz="0" w:space="0" w:color="auto"/>
                            <w:bottom w:val="none" w:sz="0" w:space="0" w:color="auto"/>
                            <w:right w:val="none" w:sz="0" w:space="0" w:color="auto"/>
                          </w:divBdr>
                          <w:divsChild>
                            <w:div w:id="616520223">
                              <w:marLeft w:val="0"/>
                              <w:marRight w:val="0"/>
                              <w:marTop w:val="0"/>
                              <w:marBottom w:val="0"/>
                              <w:divBdr>
                                <w:top w:val="none" w:sz="0" w:space="0" w:color="auto"/>
                                <w:left w:val="none" w:sz="0" w:space="0" w:color="auto"/>
                                <w:bottom w:val="none" w:sz="0" w:space="0" w:color="auto"/>
                                <w:right w:val="none" w:sz="0" w:space="0" w:color="auto"/>
                              </w:divBdr>
                              <w:divsChild>
                                <w:div w:id="1375888866">
                                  <w:marLeft w:val="0"/>
                                  <w:marRight w:val="0"/>
                                  <w:marTop w:val="0"/>
                                  <w:marBottom w:val="0"/>
                                  <w:divBdr>
                                    <w:top w:val="none" w:sz="0" w:space="0" w:color="auto"/>
                                    <w:left w:val="none" w:sz="0" w:space="0" w:color="auto"/>
                                    <w:bottom w:val="none" w:sz="0" w:space="0" w:color="auto"/>
                                    <w:right w:val="none" w:sz="0" w:space="0" w:color="auto"/>
                                  </w:divBdr>
                                  <w:divsChild>
                                    <w:div w:id="1368096305">
                                      <w:marLeft w:val="0"/>
                                      <w:marRight w:val="0"/>
                                      <w:marTop w:val="0"/>
                                      <w:marBottom w:val="0"/>
                                      <w:divBdr>
                                        <w:top w:val="none" w:sz="0" w:space="0" w:color="auto"/>
                                        <w:left w:val="none" w:sz="0" w:space="0" w:color="auto"/>
                                        <w:bottom w:val="none" w:sz="0" w:space="0" w:color="auto"/>
                                        <w:right w:val="none" w:sz="0" w:space="0" w:color="auto"/>
                                      </w:divBdr>
                                      <w:divsChild>
                                        <w:div w:id="1876116597">
                                          <w:marLeft w:val="0"/>
                                          <w:marRight w:val="0"/>
                                          <w:marTop w:val="0"/>
                                          <w:marBottom w:val="0"/>
                                          <w:divBdr>
                                            <w:top w:val="none" w:sz="0" w:space="0" w:color="auto"/>
                                            <w:left w:val="none" w:sz="0" w:space="0" w:color="auto"/>
                                            <w:bottom w:val="none" w:sz="0" w:space="0" w:color="auto"/>
                                            <w:right w:val="none" w:sz="0" w:space="0" w:color="auto"/>
                                          </w:divBdr>
                                          <w:divsChild>
                                            <w:div w:id="1909343890">
                                              <w:marLeft w:val="0"/>
                                              <w:marRight w:val="0"/>
                                              <w:marTop w:val="0"/>
                                              <w:marBottom w:val="0"/>
                                              <w:divBdr>
                                                <w:top w:val="none" w:sz="0" w:space="0" w:color="auto"/>
                                                <w:left w:val="none" w:sz="0" w:space="0" w:color="auto"/>
                                                <w:bottom w:val="none" w:sz="0" w:space="0" w:color="auto"/>
                                                <w:right w:val="none" w:sz="0" w:space="0" w:color="auto"/>
                                              </w:divBdr>
                                              <w:divsChild>
                                                <w:div w:id="120538824">
                                                  <w:marLeft w:val="0"/>
                                                  <w:marRight w:val="0"/>
                                                  <w:marTop w:val="0"/>
                                                  <w:marBottom w:val="0"/>
                                                  <w:divBdr>
                                                    <w:top w:val="none" w:sz="0" w:space="0" w:color="auto"/>
                                                    <w:left w:val="none" w:sz="0" w:space="0" w:color="auto"/>
                                                    <w:bottom w:val="none" w:sz="0" w:space="0" w:color="auto"/>
                                                    <w:right w:val="none" w:sz="0" w:space="0" w:color="auto"/>
                                                  </w:divBdr>
                                                  <w:divsChild>
                                                    <w:div w:id="227159033">
                                                      <w:marLeft w:val="0"/>
                                                      <w:marRight w:val="0"/>
                                                      <w:marTop w:val="0"/>
                                                      <w:marBottom w:val="0"/>
                                                      <w:divBdr>
                                                        <w:top w:val="none" w:sz="0" w:space="0" w:color="auto"/>
                                                        <w:left w:val="none" w:sz="0" w:space="0" w:color="auto"/>
                                                        <w:bottom w:val="none" w:sz="0" w:space="0" w:color="auto"/>
                                                        <w:right w:val="none" w:sz="0" w:space="0" w:color="auto"/>
                                                      </w:divBdr>
                                                      <w:divsChild>
                                                        <w:div w:id="14644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7057246">
      <w:bodyDiv w:val="1"/>
      <w:marLeft w:val="0"/>
      <w:marRight w:val="0"/>
      <w:marTop w:val="0"/>
      <w:marBottom w:val="0"/>
      <w:divBdr>
        <w:top w:val="none" w:sz="0" w:space="0" w:color="auto"/>
        <w:left w:val="none" w:sz="0" w:space="0" w:color="auto"/>
        <w:bottom w:val="none" w:sz="0" w:space="0" w:color="auto"/>
        <w:right w:val="none" w:sz="0" w:space="0" w:color="auto"/>
      </w:divBdr>
      <w:divsChild>
        <w:div w:id="849489473">
          <w:marLeft w:val="0"/>
          <w:marRight w:val="0"/>
          <w:marTop w:val="0"/>
          <w:marBottom w:val="0"/>
          <w:divBdr>
            <w:top w:val="none" w:sz="0" w:space="0" w:color="auto"/>
            <w:left w:val="none" w:sz="0" w:space="0" w:color="auto"/>
            <w:bottom w:val="none" w:sz="0" w:space="0" w:color="auto"/>
            <w:right w:val="none" w:sz="0" w:space="0" w:color="auto"/>
          </w:divBdr>
          <w:divsChild>
            <w:div w:id="1105267534">
              <w:marLeft w:val="0"/>
              <w:marRight w:val="0"/>
              <w:marTop w:val="0"/>
              <w:marBottom w:val="0"/>
              <w:divBdr>
                <w:top w:val="none" w:sz="0" w:space="0" w:color="auto"/>
                <w:left w:val="none" w:sz="0" w:space="0" w:color="auto"/>
                <w:bottom w:val="none" w:sz="0" w:space="0" w:color="auto"/>
                <w:right w:val="none" w:sz="0" w:space="0" w:color="auto"/>
              </w:divBdr>
              <w:divsChild>
                <w:div w:id="688796804">
                  <w:marLeft w:val="0"/>
                  <w:marRight w:val="0"/>
                  <w:marTop w:val="0"/>
                  <w:marBottom w:val="0"/>
                  <w:divBdr>
                    <w:top w:val="none" w:sz="0" w:space="0" w:color="auto"/>
                    <w:left w:val="none" w:sz="0" w:space="0" w:color="auto"/>
                    <w:bottom w:val="none" w:sz="0" w:space="0" w:color="auto"/>
                    <w:right w:val="none" w:sz="0" w:space="0" w:color="auto"/>
                  </w:divBdr>
                  <w:divsChild>
                    <w:div w:id="18941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752">
      <w:bodyDiv w:val="1"/>
      <w:marLeft w:val="0"/>
      <w:marRight w:val="0"/>
      <w:marTop w:val="0"/>
      <w:marBottom w:val="0"/>
      <w:divBdr>
        <w:top w:val="none" w:sz="0" w:space="0" w:color="auto"/>
        <w:left w:val="none" w:sz="0" w:space="0" w:color="auto"/>
        <w:bottom w:val="none" w:sz="0" w:space="0" w:color="auto"/>
        <w:right w:val="none" w:sz="0" w:space="0" w:color="auto"/>
      </w:divBdr>
      <w:divsChild>
        <w:div w:id="1776902038">
          <w:marLeft w:val="0"/>
          <w:marRight w:val="0"/>
          <w:marTop w:val="0"/>
          <w:marBottom w:val="0"/>
          <w:divBdr>
            <w:top w:val="none" w:sz="0" w:space="0" w:color="auto"/>
            <w:left w:val="none" w:sz="0" w:space="0" w:color="auto"/>
            <w:bottom w:val="none" w:sz="0" w:space="0" w:color="auto"/>
            <w:right w:val="none" w:sz="0" w:space="0" w:color="auto"/>
          </w:divBdr>
          <w:divsChild>
            <w:div w:id="1980301465">
              <w:marLeft w:val="0"/>
              <w:marRight w:val="0"/>
              <w:marTop w:val="0"/>
              <w:marBottom w:val="0"/>
              <w:divBdr>
                <w:top w:val="none" w:sz="0" w:space="0" w:color="auto"/>
                <w:left w:val="none" w:sz="0" w:space="0" w:color="auto"/>
                <w:bottom w:val="none" w:sz="0" w:space="0" w:color="auto"/>
                <w:right w:val="none" w:sz="0" w:space="0" w:color="auto"/>
              </w:divBdr>
              <w:divsChild>
                <w:div w:id="810295281">
                  <w:marLeft w:val="0"/>
                  <w:marRight w:val="0"/>
                  <w:marTop w:val="0"/>
                  <w:marBottom w:val="0"/>
                  <w:divBdr>
                    <w:top w:val="none" w:sz="0" w:space="0" w:color="auto"/>
                    <w:left w:val="none" w:sz="0" w:space="0" w:color="auto"/>
                    <w:bottom w:val="none" w:sz="0" w:space="0" w:color="auto"/>
                    <w:right w:val="none" w:sz="0" w:space="0" w:color="auto"/>
                  </w:divBdr>
                  <w:divsChild>
                    <w:div w:id="268700227">
                      <w:marLeft w:val="0"/>
                      <w:marRight w:val="0"/>
                      <w:marTop w:val="0"/>
                      <w:marBottom w:val="0"/>
                      <w:divBdr>
                        <w:top w:val="none" w:sz="0" w:space="0" w:color="auto"/>
                        <w:left w:val="none" w:sz="0" w:space="0" w:color="auto"/>
                        <w:bottom w:val="none" w:sz="0" w:space="0" w:color="auto"/>
                        <w:right w:val="none" w:sz="0" w:space="0" w:color="auto"/>
                      </w:divBdr>
                      <w:divsChild>
                        <w:div w:id="2076735500">
                          <w:marLeft w:val="0"/>
                          <w:marRight w:val="0"/>
                          <w:marTop w:val="0"/>
                          <w:marBottom w:val="0"/>
                          <w:divBdr>
                            <w:top w:val="none" w:sz="0" w:space="0" w:color="auto"/>
                            <w:left w:val="none" w:sz="0" w:space="0" w:color="auto"/>
                            <w:bottom w:val="none" w:sz="0" w:space="0" w:color="auto"/>
                            <w:right w:val="none" w:sz="0" w:space="0" w:color="auto"/>
                          </w:divBdr>
                          <w:divsChild>
                            <w:div w:id="1149636142">
                              <w:marLeft w:val="0"/>
                              <w:marRight w:val="0"/>
                              <w:marTop w:val="0"/>
                              <w:marBottom w:val="0"/>
                              <w:divBdr>
                                <w:top w:val="none" w:sz="0" w:space="0" w:color="auto"/>
                                <w:left w:val="none" w:sz="0" w:space="0" w:color="auto"/>
                                <w:bottom w:val="none" w:sz="0" w:space="0" w:color="auto"/>
                                <w:right w:val="none" w:sz="0" w:space="0" w:color="auto"/>
                              </w:divBdr>
                              <w:divsChild>
                                <w:div w:id="1746685502">
                                  <w:marLeft w:val="0"/>
                                  <w:marRight w:val="0"/>
                                  <w:marTop w:val="0"/>
                                  <w:marBottom w:val="0"/>
                                  <w:divBdr>
                                    <w:top w:val="none" w:sz="0" w:space="0" w:color="auto"/>
                                    <w:left w:val="none" w:sz="0" w:space="0" w:color="auto"/>
                                    <w:bottom w:val="none" w:sz="0" w:space="0" w:color="auto"/>
                                    <w:right w:val="none" w:sz="0" w:space="0" w:color="auto"/>
                                  </w:divBdr>
                                  <w:divsChild>
                                    <w:div w:id="1611625663">
                                      <w:marLeft w:val="0"/>
                                      <w:marRight w:val="0"/>
                                      <w:marTop w:val="0"/>
                                      <w:marBottom w:val="0"/>
                                      <w:divBdr>
                                        <w:top w:val="none" w:sz="0" w:space="0" w:color="auto"/>
                                        <w:left w:val="none" w:sz="0" w:space="0" w:color="auto"/>
                                        <w:bottom w:val="none" w:sz="0" w:space="0" w:color="auto"/>
                                        <w:right w:val="none" w:sz="0" w:space="0" w:color="auto"/>
                                      </w:divBdr>
                                      <w:divsChild>
                                        <w:div w:id="667758004">
                                          <w:marLeft w:val="0"/>
                                          <w:marRight w:val="0"/>
                                          <w:marTop w:val="0"/>
                                          <w:marBottom w:val="0"/>
                                          <w:divBdr>
                                            <w:top w:val="none" w:sz="0" w:space="0" w:color="auto"/>
                                            <w:left w:val="none" w:sz="0" w:space="0" w:color="auto"/>
                                            <w:bottom w:val="none" w:sz="0" w:space="0" w:color="auto"/>
                                            <w:right w:val="none" w:sz="0" w:space="0" w:color="auto"/>
                                          </w:divBdr>
                                          <w:divsChild>
                                            <w:div w:id="703486183">
                                              <w:marLeft w:val="0"/>
                                              <w:marRight w:val="0"/>
                                              <w:marTop w:val="0"/>
                                              <w:marBottom w:val="0"/>
                                              <w:divBdr>
                                                <w:top w:val="none" w:sz="0" w:space="0" w:color="auto"/>
                                                <w:left w:val="none" w:sz="0" w:space="0" w:color="auto"/>
                                                <w:bottom w:val="none" w:sz="0" w:space="0" w:color="auto"/>
                                                <w:right w:val="none" w:sz="0" w:space="0" w:color="auto"/>
                                              </w:divBdr>
                                              <w:divsChild>
                                                <w:div w:id="1969117531">
                                                  <w:marLeft w:val="0"/>
                                                  <w:marRight w:val="0"/>
                                                  <w:marTop w:val="0"/>
                                                  <w:marBottom w:val="0"/>
                                                  <w:divBdr>
                                                    <w:top w:val="none" w:sz="0" w:space="0" w:color="auto"/>
                                                    <w:left w:val="none" w:sz="0" w:space="0" w:color="auto"/>
                                                    <w:bottom w:val="none" w:sz="0" w:space="0" w:color="auto"/>
                                                    <w:right w:val="none" w:sz="0" w:space="0" w:color="auto"/>
                                                  </w:divBdr>
                                                  <w:divsChild>
                                                    <w:div w:id="1312634700">
                                                      <w:marLeft w:val="0"/>
                                                      <w:marRight w:val="0"/>
                                                      <w:marTop w:val="0"/>
                                                      <w:marBottom w:val="0"/>
                                                      <w:divBdr>
                                                        <w:top w:val="none" w:sz="0" w:space="0" w:color="auto"/>
                                                        <w:left w:val="none" w:sz="0" w:space="0" w:color="auto"/>
                                                        <w:bottom w:val="none" w:sz="0" w:space="0" w:color="auto"/>
                                                        <w:right w:val="none" w:sz="0" w:space="0" w:color="auto"/>
                                                      </w:divBdr>
                                                      <w:divsChild>
                                                        <w:div w:id="7402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636914">
      <w:bodyDiv w:val="1"/>
      <w:marLeft w:val="0"/>
      <w:marRight w:val="0"/>
      <w:marTop w:val="0"/>
      <w:marBottom w:val="0"/>
      <w:divBdr>
        <w:top w:val="none" w:sz="0" w:space="0" w:color="auto"/>
        <w:left w:val="none" w:sz="0" w:space="0" w:color="auto"/>
        <w:bottom w:val="none" w:sz="0" w:space="0" w:color="auto"/>
        <w:right w:val="none" w:sz="0" w:space="0" w:color="auto"/>
      </w:divBdr>
      <w:divsChild>
        <w:div w:id="203178176">
          <w:marLeft w:val="0"/>
          <w:marRight w:val="0"/>
          <w:marTop w:val="0"/>
          <w:marBottom w:val="0"/>
          <w:divBdr>
            <w:top w:val="none" w:sz="0" w:space="0" w:color="auto"/>
            <w:left w:val="none" w:sz="0" w:space="0" w:color="auto"/>
            <w:bottom w:val="none" w:sz="0" w:space="0" w:color="auto"/>
            <w:right w:val="none" w:sz="0" w:space="0" w:color="auto"/>
          </w:divBdr>
        </w:div>
        <w:div w:id="1847555684">
          <w:marLeft w:val="0"/>
          <w:marRight w:val="0"/>
          <w:marTop w:val="0"/>
          <w:marBottom w:val="0"/>
          <w:divBdr>
            <w:top w:val="none" w:sz="0" w:space="0" w:color="auto"/>
            <w:left w:val="none" w:sz="0" w:space="0" w:color="auto"/>
            <w:bottom w:val="none" w:sz="0" w:space="0" w:color="auto"/>
            <w:right w:val="none" w:sz="0" w:space="0" w:color="auto"/>
          </w:divBdr>
        </w:div>
      </w:divsChild>
    </w:div>
    <w:div w:id="569654841">
      <w:bodyDiv w:val="1"/>
      <w:marLeft w:val="0"/>
      <w:marRight w:val="0"/>
      <w:marTop w:val="0"/>
      <w:marBottom w:val="0"/>
      <w:divBdr>
        <w:top w:val="none" w:sz="0" w:space="0" w:color="auto"/>
        <w:left w:val="none" w:sz="0" w:space="0" w:color="auto"/>
        <w:bottom w:val="none" w:sz="0" w:space="0" w:color="auto"/>
        <w:right w:val="none" w:sz="0" w:space="0" w:color="auto"/>
      </w:divBdr>
      <w:divsChild>
        <w:div w:id="83888874">
          <w:marLeft w:val="0"/>
          <w:marRight w:val="0"/>
          <w:marTop w:val="0"/>
          <w:marBottom w:val="0"/>
          <w:divBdr>
            <w:top w:val="none" w:sz="0" w:space="0" w:color="auto"/>
            <w:left w:val="none" w:sz="0" w:space="0" w:color="auto"/>
            <w:bottom w:val="none" w:sz="0" w:space="0" w:color="auto"/>
            <w:right w:val="none" w:sz="0" w:space="0" w:color="auto"/>
          </w:divBdr>
        </w:div>
        <w:div w:id="243881153">
          <w:marLeft w:val="0"/>
          <w:marRight w:val="0"/>
          <w:marTop w:val="0"/>
          <w:marBottom w:val="0"/>
          <w:divBdr>
            <w:top w:val="none" w:sz="0" w:space="0" w:color="auto"/>
            <w:left w:val="none" w:sz="0" w:space="0" w:color="auto"/>
            <w:bottom w:val="none" w:sz="0" w:space="0" w:color="auto"/>
            <w:right w:val="none" w:sz="0" w:space="0" w:color="auto"/>
          </w:divBdr>
        </w:div>
        <w:div w:id="534078559">
          <w:marLeft w:val="0"/>
          <w:marRight w:val="0"/>
          <w:marTop w:val="0"/>
          <w:marBottom w:val="0"/>
          <w:divBdr>
            <w:top w:val="none" w:sz="0" w:space="0" w:color="auto"/>
            <w:left w:val="none" w:sz="0" w:space="0" w:color="auto"/>
            <w:bottom w:val="none" w:sz="0" w:space="0" w:color="auto"/>
            <w:right w:val="none" w:sz="0" w:space="0" w:color="auto"/>
          </w:divBdr>
        </w:div>
        <w:div w:id="687173664">
          <w:marLeft w:val="0"/>
          <w:marRight w:val="0"/>
          <w:marTop w:val="0"/>
          <w:marBottom w:val="0"/>
          <w:divBdr>
            <w:top w:val="none" w:sz="0" w:space="0" w:color="auto"/>
            <w:left w:val="none" w:sz="0" w:space="0" w:color="auto"/>
            <w:bottom w:val="none" w:sz="0" w:space="0" w:color="auto"/>
            <w:right w:val="none" w:sz="0" w:space="0" w:color="auto"/>
          </w:divBdr>
        </w:div>
        <w:div w:id="811629747">
          <w:marLeft w:val="0"/>
          <w:marRight w:val="0"/>
          <w:marTop w:val="0"/>
          <w:marBottom w:val="0"/>
          <w:divBdr>
            <w:top w:val="none" w:sz="0" w:space="0" w:color="auto"/>
            <w:left w:val="none" w:sz="0" w:space="0" w:color="auto"/>
            <w:bottom w:val="none" w:sz="0" w:space="0" w:color="auto"/>
            <w:right w:val="none" w:sz="0" w:space="0" w:color="auto"/>
          </w:divBdr>
        </w:div>
        <w:div w:id="838932195">
          <w:marLeft w:val="0"/>
          <w:marRight w:val="0"/>
          <w:marTop w:val="0"/>
          <w:marBottom w:val="0"/>
          <w:divBdr>
            <w:top w:val="none" w:sz="0" w:space="0" w:color="auto"/>
            <w:left w:val="none" w:sz="0" w:space="0" w:color="auto"/>
            <w:bottom w:val="none" w:sz="0" w:space="0" w:color="auto"/>
            <w:right w:val="none" w:sz="0" w:space="0" w:color="auto"/>
          </w:divBdr>
        </w:div>
        <w:div w:id="942492388">
          <w:marLeft w:val="0"/>
          <w:marRight w:val="0"/>
          <w:marTop w:val="0"/>
          <w:marBottom w:val="0"/>
          <w:divBdr>
            <w:top w:val="none" w:sz="0" w:space="0" w:color="auto"/>
            <w:left w:val="none" w:sz="0" w:space="0" w:color="auto"/>
            <w:bottom w:val="none" w:sz="0" w:space="0" w:color="auto"/>
            <w:right w:val="none" w:sz="0" w:space="0" w:color="auto"/>
          </w:divBdr>
        </w:div>
        <w:div w:id="998388887">
          <w:marLeft w:val="0"/>
          <w:marRight w:val="0"/>
          <w:marTop w:val="0"/>
          <w:marBottom w:val="0"/>
          <w:divBdr>
            <w:top w:val="none" w:sz="0" w:space="0" w:color="auto"/>
            <w:left w:val="none" w:sz="0" w:space="0" w:color="auto"/>
            <w:bottom w:val="none" w:sz="0" w:space="0" w:color="auto"/>
            <w:right w:val="none" w:sz="0" w:space="0" w:color="auto"/>
          </w:divBdr>
        </w:div>
        <w:div w:id="1323580910">
          <w:marLeft w:val="0"/>
          <w:marRight w:val="0"/>
          <w:marTop w:val="0"/>
          <w:marBottom w:val="0"/>
          <w:divBdr>
            <w:top w:val="none" w:sz="0" w:space="0" w:color="auto"/>
            <w:left w:val="none" w:sz="0" w:space="0" w:color="auto"/>
            <w:bottom w:val="none" w:sz="0" w:space="0" w:color="auto"/>
            <w:right w:val="none" w:sz="0" w:space="0" w:color="auto"/>
          </w:divBdr>
        </w:div>
        <w:div w:id="1844664403">
          <w:marLeft w:val="0"/>
          <w:marRight w:val="0"/>
          <w:marTop w:val="0"/>
          <w:marBottom w:val="0"/>
          <w:divBdr>
            <w:top w:val="none" w:sz="0" w:space="0" w:color="auto"/>
            <w:left w:val="none" w:sz="0" w:space="0" w:color="auto"/>
            <w:bottom w:val="none" w:sz="0" w:space="0" w:color="auto"/>
            <w:right w:val="none" w:sz="0" w:space="0" w:color="auto"/>
          </w:divBdr>
        </w:div>
        <w:div w:id="2137596529">
          <w:marLeft w:val="0"/>
          <w:marRight w:val="0"/>
          <w:marTop w:val="0"/>
          <w:marBottom w:val="0"/>
          <w:divBdr>
            <w:top w:val="none" w:sz="0" w:space="0" w:color="auto"/>
            <w:left w:val="none" w:sz="0" w:space="0" w:color="auto"/>
            <w:bottom w:val="none" w:sz="0" w:space="0" w:color="auto"/>
            <w:right w:val="none" w:sz="0" w:space="0" w:color="auto"/>
          </w:divBdr>
        </w:div>
      </w:divsChild>
    </w:div>
    <w:div w:id="744423942">
      <w:bodyDiv w:val="1"/>
      <w:marLeft w:val="0"/>
      <w:marRight w:val="0"/>
      <w:marTop w:val="0"/>
      <w:marBottom w:val="0"/>
      <w:divBdr>
        <w:top w:val="none" w:sz="0" w:space="0" w:color="auto"/>
        <w:left w:val="none" w:sz="0" w:space="0" w:color="auto"/>
        <w:bottom w:val="none" w:sz="0" w:space="0" w:color="auto"/>
        <w:right w:val="none" w:sz="0" w:space="0" w:color="auto"/>
      </w:divBdr>
      <w:divsChild>
        <w:div w:id="66616006">
          <w:marLeft w:val="0"/>
          <w:marRight w:val="0"/>
          <w:marTop w:val="0"/>
          <w:marBottom w:val="0"/>
          <w:divBdr>
            <w:top w:val="none" w:sz="0" w:space="0" w:color="auto"/>
            <w:left w:val="none" w:sz="0" w:space="0" w:color="auto"/>
            <w:bottom w:val="none" w:sz="0" w:space="0" w:color="auto"/>
            <w:right w:val="none" w:sz="0" w:space="0" w:color="auto"/>
          </w:divBdr>
          <w:divsChild>
            <w:div w:id="887494971">
              <w:marLeft w:val="0"/>
              <w:marRight w:val="0"/>
              <w:marTop w:val="150"/>
              <w:marBottom w:val="0"/>
              <w:divBdr>
                <w:top w:val="none" w:sz="0" w:space="0" w:color="auto"/>
                <w:left w:val="none" w:sz="0" w:space="0" w:color="auto"/>
                <w:bottom w:val="none" w:sz="0" w:space="0" w:color="auto"/>
                <w:right w:val="none" w:sz="0" w:space="0" w:color="auto"/>
              </w:divBdr>
              <w:divsChild>
                <w:div w:id="284845965">
                  <w:marLeft w:val="0"/>
                  <w:marRight w:val="0"/>
                  <w:marTop w:val="0"/>
                  <w:marBottom w:val="0"/>
                  <w:divBdr>
                    <w:top w:val="none" w:sz="0" w:space="0" w:color="auto"/>
                    <w:left w:val="none" w:sz="0" w:space="0" w:color="auto"/>
                    <w:bottom w:val="none" w:sz="0" w:space="0" w:color="auto"/>
                    <w:right w:val="none" w:sz="0" w:space="0" w:color="auto"/>
                  </w:divBdr>
                  <w:divsChild>
                    <w:div w:id="242880350">
                      <w:marLeft w:val="0"/>
                      <w:marRight w:val="0"/>
                      <w:marTop w:val="0"/>
                      <w:marBottom w:val="0"/>
                      <w:divBdr>
                        <w:top w:val="none" w:sz="0" w:space="0" w:color="auto"/>
                        <w:left w:val="none" w:sz="0" w:space="0" w:color="auto"/>
                        <w:bottom w:val="none" w:sz="0" w:space="0" w:color="auto"/>
                        <w:right w:val="none" w:sz="0" w:space="0" w:color="auto"/>
                      </w:divBdr>
                      <w:divsChild>
                        <w:div w:id="408112003">
                          <w:marLeft w:val="0"/>
                          <w:marRight w:val="0"/>
                          <w:marTop w:val="0"/>
                          <w:marBottom w:val="0"/>
                          <w:divBdr>
                            <w:top w:val="none" w:sz="0" w:space="0" w:color="auto"/>
                            <w:left w:val="none" w:sz="0" w:space="0" w:color="auto"/>
                            <w:bottom w:val="none" w:sz="0" w:space="0" w:color="auto"/>
                            <w:right w:val="none" w:sz="0" w:space="0" w:color="auto"/>
                          </w:divBdr>
                          <w:divsChild>
                            <w:div w:id="1166439593">
                              <w:marLeft w:val="0"/>
                              <w:marRight w:val="0"/>
                              <w:marTop w:val="0"/>
                              <w:marBottom w:val="0"/>
                              <w:divBdr>
                                <w:top w:val="none" w:sz="0" w:space="0" w:color="auto"/>
                                <w:left w:val="none" w:sz="0" w:space="0" w:color="auto"/>
                                <w:bottom w:val="none" w:sz="0" w:space="0" w:color="auto"/>
                                <w:right w:val="none" w:sz="0" w:space="0" w:color="auto"/>
                              </w:divBdr>
                              <w:divsChild>
                                <w:div w:id="493760657">
                                  <w:marLeft w:val="0"/>
                                  <w:marRight w:val="0"/>
                                  <w:marTop w:val="0"/>
                                  <w:marBottom w:val="0"/>
                                  <w:divBdr>
                                    <w:top w:val="none" w:sz="0" w:space="0" w:color="auto"/>
                                    <w:left w:val="none" w:sz="0" w:space="0" w:color="auto"/>
                                    <w:bottom w:val="none" w:sz="0" w:space="0" w:color="auto"/>
                                    <w:right w:val="none" w:sz="0" w:space="0" w:color="auto"/>
                                  </w:divBdr>
                                  <w:divsChild>
                                    <w:div w:id="862406175">
                                      <w:marLeft w:val="0"/>
                                      <w:marRight w:val="0"/>
                                      <w:marTop w:val="0"/>
                                      <w:marBottom w:val="0"/>
                                      <w:divBdr>
                                        <w:top w:val="none" w:sz="0" w:space="0" w:color="auto"/>
                                        <w:left w:val="none" w:sz="0" w:space="0" w:color="auto"/>
                                        <w:bottom w:val="none" w:sz="0" w:space="0" w:color="auto"/>
                                        <w:right w:val="none" w:sz="0" w:space="0" w:color="auto"/>
                                      </w:divBdr>
                                      <w:divsChild>
                                        <w:div w:id="714350502">
                                          <w:marLeft w:val="0"/>
                                          <w:marRight w:val="0"/>
                                          <w:marTop w:val="0"/>
                                          <w:marBottom w:val="0"/>
                                          <w:divBdr>
                                            <w:top w:val="none" w:sz="0" w:space="0" w:color="auto"/>
                                            <w:left w:val="none" w:sz="0" w:space="0" w:color="auto"/>
                                            <w:bottom w:val="none" w:sz="0" w:space="0" w:color="auto"/>
                                            <w:right w:val="none" w:sz="0" w:space="0" w:color="auto"/>
                                          </w:divBdr>
                                          <w:divsChild>
                                            <w:div w:id="687374199">
                                              <w:marLeft w:val="0"/>
                                              <w:marRight w:val="0"/>
                                              <w:marTop w:val="0"/>
                                              <w:marBottom w:val="0"/>
                                              <w:divBdr>
                                                <w:top w:val="none" w:sz="0" w:space="0" w:color="auto"/>
                                                <w:left w:val="none" w:sz="0" w:space="0" w:color="auto"/>
                                                <w:bottom w:val="none" w:sz="0" w:space="0" w:color="auto"/>
                                                <w:right w:val="none" w:sz="0" w:space="0" w:color="auto"/>
                                              </w:divBdr>
                                              <w:divsChild>
                                                <w:div w:id="178279324">
                                                  <w:marLeft w:val="0"/>
                                                  <w:marRight w:val="0"/>
                                                  <w:marTop w:val="0"/>
                                                  <w:marBottom w:val="0"/>
                                                  <w:divBdr>
                                                    <w:top w:val="none" w:sz="0" w:space="0" w:color="auto"/>
                                                    <w:left w:val="none" w:sz="0" w:space="0" w:color="auto"/>
                                                    <w:bottom w:val="none" w:sz="0" w:space="0" w:color="auto"/>
                                                    <w:right w:val="none" w:sz="0" w:space="0" w:color="auto"/>
                                                  </w:divBdr>
                                                  <w:divsChild>
                                                    <w:div w:id="1281306734">
                                                      <w:marLeft w:val="0"/>
                                                      <w:marRight w:val="0"/>
                                                      <w:marTop w:val="0"/>
                                                      <w:marBottom w:val="0"/>
                                                      <w:divBdr>
                                                        <w:top w:val="none" w:sz="0" w:space="0" w:color="auto"/>
                                                        <w:left w:val="none" w:sz="0" w:space="0" w:color="auto"/>
                                                        <w:bottom w:val="none" w:sz="0" w:space="0" w:color="auto"/>
                                                        <w:right w:val="none" w:sz="0" w:space="0" w:color="auto"/>
                                                      </w:divBdr>
                                                      <w:divsChild>
                                                        <w:div w:id="737702765">
                                                          <w:marLeft w:val="0"/>
                                                          <w:marRight w:val="0"/>
                                                          <w:marTop w:val="0"/>
                                                          <w:marBottom w:val="0"/>
                                                          <w:divBdr>
                                                            <w:top w:val="none" w:sz="0" w:space="0" w:color="auto"/>
                                                            <w:left w:val="none" w:sz="0" w:space="0" w:color="auto"/>
                                                            <w:bottom w:val="none" w:sz="0" w:space="0" w:color="auto"/>
                                                            <w:right w:val="none" w:sz="0" w:space="0" w:color="auto"/>
                                                          </w:divBdr>
                                                          <w:divsChild>
                                                            <w:div w:id="256905435">
                                                              <w:marLeft w:val="0"/>
                                                              <w:marRight w:val="0"/>
                                                              <w:marTop w:val="0"/>
                                                              <w:marBottom w:val="0"/>
                                                              <w:divBdr>
                                                                <w:top w:val="none" w:sz="0" w:space="0" w:color="auto"/>
                                                                <w:left w:val="none" w:sz="0" w:space="0" w:color="auto"/>
                                                                <w:bottom w:val="none" w:sz="0" w:space="0" w:color="auto"/>
                                                                <w:right w:val="none" w:sz="0" w:space="0" w:color="auto"/>
                                                              </w:divBdr>
                                                              <w:divsChild>
                                                                <w:div w:id="7898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1590021">
      <w:bodyDiv w:val="1"/>
      <w:marLeft w:val="0"/>
      <w:marRight w:val="0"/>
      <w:marTop w:val="0"/>
      <w:marBottom w:val="0"/>
      <w:divBdr>
        <w:top w:val="none" w:sz="0" w:space="0" w:color="auto"/>
        <w:left w:val="none" w:sz="0" w:space="0" w:color="auto"/>
        <w:bottom w:val="none" w:sz="0" w:space="0" w:color="auto"/>
        <w:right w:val="none" w:sz="0" w:space="0" w:color="auto"/>
      </w:divBdr>
      <w:divsChild>
        <w:div w:id="2035111677">
          <w:marLeft w:val="0"/>
          <w:marRight w:val="0"/>
          <w:marTop w:val="0"/>
          <w:marBottom w:val="320"/>
          <w:divBdr>
            <w:top w:val="none" w:sz="0" w:space="0" w:color="auto"/>
            <w:left w:val="none" w:sz="0" w:space="0" w:color="auto"/>
            <w:bottom w:val="none" w:sz="0" w:space="0" w:color="auto"/>
            <w:right w:val="none" w:sz="0" w:space="0" w:color="auto"/>
          </w:divBdr>
          <w:divsChild>
            <w:div w:id="680159179">
              <w:marLeft w:val="0"/>
              <w:marRight w:val="0"/>
              <w:marTop w:val="0"/>
              <w:marBottom w:val="0"/>
              <w:divBdr>
                <w:top w:val="none" w:sz="0" w:space="0" w:color="auto"/>
                <w:left w:val="none" w:sz="0" w:space="0" w:color="auto"/>
                <w:bottom w:val="none" w:sz="0" w:space="0" w:color="auto"/>
                <w:right w:val="none" w:sz="0" w:space="0" w:color="auto"/>
              </w:divBdr>
              <w:divsChild>
                <w:div w:id="1676223668">
                  <w:marLeft w:val="0"/>
                  <w:marRight w:val="0"/>
                  <w:marTop w:val="0"/>
                  <w:marBottom w:val="0"/>
                  <w:divBdr>
                    <w:top w:val="none" w:sz="0" w:space="0" w:color="auto"/>
                    <w:left w:val="none" w:sz="0" w:space="0" w:color="auto"/>
                    <w:bottom w:val="none" w:sz="0" w:space="0" w:color="auto"/>
                    <w:right w:val="none" w:sz="0" w:space="0" w:color="auto"/>
                  </w:divBdr>
                  <w:divsChild>
                    <w:div w:id="3027354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8980">
      <w:bodyDiv w:val="1"/>
      <w:marLeft w:val="0"/>
      <w:marRight w:val="0"/>
      <w:marTop w:val="0"/>
      <w:marBottom w:val="0"/>
      <w:divBdr>
        <w:top w:val="none" w:sz="0" w:space="0" w:color="auto"/>
        <w:left w:val="none" w:sz="0" w:space="0" w:color="auto"/>
        <w:bottom w:val="none" w:sz="0" w:space="0" w:color="auto"/>
        <w:right w:val="none" w:sz="0" w:space="0" w:color="auto"/>
      </w:divBdr>
      <w:divsChild>
        <w:div w:id="518158266">
          <w:marLeft w:val="0"/>
          <w:marRight w:val="0"/>
          <w:marTop w:val="0"/>
          <w:marBottom w:val="0"/>
          <w:divBdr>
            <w:top w:val="none" w:sz="0" w:space="0" w:color="auto"/>
            <w:left w:val="none" w:sz="0" w:space="0" w:color="auto"/>
            <w:bottom w:val="none" w:sz="0" w:space="0" w:color="auto"/>
            <w:right w:val="none" w:sz="0" w:space="0" w:color="auto"/>
          </w:divBdr>
          <w:divsChild>
            <w:div w:id="108361163">
              <w:marLeft w:val="0"/>
              <w:marRight w:val="0"/>
              <w:marTop w:val="0"/>
              <w:marBottom w:val="0"/>
              <w:divBdr>
                <w:top w:val="none" w:sz="0" w:space="0" w:color="auto"/>
                <w:left w:val="none" w:sz="0" w:space="0" w:color="auto"/>
                <w:bottom w:val="none" w:sz="0" w:space="0" w:color="auto"/>
                <w:right w:val="none" w:sz="0" w:space="0" w:color="auto"/>
              </w:divBdr>
              <w:divsChild>
                <w:div w:id="443623554">
                  <w:marLeft w:val="0"/>
                  <w:marRight w:val="0"/>
                  <w:marTop w:val="0"/>
                  <w:marBottom w:val="0"/>
                  <w:divBdr>
                    <w:top w:val="none" w:sz="0" w:space="0" w:color="auto"/>
                    <w:left w:val="none" w:sz="0" w:space="0" w:color="auto"/>
                    <w:bottom w:val="none" w:sz="0" w:space="0" w:color="auto"/>
                    <w:right w:val="none" w:sz="0" w:space="0" w:color="auto"/>
                  </w:divBdr>
                  <w:divsChild>
                    <w:div w:id="2005665960">
                      <w:marLeft w:val="0"/>
                      <w:marRight w:val="0"/>
                      <w:marTop w:val="0"/>
                      <w:marBottom w:val="0"/>
                      <w:divBdr>
                        <w:top w:val="none" w:sz="0" w:space="0" w:color="auto"/>
                        <w:left w:val="none" w:sz="0" w:space="0" w:color="auto"/>
                        <w:bottom w:val="none" w:sz="0" w:space="0" w:color="auto"/>
                        <w:right w:val="none" w:sz="0" w:space="0" w:color="auto"/>
                      </w:divBdr>
                      <w:divsChild>
                        <w:div w:id="411203055">
                          <w:marLeft w:val="0"/>
                          <w:marRight w:val="0"/>
                          <w:marTop w:val="0"/>
                          <w:marBottom w:val="0"/>
                          <w:divBdr>
                            <w:top w:val="none" w:sz="0" w:space="0" w:color="auto"/>
                            <w:left w:val="none" w:sz="0" w:space="0" w:color="auto"/>
                            <w:bottom w:val="none" w:sz="0" w:space="0" w:color="auto"/>
                            <w:right w:val="none" w:sz="0" w:space="0" w:color="auto"/>
                          </w:divBdr>
                          <w:divsChild>
                            <w:div w:id="1813329044">
                              <w:marLeft w:val="0"/>
                              <w:marRight w:val="0"/>
                              <w:marTop w:val="0"/>
                              <w:marBottom w:val="0"/>
                              <w:divBdr>
                                <w:top w:val="none" w:sz="0" w:space="0" w:color="auto"/>
                                <w:left w:val="none" w:sz="0" w:space="0" w:color="auto"/>
                                <w:bottom w:val="none" w:sz="0" w:space="0" w:color="auto"/>
                                <w:right w:val="none" w:sz="0" w:space="0" w:color="auto"/>
                              </w:divBdr>
                              <w:divsChild>
                                <w:div w:id="950624489">
                                  <w:marLeft w:val="0"/>
                                  <w:marRight w:val="0"/>
                                  <w:marTop w:val="0"/>
                                  <w:marBottom w:val="0"/>
                                  <w:divBdr>
                                    <w:top w:val="none" w:sz="0" w:space="0" w:color="auto"/>
                                    <w:left w:val="none" w:sz="0" w:space="0" w:color="auto"/>
                                    <w:bottom w:val="none" w:sz="0" w:space="0" w:color="auto"/>
                                    <w:right w:val="none" w:sz="0" w:space="0" w:color="auto"/>
                                  </w:divBdr>
                                  <w:divsChild>
                                    <w:div w:id="1433434796">
                                      <w:marLeft w:val="0"/>
                                      <w:marRight w:val="0"/>
                                      <w:marTop w:val="0"/>
                                      <w:marBottom w:val="0"/>
                                      <w:divBdr>
                                        <w:top w:val="none" w:sz="0" w:space="0" w:color="auto"/>
                                        <w:left w:val="none" w:sz="0" w:space="0" w:color="auto"/>
                                        <w:bottom w:val="none" w:sz="0" w:space="0" w:color="auto"/>
                                        <w:right w:val="none" w:sz="0" w:space="0" w:color="auto"/>
                                      </w:divBdr>
                                      <w:divsChild>
                                        <w:div w:id="1832914320">
                                          <w:marLeft w:val="0"/>
                                          <w:marRight w:val="0"/>
                                          <w:marTop w:val="0"/>
                                          <w:marBottom w:val="0"/>
                                          <w:divBdr>
                                            <w:top w:val="none" w:sz="0" w:space="0" w:color="auto"/>
                                            <w:left w:val="none" w:sz="0" w:space="0" w:color="auto"/>
                                            <w:bottom w:val="none" w:sz="0" w:space="0" w:color="auto"/>
                                            <w:right w:val="none" w:sz="0" w:space="0" w:color="auto"/>
                                          </w:divBdr>
                                          <w:divsChild>
                                            <w:div w:id="1195577451">
                                              <w:marLeft w:val="0"/>
                                              <w:marRight w:val="0"/>
                                              <w:marTop w:val="0"/>
                                              <w:marBottom w:val="0"/>
                                              <w:divBdr>
                                                <w:top w:val="none" w:sz="0" w:space="0" w:color="auto"/>
                                                <w:left w:val="none" w:sz="0" w:space="0" w:color="auto"/>
                                                <w:bottom w:val="none" w:sz="0" w:space="0" w:color="auto"/>
                                                <w:right w:val="none" w:sz="0" w:space="0" w:color="auto"/>
                                              </w:divBdr>
                                              <w:divsChild>
                                                <w:div w:id="894126964">
                                                  <w:marLeft w:val="0"/>
                                                  <w:marRight w:val="0"/>
                                                  <w:marTop w:val="0"/>
                                                  <w:marBottom w:val="0"/>
                                                  <w:divBdr>
                                                    <w:top w:val="none" w:sz="0" w:space="0" w:color="auto"/>
                                                    <w:left w:val="none" w:sz="0" w:space="0" w:color="auto"/>
                                                    <w:bottom w:val="none" w:sz="0" w:space="0" w:color="auto"/>
                                                    <w:right w:val="none" w:sz="0" w:space="0" w:color="auto"/>
                                                  </w:divBdr>
                                                  <w:divsChild>
                                                    <w:div w:id="1336221733">
                                                      <w:marLeft w:val="0"/>
                                                      <w:marRight w:val="0"/>
                                                      <w:marTop w:val="0"/>
                                                      <w:marBottom w:val="0"/>
                                                      <w:divBdr>
                                                        <w:top w:val="none" w:sz="0" w:space="0" w:color="auto"/>
                                                        <w:left w:val="none" w:sz="0" w:space="0" w:color="auto"/>
                                                        <w:bottom w:val="none" w:sz="0" w:space="0" w:color="auto"/>
                                                        <w:right w:val="none" w:sz="0" w:space="0" w:color="auto"/>
                                                      </w:divBdr>
                                                      <w:divsChild>
                                                        <w:div w:id="1957132642">
                                                          <w:marLeft w:val="0"/>
                                                          <w:marRight w:val="0"/>
                                                          <w:marTop w:val="0"/>
                                                          <w:marBottom w:val="0"/>
                                                          <w:divBdr>
                                                            <w:top w:val="none" w:sz="0" w:space="0" w:color="auto"/>
                                                            <w:left w:val="none" w:sz="0" w:space="0" w:color="auto"/>
                                                            <w:bottom w:val="none" w:sz="0" w:space="0" w:color="auto"/>
                                                            <w:right w:val="none" w:sz="0" w:space="0" w:color="auto"/>
                                                          </w:divBdr>
                                                          <w:divsChild>
                                                            <w:div w:id="1659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615838">
      <w:bodyDiv w:val="1"/>
      <w:marLeft w:val="0"/>
      <w:marRight w:val="0"/>
      <w:marTop w:val="0"/>
      <w:marBottom w:val="0"/>
      <w:divBdr>
        <w:top w:val="none" w:sz="0" w:space="0" w:color="auto"/>
        <w:left w:val="none" w:sz="0" w:space="0" w:color="auto"/>
        <w:bottom w:val="none" w:sz="0" w:space="0" w:color="auto"/>
        <w:right w:val="none" w:sz="0" w:space="0" w:color="auto"/>
      </w:divBdr>
      <w:divsChild>
        <w:div w:id="1271158528">
          <w:marLeft w:val="0"/>
          <w:marRight w:val="0"/>
          <w:marTop w:val="0"/>
          <w:marBottom w:val="0"/>
          <w:divBdr>
            <w:top w:val="none" w:sz="0" w:space="0" w:color="auto"/>
            <w:left w:val="none" w:sz="0" w:space="0" w:color="auto"/>
            <w:bottom w:val="none" w:sz="0" w:space="0" w:color="auto"/>
            <w:right w:val="none" w:sz="0" w:space="0" w:color="auto"/>
          </w:divBdr>
          <w:divsChild>
            <w:div w:id="247081121">
              <w:marLeft w:val="0"/>
              <w:marRight w:val="0"/>
              <w:marTop w:val="0"/>
              <w:marBottom w:val="0"/>
              <w:divBdr>
                <w:top w:val="none" w:sz="0" w:space="0" w:color="auto"/>
                <w:left w:val="none" w:sz="0" w:space="0" w:color="auto"/>
                <w:bottom w:val="none" w:sz="0" w:space="0" w:color="auto"/>
                <w:right w:val="none" w:sz="0" w:space="0" w:color="auto"/>
              </w:divBdr>
              <w:divsChild>
                <w:div w:id="906233556">
                  <w:marLeft w:val="0"/>
                  <w:marRight w:val="0"/>
                  <w:marTop w:val="0"/>
                  <w:marBottom w:val="0"/>
                  <w:divBdr>
                    <w:top w:val="none" w:sz="0" w:space="0" w:color="auto"/>
                    <w:left w:val="none" w:sz="0" w:space="0" w:color="auto"/>
                    <w:bottom w:val="none" w:sz="0" w:space="0" w:color="auto"/>
                    <w:right w:val="none" w:sz="0" w:space="0" w:color="auto"/>
                  </w:divBdr>
                  <w:divsChild>
                    <w:div w:id="878736043">
                      <w:marLeft w:val="0"/>
                      <w:marRight w:val="0"/>
                      <w:marTop w:val="0"/>
                      <w:marBottom w:val="0"/>
                      <w:divBdr>
                        <w:top w:val="none" w:sz="0" w:space="0" w:color="auto"/>
                        <w:left w:val="none" w:sz="0" w:space="0" w:color="auto"/>
                        <w:bottom w:val="none" w:sz="0" w:space="0" w:color="auto"/>
                        <w:right w:val="none" w:sz="0" w:space="0" w:color="auto"/>
                      </w:divBdr>
                      <w:divsChild>
                        <w:div w:id="1973752698">
                          <w:marLeft w:val="0"/>
                          <w:marRight w:val="0"/>
                          <w:marTop w:val="0"/>
                          <w:marBottom w:val="0"/>
                          <w:divBdr>
                            <w:top w:val="none" w:sz="0" w:space="0" w:color="auto"/>
                            <w:left w:val="none" w:sz="0" w:space="0" w:color="auto"/>
                            <w:bottom w:val="none" w:sz="0" w:space="0" w:color="auto"/>
                            <w:right w:val="none" w:sz="0" w:space="0" w:color="auto"/>
                          </w:divBdr>
                          <w:divsChild>
                            <w:div w:id="1408071251">
                              <w:marLeft w:val="0"/>
                              <w:marRight w:val="0"/>
                              <w:marTop w:val="0"/>
                              <w:marBottom w:val="0"/>
                              <w:divBdr>
                                <w:top w:val="none" w:sz="0" w:space="0" w:color="auto"/>
                                <w:left w:val="none" w:sz="0" w:space="0" w:color="auto"/>
                                <w:bottom w:val="none" w:sz="0" w:space="0" w:color="auto"/>
                                <w:right w:val="none" w:sz="0" w:space="0" w:color="auto"/>
                              </w:divBdr>
                              <w:divsChild>
                                <w:div w:id="1923444876">
                                  <w:marLeft w:val="0"/>
                                  <w:marRight w:val="0"/>
                                  <w:marTop w:val="0"/>
                                  <w:marBottom w:val="0"/>
                                  <w:divBdr>
                                    <w:top w:val="none" w:sz="0" w:space="0" w:color="auto"/>
                                    <w:left w:val="none" w:sz="0" w:space="0" w:color="auto"/>
                                    <w:bottom w:val="none" w:sz="0" w:space="0" w:color="auto"/>
                                    <w:right w:val="none" w:sz="0" w:space="0" w:color="auto"/>
                                  </w:divBdr>
                                  <w:divsChild>
                                    <w:div w:id="1525901489">
                                      <w:marLeft w:val="0"/>
                                      <w:marRight w:val="0"/>
                                      <w:marTop w:val="0"/>
                                      <w:marBottom w:val="0"/>
                                      <w:divBdr>
                                        <w:top w:val="none" w:sz="0" w:space="0" w:color="auto"/>
                                        <w:left w:val="none" w:sz="0" w:space="0" w:color="auto"/>
                                        <w:bottom w:val="none" w:sz="0" w:space="0" w:color="auto"/>
                                        <w:right w:val="none" w:sz="0" w:space="0" w:color="auto"/>
                                      </w:divBdr>
                                      <w:divsChild>
                                        <w:div w:id="1903130494">
                                          <w:marLeft w:val="0"/>
                                          <w:marRight w:val="0"/>
                                          <w:marTop w:val="0"/>
                                          <w:marBottom w:val="0"/>
                                          <w:divBdr>
                                            <w:top w:val="none" w:sz="0" w:space="0" w:color="auto"/>
                                            <w:left w:val="none" w:sz="0" w:space="0" w:color="auto"/>
                                            <w:bottom w:val="none" w:sz="0" w:space="0" w:color="auto"/>
                                            <w:right w:val="none" w:sz="0" w:space="0" w:color="auto"/>
                                          </w:divBdr>
                                          <w:divsChild>
                                            <w:div w:id="1450130282">
                                              <w:marLeft w:val="0"/>
                                              <w:marRight w:val="0"/>
                                              <w:marTop w:val="0"/>
                                              <w:marBottom w:val="0"/>
                                              <w:divBdr>
                                                <w:top w:val="none" w:sz="0" w:space="0" w:color="auto"/>
                                                <w:left w:val="none" w:sz="0" w:space="0" w:color="auto"/>
                                                <w:bottom w:val="none" w:sz="0" w:space="0" w:color="auto"/>
                                                <w:right w:val="none" w:sz="0" w:space="0" w:color="auto"/>
                                              </w:divBdr>
                                              <w:divsChild>
                                                <w:div w:id="1603294363">
                                                  <w:marLeft w:val="0"/>
                                                  <w:marRight w:val="0"/>
                                                  <w:marTop w:val="0"/>
                                                  <w:marBottom w:val="0"/>
                                                  <w:divBdr>
                                                    <w:top w:val="none" w:sz="0" w:space="0" w:color="auto"/>
                                                    <w:left w:val="none" w:sz="0" w:space="0" w:color="auto"/>
                                                    <w:bottom w:val="none" w:sz="0" w:space="0" w:color="auto"/>
                                                    <w:right w:val="none" w:sz="0" w:space="0" w:color="auto"/>
                                                  </w:divBdr>
                                                  <w:divsChild>
                                                    <w:div w:id="14985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901699">
      <w:bodyDiv w:val="1"/>
      <w:marLeft w:val="0"/>
      <w:marRight w:val="0"/>
      <w:marTop w:val="0"/>
      <w:marBottom w:val="0"/>
      <w:divBdr>
        <w:top w:val="none" w:sz="0" w:space="0" w:color="auto"/>
        <w:left w:val="none" w:sz="0" w:space="0" w:color="auto"/>
        <w:bottom w:val="none" w:sz="0" w:space="0" w:color="auto"/>
        <w:right w:val="none" w:sz="0" w:space="0" w:color="auto"/>
      </w:divBdr>
      <w:divsChild>
        <w:div w:id="1335105947">
          <w:marLeft w:val="0"/>
          <w:marRight w:val="0"/>
          <w:marTop w:val="0"/>
          <w:marBottom w:val="0"/>
          <w:divBdr>
            <w:top w:val="none" w:sz="0" w:space="0" w:color="auto"/>
            <w:left w:val="none" w:sz="0" w:space="0" w:color="auto"/>
            <w:bottom w:val="none" w:sz="0" w:space="0" w:color="auto"/>
            <w:right w:val="none" w:sz="0" w:space="0" w:color="auto"/>
          </w:divBdr>
        </w:div>
        <w:div w:id="1874876282">
          <w:marLeft w:val="0"/>
          <w:marRight w:val="0"/>
          <w:marTop w:val="0"/>
          <w:marBottom w:val="0"/>
          <w:divBdr>
            <w:top w:val="none" w:sz="0" w:space="0" w:color="auto"/>
            <w:left w:val="none" w:sz="0" w:space="0" w:color="auto"/>
            <w:bottom w:val="none" w:sz="0" w:space="0" w:color="auto"/>
            <w:right w:val="none" w:sz="0" w:space="0" w:color="auto"/>
          </w:divBdr>
        </w:div>
        <w:div w:id="1965188318">
          <w:marLeft w:val="0"/>
          <w:marRight w:val="0"/>
          <w:marTop w:val="0"/>
          <w:marBottom w:val="0"/>
          <w:divBdr>
            <w:top w:val="none" w:sz="0" w:space="0" w:color="auto"/>
            <w:left w:val="none" w:sz="0" w:space="0" w:color="auto"/>
            <w:bottom w:val="none" w:sz="0" w:space="0" w:color="auto"/>
            <w:right w:val="none" w:sz="0" w:space="0" w:color="auto"/>
          </w:divBdr>
        </w:div>
      </w:divsChild>
    </w:div>
    <w:div w:id="1417828305">
      <w:bodyDiv w:val="1"/>
      <w:marLeft w:val="0"/>
      <w:marRight w:val="0"/>
      <w:marTop w:val="0"/>
      <w:marBottom w:val="0"/>
      <w:divBdr>
        <w:top w:val="none" w:sz="0" w:space="0" w:color="auto"/>
        <w:left w:val="none" w:sz="0" w:space="0" w:color="auto"/>
        <w:bottom w:val="none" w:sz="0" w:space="0" w:color="auto"/>
        <w:right w:val="none" w:sz="0" w:space="0" w:color="auto"/>
      </w:divBdr>
    </w:div>
    <w:div w:id="1557156867">
      <w:bodyDiv w:val="1"/>
      <w:marLeft w:val="0"/>
      <w:marRight w:val="0"/>
      <w:marTop w:val="0"/>
      <w:marBottom w:val="0"/>
      <w:divBdr>
        <w:top w:val="none" w:sz="0" w:space="0" w:color="auto"/>
        <w:left w:val="none" w:sz="0" w:space="0" w:color="auto"/>
        <w:bottom w:val="none" w:sz="0" w:space="0" w:color="auto"/>
        <w:right w:val="none" w:sz="0" w:space="0" w:color="auto"/>
      </w:divBdr>
      <w:divsChild>
        <w:div w:id="2130082300">
          <w:marLeft w:val="0"/>
          <w:marRight w:val="0"/>
          <w:marTop w:val="0"/>
          <w:marBottom w:val="320"/>
          <w:divBdr>
            <w:top w:val="none" w:sz="0" w:space="0" w:color="auto"/>
            <w:left w:val="none" w:sz="0" w:space="0" w:color="auto"/>
            <w:bottom w:val="none" w:sz="0" w:space="0" w:color="auto"/>
            <w:right w:val="none" w:sz="0" w:space="0" w:color="auto"/>
          </w:divBdr>
          <w:divsChild>
            <w:div w:id="248538816">
              <w:marLeft w:val="0"/>
              <w:marRight w:val="0"/>
              <w:marTop w:val="0"/>
              <w:marBottom w:val="0"/>
              <w:divBdr>
                <w:top w:val="none" w:sz="0" w:space="0" w:color="auto"/>
                <w:left w:val="none" w:sz="0" w:space="0" w:color="auto"/>
                <w:bottom w:val="none" w:sz="0" w:space="0" w:color="auto"/>
                <w:right w:val="none" w:sz="0" w:space="0" w:color="auto"/>
              </w:divBdr>
              <w:divsChild>
                <w:div w:id="1973250189">
                  <w:marLeft w:val="0"/>
                  <w:marRight w:val="0"/>
                  <w:marTop w:val="0"/>
                  <w:marBottom w:val="0"/>
                  <w:divBdr>
                    <w:top w:val="none" w:sz="0" w:space="0" w:color="auto"/>
                    <w:left w:val="none" w:sz="0" w:space="0" w:color="auto"/>
                    <w:bottom w:val="none" w:sz="0" w:space="0" w:color="auto"/>
                    <w:right w:val="none" w:sz="0" w:space="0" w:color="auto"/>
                  </w:divBdr>
                  <w:divsChild>
                    <w:div w:id="11830877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82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822">
          <w:marLeft w:val="0"/>
          <w:marRight w:val="0"/>
          <w:marTop w:val="600"/>
          <w:marBottom w:val="0"/>
          <w:divBdr>
            <w:top w:val="none" w:sz="0" w:space="0" w:color="auto"/>
            <w:left w:val="none" w:sz="0" w:space="0" w:color="auto"/>
            <w:bottom w:val="none" w:sz="0" w:space="0" w:color="auto"/>
            <w:right w:val="none" w:sz="0" w:space="0" w:color="auto"/>
          </w:divBdr>
          <w:divsChild>
            <w:div w:id="1604191662">
              <w:marLeft w:val="0"/>
              <w:marRight w:val="0"/>
              <w:marTop w:val="0"/>
              <w:marBottom w:val="0"/>
              <w:divBdr>
                <w:top w:val="none" w:sz="0" w:space="0" w:color="auto"/>
                <w:left w:val="none" w:sz="0" w:space="0" w:color="auto"/>
                <w:bottom w:val="none" w:sz="0" w:space="0" w:color="auto"/>
                <w:right w:val="none" w:sz="0" w:space="0" w:color="auto"/>
              </w:divBdr>
              <w:divsChild>
                <w:div w:id="20209436">
                  <w:marLeft w:val="0"/>
                  <w:marRight w:val="0"/>
                  <w:marTop w:val="0"/>
                  <w:marBottom w:val="0"/>
                  <w:divBdr>
                    <w:top w:val="none" w:sz="0" w:space="0" w:color="auto"/>
                    <w:left w:val="none" w:sz="0" w:space="0" w:color="auto"/>
                    <w:bottom w:val="none" w:sz="0" w:space="0" w:color="auto"/>
                    <w:right w:val="none" w:sz="0" w:space="0" w:color="auto"/>
                  </w:divBdr>
                  <w:divsChild>
                    <w:div w:id="701200519">
                      <w:marLeft w:val="0"/>
                      <w:marRight w:val="0"/>
                      <w:marTop w:val="0"/>
                      <w:marBottom w:val="0"/>
                      <w:divBdr>
                        <w:top w:val="none" w:sz="0" w:space="0" w:color="auto"/>
                        <w:left w:val="none" w:sz="0" w:space="0" w:color="auto"/>
                        <w:bottom w:val="none" w:sz="0" w:space="0" w:color="auto"/>
                        <w:right w:val="none" w:sz="0" w:space="0" w:color="auto"/>
                      </w:divBdr>
                      <w:divsChild>
                        <w:div w:id="1128402459">
                          <w:marLeft w:val="0"/>
                          <w:marRight w:val="0"/>
                          <w:marTop w:val="0"/>
                          <w:marBottom w:val="0"/>
                          <w:divBdr>
                            <w:top w:val="none" w:sz="0" w:space="0" w:color="auto"/>
                            <w:left w:val="none" w:sz="0" w:space="0" w:color="auto"/>
                            <w:bottom w:val="none" w:sz="0" w:space="0" w:color="auto"/>
                            <w:right w:val="none" w:sz="0" w:space="0" w:color="auto"/>
                          </w:divBdr>
                          <w:divsChild>
                            <w:div w:id="30765386">
                              <w:marLeft w:val="0"/>
                              <w:marRight w:val="0"/>
                              <w:marTop w:val="0"/>
                              <w:marBottom w:val="0"/>
                              <w:divBdr>
                                <w:top w:val="none" w:sz="0" w:space="0" w:color="auto"/>
                                <w:left w:val="none" w:sz="0" w:space="0" w:color="auto"/>
                                <w:bottom w:val="none" w:sz="0" w:space="0" w:color="auto"/>
                                <w:right w:val="none" w:sz="0" w:space="0" w:color="auto"/>
                              </w:divBdr>
                              <w:divsChild>
                                <w:div w:id="1968391396">
                                  <w:marLeft w:val="0"/>
                                  <w:marRight w:val="0"/>
                                  <w:marTop w:val="0"/>
                                  <w:marBottom w:val="0"/>
                                  <w:divBdr>
                                    <w:top w:val="none" w:sz="0" w:space="0" w:color="auto"/>
                                    <w:left w:val="none" w:sz="0" w:space="0" w:color="auto"/>
                                    <w:bottom w:val="none" w:sz="0" w:space="0" w:color="auto"/>
                                    <w:right w:val="none" w:sz="0" w:space="0" w:color="auto"/>
                                  </w:divBdr>
                                  <w:divsChild>
                                    <w:div w:id="53893089">
                                      <w:marLeft w:val="0"/>
                                      <w:marRight w:val="0"/>
                                      <w:marTop w:val="0"/>
                                      <w:marBottom w:val="0"/>
                                      <w:divBdr>
                                        <w:top w:val="none" w:sz="0" w:space="0" w:color="auto"/>
                                        <w:left w:val="none" w:sz="0" w:space="0" w:color="auto"/>
                                        <w:bottom w:val="none" w:sz="0" w:space="0" w:color="auto"/>
                                        <w:right w:val="none" w:sz="0" w:space="0" w:color="auto"/>
                                      </w:divBdr>
                                      <w:divsChild>
                                        <w:div w:id="1892882464">
                                          <w:marLeft w:val="0"/>
                                          <w:marRight w:val="0"/>
                                          <w:marTop w:val="0"/>
                                          <w:marBottom w:val="0"/>
                                          <w:divBdr>
                                            <w:top w:val="none" w:sz="0" w:space="0" w:color="auto"/>
                                            <w:left w:val="none" w:sz="0" w:space="0" w:color="auto"/>
                                            <w:bottom w:val="none" w:sz="0" w:space="0" w:color="auto"/>
                                            <w:right w:val="none" w:sz="0" w:space="0" w:color="auto"/>
                                          </w:divBdr>
                                          <w:divsChild>
                                            <w:div w:id="1779788674">
                                              <w:marLeft w:val="0"/>
                                              <w:marRight w:val="0"/>
                                              <w:marTop w:val="0"/>
                                              <w:marBottom w:val="0"/>
                                              <w:divBdr>
                                                <w:top w:val="none" w:sz="0" w:space="0" w:color="auto"/>
                                                <w:left w:val="none" w:sz="0" w:space="0" w:color="auto"/>
                                                <w:bottom w:val="none" w:sz="0" w:space="0" w:color="auto"/>
                                                <w:right w:val="none" w:sz="0" w:space="0" w:color="auto"/>
                                              </w:divBdr>
                                              <w:divsChild>
                                                <w:div w:id="351761806">
                                                  <w:marLeft w:val="0"/>
                                                  <w:marRight w:val="0"/>
                                                  <w:marTop w:val="0"/>
                                                  <w:marBottom w:val="0"/>
                                                  <w:divBdr>
                                                    <w:top w:val="none" w:sz="0" w:space="0" w:color="auto"/>
                                                    <w:left w:val="none" w:sz="0" w:space="0" w:color="auto"/>
                                                    <w:bottom w:val="none" w:sz="0" w:space="0" w:color="auto"/>
                                                    <w:right w:val="none" w:sz="0" w:space="0" w:color="auto"/>
                                                  </w:divBdr>
                                                  <w:divsChild>
                                                    <w:div w:id="1138299782">
                                                      <w:marLeft w:val="0"/>
                                                      <w:marRight w:val="0"/>
                                                      <w:marTop w:val="0"/>
                                                      <w:marBottom w:val="0"/>
                                                      <w:divBdr>
                                                        <w:top w:val="none" w:sz="0" w:space="0" w:color="auto"/>
                                                        <w:left w:val="none" w:sz="0" w:space="0" w:color="auto"/>
                                                        <w:bottom w:val="none" w:sz="0" w:space="0" w:color="auto"/>
                                                        <w:right w:val="none" w:sz="0" w:space="0" w:color="auto"/>
                                                      </w:divBdr>
                                                      <w:divsChild>
                                                        <w:div w:id="814612688">
                                                          <w:marLeft w:val="0"/>
                                                          <w:marRight w:val="0"/>
                                                          <w:marTop w:val="0"/>
                                                          <w:marBottom w:val="0"/>
                                                          <w:divBdr>
                                                            <w:top w:val="none" w:sz="0" w:space="0" w:color="auto"/>
                                                            <w:left w:val="none" w:sz="0" w:space="0" w:color="auto"/>
                                                            <w:bottom w:val="none" w:sz="0" w:space="0" w:color="auto"/>
                                                            <w:right w:val="none" w:sz="0" w:space="0" w:color="auto"/>
                                                          </w:divBdr>
                                                          <w:divsChild>
                                                            <w:div w:id="6095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5720132">
      <w:bodyDiv w:val="1"/>
      <w:marLeft w:val="0"/>
      <w:marRight w:val="0"/>
      <w:marTop w:val="0"/>
      <w:marBottom w:val="0"/>
      <w:divBdr>
        <w:top w:val="none" w:sz="0" w:space="0" w:color="auto"/>
        <w:left w:val="none" w:sz="0" w:space="0" w:color="auto"/>
        <w:bottom w:val="none" w:sz="0" w:space="0" w:color="auto"/>
        <w:right w:val="none" w:sz="0" w:space="0" w:color="auto"/>
      </w:divBdr>
      <w:divsChild>
        <w:div w:id="926886370">
          <w:marLeft w:val="0"/>
          <w:marRight w:val="0"/>
          <w:marTop w:val="0"/>
          <w:marBottom w:val="0"/>
          <w:divBdr>
            <w:top w:val="none" w:sz="0" w:space="0" w:color="auto"/>
            <w:left w:val="none" w:sz="0" w:space="0" w:color="auto"/>
            <w:bottom w:val="none" w:sz="0" w:space="0" w:color="auto"/>
            <w:right w:val="none" w:sz="0" w:space="0" w:color="auto"/>
          </w:divBdr>
        </w:div>
        <w:div w:id="953289625">
          <w:marLeft w:val="0"/>
          <w:marRight w:val="0"/>
          <w:marTop w:val="0"/>
          <w:marBottom w:val="0"/>
          <w:divBdr>
            <w:top w:val="none" w:sz="0" w:space="0" w:color="auto"/>
            <w:left w:val="none" w:sz="0" w:space="0" w:color="auto"/>
            <w:bottom w:val="none" w:sz="0" w:space="0" w:color="auto"/>
            <w:right w:val="none" w:sz="0" w:space="0" w:color="auto"/>
          </w:divBdr>
        </w:div>
        <w:div w:id="1033926087">
          <w:marLeft w:val="0"/>
          <w:marRight w:val="0"/>
          <w:marTop w:val="0"/>
          <w:marBottom w:val="0"/>
          <w:divBdr>
            <w:top w:val="none" w:sz="0" w:space="0" w:color="auto"/>
            <w:left w:val="none" w:sz="0" w:space="0" w:color="auto"/>
            <w:bottom w:val="none" w:sz="0" w:space="0" w:color="auto"/>
            <w:right w:val="none" w:sz="0" w:space="0" w:color="auto"/>
          </w:divBdr>
        </w:div>
        <w:div w:id="1070037523">
          <w:marLeft w:val="0"/>
          <w:marRight w:val="0"/>
          <w:marTop w:val="0"/>
          <w:marBottom w:val="0"/>
          <w:divBdr>
            <w:top w:val="none" w:sz="0" w:space="0" w:color="auto"/>
            <w:left w:val="none" w:sz="0" w:space="0" w:color="auto"/>
            <w:bottom w:val="none" w:sz="0" w:space="0" w:color="auto"/>
            <w:right w:val="none" w:sz="0" w:space="0" w:color="auto"/>
          </w:divBdr>
        </w:div>
        <w:div w:id="1304969703">
          <w:marLeft w:val="0"/>
          <w:marRight w:val="0"/>
          <w:marTop w:val="0"/>
          <w:marBottom w:val="0"/>
          <w:divBdr>
            <w:top w:val="none" w:sz="0" w:space="0" w:color="auto"/>
            <w:left w:val="none" w:sz="0" w:space="0" w:color="auto"/>
            <w:bottom w:val="none" w:sz="0" w:space="0" w:color="auto"/>
            <w:right w:val="none" w:sz="0" w:space="0" w:color="auto"/>
          </w:divBdr>
        </w:div>
        <w:div w:id="1345398792">
          <w:marLeft w:val="0"/>
          <w:marRight w:val="0"/>
          <w:marTop w:val="0"/>
          <w:marBottom w:val="0"/>
          <w:divBdr>
            <w:top w:val="none" w:sz="0" w:space="0" w:color="auto"/>
            <w:left w:val="none" w:sz="0" w:space="0" w:color="auto"/>
            <w:bottom w:val="none" w:sz="0" w:space="0" w:color="auto"/>
            <w:right w:val="none" w:sz="0" w:space="0" w:color="auto"/>
          </w:divBdr>
        </w:div>
        <w:div w:id="1349868863">
          <w:marLeft w:val="0"/>
          <w:marRight w:val="0"/>
          <w:marTop w:val="0"/>
          <w:marBottom w:val="0"/>
          <w:divBdr>
            <w:top w:val="none" w:sz="0" w:space="0" w:color="auto"/>
            <w:left w:val="none" w:sz="0" w:space="0" w:color="auto"/>
            <w:bottom w:val="none" w:sz="0" w:space="0" w:color="auto"/>
            <w:right w:val="none" w:sz="0" w:space="0" w:color="auto"/>
          </w:divBdr>
        </w:div>
        <w:div w:id="1357344464">
          <w:marLeft w:val="0"/>
          <w:marRight w:val="0"/>
          <w:marTop w:val="0"/>
          <w:marBottom w:val="0"/>
          <w:divBdr>
            <w:top w:val="none" w:sz="0" w:space="0" w:color="auto"/>
            <w:left w:val="none" w:sz="0" w:space="0" w:color="auto"/>
            <w:bottom w:val="none" w:sz="0" w:space="0" w:color="auto"/>
            <w:right w:val="none" w:sz="0" w:space="0" w:color="auto"/>
          </w:divBdr>
        </w:div>
        <w:div w:id="1494249780">
          <w:marLeft w:val="0"/>
          <w:marRight w:val="0"/>
          <w:marTop w:val="0"/>
          <w:marBottom w:val="0"/>
          <w:divBdr>
            <w:top w:val="none" w:sz="0" w:space="0" w:color="auto"/>
            <w:left w:val="none" w:sz="0" w:space="0" w:color="auto"/>
            <w:bottom w:val="none" w:sz="0" w:space="0" w:color="auto"/>
            <w:right w:val="none" w:sz="0" w:space="0" w:color="auto"/>
          </w:divBdr>
        </w:div>
        <w:div w:id="1778712674">
          <w:marLeft w:val="0"/>
          <w:marRight w:val="0"/>
          <w:marTop w:val="0"/>
          <w:marBottom w:val="0"/>
          <w:divBdr>
            <w:top w:val="none" w:sz="0" w:space="0" w:color="auto"/>
            <w:left w:val="none" w:sz="0" w:space="0" w:color="auto"/>
            <w:bottom w:val="none" w:sz="0" w:space="0" w:color="auto"/>
            <w:right w:val="none" w:sz="0" w:space="0" w:color="auto"/>
          </w:divBdr>
        </w:div>
        <w:div w:id="1806585676">
          <w:marLeft w:val="0"/>
          <w:marRight w:val="0"/>
          <w:marTop w:val="0"/>
          <w:marBottom w:val="0"/>
          <w:divBdr>
            <w:top w:val="none" w:sz="0" w:space="0" w:color="auto"/>
            <w:left w:val="none" w:sz="0" w:space="0" w:color="auto"/>
            <w:bottom w:val="none" w:sz="0" w:space="0" w:color="auto"/>
            <w:right w:val="none" w:sz="0" w:space="0" w:color="auto"/>
          </w:divBdr>
        </w:div>
      </w:divsChild>
    </w:div>
    <w:div w:id="2068990545">
      <w:bodyDiv w:val="1"/>
      <w:marLeft w:val="0"/>
      <w:marRight w:val="0"/>
      <w:marTop w:val="0"/>
      <w:marBottom w:val="0"/>
      <w:divBdr>
        <w:top w:val="none" w:sz="0" w:space="0" w:color="auto"/>
        <w:left w:val="none" w:sz="0" w:space="0" w:color="auto"/>
        <w:bottom w:val="none" w:sz="0" w:space="0" w:color="auto"/>
        <w:right w:val="none" w:sz="0" w:space="0" w:color="auto"/>
      </w:divBdr>
      <w:divsChild>
        <w:div w:id="2141264200">
          <w:marLeft w:val="0"/>
          <w:marRight w:val="0"/>
          <w:marTop w:val="0"/>
          <w:marBottom w:val="0"/>
          <w:divBdr>
            <w:top w:val="none" w:sz="0" w:space="0" w:color="auto"/>
            <w:left w:val="none" w:sz="0" w:space="0" w:color="auto"/>
            <w:bottom w:val="none" w:sz="0" w:space="0" w:color="auto"/>
            <w:right w:val="none" w:sz="0" w:space="0" w:color="auto"/>
          </w:divBdr>
          <w:divsChild>
            <w:div w:id="1900629981">
              <w:marLeft w:val="0"/>
              <w:marRight w:val="0"/>
              <w:marTop w:val="0"/>
              <w:marBottom w:val="0"/>
              <w:divBdr>
                <w:top w:val="none" w:sz="0" w:space="0" w:color="auto"/>
                <w:left w:val="none" w:sz="0" w:space="0" w:color="auto"/>
                <w:bottom w:val="none" w:sz="0" w:space="0" w:color="auto"/>
                <w:right w:val="none" w:sz="0" w:space="0" w:color="auto"/>
              </w:divBdr>
              <w:divsChild>
                <w:div w:id="920993329">
                  <w:marLeft w:val="0"/>
                  <w:marRight w:val="0"/>
                  <w:marTop w:val="0"/>
                  <w:marBottom w:val="0"/>
                  <w:divBdr>
                    <w:top w:val="none" w:sz="0" w:space="0" w:color="auto"/>
                    <w:left w:val="none" w:sz="0" w:space="0" w:color="auto"/>
                    <w:bottom w:val="none" w:sz="0" w:space="0" w:color="auto"/>
                    <w:right w:val="none" w:sz="0" w:space="0" w:color="auto"/>
                  </w:divBdr>
                  <w:divsChild>
                    <w:div w:id="956909601">
                      <w:marLeft w:val="0"/>
                      <w:marRight w:val="0"/>
                      <w:marTop w:val="0"/>
                      <w:marBottom w:val="0"/>
                      <w:divBdr>
                        <w:top w:val="none" w:sz="0" w:space="0" w:color="auto"/>
                        <w:left w:val="none" w:sz="0" w:space="0" w:color="auto"/>
                        <w:bottom w:val="none" w:sz="0" w:space="0" w:color="auto"/>
                        <w:right w:val="none" w:sz="0" w:space="0" w:color="auto"/>
                      </w:divBdr>
                      <w:divsChild>
                        <w:div w:id="67459630">
                          <w:marLeft w:val="0"/>
                          <w:marRight w:val="0"/>
                          <w:marTop w:val="0"/>
                          <w:marBottom w:val="0"/>
                          <w:divBdr>
                            <w:top w:val="none" w:sz="0" w:space="0" w:color="auto"/>
                            <w:left w:val="none" w:sz="0" w:space="0" w:color="auto"/>
                            <w:bottom w:val="none" w:sz="0" w:space="0" w:color="auto"/>
                            <w:right w:val="none" w:sz="0" w:space="0" w:color="auto"/>
                          </w:divBdr>
                          <w:divsChild>
                            <w:div w:id="1326667642">
                              <w:marLeft w:val="0"/>
                              <w:marRight w:val="0"/>
                              <w:marTop w:val="0"/>
                              <w:marBottom w:val="0"/>
                              <w:divBdr>
                                <w:top w:val="none" w:sz="0" w:space="0" w:color="auto"/>
                                <w:left w:val="none" w:sz="0" w:space="0" w:color="auto"/>
                                <w:bottom w:val="none" w:sz="0" w:space="0" w:color="auto"/>
                                <w:right w:val="none" w:sz="0" w:space="0" w:color="auto"/>
                              </w:divBdr>
                              <w:divsChild>
                                <w:div w:id="1753695152">
                                  <w:marLeft w:val="0"/>
                                  <w:marRight w:val="0"/>
                                  <w:marTop w:val="0"/>
                                  <w:marBottom w:val="0"/>
                                  <w:divBdr>
                                    <w:top w:val="none" w:sz="0" w:space="0" w:color="auto"/>
                                    <w:left w:val="none" w:sz="0" w:space="0" w:color="auto"/>
                                    <w:bottom w:val="none" w:sz="0" w:space="0" w:color="auto"/>
                                    <w:right w:val="none" w:sz="0" w:space="0" w:color="auto"/>
                                  </w:divBdr>
                                  <w:divsChild>
                                    <w:div w:id="1921019821">
                                      <w:marLeft w:val="0"/>
                                      <w:marRight w:val="0"/>
                                      <w:marTop w:val="0"/>
                                      <w:marBottom w:val="0"/>
                                      <w:divBdr>
                                        <w:top w:val="none" w:sz="0" w:space="0" w:color="auto"/>
                                        <w:left w:val="none" w:sz="0" w:space="0" w:color="auto"/>
                                        <w:bottom w:val="none" w:sz="0" w:space="0" w:color="auto"/>
                                        <w:right w:val="none" w:sz="0" w:space="0" w:color="auto"/>
                                      </w:divBdr>
                                      <w:divsChild>
                                        <w:div w:id="1328709007">
                                          <w:marLeft w:val="0"/>
                                          <w:marRight w:val="0"/>
                                          <w:marTop w:val="0"/>
                                          <w:marBottom w:val="0"/>
                                          <w:divBdr>
                                            <w:top w:val="none" w:sz="0" w:space="0" w:color="auto"/>
                                            <w:left w:val="none" w:sz="0" w:space="0" w:color="auto"/>
                                            <w:bottom w:val="none" w:sz="0" w:space="0" w:color="auto"/>
                                            <w:right w:val="none" w:sz="0" w:space="0" w:color="auto"/>
                                          </w:divBdr>
                                          <w:divsChild>
                                            <w:div w:id="521482475">
                                              <w:marLeft w:val="0"/>
                                              <w:marRight w:val="0"/>
                                              <w:marTop w:val="0"/>
                                              <w:marBottom w:val="0"/>
                                              <w:divBdr>
                                                <w:top w:val="none" w:sz="0" w:space="0" w:color="auto"/>
                                                <w:left w:val="none" w:sz="0" w:space="0" w:color="auto"/>
                                                <w:bottom w:val="none" w:sz="0" w:space="0" w:color="auto"/>
                                                <w:right w:val="none" w:sz="0" w:space="0" w:color="auto"/>
                                              </w:divBdr>
                                              <w:divsChild>
                                                <w:div w:id="798300012">
                                                  <w:marLeft w:val="0"/>
                                                  <w:marRight w:val="0"/>
                                                  <w:marTop w:val="0"/>
                                                  <w:marBottom w:val="0"/>
                                                  <w:divBdr>
                                                    <w:top w:val="none" w:sz="0" w:space="0" w:color="auto"/>
                                                    <w:left w:val="none" w:sz="0" w:space="0" w:color="auto"/>
                                                    <w:bottom w:val="none" w:sz="0" w:space="0" w:color="auto"/>
                                                    <w:right w:val="none" w:sz="0" w:space="0" w:color="auto"/>
                                                  </w:divBdr>
                                                  <w:divsChild>
                                                    <w:div w:id="1508981638">
                                                      <w:marLeft w:val="0"/>
                                                      <w:marRight w:val="0"/>
                                                      <w:marTop w:val="0"/>
                                                      <w:marBottom w:val="0"/>
                                                      <w:divBdr>
                                                        <w:top w:val="none" w:sz="0" w:space="0" w:color="auto"/>
                                                        <w:left w:val="none" w:sz="0" w:space="0" w:color="auto"/>
                                                        <w:bottom w:val="none" w:sz="0" w:space="0" w:color="auto"/>
                                                        <w:right w:val="none" w:sz="0" w:space="0" w:color="auto"/>
                                                      </w:divBdr>
                                                      <w:divsChild>
                                                        <w:div w:id="1046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76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accpol@dtf.vic.gov.au" TargetMode="External"/><Relationship Id="rId26" Type="http://schemas.openxmlformats.org/officeDocument/2006/relationships/hyperlink" Target="mailto:IPpolicy@dtf.vic.gov.au?subject=Copyright%20query" TargetMode="External"/><Relationship Id="rId3" Type="http://schemas.openxmlformats.org/officeDocument/2006/relationships/styles" Target="styles.xml"/><Relationship Id="rId21" Type="http://schemas.openxmlformats.org/officeDocument/2006/relationships/hyperlink" Target="http://www.dtf.vic.gov.au/Government-Financial-Management/Financial-reporting-polic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asb.gov.au/ADMIN/file/content105/c9/AASB2015-8_10-15.pdf" TargetMode="External"/><Relationship Id="rId25"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fac.org/public-sec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bop.leas@dtf.vic.gov.au" TargetMode="External"/><Relationship Id="rId23" Type="http://schemas.openxmlformats.org/officeDocument/2006/relationships/hyperlink" Target="http://creativecommons.org/licenses/by/3.0/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aasb.com.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tfweb@dtf.vic.gov.au" TargetMode="External"/><Relationship Id="rId27"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Newsletter_AccP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70DB-AEF0-4236-BAC5-A7C20535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Newsletter_AccPol.dotx</Template>
  <TotalTime>0</TotalTime>
  <Pages>9</Pages>
  <Words>3876</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Paul Bowerman</cp:lastModifiedBy>
  <cp:revision>2</cp:revision>
  <cp:lastPrinted>2016-01-12T06:29:00Z</cp:lastPrinted>
  <dcterms:created xsi:type="dcterms:W3CDTF">2016-01-12T22:15:00Z</dcterms:created>
  <dcterms:modified xsi:type="dcterms:W3CDTF">2016-01-12T22:15:00Z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2534856f-01dc-4a11-8d4f-17795b9d39c6</vt:lpwstr>
  </property>
  <property fmtid="{D5CDD505-2E9C-101B-9397-08002B2CF9AE}" pid="3" name="PSPFClassification">
    <vt:lpwstr>Do Not Mark</vt:lpwstr>
  </property>
</Properties>
</file>