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F1" w:rsidRDefault="00E07473" w:rsidP="00012F6F">
      <w:pPr>
        <w:pStyle w:val="Title"/>
      </w:pPr>
      <w:r>
        <w:t>Victorian Regulatory Change Measurement M</w:t>
      </w:r>
      <w:r w:rsidRPr="00AD2434">
        <w:t>anual</w:t>
      </w:r>
    </w:p>
    <w:p w:rsidR="00750CBE" w:rsidRDefault="00C5477B" w:rsidP="00F12312">
      <w:pPr>
        <w:pStyle w:val="Subtitle"/>
      </w:pPr>
      <w:r>
        <w:t>March</w:t>
      </w:r>
      <w:r w:rsidR="004359FE">
        <w:t xml:space="preserve"> 2018</w:t>
      </w:r>
    </w:p>
    <w:p w:rsidR="00966115" w:rsidRPr="00966115" w:rsidRDefault="004359FE" w:rsidP="00D0633E">
      <w:pPr>
        <w:pStyle w:val="TertiaryTitle"/>
      </w:pPr>
      <w:r>
        <w:t>Version 3.1</w:t>
      </w:r>
    </w:p>
    <w:p w:rsidR="00750CBE" w:rsidRDefault="00750CBE">
      <w:r>
        <w:br w:type="page"/>
      </w:r>
    </w:p>
    <w:p w:rsidR="00750CBE" w:rsidRDefault="00750CBE" w:rsidP="008D0281">
      <w:pPr>
        <w:pStyle w:val="NormalTight"/>
      </w:pPr>
    </w:p>
    <w:p w:rsidR="00750CBE" w:rsidRPr="00C92338" w:rsidRDefault="00750CBE" w:rsidP="00E26B32">
      <w:pPr>
        <w:pStyle w:val="Insidecoverspacer"/>
      </w:pPr>
    </w:p>
    <w:p w:rsidR="00750CBE" w:rsidRPr="00C92338" w:rsidRDefault="00750CBE" w:rsidP="008D0281">
      <w:pPr>
        <w:pStyle w:val="NormalTight"/>
      </w:pPr>
      <w:r w:rsidRPr="00C92338">
        <w:t>The Secretary</w:t>
      </w:r>
    </w:p>
    <w:p w:rsidR="00750CBE" w:rsidRPr="00C92338" w:rsidRDefault="00750CBE" w:rsidP="008D0281">
      <w:pPr>
        <w:pStyle w:val="NormalTight"/>
      </w:pPr>
      <w:r w:rsidRPr="00C92338">
        <w:t>Department of Treasury and Finance</w:t>
      </w:r>
    </w:p>
    <w:p w:rsidR="00750CBE" w:rsidRPr="00C92338" w:rsidRDefault="00750CBE" w:rsidP="008D0281">
      <w:pPr>
        <w:pStyle w:val="NormalTight"/>
      </w:pPr>
      <w:r w:rsidRPr="00C92338">
        <w:t>1 Treasury Place</w:t>
      </w:r>
    </w:p>
    <w:p w:rsidR="00750CBE" w:rsidRPr="00C92338" w:rsidRDefault="00750CBE" w:rsidP="008D0281">
      <w:pPr>
        <w:pStyle w:val="NormalTight"/>
      </w:pPr>
      <w:r w:rsidRPr="00C92338">
        <w:t>Melbourne Victoria 3002</w:t>
      </w:r>
    </w:p>
    <w:p w:rsidR="00750CBE" w:rsidRPr="00C92338" w:rsidRDefault="00750CBE" w:rsidP="008D0281">
      <w:pPr>
        <w:pStyle w:val="NormalTight"/>
      </w:pPr>
      <w:r w:rsidRPr="00C92338">
        <w:t>Australia</w:t>
      </w:r>
    </w:p>
    <w:p w:rsidR="00750CBE" w:rsidRPr="00C92338" w:rsidRDefault="00750CBE" w:rsidP="008D0281">
      <w:pPr>
        <w:pStyle w:val="NormalTight"/>
      </w:pPr>
      <w:r w:rsidRPr="00C92338">
        <w:t>Telephone: +61 3 9651 5111</w:t>
      </w:r>
    </w:p>
    <w:p w:rsidR="00750CBE" w:rsidRPr="00C92338" w:rsidRDefault="00750CBE" w:rsidP="008D0281">
      <w:pPr>
        <w:pStyle w:val="NormalTight"/>
      </w:pPr>
      <w:r w:rsidRPr="00C92338">
        <w:t>Facsimile: +61 3 9651 2062</w:t>
      </w:r>
    </w:p>
    <w:p w:rsidR="00750CBE" w:rsidRPr="00C92338" w:rsidRDefault="00750CBE" w:rsidP="008D0281">
      <w:pPr>
        <w:pStyle w:val="NormalTight"/>
      </w:pPr>
      <w:r w:rsidRPr="00C92338">
        <w:t>dtf.vic.gov.au</w:t>
      </w:r>
    </w:p>
    <w:p w:rsidR="00750CBE" w:rsidRPr="00C92338" w:rsidRDefault="00750CBE" w:rsidP="008D0281">
      <w:pPr>
        <w:pStyle w:val="NormalTight"/>
      </w:pPr>
    </w:p>
    <w:p w:rsidR="00750CBE" w:rsidRPr="00C92338" w:rsidRDefault="00750CBE" w:rsidP="008D0281">
      <w:pPr>
        <w:pStyle w:val="NormalTight"/>
      </w:pPr>
      <w:r w:rsidRPr="00C92338">
        <w:t>Authorised by the Victorian Government</w:t>
      </w:r>
    </w:p>
    <w:p w:rsidR="00750CBE" w:rsidRPr="00C92338" w:rsidRDefault="00750CBE" w:rsidP="008D0281">
      <w:pPr>
        <w:pStyle w:val="NormalTight"/>
      </w:pPr>
      <w:r w:rsidRPr="00C92338">
        <w:t>1 Treasury Place, Melbourne, 3002</w:t>
      </w:r>
    </w:p>
    <w:p w:rsidR="00750CBE" w:rsidRPr="00C92338" w:rsidRDefault="00750CBE" w:rsidP="008D0281">
      <w:pPr>
        <w:pStyle w:val="NormalTight"/>
      </w:pPr>
    </w:p>
    <w:p w:rsidR="00750CBE" w:rsidRPr="00C92338" w:rsidRDefault="004359FE" w:rsidP="006F6693">
      <w:pPr>
        <w:ind w:right="1826"/>
        <w:rPr>
          <w:rFonts w:cstheme="minorHAnsi"/>
          <w:spacing w:val="0"/>
          <w:sz w:val="19"/>
          <w:szCs w:val="19"/>
        </w:rPr>
      </w:pPr>
      <w:r>
        <w:rPr>
          <w:rFonts w:cstheme="minorHAnsi"/>
          <w:spacing w:val="0"/>
          <w:sz w:val="19"/>
          <w:szCs w:val="19"/>
        </w:rPr>
        <w:t>© State of Victoria 2016, 2018</w:t>
      </w:r>
    </w:p>
    <w:p w:rsidR="00750CBE" w:rsidRPr="00C92338" w:rsidRDefault="00750CBE" w:rsidP="006F6693">
      <w:pPr>
        <w:ind w:right="1826"/>
        <w:rPr>
          <w:rFonts w:cstheme="minorHAnsi"/>
          <w:spacing w:val="0"/>
          <w:sz w:val="19"/>
          <w:szCs w:val="19"/>
        </w:rPr>
      </w:pPr>
      <w:r w:rsidRPr="00C92338">
        <w:rPr>
          <w:rFonts w:cstheme="minorHAnsi"/>
          <w:noProof/>
          <w:spacing w:val="0"/>
          <w:sz w:val="19"/>
          <w:szCs w:val="19"/>
        </w:rPr>
        <w:drawing>
          <wp:inline distT="0" distB="0" distL="0" distR="0" wp14:anchorId="37BF872F" wp14:editId="49B1DB4F">
            <wp:extent cx="1117460" cy="393651"/>
            <wp:effectExtent l="0" t="0" r="6985" b="698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rsidR="00750CBE" w:rsidRPr="00C92338" w:rsidRDefault="00750CBE" w:rsidP="008D0281">
      <w:pPr>
        <w:pStyle w:val="NormalTight"/>
      </w:pPr>
      <w:r w:rsidRPr="00C92338">
        <w:t xml:space="preserve">You are free to re-use this work under a </w:t>
      </w:r>
      <w:hyperlink r:id="rId11"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rsidR="006F6693" w:rsidRPr="00C92338" w:rsidRDefault="006F6693" w:rsidP="008D0281">
      <w:pPr>
        <w:pStyle w:val="NormalTight"/>
      </w:pPr>
    </w:p>
    <w:p w:rsidR="00750CBE" w:rsidRPr="00C92338" w:rsidRDefault="00750CBE" w:rsidP="008D0281">
      <w:pPr>
        <w:pStyle w:val="NormalTight"/>
      </w:pPr>
      <w:r w:rsidRPr="00C92338">
        <w:t xml:space="preserve">Copyright queries may be directed to </w:t>
      </w:r>
      <w:hyperlink r:id="rId12" w:history="1">
        <w:r w:rsidRPr="00C92338">
          <w:rPr>
            <w:rStyle w:val="Hyperlink"/>
            <w:rFonts w:cstheme="minorHAnsi"/>
          </w:rPr>
          <w:t>IPpolicy@dtf.vic.gov.au</w:t>
        </w:r>
      </w:hyperlink>
    </w:p>
    <w:p w:rsidR="00750CBE" w:rsidRPr="00C92338" w:rsidRDefault="00750CBE" w:rsidP="008D0281">
      <w:pPr>
        <w:pStyle w:val="NormalTight"/>
      </w:pPr>
    </w:p>
    <w:p w:rsidR="00D5027F" w:rsidRDefault="00D5027F" w:rsidP="008D0281">
      <w:pPr>
        <w:pStyle w:val="NormalTight"/>
      </w:pPr>
      <w:r w:rsidRPr="00D5027F">
        <w:t xml:space="preserve">ISBN </w:t>
      </w:r>
      <w:r w:rsidR="004359FE">
        <w:t>XXX</w:t>
      </w:r>
      <w:r w:rsidRPr="00D5027F">
        <w:t xml:space="preserve"> (pdf/online)</w:t>
      </w:r>
    </w:p>
    <w:p w:rsidR="00D5027F" w:rsidRDefault="00D5027F" w:rsidP="008D0281">
      <w:pPr>
        <w:pStyle w:val="NormalTight"/>
      </w:pPr>
    </w:p>
    <w:p w:rsidR="00750CBE" w:rsidRPr="00C92338" w:rsidRDefault="00D65D77" w:rsidP="008D0281">
      <w:pPr>
        <w:pStyle w:val="NormalTight"/>
      </w:pPr>
      <w:r>
        <w:t xml:space="preserve">Published </w:t>
      </w:r>
      <w:r w:rsidR="00C5477B">
        <w:t>March</w:t>
      </w:r>
      <w:r w:rsidR="004359FE">
        <w:t xml:space="preserve"> 2018</w:t>
      </w:r>
    </w:p>
    <w:p w:rsidR="00750CBE" w:rsidRPr="00C92338" w:rsidRDefault="00750CBE" w:rsidP="008D0281">
      <w:pPr>
        <w:pStyle w:val="NormalTight"/>
      </w:pPr>
    </w:p>
    <w:p w:rsidR="00750CBE" w:rsidRPr="00C92338" w:rsidRDefault="00750CBE" w:rsidP="008D0281">
      <w:pPr>
        <w:pStyle w:val="NormalTight"/>
      </w:pPr>
      <w:r w:rsidRPr="00C92338">
        <w:t xml:space="preserve">If you would like to receive this publication in an accessible format please  email </w:t>
      </w:r>
      <w:hyperlink r:id="rId13" w:history="1">
        <w:r w:rsidRPr="00C92338">
          <w:t>information@dtf.vic.gov.au</w:t>
        </w:r>
      </w:hyperlink>
      <w:r w:rsidRPr="00C92338">
        <w:t xml:space="preserve"> </w:t>
      </w:r>
    </w:p>
    <w:p w:rsidR="006F6693" w:rsidRPr="00C92338" w:rsidRDefault="006F6693" w:rsidP="008D0281">
      <w:pPr>
        <w:pStyle w:val="NormalTight"/>
      </w:pPr>
    </w:p>
    <w:p w:rsidR="00750CBE" w:rsidRDefault="00750CBE" w:rsidP="008D0281">
      <w:pPr>
        <w:pStyle w:val="NormalTight"/>
        <w:rPr>
          <w:rStyle w:val="Hyperlink"/>
        </w:rPr>
      </w:pPr>
      <w:r w:rsidRPr="00C92338">
        <w:t xml:space="preserve">This document is also available in Word and PDF format at </w:t>
      </w:r>
      <w:hyperlink r:id="rId14" w:history="1">
        <w:r w:rsidRPr="00C92338">
          <w:rPr>
            <w:rStyle w:val="Hyperlink"/>
          </w:rPr>
          <w:t>dtf.vic.gov.au</w:t>
        </w:r>
      </w:hyperlink>
    </w:p>
    <w:p w:rsidR="00D06A77" w:rsidRDefault="00D06A77" w:rsidP="008D0281">
      <w:pPr>
        <w:pStyle w:val="NormalTight"/>
      </w:pPr>
    </w:p>
    <w:p w:rsidR="00E07473" w:rsidRPr="00C92338" w:rsidRDefault="00E07473" w:rsidP="00D06A77">
      <w:pPr>
        <w:pStyle w:val="NormalTight"/>
        <w:ind w:right="2096"/>
      </w:pPr>
      <w:r>
        <w:t>This manual supersedes the Victorian Regula</w:t>
      </w:r>
      <w:r w:rsidR="004359FE">
        <w:t>tory Change Measurement Manual 3.1</w:t>
      </w:r>
      <w:r>
        <w:t xml:space="preserve"> </w:t>
      </w:r>
      <w:r w:rsidR="004359FE">
        <w:t>December 2016</w:t>
      </w:r>
    </w:p>
    <w:p w:rsidR="00750CBE" w:rsidRPr="00C92338" w:rsidRDefault="00750CBE" w:rsidP="00D2312F">
      <w:pPr>
        <w:rPr>
          <w:spacing w:val="0"/>
          <w:sz w:val="19"/>
          <w:szCs w:val="19"/>
        </w:rPr>
      </w:pPr>
    </w:p>
    <w:p w:rsidR="00750CBE" w:rsidRDefault="00750CBE" w:rsidP="00D2312F">
      <w:pPr>
        <w:sectPr w:rsidR="00750CBE" w:rsidSect="00FF4E9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6" w:footer="461" w:gutter="0"/>
          <w:pgNumType w:fmt="lowerRoman" w:start="1"/>
          <w:cols w:space="708"/>
          <w:docGrid w:linePitch="360"/>
        </w:sectPr>
      </w:pPr>
    </w:p>
    <w:p w:rsidR="00750CBE" w:rsidRDefault="00D44953" w:rsidP="00986AAC">
      <w:pPr>
        <w:pStyle w:val="TOCHeading"/>
      </w:pPr>
      <w:r>
        <w:lastRenderedPageBreak/>
        <w:t>Contents</w:t>
      </w:r>
    </w:p>
    <w:p w:rsidR="00C433C7"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 </w:instrText>
      </w:r>
      <w:r>
        <w:rPr>
          <w:noProof/>
          <w:color w:val="404040"/>
          <w:sz w:val="28"/>
          <w:szCs w:val="28"/>
          <w:lang w:eastAsia="en-US"/>
        </w:rPr>
        <w:fldChar w:fldCharType="separate"/>
      </w:r>
      <w:hyperlink w:anchor="_Toc470078897" w:history="1">
        <w:r w:rsidR="00C433C7" w:rsidRPr="00CB590A">
          <w:rPr>
            <w:rStyle w:val="Hyperlink"/>
            <w:noProof/>
          </w:rPr>
          <w:t>Abbreviations and role of DTF</w:t>
        </w:r>
        <w:r w:rsidR="00C433C7">
          <w:rPr>
            <w:noProof/>
            <w:webHidden/>
          </w:rPr>
          <w:tab/>
        </w:r>
        <w:r w:rsidR="00C433C7">
          <w:rPr>
            <w:noProof/>
            <w:webHidden/>
          </w:rPr>
          <w:fldChar w:fldCharType="begin"/>
        </w:r>
        <w:r w:rsidR="00C433C7">
          <w:rPr>
            <w:noProof/>
            <w:webHidden/>
          </w:rPr>
          <w:instrText xml:space="preserve"> PAGEREF _Toc470078897 \h </w:instrText>
        </w:r>
        <w:r w:rsidR="00C433C7">
          <w:rPr>
            <w:noProof/>
            <w:webHidden/>
          </w:rPr>
        </w:r>
        <w:r w:rsidR="00C433C7">
          <w:rPr>
            <w:noProof/>
            <w:webHidden/>
          </w:rPr>
          <w:fldChar w:fldCharType="separate"/>
        </w:r>
        <w:r w:rsidR="00476DED">
          <w:rPr>
            <w:noProof/>
            <w:webHidden/>
          </w:rPr>
          <w:t>1</w:t>
        </w:r>
        <w:r w:rsidR="00C433C7">
          <w:rPr>
            <w:noProof/>
            <w:webHidden/>
          </w:rPr>
          <w:fldChar w:fldCharType="end"/>
        </w:r>
      </w:hyperlink>
    </w:p>
    <w:p w:rsidR="00C433C7" w:rsidRDefault="006810CD">
      <w:pPr>
        <w:pStyle w:val="TOC2"/>
        <w:rPr>
          <w:spacing w:val="0"/>
          <w:sz w:val="22"/>
          <w:szCs w:val="22"/>
        </w:rPr>
      </w:pPr>
      <w:hyperlink w:anchor="_Toc470078898" w:history="1">
        <w:r w:rsidR="00C433C7" w:rsidRPr="00CB590A">
          <w:rPr>
            <w:rStyle w:val="Hyperlink"/>
          </w:rPr>
          <w:t>Abbreviations</w:t>
        </w:r>
        <w:r w:rsidR="00C433C7">
          <w:rPr>
            <w:webHidden/>
          </w:rPr>
          <w:tab/>
        </w:r>
        <w:r w:rsidR="00C433C7">
          <w:rPr>
            <w:webHidden/>
          </w:rPr>
          <w:fldChar w:fldCharType="begin"/>
        </w:r>
        <w:r w:rsidR="00C433C7">
          <w:rPr>
            <w:webHidden/>
          </w:rPr>
          <w:instrText xml:space="preserve"> PAGEREF _Toc470078898 \h </w:instrText>
        </w:r>
        <w:r w:rsidR="00C433C7">
          <w:rPr>
            <w:webHidden/>
          </w:rPr>
        </w:r>
        <w:r w:rsidR="00C433C7">
          <w:rPr>
            <w:webHidden/>
          </w:rPr>
          <w:fldChar w:fldCharType="separate"/>
        </w:r>
        <w:r w:rsidR="00476DED">
          <w:rPr>
            <w:webHidden/>
          </w:rPr>
          <w:t>1</w:t>
        </w:r>
        <w:r w:rsidR="00C433C7">
          <w:rPr>
            <w:webHidden/>
          </w:rPr>
          <w:fldChar w:fldCharType="end"/>
        </w:r>
      </w:hyperlink>
    </w:p>
    <w:p w:rsidR="00C433C7" w:rsidRDefault="006810CD">
      <w:pPr>
        <w:pStyle w:val="TOC2"/>
        <w:rPr>
          <w:spacing w:val="0"/>
          <w:sz w:val="22"/>
          <w:szCs w:val="22"/>
        </w:rPr>
      </w:pPr>
      <w:hyperlink w:anchor="_Toc470078899" w:history="1">
        <w:r w:rsidR="00C433C7" w:rsidRPr="00CB590A">
          <w:rPr>
            <w:rStyle w:val="Hyperlink"/>
          </w:rPr>
          <w:t>Role of DTF and contact details</w:t>
        </w:r>
        <w:r w:rsidR="00C433C7">
          <w:rPr>
            <w:webHidden/>
          </w:rPr>
          <w:tab/>
        </w:r>
        <w:r w:rsidR="00C433C7">
          <w:rPr>
            <w:webHidden/>
          </w:rPr>
          <w:fldChar w:fldCharType="begin"/>
        </w:r>
        <w:r w:rsidR="00C433C7">
          <w:rPr>
            <w:webHidden/>
          </w:rPr>
          <w:instrText xml:space="preserve"> PAGEREF _Toc470078899 \h </w:instrText>
        </w:r>
        <w:r w:rsidR="00C433C7">
          <w:rPr>
            <w:webHidden/>
          </w:rPr>
        </w:r>
        <w:r w:rsidR="00C433C7">
          <w:rPr>
            <w:webHidden/>
          </w:rPr>
          <w:fldChar w:fldCharType="separate"/>
        </w:r>
        <w:r w:rsidR="00476DED">
          <w:rPr>
            <w:webHidden/>
          </w:rPr>
          <w:t>1</w:t>
        </w:r>
        <w:r w:rsidR="00C433C7">
          <w:rPr>
            <w:webHidden/>
          </w:rPr>
          <w:fldChar w:fldCharType="end"/>
        </w:r>
      </w:hyperlink>
    </w:p>
    <w:p w:rsidR="00C433C7" w:rsidRDefault="006810CD">
      <w:pPr>
        <w:pStyle w:val="TOC4"/>
        <w:rPr>
          <w:spacing w:val="0"/>
          <w:sz w:val="22"/>
          <w:szCs w:val="22"/>
          <w:lang w:eastAsia="en-AU"/>
        </w:rPr>
      </w:pPr>
      <w:hyperlink w:anchor="_Toc470078900" w:history="1">
        <w:r w:rsidR="00C433C7" w:rsidRPr="00CB590A">
          <w:rPr>
            <w:rStyle w:val="Hyperlink"/>
          </w:rPr>
          <w:t>1.</w:t>
        </w:r>
        <w:r w:rsidR="00C433C7">
          <w:rPr>
            <w:spacing w:val="0"/>
            <w:sz w:val="22"/>
            <w:szCs w:val="22"/>
            <w:lang w:eastAsia="en-AU"/>
          </w:rPr>
          <w:tab/>
        </w:r>
        <w:r w:rsidR="00C433C7" w:rsidRPr="00CB590A">
          <w:rPr>
            <w:rStyle w:val="Hyperlink"/>
          </w:rPr>
          <w:t>Introduction</w:t>
        </w:r>
        <w:r w:rsidR="00C433C7">
          <w:rPr>
            <w:webHidden/>
          </w:rPr>
          <w:tab/>
        </w:r>
        <w:r w:rsidR="00C433C7">
          <w:rPr>
            <w:webHidden/>
          </w:rPr>
          <w:fldChar w:fldCharType="begin"/>
        </w:r>
        <w:r w:rsidR="00C433C7">
          <w:rPr>
            <w:webHidden/>
          </w:rPr>
          <w:instrText xml:space="preserve"> PAGEREF _Toc470078900 \h </w:instrText>
        </w:r>
        <w:r w:rsidR="00C433C7">
          <w:rPr>
            <w:webHidden/>
          </w:rPr>
        </w:r>
        <w:r w:rsidR="00C433C7">
          <w:rPr>
            <w:webHidden/>
          </w:rPr>
          <w:fldChar w:fldCharType="separate"/>
        </w:r>
        <w:r w:rsidR="00476DED">
          <w:rPr>
            <w:webHidden/>
          </w:rPr>
          <w:t>2</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01" w:history="1">
        <w:r w:rsidR="00C433C7" w:rsidRPr="00CB590A">
          <w:rPr>
            <w:rStyle w:val="Hyperlink"/>
          </w:rPr>
          <w:t>1.1</w:t>
        </w:r>
        <w:r w:rsidR="00C433C7">
          <w:rPr>
            <w:spacing w:val="0"/>
            <w:sz w:val="22"/>
            <w:szCs w:val="22"/>
            <w:lang w:eastAsia="en-AU"/>
          </w:rPr>
          <w:tab/>
        </w:r>
        <w:r w:rsidR="00C433C7" w:rsidRPr="00CB590A">
          <w:rPr>
            <w:rStyle w:val="Hyperlink"/>
          </w:rPr>
          <w:t>Purpose</w:t>
        </w:r>
        <w:r w:rsidR="00C433C7">
          <w:rPr>
            <w:webHidden/>
          </w:rPr>
          <w:tab/>
        </w:r>
        <w:r w:rsidR="00C433C7">
          <w:rPr>
            <w:webHidden/>
          </w:rPr>
          <w:fldChar w:fldCharType="begin"/>
        </w:r>
        <w:r w:rsidR="00C433C7">
          <w:rPr>
            <w:webHidden/>
          </w:rPr>
          <w:instrText xml:space="preserve"> PAGEREF _Toc470078901 \h </w:instrText>
        </w:r>
        <w:r w:rsidR="00C433C7">
          <w:rPr>
            <w:webHidden/>
          </w:rPr>
        </w:r>
        <w:r w:rsidR="00C433C7">
          <w:rPr>
            <w:webHidden/>
          </w:rPr>
          <w:fldChar w:fldCharType="separate"/>
        </w:r>
        <w:r w:rsidR="00476DED">
          <w:rPr>
            <w:webHidden/>
          </w:rPr>
          <w:t>2</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02" w:history="1">
        <w:r w:rsidR="00C433C7" w:rsidRPr="00CB590A">
          <w:rPr>
            <w:rStyle w:val="Hyperlink"/>
          </w:rPr>
          <w:t>1.2</w:t>
        </w:r>
        <w:r w:rsidR="00C433C7">
          <w:rPr>
            <w:spacing w:val="0"/>
            <w:sz w:val="22"/>
            <w:szCs w:val="22"/>
            <w:lang w:eastAsia="en-AU"/>
          </w:rPr>
          <w:tab/>
        </w:r>
        <w:r w:rsidR="00C433C7" w:rsidRPr="00CB590A">
          <w:rPr>
            <w:rStyle w:val="Hyperlink"/>
          </w:rPr>
          <w:t>What is a regulatory change?</w:t>
        </w:r>
        <w:r w:rsidR="00C433C7">
          <w:rPr>
            <w:webHidden/>
          </w:rPr>
          <w:tab/>
        </w:r>
        <w:r w:rsidR="00C433C7">
          <w:rPr>
            <w:webHidden/>
          </w:rPr>
          <w:fldChar w:fldCharType="begin"/>
        </w:r>
        <w:r w:rsidR="00C433C7">
          <w:rPr>
            <w:webHidden/>
          </w:rPr>
          <w:instrText xml:space="preserve"> PAGEREF _Toc470078902 \h </w:instrText>
        </w:r>
        <w:r w:rsidR="00C433C7">
          <w:rPr>
            <w:webHidden/>
          </w:rPr>
        </w:r>
        <w:r w:rsidR="00C433C7">
          <w:rPr>
            <w:webHidden/>
          </w:rPr>
          <w:fldChar w:fldCharType="separate"/>
        </w:r>
        <w:r w:rsidR="00476DED">
          <w:rPr>
            <w:webHidden/>
          </w:rPr>
          <w:t>2</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03" w:history="1">
        <w:r w:rsidR="00C433C7" w:rsidRPr="00CB590A">
          <w:rPr>
            <w:rStyle w:val="Hyperlink"/>
          </w:rPr>
          <w:t>1.3</w:t>
        </w:r>
        <w:r w:rsidR="00C433C7">
          <w:rPr>
            <w:spacing w:val="0"/>
            <w:sz w:val="22"/>
            <w:szCs w:val="22"/>
            <w:lang w:eastAsia="en-AU"/>
          </w:rPr>
          <w:tab/>
        </w:r>
        <w:r w:rsidR="00C433C7" w:rsidRPr="00CB590A">
          <w:rPr>
            <w:rStyle w:val="Hyperlink"/>
          </w:rPr>
          <w:t>What is a Regulatory Change Measurement?</w:t>
        </w:r>
        <w:r w:rsidR="00C433C7">
          <w:rPr>
            <w:webHidden/>
          </w:rPr>
          <w:tab/>
        </w:r>
        <w:r w:rsidR="00C433C7">
          <w:rPr>
            <w:webHidden/>
          </w:rPr>
          <w:fldChar w:fldCharType="begin"/>
        </w:r>
        <w:r w:rsidR="00C433C7">
          <w:rPr>
            <w:webHidden/>
          </w:rPr>
          <w:instrText xml:space="preserve"> PAGEREF _Toc470078903 \h </w:instrText>
        </w:r>
        <w:r w:rsidR="00C433C7">
          <w:rPr>
            <w:webHidden/>
          </w:rPr>
        </w:r>
        <w:r w:rsidR="00C433C7">
          <w:rPr>
            <w:webHidden/>
          </w:rPr>
          <w:fldChar w:fldCharType="separate"/>
        </w:r>
        <w:r w:rsidR="00476DED">
          <w:rPr>
            <w:webHidden/>
          </w:rPr>
          <w:t>2</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04" w:history="1">
        <w:r w:rsidR="00C433C7" w:rsidRPr="00CB590A">
          <w:rPr>
            <w:rStyle w:val="Hyperlink"/>
          </w:rPr>
          <w:t>1.4</w:t>
        </w:r>
        <w:r w:rsidR="00C433C7">
          <w:rPr>
            <w:spacing w:val="0"/>
            <w:sz w:val="22"/>
            <w:szCs w:val="22"/>
            <w:lang w:eastAsia="en-AU"/>
          </w:rPr>
          <w:tab/>
        </w:r>
        <w:r w:rsidR="00C433C7" w:rsidRPr="00CB590A">
          <w:rPr>
            <w:rStyle w:val="Hyperlink"/>
          </w:rPr>
          <w:t>The proportionality principle</w:t>
        </w:r>
        <w:r w:rsidR="00C433C7">
          <w:rPr>
            <w:webHidden/>
          </w:rPr>
          <w:tab/>
        </w:r>
        <w:r w:rsidR="00C433C7">
          <w:rPr>
            <w:webHidden/>
          </w:rPr>
          <w:fldChar w:fldCharType="begin"/>
        </w:r>
        <w:r w:rsidR="00C433C7">
          <w:rPr>
            <w:webHidden/>
          </w:rPr>
          <w:instrText xml:space="preserve"> PAGEREF _Toc470078904 \h </w:instrText>
        </w:r>
        <w:r w:rsidR="00C433C7">
          <w:rPr>
            <w:webHidden/>
          </w:rPr>
        </w:r>
        <w:r w:rsidR="00C433C7">
          <w:rPr>
            <w:webHidden/>
          </w:rPr>
          <w:fldChar w:fldCharType="separate"/>
        </w:r>
        <w:r w:rsidR="00476DED">
          <w:rPr>
            <w:webHidden/>
          </w:rPr>
          <w:t>3</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05" w:history="1">
        <w:r w:rsidR="00C433C7" w:rsidRPr="00CB590A">
          <w:rPr>
            <w:rStyle w:val="Hyperlink"/>
          </w:rPr>
          <w:t>1.5</w:t>
        </w:r>
        <w:r w:rsidR="00C433C7">
          <w:rPr>
            <w:spacing w:val="0"/>
            <w:sz w:val="22"/>
            <w:szCs w:val="22"/>
            <w:lang w:eastAsia="en-AU"/>
          </w:rPr>
          <w:tab/>
        </w:r>
        <w:r w:rsidR="00C433C7" w:rsidRPr="00CB590A">
          <w:rPr>
            <w:rStyle w:val="Hyperlink"/>
          </w:rPr>
          <w:t>Step-by-step guide to an RCM</w:t>
        </w:r>
        <w:r w:rsidR="00C433C7">
          <w:rPr>
            <w:webHidden/>
          </w:rPr>
          <w:tab/>
        </w:r>
        <w:r w:rsidR="00C433C7">
          <w:rPr>
            <w:webHidden/>
          </w:rPr>
          <w:fldChar w:fldCharType="begin"/>
        </w:r>
        <w:r w:rsidR="00C433C7">
          <w:rPr>
            <w:webHidden/>
          </w:rPr>
          <w:instrText xml:space="preserve"> PAGEREF _Toc470078905 \h </w:instrText>
        </w:r>
        <w:r w:rsidR="00C433C7">
          <w:rPr>
            <w:webHidden/>
          </w:rPr>
        </w:r>
        <w:r w:rsidR="00C433C7">
          <w:rPr>
            <w:webHidden/>
          </w:rPr>
          <w:fldChar w:fldCharType="separate"/>
        </w:r>
        <w:r w:rsidR="00476DED">
          <w:rPr>
            <w:webHidden/>
          </w:rPr>
          <w:t>3</w:t>
        </w:r>
        <w:r w:rsidR="00C433C7">
          <w:rPr>
            <w:webHidden/>
          </w:rPr>
          <w:fldChar w:fldCharType="end"/>
        </w:r>
      </w:hyperlink>
    </w:p>
    <w:p w:rsidR="00C433C7" w:rsidRDefault="006810CD">
      <w:pPr>
        <w:pStyle w:val="TOC4"/>
        <w:rPr>
          <w:spacing w:val="0"/>
          <w:sz w:val="22"/>
          <w:szCs w:val="22"/>
          <w:lang w:eastAsia="en-AU"/>
        </w:rPr>
      </w:pPr>
      <w:hyperlink w:anchor="_Toc470078906" w:history="1">
        <w:r w:rsidR="00C433C7" w:rsidRPr="00CB590A">
          <w:rPr>
            <w:rStyle w:val="Hyperlink"/>
          </w:rPr>
          <w:t>2.</w:t>
        </w:r>
        <w:r w:rsidR="00C433C7">
          <w:rPr>
            <w:spacing w:val="0"/>
            <w:sz w:val="22"/>
            <w:szCs w:val="22"/>
            <w:lang w:eastAsia="en-AU"/>
          </w:rPr>
          <w:tab/>
        </w:r>
        <w:r w:rsidR="00C433C7" w:rsidRPr="00CB590A">
          <w:rPr>
            <w:rStyle w:val="Hyperlink"/>
          </w:rPr>
          <w:t>Deciding whether a RCM is required</w:t>
        </w:r>
        <w:r w:rsidR="00C433C7">
          <w:rPr>
            <w:webHidden/>
          </w:rPr>
          <w:tab/>
        </w:r>
        <w:r w:rsidR="00C433C7">
          <w:rPr>
            <w:webHidden/>
          </w:rPr>
          <w:fldChar w:fldCharType="begin"/>
        </w:r>
        <w:r w:rsidR="00C433C7">
          <w:rPr>
            <w:webHidden/>
          </w:rPr>
          <w:instrText xml:space="preserve"> PAGEREF _Toc470078906 \h </w:instrText>
        </w:r>
        <w:r w:rsidR="00C433C7">
          <w:rPr>
            <w:webHidden/>
          </w:rPr>
        </w:r>
        <w:r w:rsidR="00C433C7">
          <w:rPr>
            <w:webHidden/>
          </w:rPr>
          <w:fldChar w:fldCharType="separate"/>
        </w:r>
        <w:r w:rsidR="00476DED">
          <w:rPr>
            <w:webHidden/>
          </w:rPr>
          <w:t>5</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07" w:history="1">
        <w:r w:rsidR="00C433C7" w:rsidRPr="00CB590A">
          <w:rPr>
            <w:rStyle w:val="Hyperlink"/>
          </w:rPr>
          <w:t>2.2</w:t>
        </w:r>
        <w:r w:rsidR="00C433C7">
          <w:rPr>
            <w:spacing w:val="0"/>
            <w:sz w:val="22"/>
            <w:szCs w:val="22"/>
            <w:lang w:eastAsia="en-AU"/>
          </w:rPr>
          <w:tab/>
        </w:r>
        <w:r w:rsidR="00C433C7" w:rsidRPr="00CB590A">
          <w:rPr>
            <w:rStyle w:val="Hyperlink"/>
          </w:rPr>
          <w:t>Is the regulatory change within scope?</w:t>
        </w:r>
        <w:r w:rsidR="00C433C7">
          <w:rPr>
            <w:webHidden/>
          </w:rPr>
          <w:tab/>
        </w:r>
        <w:r w:rsidR="00C433C7">
          <w:rPr>
            <w:webHidden/>
          </w:rPr>
          <w:fldChar w:fldCharType="begin"/>
        </w:r>
        <w:r w:rsidR="00C433C7">
          <w:rPr>
            <w:webHidden/>
          </w:rPr>
          <w:instrText xml:space="preserve"> PAGEREF _Toc470078907 \h </w:instrText>
        </w:r>
        <w:r w:rsidR="00C433C7">
          <w:rPr>
            <w:webHidden/>
          </w:rPr>
        </w:r>
        <w:r w:rsidR="00C433C7">
          <w:rPr>
            <w:webHidden/>
          </w:rPr>
          <w:fldChar w:fldCharType="separate"/>
        </w:r>
        <w:r w:rsidR="00476DED">
          <w:rPr>
            <w:webHidden/>
          </w:rPr>
          <w:t>5</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08" w:history="1">
        <w:r w:rsidR="00C433C7" w:rsidRPr="00CB590A">
          <w:rPr>
            <w:rStyle w:val="Hyperlink"/>
          </w:rPr>
          <w:t>2.3</w:t>
        </w:r>
        <w:r w:rsidR="00C433C7">
          <w:rPr>
            <w:spacing w:val="0"/>
            <w:sz w:val="22"/>
            <w:szCs w:val="22"/>
            <w:lang w:eastAsia="en-AU"/>
          </w:rPr>
          <w:tab/>
        </w:r>
        <w:r w:rsidR="00C433C7" w:rsidRPr="00CB590A">
          <w:rPr>
            <w:rStyle w:val="Hyperlink"/>
          </w:rPr>
          <w:t>Is the magnitude of the red tape reduction at least $2 million?</w:t>
        </w:r>
        <w:r w:rsidR="00C433C7">
          <w:rPr>
            <w:webHidden/>
          </w:rPr>
          <w:tab/>
        </w:r>
        <w:r w:rsidR="00C433C7">
          <w:rPr>
            <w:webHidden/>
          </w:rPr>
          <w:fldChar w:fldCharType="begin"/>
        </w:r>
        <w:r w:rsidR="00C433C7">
          <w:rPr>
            <w:webHidden/>
          </w:rPr>
          <w:instrText xml:space="preserve"> PAGEREF _Toc470078908 \h </w:instrText>
        </w:r>
        <w:r w:rsidR="00C433C7">
          <w:rPr>
            <w:webHidden/>
          </w:rPr>
        </w:r>
        <w:r w:rsidR="00C433C7">
          <w:rPr>
            <w:webHidden/>
          </w:rPr>
          <w:fldChar w:fldCharType="separate"/>
        </w:r>
        <w:r w:rsidR="00476DED">
          <w:rPr>
            <w:webHidden/>
          </w:rPr>
          <w:t>5</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09" w:history="1">
        <w:r w:rsidR="00C433C7" w:rsidRPr="00CB590A">
          <w:rPr>
            <w:rStyle w:val="Hyperlink"/>
          </w:rPr>
          <w:t>2.4</w:t>
        </w:r>
        <w:r w:rsidR="00C433C7">
          <w:rPr>
            <w:spacing w:val="0"/>
            <w:sz w:val="22"/>
            <w:szCs w:val="22"/>
            <w:lang w:eastAsia="en-AU"/>
          </w:rPr>
          <w:tab/>
        </w:r>
        <w:r w:rsidR="00C433C7" w:rsidRPr="00CB590A">
          <w:rPr>
            <w:rStyle w:val="Hyperlink"/>
          </w:rPr>
          <w:t>When should a RCM be prepared?</w:t>
        </w:r>
        <w:r w:rsidR="00C433C7">
          <w:rPr>
            <w:webHidden/>
          </w:rPr>
          <w:tab/>
        </w:r>
        <w:r w:rsidR="00C433C7">
          <w:rPr>
            <w:webHidden/>
          </w:rPr>
          <w:fldChar w:fldCharType="begin"/>
        </w:r>
        <w:r w:rsidR="00C433C7">
          <w:rPr>
            <w:webHidden/>
          </w:rPr>
          <w:instrText xml:space="preserve"> PAGEREF _Toc470078909 \h </w:instrText>
        </w:r>
        <w:r w:rsidR="00C433C7">
          <w:rPr>
            <w:webHidden/>
          </w:rPr>
        </w:r>
        <w:r w:rsidR="00C433C7">
          <w:rPr>
            <w:webHidden/>
          </w:rPr>
          <w:fldChar w:fldCharType="separate"/>
        </w:r>
        <w:r w:rsidR="00476DED">
          <w:rPr>
            <w:webHidden/>
          </w:rPr>
          <w:t>6</w:t>
        </w:r>
        <w:r w:rsidR="00C433C7">
          <w:rPr>
            <w:webHidden/>
          </w:rPr>
          <w:fldChar w:fldCharType="end"/>
        </w:r>
      </w:hyperlink>
    </w:p>
    <w:p w:rsidR="00C433C7" w:rsidRDefault="006810CD">
      <w:pPr>
        <w:pStyle w:val="TOC4"/>
        <w:rPr>
          <w:spacing w:val="0"/>
          <w:sz w:val="22"/>
          <w:szCs w:val="22"/>
          <w:lang w:eastAsia="en-AU"/>
        </w:rPr>
      </w:pPr>
      <w:hyperlink w:anchor="_Toc470078910" w:history="1">
        <w:r w:rsidR="00C433C7" w:rsidRPr="00CB590A">
          <w:rPr>
            <w:rStyle w:val="Hyperlink"/>
          </w:rPr>
          <w:t>3.</w:t>
        </w:r>
        <w:r w:rsidR="00C433C7">
          <w:rPr>
            <w:spacing w:val="0"/>
            <w:sz w:val="22"/>
            <w:szCs w:val="22"/>
            <w:lang w:eastAsia="en-AU"/>
          </w:rPr>
          <w:tab/>
        </w:r>
        <w:r w:rsidR="00C433C7" w:rsidRPr="00CB590A">
          <w:rPr>
            <w:rStyle w:val="Hyperlink"/>
          </w:rPr>
          <w:t>Preparing the draft RCM report (above $2 million)</w:t>
        </w:r>
        <w:r w:rsidR="00C433C7">
          <w:rPr>
            <w:webHidden/>
          </w:rPr>
          <w:tab/>
        </w:r>
        <w:r w:rsidR="00C433C7">
          <w:rPr>
            <w:webHidden/>
          </w:rPr>
          <w:fldChar w:fldCharType="begin"/>
        </w:r>
        <w:r w:rsidR="00C433C7">
          <w:rPr>
            <w:webHidden/>
          </w:rPr>
          <w:instrText xml:space="preserve"> PAGEREF _Toc470078910 \h </w:instrText>
        </w:r>
        <w:r w:rsidR="00C433C7">
          <w:rPr>
            <w:webHidden/>
          </w:rPr>
        </w:r>
        <w:r w:rsidR="00C433C7">
          <w:rPr>
            <w:webHidden/>
          </w:rPr>
          <w:fldChar w:fldCharType="separate"/>
        </w:r>
        <w:r w:rsidR="00476DED">
          <w:rPr>
            <w:webHidden/>
          </w:rPr>
          <w:t>7</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11" w:history="1">
        <w:r w:rsidR="00C433C7" w:rsidRPr="00CB590A">
          <w:rPr>
            <w:rStyle w:val="Hyperlink"/>
          </w:rPr>
          <w:t>3.1</w:t>
        </w:r>
        <w:r w:rsidR="00C433C7">
          <w:rPr>
            <w:spacing w:val="0"/>
            <w:sz w:val="22"/>
            <w:szCs w:val="22"/>
            <w:lang w:eastAsia="en-AU"/>
          </w:rPr>
          <w:tab/>
        </w:r>
        <w:r w:rsidR="00C433C7" w:rsidRPr="00CB590A">
          <w:rPr>
            <w:rStyle w:val="Hyperlink"/>
          </w:rPr>
          <w:t>Conduct desktop analysis of the red tape reduction</w:t>
        </w:r>
        <w:r w:rsidR="00C433C7">
          <w:rPr>
            <w:webHidden/>
          </w:rPr>
          <w:tab/>
        </w:r>
        <w:r w:rsidR="00C433C7">
          <w:rPr>
            <w:webHidden/>
          </w:rPr>
          <w:fldChar w:fldCharType="begin"/>
        </w:r>
        <w:r w:rsidR="00C433C7">
          <w:rPr>
            <w:webHidden/>
          </w:rPr>
          <w:instrText xml:space="preserve"> PAGEREF _Toc470078911 \h </w:instrText>
        </w:r>
        <w:r w:rsidR="00C433C7">
          <w:rPr>
            <w:webHidden/>
          </w:rPr>
        </w:r>
        <w:r w:rsidR="00C433C7">
          <w:rPr>
            <w:webHidden/>
          </w:rPr>
          <w:fldChar w:fldCharType="separate"/>
        </w:r>
        <w:r w:rsidR="00476DED">
          <w:rPr>
            <w:webHidden/>
          </w:rPr>
          <w:t>7</w:t>
        </w:r>
        <w:r w:rsidR="00C433C7">
          <w:rPr>
            <w:webHidden/>
          </w:rPr>
          <w:fldChar w:fldCharType="end"/>
        </w:r>
      </w:hyperlink>
    </w:p>
    <w:p w:rsidR="00C433C7" w:rsidRDefault="006810CD">
      <w:pPr>
        <w:pStyle w:val="TOC6"/>
        <w:tabs>
          <w:tab w:val="left" w:pos="1800"/>
        </w:tabs>
        <w:rPr>
          <w:spacing w:val="0"/>
          <w:sz w:val="22"/>
          <w:szCs w:val="22"/>
          <w:lang w:eastAsia="en-AU"/>
        </w:rPr>
      </w:pPr>
      <w:hyperlink w:anchor="_Toc470078912" w:history="1">
        <w:r w:rsidR="00C433C7" w:rsidRPr="00CB590A">
          <w:rPr>
            <w:rStyle w:val="Hyperlink"/>
          </w:rPr>
          <w:t>3.1.1</w:t>
        </w:r>
        <w:r w:rsidR="00C433C7">
          <w:rPr>
            <w:spacing w:val="0"/>
            <w:sz w:val="22"/>
            <w:szCs w:val="22"/>
            <w:lang w:eastAsia="en-AU"/>
          </w:rPr>
          <w:tab/>
        </w:r>
        <w:r w:rsidR="00C433C7" w:rsidRPr="00CB590A">
          <w:rPr>
            <w:rStyle w:val="Hyperlink"/>
          </w:rPr>
          <w:t>Identify the regulatory change</w:t>
        </w:r>
        <w:r w:rsidR="00C433C7">
          <w:rPr>
            <w:webHidden/>
          </w:rPr>
          <w:tab/>
        </w:r>
        <w:r w:rsidR="00C433C7">
          <w:rPr>
            <w:webHidden/>
          </w:rPr>
          <w:fldChar w:fldCharType="begin"/>
        </w:r>
        <w:r w:rsidR="00C433C7">
          <w:rPr>
            <w:webHidden/>
          </w:rPr>
          <w:instrText xml:space="preserve"> PAGEREF _Toc470078912 \h </w:instrText>
        </w:r>
        <w:r w:rsidR="00C433C7">
          <w:rPr>
            <w:webHidden/>
          </w:rPr>
        </w:r>
        <w:r w:rsidR="00C433C7">
          <w:rPr>
            <w:webHidden/>
          </w:rPr>
          <w:fldChar w:fldCharType="separate"/>
        </w:r>
        <w:r w:rsidR="00476DED">
          <w:rPr>
            <w:webHidden/>
          </w:rPr>
          <w:t>7</w:t>
        </w:r>
        <w:r w:rsidR="00C433C7">
          <w:rPr>
            <w:webHidden/>
          </w:rPr>
          <w:fldChar w:fldCharType="end"/>
        </w:r>
      </w:hyperlink>
    </w:p>
    <w:p w:rsidR="00C433C7" w:rsidRDefault="006810CD">
      <w:pPr>
        <w:pStyle w:val="TOC6"/>
        <w:tabs>
          <w:tab w:val="left" w:pos="1800"/>
        </w:tabs>
        <w:rPr>
          <w:spacing w:val="0"/>
          <w:sz w:val="22"/>
          <w:szCs w:val="22"/>
          <w:lang w:eastAsia="en-AU"/>
        </w:rPr>
      </w:pPr>
      <w:hyperlink w:anchor="_Toc470078913" w:history="1">
        <w:r w:rsidR="00C433C7" w:rsidRPr="00CB590A">
          <w:rPr>
            <w:rStyle w:val="Hyperlink"/>
          </w:rPr>
          <w:t>3.1.2</w:t>
        </w:r>
        <w:r w:rsidR="00C433C7">
          <w:rPr>
            <w:spacing w:val="0"/>
            <w:sz w:val="22"/>
            <w:szCs w:val="22"/>
            <w:lang w:eastAsia="en-AU"/>
          </w:rPr>
          <w:tab/>
        </w:r>
        <w:r w:rsidR="00C433C7" w:rsidRPr="00CB590A">
          <w:rPr>
            <w:rStyle w:val="Hyperlink"/>
          </w:rPr>
          <w:t>Calculate the cost of the regulatory change</w:t>
        </w:r>
        <w:r w:rsidR="00C433C7">
          <w:rPr>
            <w:webHidden/>
          </w:rPr>
          <w:tab/>
        </w:r>
        <w:r w:rsidR="00C433C7">
          <w:rPr>
            <w:webHidden/>
          </w:rPr>
          <w:fldChar w:fldCharType="begin"/>
        </w:r>
        <w:r w:rsidR="00C433C7">
          <w:rPr>
            <w:webHidden/>
          </w:rPr>
          <w:instrText xml:space="preserve"> PAGEREF _Toc470078913 \h </w:instrText>
        </w:r>
        <w:r w:rsidR="00C433C7">
          <w:rPr>
            <w:webHidden/>
          </w:rPr>
        </w:r>
        <w:r w:rsidR="00C433C7">
          <w:rPr>
            <w:webHidden/>
          </w:rPr>
          <w:fldChar w:fldCharType="separate"/>
        </w:r>
        <w:r w:rsidR="00476DED">
          <w:rPr>
            <w:webHidden/>
          </w:rPr>
          <w:t>8</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14" w:history="1">
        <w:r w:rsidR="00C433C7" w:rsidRPr="00CB590A">
          <w:rPr>
            <w:rStyle w:val="Hyperlink"/>
          </w:rPr>
          <w:t>3.2</w:t>
        </w:r>
        <w:r w:rsidR="00C433C7">
          <w:rPr>
            <w:spacing w:val="0"/>
            <w:sz w:val="22"/>
            <w:szCs w:val="22"/>
            <w:lang w:eastAsia="en-AU"/>
          </w:rPr>
          <w:tab/>
        </w:r>
        <w:r w:rsidR="00C433C7" w:rsidRPr="00CB590A">
          <w:rPr>
            <w:rStyle w:val="Hyperlink"/>
          </w:rPr>
          <w:t>Refine costs and assumptions</w:t>
        </w:r>
        <w:r w:rsidR="00C433C7">
          <w:rPr>
            <w:webHidden/>
          </w:rPr>
          <w:tab/>
        </w:r>
        <w:r w:rsidR="00C433C7">
          <w:rPr>
            <w:webHidden/>
          </w:rPr>
          <w:fldChar w:fldCharType="begin"/>
        </w:r>
        <w:r w:rsidR="00C433C7">
          <w:rPr>
            <w:webHidden/>
          </w:rPr>
          <w:instrText xml:space="preserve"> PAGEREF _Toc470078914 \h </w:instrText>
        </w:r>
        <w:r w:rsidR="00C433C7">
          <w:rPr>
            <w:webHidden/>
          </w:rPr>
        </w:r>
        <w:r w:rsidR="00C433C7">
          <w:rPr>
            <w:webHidden/>
          </w:rPr>
          <w:fldChar w:fldCharType="separate"/>
        </w:r>
        <w:r w:rsidR="00476DED">
          <w:rPr>
            <w:webHidden/>
          </w:rPr>
          <w:t>9</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15" w:history="1">
        <w:r w:rsidR="00C433C7" w:rsidRPr="00CB590A">
          <w:rPr>
            <w:rStyle w:val="Hyperlink"/>
          </w:rPr>
          <w:t>3.3</w:t>
        </w:r>
        <w:r w:rsidR="00C433C7">
          <w:rPr>
            <w:spacing w:val="0"/>
            <w:sz w:val="22"/>
            <w:szCs w:val="22"/>
            <w:lang w:eastAsia="en-AU"/>
          </w:rPr>
          <w:tab/>
        </w:r>
        <w:r w:rsidR="00C433C7" w:rsidRPr="00CB590A">
          <w:rPr>
            <w:rStyle w:val="Hyperlink"/>
          </w:rPr>
          <w:t>Draft the RCM report</w:t>
        </w:r>
        <w:r w:rsidR="00C433C7">
          <w:rPr>
            <w:webHidden/>
          </w:rPr>
          <w:tab/>
        </w:r>
        <w:r w:rsidR="00C433C7">
          <w:rPr>
            <w:webHidden/>
          </w:rPr>
          <w:fldChar w:fldCharType="begin"/>
        </w:r>
        <w:r w:rsidR="00C433C7">
          <w:rPr>
            <w:webHidden/>
          </w:rPr>
          <w:instrText xml:space="preserve"> PAGEREF _Toc470078915 \h </w:instrText>
        </w:r>
        <w:r w:rsidR="00C433C7">
          <w:rPr>
            <w:webHidden/>
          </w:rPr>
        </w:r>
        <w:r w:rsidR="00C433C7">
          <w:rPr>
            <w:webHidden/>
          </w:rPr>
          <w:fldChar w:fldCharType="separate"/>
        </w:r>
        <w:r w:rsidR="00476DED">
          <w:rPr>
            <w:webHidden/>
          </w:rPr>
          <w:t>9</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16" w:history="1">
        <w:r w:rsidR="00C433C7" w:rsidRPr="00CB590A">
          <w:rPr>
            <w:rStyle w:val="Hyperlink"/>
          </w:rPr>
          <w:t>3.4</w:t>
        </w:r>
        <w:r w:rsidR="00C433C7">
          <w:rPr>
            <w:spacing w:val="0"/>
            <w:sz w:val="22"/>
            <w:szCs w:val="22"/>
            <w:lang w:eastAsia="en-AU"/>
          </w:rPr>
          <w:tab/>
        </w:r>
        <w:r w:rsidR="00C433C7" w:rsidRPr="00CB590A">
          <w:rPr>
            <w:rStyle w:val="Hyperlink"/>
          </w:rPr>
          <w:t>Check whether the RCM report is adequate</w:t>
        </w:r>
        <w:r w:rsidR="00C433C7">
          <w:rPr>
            <w:webHidden/>
          </w:rPr>
          <w:tab/>
        </w:r>
        <w:r w:rsidR="00C433C7">
          <w:rPr>
            <w:webHidden/>
          </w:rPr>
          <w:fldChar w:fldCharType="begin"/>
        </w:r>
        <w:r w:rsidR="00C433C7">
          <w:rPr>
            <w:webHidden/>
          </w:rPr>
          <w:instrText xml:space="preserve"> PAGEREF _Toc470078916 \h </w:instrText>
        </w:r>
        <w:r w:rsidR="00C433C7">
          <w:rPr>
            <w:webHidden/>
          </w:rPr>
        </w:r>
        <w:r w:rsidR="00C433C7">
          <w:rPr>
            <w:webHidden/>
          </w:rPr>
          <w:fldChar w:fldCharType="separate"/>
        </w:r>
        <w:r w:rsidR="00476DED">
          <w:rPr>
            <w:webHidden/>
          </w:rPr>
          <w:t>11</w:t>
        </w:r>
        <w:r w:rsidR="00C433C7">
          <w:rPr>
            <w:webHidden/>
          </w:rPr>
          <w:fldChar w:fldCharType="end"/>
        </w:r>
      </w:hyperlink>
    </w:p>
    <w:p w:rsidR="00C433C7" w:rsidRDefault="006810CD">
      <w:pPr>
        <w:pStyle w:val="TOC4"/>
        <w:rPr>
          <w:spacing w:val="0"/>
          <w:sz w:val="22"/>
          <w:szCs w:val="22"/>
          <w:lang w:eastAsia="en-AU"/>
        </w:rPr>
      </w:pPr>
      <w:hyperlink w:anchor="_Toc470078917" w:history="1">
        <w:r w:rsidR="00C433C7" w:rsidRPr="00CB590A">
          <w:rPr>
            <w:rStyle w:val="Hyperlink"/>
          </w:rPr>
          <w:t>4.</w:t>
        </w:r>
        <w:r w:rsidR="00C433C7">
          <w:rPr>
            <w:spacing w:val="0"/>
            <w:sz w:val="22"/>
            <w:szCs w:val="22"/>
            <w:lang w:eastAsia="en-AU"/>
          </w:rPr>
          <w:tab/>
        </w:r>
        <w:r w:rsidR="00C433C7" w:rsidRPr="00CB590A">
          <w:rPr>
            <w:rStyle w:val="Hyperlink"/>
          </w:rPr>
          <w:t>Verification and publication of the RCM report</w:t>
        </w:r>
        <w:r w:rsidR="00C433C7">
          <w:rPr>
            <w:webHidden/>
          </w:rPr>
          <w:tab/>
        </w:r>
        <w:r w:rsidR="00C433C7">
          <w:rPr>
            <w:webHidden/>
          </w:rPr>
          <w:fldChar w:fldCharType="begin"/>
        </w:r>
        <w:r w:rsidR="00C433C7">
          <w:rPr>
            <w:webHidden/>
          </w:rPr>
          <w:instrText xml:space="preserve"> PAGEREF _Toc470078917 \h </w:instrText>
        </w:r>
        <w:r w:rsidR="00C433C7">
          <w:rPr>
            <w:webHidden/>
          </w:rPr>
        </w:r>
        <w:r w:rsidR="00C433C7">
          <w:rPr>
            <w:webHidden/>
          </w:rPr>
          <w:fldChar w:fldCharType="separate"/>
        </w:r>
        <w:r w:rsidR="00476DED">
          <w:rPr>
            <w:webHidden/>
          </w:rPr>
          <w:t>11</w:t>
        </w:r>
        <w:r w:rsidR="00C433C7">
          <w:rPr>
            <w:webHidden/>
          </w:rPr>
          <w:fldChar w:fldCharType="end"/>
        </w:r>
      </w:hyperlink>
    </w:p>
    <w:p w:rsidR="00C433C7" w:rsidRDefault="006810CD">
      <w:pPr>
        <w:pStyle w:val="TOC5"/>
        <w:tabs>
          <w:tab w:val="left" w:pos="1080"/>
        </w:tabs>
        <w:rPr>
          <w:spacing w:val="0"/>
          <w:sz w:val="22"/>
          <w:szCs w:val="22"/>
          <w:lang w:eastAsia="en-AU"/>
        </w:rPr>
      </w:pPr>
      <w:hyperlink w:anchor="_Toc470078918" w:history="1">
        <w:r w:rsidR="00C433C7" w:rsidRPr="00CB590A">
          <w:rPr>
            <w:rStyle w:val="Hyperlink"/>
          </w:rPr>
          <w:t>4.1</w:t>
        </w:r>
        <w:r w:rsidR="00C433C7">
          <w:rPr>
            <w:spacing w:val="0"/>
            <w:sz w:val="22"/>
            <w:szCs w:val="22"/>
            <w:lang w:eastAsia="en-AU"/>
          </w:rPr>
          <w:tab/>
        </w:r>
        <w:r w:rsidR="00C433C7" w:rsidRPr="00CB590A">
          <w:rPr>
            <w:rStyle w:val="Hyperlink"/>
          </w:rPr>
          <w:t>Publication of the RCM report</w:t>
        </w:r>
        <w:r w:rsidR="00C433C7">
          <w:rPr>
            <w:webHidden/>
          </w:rPr>
          <w:tab/>
        </w:r>
        <w:r w:rsidR="00C433C7">
          <w:rPr>
            <w:webHidden/>
          </w:rPr>
          <w:fldChar w:fldCharType="begin"/>
        </w:r>
        <w:r w:rsidR="00C433C7">
          <w:rPr>
            <w:webHidden/>
          </w:rPr>
          <w:instrText xml:space="preserve"> PAGEREF _Toc470078918 \h </w:instrText>
        </w:r>
        <w:r w:rsidR="00C433C7">
          <w:rPr>
            <w:webHidden/>
          </w:rPr>
        </w:r>
        <w:r w:rsidR="00C433C7">
          <w:rPr>
            <w:webHidden/>
          </w:rPr>
          <w:fldChar w:fldCharType="separate"/>
        </w:r>
        <w:r w:rsidR="00476DED">
          <w:rPr>
            <w:webHidden/>
          </w:rPr>
          <w:t>11</w:t>
        </w:r>
        <w:r w:rsidR="00C433C7">
          <w:rPr>
            <w:webHidden/>
          </w:rPr>
          <w:fldChar w:fldCharType="end"/>
        </w:r>
      </w:hyperlink>
    </w:p>
    <w:p w:rsidR="00C433C7" w:rsidRDefault="006810CD">
      <w:pPr>
        <w:pStyle w:val="TOC1"/>
        <w:rPr>
          <w:noProof/>
          <w:spacing w:val="0"/>
          <w:sz w:val="22"/>
          <w:szCs w:val="22"/>
        </w:rPr>
      </w:pPr>
      <w:hyperlink w:anchor="_Toc470078919" w:history="1">
        <w:r w:rsidR="00C433C7" w:rsidRPr="00CB590A">
          <w:rPr>
            <w:rStyle w:val="Hyperlink"/>
            <w:noProof/>
          </w:rPr>
          <w:t>Appendix A: General definitions and concepts</w:t>
        </w:r>
        <w:r w:rsidR="00C433C7">
          <w:rPr>
            <w:noProof/>
            <w:webHidden/>
          </w:rPr>
          <w:tab/>
        </w:r>
        <w:r w:rsidR="00C433C7">
          <w:rPr>
            <w:noProof/>
            <w:webHidden/>
          </w:rPr>
          <w:fldChar w:fldCharType="begin"/>
        </w:r>
        <w:r w:rsidR="00C433C7">
          <w:rPr>
            <w:noProof/>
            <w:webHidden/>
          </w:rPr>
          <w:instrText xml:space="preserve"> PAGEREF _Toc470078919 \h </w:instrText>
        </w:r>
        <w:r w:rsidR="00C433C7">
          <w:rPr>
            <w:noProof/>
            <w:webHidden/>
          </w:rPr>
        </w:r>
        <w:r w:rsidR="00C433C7">
          <w:rPr>
            <w:noProof/>
            <w:webHidden/>
          </w:rPr>
          <w:fldChar w:fldCharType="separate"/>
        </w:r>
        <w:r w:rsidR="00476DED">
          <w:rPr>
            <w:noProof/>
            <w:webHidden/>
          </w:rPr>
          <w:t>12</w:t>
        </w:r>
        <w:r w:rsidR="00C433C7">
          <w:rPr>
            <w:noProof/>
            <w:webHidden/>
          </w:rPr>
          <w:fldChar w:fldCharType="end"/>
        </w:r>
      </w:hyperlink>
    </w:p>
    <w:p w:rsidR="00C433C7" w:rsidRDefault="006810CD">
      <w:pPr>
        <w:pStyle w:val="TOC2"/>
        <w:tabs>
          <w:tab w:val="left" w:pos="1080"/>
        </w:tabs>
        <w:rPr>
          <w:spacing w:val="0"/>
          <w:sz w:val="22"/>
          <w:szCs w:val="22"/>
        </w:rPr>
      </w:pPr>
      <w:hyperlink w:anchor="_Toc470078920" w:history="1">
        <w:r w:rsidR="00C433C7" w:rsidRPr="00CB590A">
          <w:rPr>
            <w:rStyle w:val="Hyperlink"/>
          </w:rPr>
          <w:t>A.1</w:t>
        </w:r>
        <w:r w:rsidR="00C433C7">
          <w:rPr>
            <w:spacing w:val="0"/>
            <w:sz w:val="22"/>
            <w:szCs w:val="22"/>
          </w:rPr>
          <w:tab/>
        </w:r>
        <w:r w:rsidR="00C433C7" w:rsidRPr="00CB590A">
          <w:rPr>
            <w:rStyle w:val="Hyperlink"/>
          </w:rPr>
          <w:t>Legally enforceable obligations</w:t>
        </w:r>
        <w:r w:rsidR="00C433C7">
          <w:rPr>
            <w:webHidden/>
          </w:rPr>
          <w:tab/>
        </w:r>
        <w:r w:rsidR="00C433C7">
          <w:rPr>
            <w:webHidden/>
          </w:rPr>
          <w:fldChar w:fldCharType="begin"/>
        </w:r>
        <w:r w:rsidR="00C433C7">
          <w:rPr>
            <w:webHidden/>
          </w:rPr>
          <w:instrText xml:space="preserve"> PAGEREF _Toc470078920 \h </w:instrText>
        </w:r>
        <w:r w:rsidR="00C433C7">
          <w:rPr>
            <w:webHidden/>
          </w:rPr>
        </w:r>
        <w:r w:rsidR="00C433C7">
          <w:rPr>
            <w:webHidden/>
          </w:rPr>
          <w:fldChar w:fldCharType="separate"/>
        </w:r>
        <w:r w:rsidR="00476DED">
          <w:rPr>
            <w:webHidden/>
          </w:rPr>
          <w:t>12</w:t>
        </w:r>
        <w:r w:rsidR="00C433C7">
          <w:rPr>
            <w:webHidden/>
          </w:rPr>
          <w:fldChar w:fldCharType="end"/>
        </w:r>
      </w:hyperlink>
    </w:p>
    <w:p w:rsidR="00C433C7" w:rsidRDefault="006810CD">
      <w:pPr>
        <w:pStyle w:val="TOC2"/>
        <w:tabs>
          <w:tab w:val="left" w:pos="1080"/>
        </w:tabs>
        <w:rPr>
          <w:spacing w:val="0"/>
          <w:sz w:val="22"/>
          <w:szCs w:val="22"/>
        </w:rPr>
      </w:pPr>
      <w:hyperlink w:anchor="_Toc470078921" w:history="1">
        <w:r w:rsidR="00C433C7" w:rsidRPr="00CB590A">
          <w:rPr>
            <w:rStyle w:val="Hyperlink"/>
          </w:rPr>
          <w:t>A.2</w:t>
        </w:r>
        <w:r w:rsidR="00C433C7">
          <w:rPr>
            <w:spacing w:val="0"/>
            <w:sz w:val="22"/>
            <w:szCs w:val="22"/>
          </w:rPr>
          <w:tab/>
        </w:r>
        <w:r w:rsidR="00C433C7" w:rsidRPr="00CB590A">
          <w:rPr>
            <w:rStyle w:val="Hyperlink"/>
          </w:rPr>
          <w:t>Cost categories</w:t>
        </w:r>
        <w:r w:rsidR="00C433C7">
          <w:rPr>
            <w:webHidden/>
          </w:rPr>
          <w:tab/>
        </w:r>
        <w:r w:rsidR="00C433C7">
          <w:rPr>
            <w:webHidden/>
          </w:rPr>
          <w:fldChar w:fldCharType="begin"/>
        </w:r>
        <w:r w:rsidR="00C433C7">
          <w:rPr>
            <w:webHidden/>
          </w:rPr>
          <w:instrText xml:space="preserve"> PAGEREF _Toc470078921 \h </w:instrText>
        </w:r>
        <w:r w:rsidR="00C433C7">
          <w:rPr>
            <w:webHidden/>
          </w:rPr>
        </w:r>
        <w:r w:rsidR="00C433C7">
          <w:rPr>
            <w:webHidden/>
          </w:rPr>
          <w:fldChar w:fldCharType="separate"/>
        </w:r>
        <w:r w:rsidR="00476DED">
          <w:rPr>
            <w:webHidden/>
          </w:rPr>
          <w:t>13</w:t>
        </w:r>
        <w:r w:rsidR="00C433C7">
          <w:rPr>
            <w:webHidden/>
          </w:rPr>
          <w:fldChar w:fldCharType="end"/>
        </w:r>
      </w:hyperlink>
    </w:p>
    <w:p w:rsidR="00C433C7" w:rsidRDefault="006810CD">
      <w:pPr>
        <w:pStyle w:val="TOC3"/>
        <w:tabs>
          <w:tab w:val="left" w:pos="1800"/>
        </w:tabs>
        <w:rPr>
          <w:spacing w:val="0"/>
          <w:sz w:val="22"/>
          <w:szCs w:val="22"/>
        </w:rPr>
      </w:pPr>
      <w:hyperlink w:anchor="_Toc470078922" w:history="1">
        <w:r w:rsidR="00C433C7" w:rsidRPr="00CB590A">
          <w:rPr>
            <w:rStyle w:val="Hyperlink"/>
          </w:rPr>
          <w:t>A.2.1</w:t>
        </w:r>
        <w:r w:rsidR="00C433C7">
          <w:rPr>
            <w:spacing w:val="0"/>
            <w:sz w:val="22"/>
            <w:szCs w:val="22"/>
          </w:rPr>
          <w:tab/>
        </w:r>
        <w:r w:rsidR="00C433C7" w:rsidRPr="00CB590A">
          <w:rPr>
            <w:rStyle w:val="Hyperlink"/>
          </w:rPr>
          <w:t>Compliance costs</w:t>
        </w:r>
        <w:r w:rsidR="00C433C7">
          <w:rPr>
            <w:webHidden/>
          </w:rPr>
          <w:tab/>
        </w:r>
        <w:r w:rsidR="00C433C7">
          <w:rPr>
            <w:webHidden/>
          </w:rPr>
          <w:fldChar w:fldCharType="begin"/>
        </w:r>
        <w:r w:rsidR="00C433C7">
          <w:rPr>
            <w:webHidden/>
          </w:rPr>
          <w:instrText xml:space="preserve"> PAGEREF _Toc470078922 \h </w:instrText>
        </w:r>
        <w:r w:rsidR="00C433C7">
          <w:rPr>
            <w:webHidden/>
          </w:rPr>
        </w:r>
        <w:r w:rsidR="00C433C7">
          <w:rPr>
            <w:webHidden/>
          </w:rPr>
          <w:fldChar w:fldCharType="separate"/>
        </w:r>
        <w:r w:rsidR="00476DED">
          <w:rPr>
            <w:webHidden/>
          </w:rPr>
          <w:t>13</w:t>
        </w:r>
        <w:r w:rsidR="00C433C7">
          <w:rPr>
            <w:webHidden/>
          </w:rPr>
          <w:fldChar w:fldCharType="end"/>
        </w:r>
      </w:hyperlink>
    </w:p>
    <w:p w:rsidR="00C433C7" w:rsidRDefault="006810CD">
      <w:pPr>
        <w:pStyle w:val="TOC3"/>
        <w:tabs>
          <w:tab w:val="left" w:pos="1800"/>
        </w:tabs>
        <w:rPr>
          <w:spacing w:val="0"/>
          <w:sz w:val="22"/>
          <w:szCs w:val="22"/>
        </w:rPr>
      </w:pPr>
      <w:hyperlink w:anchor="_Toc470078923" w:history="1">
        <w:r w:rsidR="00C433C7" w:rsidRPr="00CB590A">
          <w:rPr>
            <w:rStyle w:val="Hyperlink"/>
          </w:rPr>
          <w:t xml:space="preserve">A.2.2 </w:t>
        </w:r>
        <w:r w:rsidR="00C433C7">
          <w:rPr>
            <w:spacing w:val="0"/>
            <w:sz w:val="22"/>
            <w:szCs w:val="22"/>
          </w:rPr>
          <w:tab/>
        </w:r>
        <w:r w:rsidR="00C433C7" w:rsidRPr="00CB590A">
          <w:rPr>
            <w:rStyle w:val="Hyperlink"/>
          </w:rPr>
          <w:t>Delay costs</w:t>
        </w:r>
        <w:r w:rsidR="00C433C7">
          <w:rPr>
            <w:webHidden/>
          </w:rPr>
          <w:tab/>
        </w:r>
        <w:r w:rsidR="00C433C7">
          <w:rPr>
            <w:webHidden/>
          </w:rPr>
          <w:fldChar w:fldCharType="begin"/>
        </w:r>
        <w:r w:rsidR="00C433C7">
          <w:rPr>
            <w:webHidden/>
          </w:rPr>
          <w:instrText xml:space="preserve"> PAGEREF _Toc470078923 \h </w:instrText>
        </w:r>
        <w:r w:rsidR="00C433C7">
          <w:rPr>
            <w:webHidden/>
          </w:rPr>
        </w:r>
        <w:r w:rsidR="00C433C7">
          <w:rPr>
            <w:webHidden/>
          </w:rPr>
          <w:fldChar w:fldCharType="separate"/>
        </w:r>
        <w:r w:rsidR="00476DED">
          <w:rPr>
            <w:webHidden/>
          </w:rPr>
          <w:t>15</w:t>
        </w:r>
        <w:r w:rsidR="00C433C7">
          <w:rPr>
            <w:webHidden/>
          </w:rPr>
          <w:fldChar w:fldCharType="end"/>
        </w:r>
      </w:hyperlink>
    </w:p>
    <w:p w:rsidR="00C433C7" w:rsidRDefault="006810CD">
      <w:pPr>
        <w:pStyle w:val="TOC3"/>
        <w:tabs>
          <w:tab w:val="left" w:pos="1800"/>
        </w:tabs>
        <w:rPr>
          <w:spacing w:val="0"/>
          <w:sz w:val="22"/>
          <w:szCs w:val="22"/>
        </w:rPr>
      </w:pPr>
      <w:hyperlink w:anchor="_Toc470078924" w:history="1">
        <w:r w:rsidR="00C433C7" w:rsidRPr="00CB590A">
          <w:rPr>
            <w:rStyle w:val="Hyperlink"/>
          </w:rPr>
          <w:t xml:space="preserve">A.2.3 </w:t>
        </w:r>
        <w:r w:rsidR="00C433C7">
          <w:rPr>
            <w:spacing w:val="0"/>
            <w:sz w:val="22"/>
            <w:szCs w:val="22"/>
          </w:rPr>
          <w:tab/>
        </w:r>
        <w:r w:rsidR="00C433C7" w:rsidRPr="00CB590A">
          <w:rPr>
            <w:rStyle w:val="Hyperlink"/>
          </w:rPr>
          <w:t>Economic costs of prohibitions</w:t>
        </w:r>
        <w:r w:rsidR="00C433C7">
          <w:rPr>
            <w:webHidden/>
          </w:rPr>
          <w:tab/>
        </w:r>
        <w:r w:rsidR="00C433C7">
          <w:rPr>
            <w:webHidden/>
          </w:rPr>
          <w:fldChar w:fldCharType="begin"/>
        </w:r>
        <w:r w:rsidR="00C433C7">
          <w:rPr>
            <w:webHidden/>
          </w:rPr>
          <w:instrText xml:space="preserve"> PAGEREF _Toc470078924 \h </w:instrText>
        </w:r>
        <w:r w:rsidR="00C433C7">
          <w:rPr>
            <w:webHidden/>
          </w:rPr>
        </w:r>
        <w:r w:rsidR="00C433C7">
          <w:rPr>
            <w:webHidden/>
          </w:rPr>
          <w:fldChar w:fldCharType="separate"/>
        </w:r>
        <w:r w:rsidR="00476DED">
          <w:rPr>
            <w:webHidden/>
          </w:rPr>
          <w:t>16</w:t>
        </w:r>
        <w:r w:rsidR="00C433C7">
          <w:rPr>
            <w:webHidden/>
          </w:rPr>
          <w:fldChar w:fldCharType="end"/>
        </w:r>
      </w:hyperlink>
    </w:p>
    <w:p w:rsidR="00C433C7" w:rsidRDefault="006810CD">
      <w:pPr>
        <w:pStyle w:val="TOC3"/>
        <w:tabs>
          <w:tab w:val="left" w:pos="1800"/>
        </w:tabs>
        <w:rPr>
          <w:spacing w:val="0"/>
          <w:sz w:val="22"/>
          <w:szCs w:val="22"/>
        </w:rPr>
      </w:pPr>
      <w:hyperlink w:anchor="_Toc470078925" w:history="1">
        <w:r w:rsidR="00C433C7" w:rsidRPr="00CB590A">
          <w:rPr>
            <w:rStyle w:val="Hyperlink"/>
          </w:rPr>
          <w:t>A.2.4</w:t>
        </w:r>
        <w:r w:rsidR="00C433C7">
          <w:rPr>
            <w:spacing w:val="0"/>
            <w:sz w:val="22"/>
            <w:szCs w:val="22"/>
          </w:rPr>
          <w:tab/>
        </w:r>
        <w:r w:rsidR="00C433C7" w:rsidRPr="00CB590A">
          <w:rPr>
            <w:rStyle w:val="Hyperlink"/>
          </w:rPr>
          <w:t>Financial costs</w:t>
        </w:r>
        <w:r w:rsidR="00C433C7">
          <w:rPr>
            <w:webHidden/>
          </w:rPr>
          <w:tab/>
        </w:r>
        <w:r w:rsidR="00C433C7">
          <w:rPr>
            <w:webHidden/>
          </w:rPr>
          <w:fldChar w:fldCharType="begin"/>
        </w:r>
        <w:r w:rsidR="00C433C7">
          <w:rPr>
            <w:webHidden/>
          </w:rPr>
          <w:instrText xml:space="preserve"> PAGEREF _Toc470078925 \h </w:instrText>
        </w:r>
        <w:r w:rsidR="00C433C7">
          <w:rPr>
            <w:webHidden/>
          </w:rPr>
        </w:r>
        <w:r w:rsidR="00C433C7">
          <w:rPr>
            <w:webHidden/>
          </w:rPr>
          <w:fldChar w:fldCharType="separate"/>
        </w:r>
        <w:r w:rsidR="00476DED">
          <w:rPr>
            <w:webHidden/>
          </w:rPr>
          <w:t>17</w:t>
        </w:r>
        <w:r w:rsidR="00C433C7">
          <w:rPr>
            <w:webHidden/>
          </w:rPr>
          <w:fldChar w:fldCharType="end"/>
        </w:r>
      </w:hyperlink>
    </w:p>
    <w:p w:rsidR="00C433C7" w:rsidRDefault="006810CD">
      <w:pPr>
        <w:pStyle w:val="TOC2"/>
        <w:tabs>
          <w:tab w:val="left" w:pos="1080"/>
        </w:tabs>
        <w:rPr>
          <w:spacing w:val="0"/>
          <w:sz w:val="22"/>
          <w:szCs w:val="22"/>
        </w:rPr>
      </w:pPr>
      <w:hyperlink w:anchor="_Toc470078926" w:history="1">
        <w:r w:rsidR="00C433C7" w:rsidRPr="00CB590A">
          <w:rPr>
            <w:rStyle w:val="Hyperlink"/>
          </w:rPr>
          <w:t xml:space="preserve">A.3 </w:t>
        </w:r>
        <w:r w:rsidR="00C433C7">
          <w:rPr>
            <w:spacing w:val="0"/>
            <w:sz w:val="22"/>
            <w:szCs w:val="22"/>
          </w:rPr>
          <w:tab/>
        </w:r>
        <w:r w:rsidR="00C433C7" w:rsidRPr="00CB590A">
          <w:rPr>
            <w:rStyle w:val="Hyperlink"/>
          </w:rPr>
          <w:t>Business-as-usual costs</w:t>
        </w:r>
        <w:r w:rsidR="00C433C7">
          <w:rPr>
            <w:webHidden/>
          </w:rPr>
          <w:tab/>
        </w:r>
        <w:r w:rsidR="00C433C7">
          <w:rPr>
            <w:webHidden/>
          </w:rPr>
          <w:fldChar w:fldCharType="begin"/>
        </w:r>
        <w:r w:rsidR="00C433C7">
          <w:rPr>
            <w:webHidden/>
          </w:rPr>
          <w:instrText xml:space="preserve"> PAGEREF _Toc470078926 \h </w:instrText>
        </w:r>
        <w:r w:rsidR="00C433C7">
          <w:rPr>
            <w:webHidden/>
          </w:rPr>
        </w:r>
        <w:r w:rsidR="00C433C7">
          <w:rPr>
            <w:webHidden/>
          </w:rPr>
          <w:fldChar w:fldCharType="separate"/>
        </w:r>
        <w:r w:rsidR="00476DED">
          <w:rPr>
            <w:webHidden/>
          </w:rPr>
          <w:t>17</w:t>
        </w:r>
        <w:r w:rsidR="00C433C7">
          <w:rPr>
            <w:webHidden/>
          </w:rPr>
          <w:fldChar w:fldCharType="end"/>
        </w:r>
      </w:hyperlink>
    </w:p>
    <w:p w:rsidR="00C433C7" w:rsidRDefault="006810CD">
      <w:pPr>
        <w:pStyle w:val="TOC2"/>
        <w:tabs>
          <w:tab w:val="left" w:pos="1080"/>
        </w:tabs>
        <w:rPr>
          <w:spacing w:val="0"/>
          <w:sz w:val="22"/>
          <w:szCs w:val="22"/>
        </w:rPr>
      </w:pPr>
      <w:hyperlink w:anchor="_Toc470078927" w:history="1">
        <w:r w:rsidR="00C433C7" w:rsidRPr="00CB590A">
          <w:rPr>
            <w:rStyle w:val="Hyperlink"/>
          </w:rPr>
          <w:t>A.4</w:t>
        </w:r>
        <w:r w:rsidR="00C433C7">
          <w:rPr>
            <w:spacing w:val="0"/>
            <w:sz w:val="22"/>
            <w:szCs w:val="22"/>
          </w:rPr>
          <w:tab/>
        </w:r>
        <w:r w:rsidR="00C433C7" w:rsidRPr="00CB590A">
          <w:rPr>
            <w:rStyle w:val="Hyperlink"/>
          </w:rPr>
          <w:t>Normally efficient business</w:t>
        </w:r>
        <w:r w:rsidR="00C433C7">
          <w:rPr>
            <w:webHidden/>
          </w:rPr>
          <w:tab/>
        </w:r>
        <w:r w:rsidR="00C433C7">
          <w:rPr>
            <w:webHidden/>
          </w:rPr>
          <w:fldChar w:fldCharType="begin"/>
        </w:r>
        <w:r w:rsidR="00C433C7">
          <w:rPr>
            <w:webHidden/>
          </w:rPr>
          <w:instrText xml:space="preserve"> PAGEREF _Toc470078927 \h </w:instrText>
        </w:r>
        <w:r w:rsidR="00C433C7">
          <w:rPr>
            <w:webHidden/>
          </w:rPr>
        </w:r>
        <w:r w:rsidR="00C433C7">
          <w:rPr>
            <w:webHidden/>
          </w:rPr>
          <w:fldChar w:fldCharType="separate"/>
        </w:r>
        <w:r w:rsidR="00476DED">
          <w:rPr>
            <w:webHidden/>
          </w:rPr>
          <w:t>18</w:t>
        </w:r>
        <w:r w:rsidR="00C433C7">
          <w:rPr>
            <w:webHidden/>
          </w:rPr>
          <w:fldChar w:fldCharType="end"/>
        </w:r>
      </w:hyperlink>
    </w:p>
    <w:p w:rsidR="00C433C7" w:rsidRDefault="00C433C7">
      <w:pPr>
        <w:spacing w:before="0" w:after="200"/>
        <w:rPr>
          <w:rStyle w:val="Hyperlink"/>
          <w:noProof/>
          <w:sz w:val="24"/>
          <w:szCs w:val="24"/>
        </w:rPr>
      </w:pPr>
      <w:r>
        <w:rPr>
          <w:rStyle w:val="Hyperlink"/>
          <w:noProof/>
        </w:rPr>
        <w:br w:type="page"/>
      </w:r>
    </w:p>
    <w:p w:rsidR="00C433C7" w:rsidRDefault="006810CD">
      <w:pPr>
        <w:pStyle w:val="TOC1"/>
        <w:rPr>
          <w:noProof/>
          <w:spacing w:val="0"/>
          <w:sz w:val="22"/>
          <w:szCs w:val="22"/>
        </w:rPr>
      </w:pPr>
      <w:hyperlink w:anchor="_Toc470078928" w:history="1">
        <w:r w:rsidR="00C433C7" w:rsidRPr="00CB590A">
          <w:rPr>
            <w:rStyle w:val="Hyperlink"/>
            <w:noProof/>
          </w:rPr>
          <w:t>Appendix B: Calculating compliance costs</w:t>
        </w:r>
        <w:r w:rsidR="00C433C7">
          <w:rPr>
            <w:noProof/>
            <w:webHidden/>
          </w:rPr>
          <w:tab/>
        </w:r>
        <w:r w:rsidR="00C433C7">
          <w:rPr>
            <w:noProof/>
            <w:webHidden/>
          </w:rPr>
          <w:fldChar w:fldCharType="begin"/>
        </w:r>
        <w:r w:rsidR="00C433C7">
          <w:rPr>
            <w:noProof/>
            <w:webHidden/>
          </w:rPr>
          <w:instrText xml:space="preserve"> PAGEREF _Toc470078928 \h </w:instrText>
        </w:r>
        <w:r w:rsidR="00C433C7">
          <w:rPr>
            <w:noProof/>
            <w:webHidden/>
          </w:rPr>
        </w:r>
        <w:r w:rsidR="00C433C7">
          <w:rPr>
            <w:noProof/>
            <w:webHidden/>
          </w:rPr>
          <w:fldChar w:fldCharType="separate"/>
        </w:r>
        <w:r w:rsidR="00476DED">
          <w:rPr>
            <w:noProof/>
            <w:webHidden/>
          </w:rPr>
          <w:t>19</w:t>
        </w:r>
        <w:r w:rsidR="00C433C7">
          <w:rPr>
            <w:noProof/>
            <w:webHidden/>
          </w:rPr>
          <w:fldChar w:fldCharType="end"/>
        </w:r>
      </w:hyperlink>
    </w:p>
    <w:p w:rsidR="00C433C7" w:rsidRDefault="006810CD">
      <w:pPr>
        <w:pStyle w:val="TOC2"/>
        <w:tabs>
          <w:tab w:val="left" w:pos="1080"/>
        </w:tabs>
        <w:rPr>
          <w:spacing w:val="0"/>
          <w:sz w:val="22"/>
          <w:szCs w:val="22"/>
        </w:rPr>
      </w:pPr>
      <w:hyperlink w:anchor="_Toc470078929" w:history="1">
        <w:r w:rsidR="00C433C7" w:rsidRPr="00CB590A">
          <w:rPr>
            <w:rStyle w:val="Hyperlink"/>
          </w:rPr>
          <w:t xml:space="preserve">B.1 </w:t>
        </w:r>
        <w:r w:rsidR="00C433C7">
          <w:rPr>
            <w:spacing w:val="0"/>
            <w:sz w:val="22"/>
            <w:szCs w:val="22"/>
          </w:rPr>
          <w:tab/>
        </w:r>
        <w:r w:rsidR="00C433C7" w:rsidRPr="00CB590A">
          <w:rPr>
            <w:rStyle w:val="Hyperlink"/>
          </w:rPr>
          <w:t>Administrative costs</w:t>
        </w:r>
        <w:r w:rsidR="00C433C7">
          <w:rPr>
            <w:webHidden/>
          </w:rPr>
          <w:tab/>
        </w:r>
        <w:r w:rsidR="00C433C7">
          <w:rPr>
            <w:webHidden/>
          </w:rPr>
          <w:fldChar w:fldCharType="begin"/>
        </w:r>
        <w:r w:rsidR="00C433C7">
          <w:rPr>
            <w:webHidden/>
          </w:rPr>
          <w:instrText xml:space="preserve"> PAGEREF _Toc470078929 \h </w:instrText>
        </w:r>
        <w:r w:rsidR="00C433C7">
          <w:rPr>
            <w:webHidden/>
          </w:rPr>
        </w:r>
        <w:r w:rsidR="00C433C7">
          <w:rPr>
            <w:webHidden/>
          </w:rPr>
          <w:fldChar w:fldCharType="separate"/>
        </w:r>
        <w:r w:rsidR="00476DED">
          <w:rPr>
            <w:webHidden/>
          </w:rPr>
          <w:t>19</w:t>
        </w:r>
        <w:r w:rsidR="00C433C7">
          <w:rPr>
            <w:webHidden/>
          </w:rPr>
          <w:fldChar w:fldCharType="end"/>
        </w:r>
      </w:hyperlink>
    </w:p>
    <w:p w:rsidR="00C433C7" w:rsidRDefault="006810CD">
      <w:pPr>
        <w:pStyle w:val="TOC2"/>
        <w:tabs>
          <w:tab w:val="left" w:pos="1080"/>
        </w:tabs>
        <w:rPr>
          <w:spacing w:val="0"/>
          <w:sz w:val="22"/>
          <w:szCs w:val="22"/>
        </w:rPr>
      </w:pPr>
      <w:hyperlink w:anchor="_Toc470078930" w:history="1">
        <w:r w:rsidR="00C433C7" w:rsidRPr="00CB590A">
          <w:rPr>
            <w:rStyle w:val="Hyperlink"/>
          </w:rPr>
          <w:t xml:space="preserve">B.2 </w:t>
        </w:r>
        <w:r w:rsidR="00C433C7">
          <w:rPr>
            <w:spacing w:val="0"/>
            <w:sz w:val="22"/>
            <w:szCs w:val="22"/>
          </w:rPr>
          <w:tab/>
        </w:r>
        <w:r w:rsidR="00C433C7" w:rsidRPr="00CB590A">
          <w:rPr>
            <w:rStyle w:val="Hyperlink"/>
          </w:rPr>
          <w:t>Substantive compliance costs</w:t>
        </w:r>
        <w:r w:rsidR="00C433C7">
          <w:rPr>
            <w:webHidden/>
          </w:rPr>
          <w:tab/>
        </w:r>
        <w:r w:rsidR="00C433C7">
          <w:rPr>
            <w:webHidden/>
          </w:rPr>
          <w:fldChar w:fldCharType="begin"/>
        </w:r>
        <w:r w:rsidR="00C433C7">
          <w:rPr>
            <w:webHidden/>
          </w:rPr>
          <w:instrText xml:space="preserve"> PAGEREF _Toc470078930 \h </w:instrText>
        </w:r>
        <w:r w:rsidR="00C433C7">
          <w:rPr>
            <w:webHidden/>
          </w:rPr>
        </w:r>
        <w:r w:rsidR="00C433C7">
          <w:rPr>
            <w:webHidden/>
          </w:rPr>
          <w:fldChar w:fldCharType="separate"/>
        </w:r>
        <w:r w:rsidR="00476DED">
          <w:rPr>
            <w:webHidden/>
          </w:rPr>
          <w:t>20</w:t>
        </w:r>
        <w:r w:rsidR="00C433C7">
          <w:rPr>
            <w:webHidden/>
          </w:rPr>
          <w:fldChar w:fldCharType="end"/>
        </w:r>
      </w:hyperlink>
    </w:p>
    <w:p w:rsidR="00C433C7" w:rsidRDefault="006810CD">
      <w:pPr>
        <w:pStyle w:val="TOC2"/>
        <w:tabs>
          <w:tab w:val="left" w:pos="1080"/>
        </w:tabs>
        <w:rPr>
          <w:spacing w:val="0"/>
          <w:sz w:val="22"/>
          <w:szCs w:val="22"/>
        </w:rPr>
      </w:pPr>
      <w:hyperlink w:anchor="_Toc470078931" w:history="1">
        <w:r w:rsidR="00C433C7" w:rsidRPr="00CB590A">
          <w:rPr>
            <w:rStyle w:val="Hyperlink"/>
          </w:rPr>
          <w:t xml:space="preserve">B.3 </w:t>
        </w:r>
        <w:r w:rsidR="00C433C7">
          <w:rPr>
            <w:spacing w:val="0"/>
            <w:sz w:val="22"/>
            <w:szCs w:val="22"/>
          </w:rPr>
          <w:tab/>
        </w:r>
        <w:r w:rsidR="00C433C7" w:rsidRPr="00CB590A">
          <w:rPr>
            <w:rStyle w:val="Hyperlink"/>
          </w:rPr>
          <w:t>Underlying spreadsheets, working calculations and assumptions</w:t>
        </w:r>
        <w:r w:rsidR="00C433C7">
          <w:rPr>
            <w:webHidden/>
          </w:rPr>
          <w:tab/>
        </w:r>
        <w:r w:rsidR="00C433C7">
          <w:rPr>
            <w:webHidden/>
          </w:rPr>
          <w:fldChar w:fldCharType="begin"/>
        </w:r>
        <w:r w:rsidR="00C433C7">
          <w:rPr>
            <w:webHidden/>
          </w:rPr>
          <w:instrText xml:space="preserve"> PAGEREF _Toc470078931 \h </w:instrText>
        </w:r>
        <w:r w:rsidR="00C433C7">
          <w:rPr>
            <w:webHidden/>
          </w:rPr>
        </w:r>
        <w:r w:rsidR="00C433C7">
          <w:rPr>
            <w:webHidden/>
          </w:rPr>
          <w:fldChar w:fldCharType="separate"/>
        </w:r>
        <w:r w:rsidR="00476DED">
          <w:rPr>
            <w:webHidden/>
          </w:rPr>
          <w:t>21</w:t>
        </w:r>
        <w:r w:rsidR="00C433C7">
          <w:rPr>
            <w:webHidden/>
          </w:rPr>
          <w:fldChar w:fldCharType="end"/>
        </w:r>
      </w:hyperlink>
    </w:p>
    <w:p w:rsidR="00C433C7" w:rsidRDefault="006810CD">
      <w:pPr>
        <w:pStyle w:val="TOC2"/>
        <w:tabs>
          <w:tab w:val="left" w:pos="1080"/>
        </w:tabs>
        <w:rPr>
          <w:spacing w:val="0"/>
          <w:sz w:val="22"/>
          <w:szCs w:val="22"/>
        </w:rPr>
      </w:pPr>
      <w:hyperlink w:anchor="_Toc470078932" w:history="1">
        <w:r w:rsidR="00C433C7" w:rsidRPr="00CB590A">
          <w:rPr>
            <w:rStyle w:val="Hyperlink"/>
          </w:rPr>
          <w:t xml:space="preserve">B.4 </w:t>
        </w:r>
        <w:r w:rsidR="00C433C7">
          <w:rPr>
            <w:spacing w:val="0"/>
            <w:sz w:val="22"/>
            <w:szCs w:val="22"/>
          </w:rPr>
          <w:tab/>
        </w:r>
        <w:r w:rsidR="00C433C7" w:rsidRPr="00CB590A">
          <w:rPr>
            <w:rStyle w:val="Hyperlink"/>
          </w:rPr>
          <w:t>Annualised figure for uneven regulatory change</w:t>
        </w:r>
        <w:r w:rsidR="00C433C7">
          <w:rPr>
            <w:webHidden/>
          </w:rPr>
          <w:tab/>
        </w:r>
        <w:r w:rsidR="00C433C7">
          <w:rPr>
            <w:webHidden/>
          </w:rPr>
          <w:fldChar w:fldCharType="begin"/>
        </w:r>
        <w:r w:rsidR="00C433C7">
          <w:rPr>
            <w:webHidden/>
          </w:rPr>
          <w:instrText xml:space="preserve"> PAGEREF _Toc470078932 \h </w:instrText>
        </w:r>
        <w:r w:rsidR="00C433C7">
          <w:rPr>
            <w:webHidden/>
          </w:rPr>
        </w:r>
        <w:r w:rsidR="00C433C7">
          <w:rPr>
            <w:webHidden/>
          </w:rPr>
          <w:fldChar w:fldCharType="separate"/>
        </w:r>
        <w:r w:rsidR="00476DED">
          <w:rPr>
            <w:webHidden/>
          </w:rPr>
          <w:t>21</w:t>
        </w:r>
        <w:r w:rsidR="00C433C7">
          <w:rPr>
            <w:webHidden/>
          </w:rPr>
          <w:fldChar w:fldCharType="end"/>
        </w:r>
      </w:hyperlink>
    </w:p>
    <w:p w:rsidR="00C433C7" w:rsidRDefault="006810CD">
      <w:pPr>
        <w:pStyle w:val="TOC3"/>
        <w:tabs>
          <w:tab w:val="left" w:pos="1800"/>
        </w:tabs>
        <w:rPr>
          <w:spacing w:val="0"/>
          <w:sz w:val="22"/>
          <w:szCs w:val="22"/>
        </w:rPr>
      </w:pPr>
      <w:hyperlink w:anchor="_Toc470078933" w:history="1">
        <w:r w:rsidR="00C433C7" w:rsidRPr="00CB590A">
          <w:rPr>
            <w:rStyle w:val="Hyperlink"/>
          </w:rPr>
          <w:t xml:space="preserve">B.4.1 </w:t>
        </w:r>
        <w:r w:rsidR="00C433C7">
          <w:rPr>
            <w:spacing w:val="0"/>
            <w:sz w:val="22"/>
            <w:szCs w:val="22"/>
          </w:rPr>
          <w:tab/>
        </w:r>
        <w:r w:rsidR="00C433C7" w:rsidRPr="00CB590A">
          <w:rPr>
            <w:rStyle w:val="Hyperlink"/>
          </w:rPr>
          <w:t>Change distributed unevenly over 10 years</w:t>
        </w:r>
        <w:r w:rsidR="00C433C7">
          <w:rPr>
            <w:webHidden/>
          </w:rPr>
          <w:tab/>
        </w:r>
        <w:r w:rsidR="00C433C7">
          <w:rPr>
            <w:webHidden/>
          </w:rPr>
          <w:fldChar w:fldCharType="begin"/>
        </w:r>
        <w:r w:rsidR="00C433C7">
          <w:rPr>
            <w:webHidden/>
          </w:rPr>
          <w:instrText xml:space="preserve"> PAGEREF _Toc470078933 \h </w:instrText>
        </w:r>
        <w:r w:rsidR="00C433C7">
          <w:rPr>
            <w:webHidden/>
          </w:rPr>
        </w:r>
        <w:r w:rsidR="00C433C7">
          <w:rPr>
            <w:webHidden/>
          </w:rPr>
          <w:fldChar w:fldCharType="separate"/>
        </w:r>
        <w:r w:rsidR="00476DED">
          <w:rPr>
            <w:webHidden/>
          </w:rPr>
          <w:t>21</w:t>
        </w:r>
        <w:r w:rsidR="00C433C7">
          <w:rPr>
            <w:webHidden/>
          </w:rPr>
          <w:fldChar w:fldCharType="end"/>
        </w:r>
      </w:hyperlink>
    </w:p>
    <w:p w:rsidR="00C433C7" w:rsidRDefault="006810CD">
      <w:pPr>
        <w:pStyle w:val="TOC3"/>
        <w:rPr>
          <w:spacing w:val="0"/>
          <w:sz w:val="22"/>
          <w:szCs w:val="22"/>
        </w:rPr>
      </w:pPr>
      <w:hyperlink w:anchor="_Toc470078934" w:history="1">
        <w:r w:rsidR="00C433C7" w:rsidRPr="00CB590A">
          <w:rPr>
            <w:rStyle w:val="Hyperlink"/>
          </w:rPr>
          <w:t>B.4.2 Change distributed unevenly over less than 10 years</w:t>
        </w:r>
        <w:r w:rsidR="00C433C7">
          <w:rPr>
            <w:webHidden/>
          </w:rPr>
          <w:tab/>
        </w:r>
        <w:r w:rsidR="00C433C7">
          <w:rPr>
            <w:webHidden/>
          </w:rPr>
          <w:fldChar w:fldCharType="begin"/>
        </w:r>
        <w:r w:rsidR="00C433C7">
          <w:rPr>
            <w:webHidden/>
          </w:rPr>
          <w:instrText xml:space="preserve"> PAGEREF _Toc470078934 \h </w:instrText>
        </w:r>
        <w:r w:rsidR="00C433C7">
          <w:rPr>
            <w:webHidden/>
          </w:rPr>
        </w:r>
        <w:r w:rsidR="00C433C7">
          <w:rPr>
            <w:webHidden/>
          </w:rPr>
          <w:fldChar w:fldCharType="separate"/>
        </w:r>
        <w:r w:rsidR="00476DED">
          <w:rPr>
            <w:webHidden/>
          </w:rPr>
          <w:t>22</w:t>
        </w:r>
        <w:r w:rsidR="00C433C7">
          <w:rPr>
            <w:webHidden/>
          </w:rPr>
          <w:fldChar w:fldCharType="end"/>
        </w:r>
      </w:hyperlink>
    </w:p>
    <w:p w:rsidR="00C433C7" w:rsidRDefault="006810CD">
      <w:pPr>
        <w:pStyle w:val="TOC1"/>
        <w:rPr>
          <w:noProof/>
          <w:spacing w:val="0"/>
          <w:sz w:val="22"/>
          <w:szCs w:val="22"/>
        </w:rPr>
      </w:pPr>
      <w:hyperlink w:anchor="_Toc470078935" w:history="1">
        <w:r w:rsidR="00C433C7" w:rsidRPr="00CB590A">
          <w:rPr>
            <w:rStyle w:val="Hyperlink"/>
            <w:noProof/>
          </w:rPr>
          <w:t>Appendix C: Calculating delay costs</w:t>
        </w:r>
        <w:r w:rsidR="00C433C7">
          <w:rPr>
            <w:noProof/>
            <w:webHidden/>
          </w:rPr>
          <w:tab/>
        </w:r>
        <w:r w:rsidR="00C433C7">
          <w:rPr>
            <w:noProof/>
            <w:webHidden/>
          </w:rPr>
          <w:fldChar w:fldCharType="begin"/>
        </w:r>
        <w:r w:rsidR="00C433C7">
          <w:rPr>
            <w:noProof/>
            <w:webHidden/>
          </w:rPr>
          <w:instrText xml:space="preserve"> PAGEREF _Toc470078935 \h </w:instrText>
        </w:r>
        <w:r w:rsidR="00C433C7">
          <w:rPr>
            <w:noProof/>
            <w:webHidden/>
          </w:rPr>
        </w:r>
        <w:r w:rsidR="00C433C7">
          <w:rPr>
            <w:noProof/>
            <w:webHidden/>
          </w:rPr>
          <w:fldChar w:fldCharType="separate"/>
        </w:r>
        <w:r w:rsidR="00476DED">
          <w:rPr>
            <w:noProof/>
            <w:webHidden/>
          </w:rPr>
          <w:t>23</w:t>
        </w:r>
        <w:r w:rsidR="00C433C7">
          <w:rPr>
            <w:noProof/>
            <w:webHidden/>
          </w:rPr>
          <w:fldChar w:fldCharType="end"/>
        </w:r>
      </w:hyperlink>
    </w:p>
    <w:p w:rsidR="00C433C7" w:rsidRDefault="006810CD">
      <w:pPr>
        <w:pStyle w:val="TOC2"/>
        <w:tabs>
          <w:tab w:val="left" w:pos="1080"/>
        </w:tabs>
        <w:rPr>
          <w:spacing w:val="0"/>
          <w:sz w:val="22"/>
          <w:szCs w:val="22"/>
        </w:rPr>
      </w:pPr>
      <w:hyperlink w:anchor="_Toc470078936" w:history="1">
        <w:r w:rsidR="00C433C7" w:rsidRPr="00CB590A">
          <w:rPr>
            <w:rStyle w:val="Hyperlink"/>
          </w:rPr>
          <w:t xml:space="preserve">C.1 </w:t>
        </w:r>
        <w:r w:rsidR="00C433C7">
          <w:rPr>
            <w:spacing w:val="0"/>
            <w:sz w:val="22"/>
            <w:szCs w:val="22"/>
          </w:rPr>
          <w:tab/>
        </w:r>
        <w:r w:rsidR="00C433C7" w:rsidRPr="00CB590A">
          <w:rPr>
            <w:rStyle w:val="Hyperlink"/>
          </w:rPr>
          <w:t>Causes of delay</w:t>
        </w:r>
        <w:r w:rsidR="00C433C7">
          <w:rPr>
            <w:webHidden/>
          </w:rPr>
          <w:tab/>
        </w:r>
        <w:r w:rsidR="00C433C7">
          <w:rPr>
            <w:webHidden/>
          </w:rPr>
          <w:fldChar w:fldCharType="begin"/>
        </w:r>
        <w:r w:rsidR="00C433C7">
          <w:rPr>
            <w:webHidden/>
          </w:rPr>
          <w:instrText xml:space="preserve"> PAGEREF _Toc470078936 \h </w:instrText>
        </w:r>
        <w:r w:rsidR="00C433C7">
          <w:rPr>
            <w:webHidden/>
          </w:rPr>
        </w:r>
        <w:r w:rsidR="00C433C7">
          <w:rPr>
            <w:webHidden/>
          </w:rPr>
          <w:fldChar w:fldCharType="separate"/>
        </w:r>
        <w:r w:rsidR="00476DED">
          <w:rPr>
            <w:webHidden/>
          </w:rPr>
          <w:t>23</w:t>
        </w:r>
        <w:r w:rsidR="00C433C7">
          <w:rPr>
            <w:webHidden/>
          </w:rPr>
          <w:fldChar w:fldCharType="end"/>
        </w:r>
      </w:hyperlink>
    </w:p>
    <w:p w:rsidR="00C433C7" w:rsidRDefault="006810CD">
      <w:pPr>
        <w:pStyle w:val="TOC1"/>
        <w:rPr>
          <w:noProof/>
          <w:spacing w:val="0"/>
          <w:sz w:val="22"/>
          <w:szCs w:val="22"/>
        </w:rPr>
      </w:pPr>
      <w:hyperlink w:anchor="_Toc470078937" w:history="1">
        <w:r w:rsidR="00C433C7" w:rsidRPr="00CB590A">
          <w:rPr>
            <w:rStyle w:val="Hyperlink"/>
            <w:noProof/>
          </w:rPr>
          <w:t>Appendix D: Cost variables – definitions and data sources</w:t>
        </w:r>
        <w:r w:rsidR="00C433C7">
          <w:rPr>
            <w:noProof/>
            <w:webHidden/>
          </w:rPr>
          <w:tab/>
        </w:r>
        <w:r w:rsidR="00C433C7">
          <w:rPr>
            <w:noProof/>
            <w:webHidden/>
          </w:rPr>
          <w:fldChar w:fldCharType="begin"/>
        </w:r>
        <w:r w:rsidR="00C433C7">
          <w:rPr>
            <w:noProof/>
            <w:webHidden/>
          </w:rPr>
          <w:instrText xml:space="preserve"> PAGEREF _Toc470078937 \h </w:instrText>
        </w:r>
        <w:r w:rsidR="00C433C7">
          <w:rPr>
            <w:noProof/>
            <w:webHidden/>
          </w:rPr>
        </w:r>
        <w:r w:rsidR="00C433C7">
          <w:rPr>
            <w:noProof/>
            <w:webHidden/>
          </w:rPr>
          <w:fldChar w:fldCharType="separate"/>
        </w:r>
        <w:r w:rsidR="00476DED">
          <w:rPr>
            <w:noProof/>
            <w:webHidden/>
          </w:rPr>
          <w:t>28</w:t>
        </w:r>
        <w:r w:rsidR="00C433C7">
          <w:rPr>
            <w:noProof/>
            <w:webHidden/>
          </w:rPr>
          <w:fldChar w:fldCharType="end"/>
        </w:r>
      </w:hyperlink>
    </w:p>
    <w:p w:rsidR="00C433C7" w:rsidRDefault="006810CD">
      <w:pPr>
        <w:pStyle w:val="TOC2"/>
        <w:tabs>
          <w:tab w:val="left" w:pos="1080"/>
        </w:tabs>
        <w:rPr>
          <w:spacing w:val="0"/>
          <w:sz w:val="22"/>
          <w:szCs w:val="22"/>
        </w:rPr>
      </w:pPr>
      <w:hyperlink w:anchor="_Toc470078938" w:history="1">
        <w:r w:rsidR="00C433C7" w:rsidRPr="00CB590A">
          <w:rPr>
            <w:rStyle w:val="Hyperlink"/>
          </w:rPr>
          <w:t xml:space="preserve">D.1 </w:t>
        </w:r>
        <w:r w:rsidR="00C433C7">
          <w:rPr>
            <w:spacing w:val="0"/>
            <w:sz w:val="22"/>
            <w:szCs w:val="22"/>
          </w:rPr>
          <w:tab/>
        </w:r>
        <w:r w:rsidR="00C433C7" w:rsidRPr="00CB590A">
          <w:rPr>
            <w:rStyle w:val="Hyperlink"/>
          </w:rPr>
          <w:t>Unit cost variables</w:t>
        </w:r>
        <w:r w:rsidR="00C433C7">
          <w:rPr>
            <w:webHidden/>
          </w:rPr>
          <w:tab/>
        </w:r>
        <w:r w:rsidR="00C433C7">
          <w:rPr>
            <w:webHidden/>
          </w:rPr>
          <w:fldChar w:fldCharType="begin"/>
        </w:r>
        <w:r w:rsidR="00C433C7">
          <w:rPr>
            <w:webHidden/>
          </w:rPr>
          <w:instrText xml:space="preserve"> PAGEREF _Toc470078938 \h </w:instrText>
        </w:r>
        <w:r w:rsidR="00C433C7">
          <w:rPr>
            <w:webHidden/>
          </w:rPr>
        </w:r>
        <w:r w:rsidR="00C433C7">
          <w:rPr>
            <w:webHidden/>
          </w:rPr>
          <w:fldChar w:fldCharType="separate"/>
        </w:r>
        <w:r w:rsidR="00476DED">
          <w:rPr>
            <w:webHidden/>
          </w:rPr>
          <w:t>28</w:t>
        </w:r>
        <w:r w:rsidR="00C433C7">
          <w:rPr>
            <w:webHidden/>
          </w:rPr>
          <w:fldChar w:fldCharType="end"/>
        </w:r>
      </w:hyperlink>
    </w:p>
    <w:p w:rsidR="00C433C7" w:rsidRDefault="006810CD">
      <w:pPr>
        <w:pStyle w:val="TOC2"/>
        <w:tabs>
          <w:tab w:val="left" w:pos="1080"/>
        </w:tabs>
        <w:rPr>
          <w:spacing w:val="0"/>
          <w:sz w:val="22"/>
          <w:szCs w:val="22"/>
        </w:rPr>
      </w:pPr>
      <w:hyperlink w:anchor="_Toc470078939" w:history="1">
        <w:r w:rsidR="00C433C7" w:rsidRPr="00CB590A">
          <w:rPr>
            <w:rStyle w:val="Hyperlink"/>
          </w:rPr>
          <w:t xml:space="preserve">D.2 </w:t>
        </w:r>
        <w:r w:rsidR="00C433C7">
          <w:rPr>
            <w:spacing w:val="0"/>
            <w:sz w:val="22"/>
            <w:szCs w:val="22"/>
          </w:rPr>
          <w:tab/>
        </w:r>
        <w:r w:rsidR="00C433C7" w:rsidRPr="00CB590A">
          <w:rPr>
            <w:rStyle w:val="Hyperlink"/>
          </w:rPr>
          <w:t>Quantity variables</w:t>
        </w:r>
        <w:r w:rsidR="00C433C7">
          <w:rPr>
            <w:webHidden/>
          </w:rPr>
          <w:tab/>
        </w:r>
        <w:r w:rsidR="00C433C7">
          <w:rPr>
            <w:webHidden/>
          </w:rPr>
          <w:fldChar w:fldCharType="begin"/>
        </w:r>
        <w:r w:rsidR="00C433C7">
          <w:rPr>
            <w:webHidden/>
          </w:rPr>
          <w:instrText xml:space="preserve"> PAGEREF _Toc470078939 \h </w:instrText>
        </w:r>
        <w:r w:rsidR="00C433C7">
          <w:rPr>
            <w:webHidden/>
          </w:rPr>
        </w:r>
        <w:r w:rsidR="00C433C7">
          <w:rPr>
            <w:webHidden/>
          </w:rPr>
          <w:fldChar w:fldCharType="separate"/>
        </w:r>
        <w:r w:rsidR="00476DED">
          <w:rPr>
            <w:webHidden/>
          </w:rPr>
          <w:t>30</w:t>
        </w:r>
        <w:r w:rsidR="00C433C7">
          <w:rPr>
            <w:webHidden/>
          </w:rPr>
          <w:fldChar w:fldCharType="end"/>
        </w:r>
      </w:hyperlink>
    </w:p>
    <w:p w:rsidR="00563527" w:rsidRDefault="00CD3D1B" w:rsidP="00D44953">
      <w:pPr>
        <w:rPr>
          <w:lang w:eastAsia="en-US"/>
        </w:rPr>
      </w:pPr>
      <w:r>
        <w:rPr>
          <w:noProof/>
          <w:color w:val="404040"/>
          <w:sz w:val="28"/>
          <w:szCs w:val="28"/>
          <w:lang w:eastAsia="en-US"/>
        </w:rPr>
        <w:fldChar w:fldCharType="end"/>
      </w:r>
    </w:p>
    <w:p w:rsidR="00CD3D1B" w:rsidRDefault="00CD3D1B" w:rsidP="00D2312F"/>
    <w:p w:rsidR="00FF4E99" w:rsidRDefault="00FF4E99" w:rsidP="00D2312F"/>
    <w:p w:rsidR="00FF4E99" w:rsidRDefault="00FF4E99" w:rsidP="00D2312F">
      <w:pPr>
        <w:sectPr w:rsidR="00FF4E99" w:rsidSect="00CD3D1B">
          <w:headerReference w:type="even" r:id="rId21"/>
          <w:headerReference w:type="default" r:id="rId22"/>
          <w:footerReference w:type="even" r:id="rId23"/>
          <w:footerReference w:type="default" r:id="rId24"/>
          <w:type w:val="oddPage"/>
          <w:pgSz w:w="11906" w:h="16838" w:code="9"/>
          <w:pgMar w:top="2160" w:right="1440" w:bottom="1440" w:left="1440" w:header="706" w:footer="461" w:gutter="0"/>
          <w:pgNumType w:fmt="lowerRoman" w:start="1"/>
          <w:cols w:space="708"/>
          <w:docGrid w:linePitch="360"/>
        </w:sectPr>
      </w:pPr>
    </w:p>
    <w:p w:rsidR="00FF4E99" w:rsidRPr="00E07473" w:rsidRDefault="00E07473" w:rsidP="00E07473">
      <w:pPr>
        <w:pStyle w:val="Heading1"/>
      </w:pPr>
      <w:bookmarkStart w:id="0" w:name="_Toc355267613"/>
      <w:bookmarkStart w:id="1" w:name="_Toc355275824"/>
      <w:bookmarkStart w:id="2" w:name="_Toc358276069"/>
      <w:bookmarkStart w:id="3" w:name="_Toc358282341"/>
      <w:bookmarkStart w:id="4" w:name="_Toc468455405"/>
      <w:bookmarkStart w:id="5" w:name="_Toc470078897"/>
      <w:r w:rsidRPr="00AD2434">
        <w:lastRenderedPageBreak/>
        <w:t xml:space="preserve">Abbreviations and role of </w:t>
      </w:r>
      <w:r>
        <w:t>DTF</w:t>
      </w:r>
      <w:bookmarkEnd w:id="0"/>
      <w:bookmarkEnd w:id="1"/>
      <w:bookmarkEnd w:id="2"/>
      <w:bookmarkEnd w:id="3"/>
      <w:bookmarkEnd w:id="4"/>
      <w:bookmarkEnd w:id="5"/>
    </w:p>
    <w:p w:rsidR="00E07473" w:rsidRPr="00AD2434" w:rsidRDefault="00E07473" w:rsidP="00E07473">
      <w:pPr>
        <w:pStyle w:val="Heading2"/>
      </w:pPr>
      <w:bookmarkStart w:id="6" w:name="_Toc470078898"/>
      <w:r w:rsidRPr="00AD2434">
        <w:t>Abbreviations</w:t>
      </w:r>
      <w:bookmarkEnd w:id="6"/>
    </w:p>
    <w:p w:rsidR="00E07473" w:rsidRPr="00AD2434" w:rsidRDefault="00E07473" w:rsidP="00E07473">
      <w:r w:rsidRPr="00AD2434">
        <w:t>NFP</w:t>
      </w:r>
      <w:r w:rsidRPr="00AD2434">
        <w:tab/>
        <w:t>Not-for-Profit</w:t>
      </w:r>
    </w:p>
    <w:p w:rsidR="00E07473" w:rsidRPr="00AD2434" w:rsidRDefault="00E07473" w:rsidP="00E07473">
      <w:r w:rsidRPr="00AD2434">
        <w:t>RCM</w:t>
      </w:r>
      <w:r w:rsidRPr="00AD2434">
        <w:tab/>
        <w:t>Regulatory Change Measurement</w:t>
      </w:r>
    </w:p>
    <w:p w:rsidR="00E07473" w:rsidRPr="00AD2434" w:rsidRDefault="00E07473" w:rsidP="00E07473">
      <w:r>
        <w:t>DTF</w:t>
      </w:r>
      <w:r w:rsidRPr="00AD2434">
        <w:tab/>
        <w:t>D</w:t>
      </w:r>
      <w:r>
        <w:t xml:space="preserve">epartment of </w:t>
      </w:r>
      <w:r w:rsidRPr="00AD2434">
        <w:t>T</w:t>
      </w:r>
      <w:r>
        <w:t xml:space="preserve">reasury and </w:t>
      </w:r>
      <w:r w:rsidRPr="00AD2434">
        <w:t>F</w:t>
      </w:r>
      <w:r>
        <w:t>inance</w:t>
      </w:r>
    </w:p>
    <w:p w:rsidR="00E07473" w:rsidRPr="00AD2434" w:rsidRDefault="00E07473" w:rsidP="00E07473"/>
    <w:p w:rsidR="00CB3976" w:rsidRDefault="00E07473" w:rsidP="00E07473">
      <w:pPr>
        <w:pStyle w:val="Heading2"/>
      </w:pPr>
      <w:bookmarkStart w:id="7" w:name="_Toc470078899"/>
      <w:r w:rsidRPr="00AD2434">
        <w:t xml:space="preserve">Role of </w:t>
      </w:r>
      <w:r>
        <w:t>DTF</w:t>
      </w:r>
      <w:r w:rsidRPr="00AD2434">
        <w:t xml:space="preserve"> and contact details</w:t>
      </w:r>
      <w:bookmarkEnd w:id="7"/>
    </w:p>
    <w:p w:rsidR="00E07473" w:rsidRDefault="00E07473" w:rsidP="00E07473">
      <w:r>
        <w:t xml:space="preserve">The Economic Policy Group of the Department of Treasury and Finance (DTF) manages the Victorian Government’s </w:t>
      </w:r>
      <w:r w:rsidR="00E918CF">
        <w:t>Regulation Reform</w:t>
      </w:r>
      <w:r>
        <w:t xml:space="preserve"> Program. As part of this role, DTF provides guidance to departments in preparing Regulatory Change Measurement (RCM) calculations to measure red tape savings.</w:t>
      </w:r>
    </w:p>
    <w:p w:rsidR="00E07473" w:rsidRDefault="00E07473" w:rsidP="00E07473"/>
    <w:p w:rsidR="00E07473" w:rsidRPr="003C2D3C" w:rsidRDefault="00E07473" w:rsidP="00E07473">
      <w:pPr>
        <w:pStyle w:val="Heading4"/>
      </w:pPr>
      <w:r>
        <w:t>DTF</w:t>
      </w:r>
      <w:r w:rsidRPr="003C2D3C">
        <w:t xml:space="preserve"> contact details: </w:t>
      </w:r>
    </w:p>
    <w:p w:rsidR="00E07473" w:rsidRPr="00321A7D" w:rsidRDefault="00E918CF" w:rsidP="00E07473">
      <w:r>
        <w:t>Email</w:t>
      </w:r>
      <w:r w:rsidR="00E07473" w:rsidRPr="00321A7D">
        <w:t xml:space="preserve">: </w:t>
      </w:r>
      <w:r>
        <w:t>chris.archer@dtf.vic.gov.au</w:t>
      </w:r>
      <w:r w:rsidR="00E07473" w:rsidRPr="00321A7D">
        <w:tab/>
        <w:t xml:space="preserve">   </w:t>
      </w:r>
    </w:p>
    <w:p w:rsidR="00E07473" w:rsidRDefault="00E07473" w:rsidP="00E07473">
      <w:proofErr w:type="spellStart"/>
      <w:r w:rsidRPr="00321A7D">
        <w:t>Ph</w:t>
      </w:r>
      <w:proofErr w:type="spellEnd"/>
      <w:r w:rsidRPr="00321A7D">
        <w:t xml:space="preserve">: (03) 9651 </w:t>
      </w:r>
      <w:r w:rsidR="00E918CF">
        <w:t>1127</w:t>
      </w:r>
    </w:p>
    <w:p w:rsidR="00E07473" w:rsidRDefault="00E07473">
      <w:pPr>
        <w:spacing w:before="0" w:after="200"/>
      </w:pPr>
    </w:p>
    <w:p w:rsidR="00E07473" w:rsidRDefault="00E07473">
      <w:pPr>
        <w:spacing w:before="0" w:after="200"/>
      </w:pPr>
      <w:r>
        <w:br w:type="page"/>
      </w:r>
    </w:p>
    <w:p w:rsidR="00062F84" w:rsidRPr="00AD2434" w:rsidRDefault="00062F84" w:rsidP="00062F84">
      <w:pPr>
        <w:pStyle w:val="Heading1numbered"/>
      </w:pPr>
      <w:bookmarkStart w:id="8" w:name="_Toc332962668"/>
      <w:bookmarkStart w:id="9" w:name="_Toc334778947"/>
      <w:bookmarkStart w:id="10" w:name="_Toc332962671"/>
      <w:bookmarkStart w:id="11" w:name="_Toc334778950"/>
      <w:bookmarkStart w:id="12" w:name="_Toc332962672"/>
      <w:bookmarkStart w:id="13" w:name="_Toc334778951"/>
      <w:bookmarkStart w:id="14" w:name="_Toc332962673"/>
      <w:bookmarkStart w:id="15" w:name="_Toc334778952"/>
      <w:bookmarkStart w:id="16" w:name="_Toc332962674"/>
      <w:bookmarkStart w:id="17" w:name="_Toc334778953"/>
      <w:bookmarkStart w:id="18" w:name="_Toc355267614"/>
      <w:bookmarkStart w:id="19" w:name="_Toc355275825"/>
      <w:bookmarkStart w:id="20" w:name="_Toc358276070"/>
      <w:bookmarkStart w:id="21" w:name="_Toc358282342"/>
      <w:bookmarkStart w:id="22" w:name="_Toc468455406"/>
      <w:bookmarkStart w:id="23" w:name="_Toc470078900"/>
      <w:bookmarkEnd w:id="8"/>
      <w:bookmarkEnd w:id="9"/>
      <w:bookmarkEnd w:id="10"/>
      <w:bookmarkEnd w:id="11"/>
      <w:bookmarkEnd w:id="12"/>
      <w:bookmarkEnd w:id="13"/>
      <w:bookmarkEnd w:id="14"/>
      <w:bookmarkEnd w:id="15"/>
      <w:bookmarkEnd w:id="16"/>
      <w:bookmarkEnd w:id="17"/>
      <w:r>
        <w:lastRenderedPageBreak/>
        <w:t>Introduction</w:t>
      </w:r>
      <w:bookmarkEnd w:id="18"/>
      <w:bookmarkEnd w:id="19"/>
      <w:bookmarkEnd w:id="20"/>
      <w:bookmarkEnd w:id="21"/>
      <w:bookmarkEnd w:id="22"/>
      <w:bookmarkEnd w:id="23"/>
    </w:p>
    <w:p w:rsidR="00062F84" w:rsidRDefault="00062F84" w:rsidP="00062F84">
      <w:pPr>
        <w:pStyle w:val="Heading2numbered"/>
      </w:pPr>
      <w:bookmarkStart w:id="24" w:name="_Toc355267615"/>
      <w:bookmarkStart w:id="25" w:name="_Toc355275826"/>
      <w:bookmarkStart w:id="26" w:name="_Toc358276071"/>
      <w:bookmarkStart w:id="27" w:name="_Toc358282343"/>
      <w:bookmarkStart w:id="28" w:name="_Toc361909642"/>
      <w:bookmarkStart w:id="29" w:name="_Toc468455407"/>
      <w:bookmarkStart w:id="30" w:name="_Toc470078901"/>
      <w:r>
        <w:t>Purpose</w:t>
      </w:r>
      <w:bookmarkEnd w:id="24"/>
      <w:bookmarkEnd w:id="25"/>
      <w:bookmarkEnd w:id="26"/>
      <w:bookmarkEnd w:id="27"/>
      <w:bookmarkEnd w:id="28"/>
      <w:bookmarkEnd w:id="29"/>
      <w:bookmarkEnd w:id="30"/>
    </w:p>
    <w:p w:rsidR="00062F84" w:rsidRDefault="00062F84" w:rsidP="00062F84">
      <w:pPr>
        <w:pStyle w:val="NormalIndent"/>
      </w:pPr>
      <w:r w:rsidRPr="003E7D1D">
        <w:t>This manual provides a straightforward and consistent approach for agencies to use in measuring the impact of changes in regulatory requirements and processes</w:t>
      </w:r>
      <w:r>
        <w:t xml:space="preserve">.  One key use is to measure the </w:t>
      </w:r>
      <w:r w:rsidRPr="003E7D1D">
        <w:t>contributi</w:t>
      </w:r>
      <w:r>
        <w:t>o</w:t>
      </w:r>
      <w:r w:rsidRPr="003E7D1D">
        <w:t>n</w:t>
      </w:r>
      <w:r>
        <w:t xml:space="preserve"> of regulatory changes </w:t>
      </w:r>
      <w:r w:rsidRPr="003E7D1D">
        <w:t xml:space="preserve">to </w:t>
      </w:r>
      <w:r>
        <w:t xml:space="preserve">the </w:t>
      </w:r>
      <w:r w:rsidRPr="003E7D1D">
        <w:t>Government’s red tape target.</w:t>
      </w:r>
    </w:p>
    <w:p w:rsidR="00062F84" w:rsidRPr="008D3D5A" w:rsidRDefault="00062F84" w:rsidP="004D73A0">
      <w:pPr>
        <w:pStyle w:val="NormalIndent"/>
      </w:pPr>
      <w:r w:rsidRPr="00581FEE">
        <w:t xml:space="preserve">The </w:t>
      </w:r>
      <w:r>
        <w:t xml:space="preserve">Victorian </w:t>
      </w:r>
      <w:r w:rsidRPr="00581FEE">
        <w:t xml:space="preserve">Government’s </w:t>
      </w:r>
      <w:r w:rsidR="00E918CF">
        <w:t>Regulation Reform</w:t>
      </w:r>
      <w:r>
        <w:t xml:space="preserve"> Program aims to cut red tape associated with the stock of November 2014 regulation by 25 per cent.  The 25 per cent reduction in annual costs associated with regulatory requirements </w:t>
      </w:r>
      <w:r w:rsidR="004D73A0">
        <w:t>is to be delivered by November </w:t>
      </w:r>
      <w:r>
        <w:t>2018.</w:t>
      </w:r>
    </w:p>
    <w:p w:rsidR="00062F84" w:rsidRPr="00AD2434" w:rsidRDefault="00062F84" w:rsidP="00062F84">
      <w:pPr>
        <w:pStyle w:val="Heading2numbered"/>
      </w:pPr>
      <w:bookmarkStart w:id="31" w:name="_Toc355267616"/>
      <w:bookmarkStart w:id="32" w:name="_Toc355275827"/>
      <w:bookmarkStart w:id="33" w:name="_Toc358276072"/>
      <w:bookmarkStart w:id="34" w:name="_Toc358282344"/>
      <w:bookmarkStart w:id="35" w:name="_Toc468455408"/>
      <w:bookmarkStart w:id="36" w:name="_Toc470078902"/>
      <w:r>
        <w:t>What is a regulatory change?</w:t>
      </w:r>
      <w:bookmarkEnd w:id="31"/>
      <w:bookmarkEnd w:id="32"/>
      <w:bookmarkEnd w:id="33"/>
      <w:bookmarkEnd w:id="34"/>
      <w:bookmarkEnd w:id="35"/>
      <w:bookmarkEnd w:id="36"/>
      <w:r>
        <w:t xml:space="preserve"> </w:t>
      </w:r>
    </w:p>
    <w:p w:rsidR="00062F84" w:rsidRDefault="00062F84" w:rsidP="00062F84">
      <w:pPr>
        <w:pStyle w:val="NormalIndent"/>
      </w:pPr>
      <w:bookmarkStart w:id="37" w:name="_Toc311639069"/>
      <w:bookmarkStart w:id="38" w:name="_Toc311532055"/>
      <w:bookmarkStart w:id="39" w:name="_Toc311639073"/>
      <w:bookmarkStart w:id="40" w:name="_Toc311532056"/>
      <w:bookmarkStart w:id="41" w:name="_Toc311639074"/>
      <w:bookmarkStart w:id="42" w:name="_Toc311532057"/>
      <w:bookmarkStart w:id="43" w:name="_Toc311639075"/>
      <w:bookmarkStart w:id="44" w:name="_Toc311532059"/>
      <w:bookmarkStart w:id="45" w:name="_Toc311639077"/>
      <w:bookmarkStart w:id="46" w:name="_Toc311532061"/>
      <w:bookmarkStart w:id="47" w:name="_Toc311639079"/>
      <w:bookmarkStart w:id="48" w:name="_Toc311532078"/>
      <w:bookmarkStart w:id="49" w:name="_Toc311639096"/>
      <w:bookmarkStart w:id="50" w:name="_Toc311532080"/>
      <w:bookmarkStart w:id="51" w:name="_Toc311639098"/>
      <w:bookmarkStart w:id="52" w:name="_Toc311532081"/>
      <w:bookmarkStart w:id="53" w:name="_Toc311639099"/>
      <w:bookmarkStart w:id="54" w:name="_Toc311532084"/>
      <w:bookmarkStart w:id="55" w:name="_Toc311639102"/>
      <w:bookmarkStart w:id="56" w:name="_Toc311532086"/>
      <w:bookmarkStart w:id="57" w:name="_Toc311639104"/>
      <w:bookmarkStart w:id="58" w:name="_Toc311532088"/>
      <w:bookmarkStart w:id="59" w:name="_Toc311639106"/>
      <w:bookmarkStart w:id="60" w:name="_Toc311532089"/>
      <w:bookmarkStart w:id="61" w:name="_Toc311639107"/>
      <w:bookmarkStart w:id="62" w:name="_Toc311532090"/>
      <w:bookmarkStart w:id="63" w:name="_Toc311639108"/>
      <w:bookmarkStart w:id="64" w:name="_Toc311532092"/>
      <w:bookmarkStart w:id="65" w:name="_Toc311639110"/>
      <w:bookmarkStart w:id="66" w:name="_Toc311532093"/>
      <w:bookmarkStart w:id="67" w:name="_Toc311639111"/>
      <w:bookmarkStart w:id="68" w:name="_Toc311532094"/>
      <w:bookmarkStart w:id="69" w:name="_Toc311639112"/>
      <w:bookmarkStart w:id="70" w:name="_Toc311532095"/>
      <w:bookmarkStart w:id="71" w:name="_Toc31163911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A regulatory change occurs when legally enforceable business or community obligations are introduced, amended or removed. Examples of regulatory changes include:</w:t>
      </w:r>
    </w:p>
    <w:p w:rsidR="00062F84" w:rsidRDefault="00062F84" w:rsidP="00062F84">
      <w:pPr>
        <w:pStyle w:val="Bulletindent"/>
      </w:pPr>
      <w:r>
        <w:t>introducing, or removing, a requirement for parties to seek approval to undertake an activity;</w:t>
      </w:r>
    </w:p>
    <w:p w:rsidR="00062F84" w:rsidRDefault="00062F84" w:rsidP="00062F84">
      <w:pPr>
        <w:pStyle w:val="Bulletindent"/>
      </w:pPr>
      <w:r>
        <w:t>changing the monetary threshold from which a regulatory obligation will apply (such as the need to obtain a certificate of compliance if revenues are greater than $x); and</w:t>
      </w:r>
    </w:p>
    <w:p w:rsidR="00062F84" w:rsidRDefault="00062F84" w:rsidP="00062F84">
      <w:pPr>
        <w:pStyle w:val="Bulletindent"/>
      </w:pPr>
      <w:r>
        <w:t>changing the frequency of reporting to the State Government.</w:t>
      </w:r>
    </w:p>
    <w:p w:rsidR="00062F84" w:rsidRDefault="00062F84" w:rsidP="00062F84">
      <w:pPr>
        <w:pStyle w:val="NormalIndent"/>
      </w:pPr>
      <w:r>
        <w:t>A regulatory change also includes amendments to government administrative processes that support regulatory obligations. Such changes include:</w:t>
      </w:r>
    </w:p>
    <w:p w:rsidR="00062F84" w:rsidRDefault="00062F84" w:rsidP="00062F84">
      <w:pPr>
        <w:pStyle w:val="Bulletindent"/>
      </w:pPr>
      <w:r>
        <w:t>introducing an information technology solution that makes it easier for business and the community to comply with regulatory requirements; or</w:t>
      </w:r>
    </w:p>
    <w:p w:rsidR="00062F84" w:rsidRDefault="00062F84" w:rsidP="00062F84">
      <w:pPr>
        <w:pStyle w:val="Bulletindent"/>
      </w:pPr>
      <w:r>
        <w:t xml:space="preserve">streamlining internal approval processes to reduce the time taken for businesses to obtain government approval to undertake a regulated activity. </w:t>
      </w:r>
    </w:p>
    <w:p w:rsidR="00062F84" w:rsidRDefault="00062F84" w:rsidP="00062F84">
      <w:pPr>
        <w:pStyle w:val="NormalIndent"/>
      </w:pPr>
      <w:r>
        <w:t>Changes in government administrative processes that cannot be linked to legally enforceable obligations are not considered a regulatory change and do not count towards the Government’s red tape target.</w:t>
      </w:r>
    </w:p>
    <w:p w:rsidR="00062F84" w:rsidRPr="00EA3DE3" w:rsidRDefault="00062F84" w:rsidP="00062F84">
      <w:pPr>
        <w:pStyle w:val="NormalIndent"/>
        <w:rPr>
          <w:rStyle w:val="BookTitle"/>
        </w:rPr>
      </w:pPr>
      <w:r w:rsidRPr="005A3E25">
        <w:t xml:space="preserve">A regulatory change takes effect (or is implemented) when businesses or other entities </w:t>
      </w:r>
      <w:r w:rsidRPr="00851065">
        <w:rPr>
          <w:i/>
        </w:rPr>
        <w:t>experience</w:t>
      </w:r>
      <w:r w:rsidRPr="005A3E25">
        <w:t xml:space="preserve"> the regulatory change.</w:t>
      </w:r>
      <w:r>
        <w:t xml:space="preserve"> This is not necessarily the same date on which the legislation or regulation takes effect. </w:t>
      </w:r>
    </w:p>
    <w:p w:rsidR="00062F84" w:rsidRDefault="00062F84" w:rsidP="00062F84">
      <w:pPr>
        <w:pStyle w:val="Heading2numbered"/>
      </w:pPr>
      <w:bookmarkStart w:id="72" w:name="_Toc355267617"/>
      <w:bookmarkStart w:id="73" w:name="_Toc355275828"/>
      <w:bookmarkStart w:id="74" w:name="_Toc358276073"/>
      <w:bookmarkStart w:id="75" w:name="_Toc358282345"/>
      <w:bookmarkStart w:id="76" w:name="_Toc468455409"/>
      <w:bookmarkStart w:id="77" w:name="_Toc470078903"/>
      <w:r>
        <w:t>What is a Regulatory Change Measurement?</w:t>
      </w:r>
      <w:bookmarkEnd w:id="72"/>
      <w:bookmarkEnd w:id="73"/>
      <w:bookmarkEnd w:id="74"/>
      <w:bookmarkEnd w:id="75"/>
      <w:bookmarkEnd w:id="76"/>
      <w:bookmarkEnd w:id="77"/>
    </w:p>
    <w:p w:rsidR="00062F84" w:rsidRDefault="00062F84" w:rsidP="004D73A0">
      <w:pPr>
        <w:pStyle w:val="NormalIndent"/>
      </w:pPr>
      <w:r>
        <w:t>A Regulatory Change Measurement (RCM) calculation is a credible, indicative estimate of the reduction in cost to business and the community from a regulatory change. The estimate of the cost reduction is also known as the red tape saving.</w:t>
      </w:r>
    </w:p>
    <w:p w:rsidR="00062F84" w:rsidRDefault="00062F84" w:rsidP="004D73A0">
      <w:pPr>
        <w:pStyle w:val="NormalIndent"/>
      </w:pPr>
      <w:r>
        <w:t>A</w:t>
      </w:r>
      <w:r w:rsidRPr="00F079F5">
        <w:t xml:space="preserve">n RCM </w:t>
      </w:r>
      <w:r>
        <w:t xml:space="preserve">is </w:t>
      </w:r>
      <w:r w:rsidRPr="00F079F5">
        <w:t>to be completed for any red tape saving</w:t>
      </w:r>
      <w:r>
        <w:t xml:space="preserve"> above $2</w:t>
      </w:r>
      <w:r w:rsidR="004D73A0">
        <w:t> million</w:t>
      </w:r>
      <w:r>
        <w:t xml:space="preserve"> and</w:t>
      </w:r>
      <w:r w:rsidRPr="00F079F5">
        <w:t xml:space="preserve"> </w:t>
      </w:r>
      <w:r>
        <w:t xml:space="preserve">is </w:t>
      </w:r>
      <w:r w:rsidRPr="00F079F5">
        <w:t xml:space="preserve">included as part of the Government’s </w:t>
      </w:r>
      <w:r>
        <w:t xml:space="preserve">regular progress reporting on the </w:t>
      </w:r>
      <w:r w:rsidR="00E918CF">
        <w:t>Regulation Reform</w:t>
      </w:r>
      <w:r w:rsidRPr="00F079F5">
        <w:t xml:space="preserve"> Program.</w:t>
      </w:r>
    </w:p>
    <w:p w:rsidR="00062F84" w:rsidRDefault="00062F84" w:rsidP="00062F84">
      <w:pPr>
        <w:pStyle w:val="Heading2numbered"/>
      </w:pPr>
      <w:bookmarkStart w:id="78" w:name="_Toc355267618"/>
      <w:bookmarkStart w:id="79" w:name="_Toc355275829"/>
      <w:bookmarkStart w:id="80" w:name="_Toc358276074"/>
      <w:bookmarkStart w:id="81" w:name="_Toc358282346"/>
      <w:bookmarkStart w:id="82" w:name="_Toc468455410"/>
      <w:bookmarkStart w:id="83" w:name="_Toc470078904"/>
      <w:r>
        <w:lastRenderedPageBreak/>
        <w:t>The proportionality principle</w:t>
      </w:r>
      <w:bookmarkEnd w:id="78"/>
      <w:bookmarkEnd w:id="79"/>
      <w:bookmarkEnd w:id="80"/>
      <w:bookmarkEnd w:id="81"/>
      <w:bookmarkEnd w:id="82"/>
      <w:bookmarkEnd w:id="83"/>
    </w:p>
    <w:p w:rsidR="00062F84" w:rsidRDefault="00062F84" w:rsidP="004D73A0">
      <w:pPr>
        <w:pStyle w:val="NormalIndent"/>
      </w:pPr>
      <w:r>
        <w:t>The complexity and depth of analysis underpinning a RCM should be proportionate to the magnitude of red tape savings being measured. Measurements are expected to be indicative of the red tape reduction and not overly precise when this requires significant additional, and potentially costly, extra work.</w:t>
      </w:r>
    </w:p>
    <w:p w:rsidR="00062F84" w:rsidRDefault="00062F84" w:rsidP="004D73A0">
      <w:pPr>
        <w:pStyle w:val="NormalIndent"/>
      </w:pPr>
      <w:r>
        <w:t>To ensure that proportionality is applied, the following principles should be considered:</w:t>
      </w:r>
    </w:p>
    <w:p w:rsidR="00062F84" w:rsidRDefault="00062F84" w:rsidP="004D73A0">
      <w:pPr>
        <w:pStyle w:val="Bulletindent"/>
      </w:pPr>
      <w:r w:rsidRPr="00AB3AF0">
        <w:rPr>
          <w:b/>
        </w:rPr>
        <w:t>Treatment of uncertainty</w:t>
      </w:r>
      <w:r w:rsidRPr="00E576F4">
        <w:t xml:space="preserve">: </w:t>
      </w:r>
      <w:r w:rsidRPr="00A55EA4">
        <w:t>Where sufficient information does not exist</w:t>
      </w:r>
      <w:r>
        <w:t>, or is too costly to obtain</w:t>
      </w:r>
      <w:r w:rsidRPr="00A55EA4">
        <w:t xml:space="preserve">, </w:t>
      </w:r>
      <w:r>
        <w:t>reasonable</w:t>
      </w:r>
      <w:r w:rsidRPr="00A55EA4">
        <w:t xml:space="preserve"> assumptions should be made about </w:t>
      </w:r>
      <w:r>
        <w:t>the</w:t>
      </w:r>
      <w:r w:rsidRPr="00A55EA4">
        <w:t xml:space="preserve"> data. For </w:t>
      </w:r>
      <w:r>
        <w:t>exampl</w:t>
      </w:r>
      <w:r w:rsidRPr="00A55EA4">
        <w:t>e, estimates may rely on proxy data</w:t>
      </w:r>
      <w:r>
        <w:t xml:space="preserve"> or similar studies in other jurisdictions. I</w:t>
      </w:r>
      <w:r w:rsidRPr="00A55EA4">
        <w:t>t may also be appropriate to presen</w:t>
      </w:r>
      <w:r>
        <w:t xml:space="preserve">t savings as </w:t>
      </w:r>
      <w:r w:rsidRPr="00A55EA4">
        <w:t>a range</w:t>
      </w:r>
      <w:r w:rsidRPr="00AD2434">
        <w:t>.</w:t>
      </w:r>
    </w:p>
    <w:p w:rsidR="00062F84" w:rsidRDefault="00062F84" w:rsidP="004D73A0">
      <w:pPr>
        <w:pStyle w:val="Bulletindent"/>
      </w:pPr>
      <w:r w:rsidRPr="00AB3AF0">
        <w:rPr>
          <w:b/>
        </w:rPr>
        <w:t>Transparency of assumptions</w:t>
      </w:r>
      <w:r w:rsidRPr="00E576F4">
        <w:t>:</w:t>
      </w:r>
      <w:r w:rsidRPr="00AD2434">
        <w:t xml:space="preserve"> Assumptions </w:t>
      </w:r>
      <w:r>
        <w:t xml:space="preserve">used in a RCM </w:t>
      </w:r>
      <w:r w:rsidRPr="00AD2434">
        <w:t xml:space="preserve">should be </w:t>
      </w:r>
      <w:r>
        <w:t xml:space="preserve">appropriately </w:t>
      </w:r>
      <w:r w:rsidRPr="00AD2434">
        <w:t xml:space="preserve">documented </w:t>
      </w:r>
      <w:r>
        <w:t>and referenced</w:t>
      </w:r>
      <w:r w:rsidRPr="00AD2434">
        <w:t xml:space="preserve">. This will </w:t>
      </w:r>
      <w:r>
        <w:t>allow</w:t>
      </w:r>
      <w:r w:rsidRPr="00AD2434">
        <w:t xml:space="preserve"> </w:t>
      </w:r>
      <w:r>
        <w:t>the</w:t>
      </w:r>
      <w:r w:rsidRPr="00AD2434">
        <w:t xml:space="preserve"> reader of </w:t>
      </w:r>
      <w:r>
        <w:t>an</w:t>
      </w:r>
      <w:r w:rsidRPr="00AD2434">
        <w:t xml:space="preserve"> RCM report </w:t>
      </w:r>
      <w:r>
        <w:t>to</w:t>
      </w:r>
      <w:r w:rsidRPr="00AD2434">
        <w:t xml:space="preserve"> understand the </w:t>
      </w:r>
      <w:r>
        <w:t>calculations underpinning the red tape reduction measurement</w:t>
      </w:r>
      <w:r w:rsidRPr="00AD2434">
        <w:t>.</w:t>
      </w:r>
    </w:p>
    <w:p w:rsidR="00062F84" w:rsidRPr="00AB7C13" w:rsidRDefault="00062F84" w:rsidP="004D73A0">
      <w:pPr>
        <w:pStyle w:val="NormalIndent"/>
      </w:pPr>
      <w:r>
        <w:t>Table 1 provides an overview of the different requirements for RCMs for different estimated annual red tape savings.</w:t>
      </w:r>
    </w:p>
    <w:p w:rsidR="00062F84" w:rsidRDefault="00062F84" w:rsidP="004D73A0">
      <w:pPr>
        <w:pStyle w:val="Tablechartdiagramheadingindent"/>
      </w:pPr>
      <w:r w:rsidRPr="009D3FF6">
        <w:t xml:space="preserve">Table </w:t>
      </w:r>
      <w:r>
        <w:t>1</w:t>
      </w:r>
      <w:r w:rsidRPr="009D3FF6">
        <w:t xml:space="preserve">: </w:t>
      </w:r>
      <w:r>
        <w:t xml:space="preserve">Proportional </w:t>
      </w:r>
      <w:r w:rsidR="004D73A0">
        <w:t xml:space="preserve">approach </w:t>
      </w:r>
      <w:r>
        <w:t>to RCMs</w:t>
      </w:r>
    </w:p>
    <w:tbl>
      <w:tblPr>
        <w:tblStyle w:val="DTFtexttableindent"/>
        <w:tblW w:w="0" w:type="auto"/>
        <w:tblLook w:val="0620" w:firstRow="1" w:lastRow="0" w:firstColumn="0" w:lastColumn="0" w:noHBand="1" w:noVBand="1"/>
      </w:tblPr>
      <w:tblGrid>
        <w:gridCol w:w="3855"/>
        <w:gridCol w:w="4280"/>
      </w:tblGrid>
      <w:tr w:rsidR="00062F84" w:rsidRPr="00876C03" w:rsidTr="004D73A0">
        <w:trPr>
          <w:cnfStyle w:val="100000000000" w:firstRow="1" w:lastRow="0" w:firstColumn="0" w:lastColumn="0" w:oddVBand="0" w:evenVBand="0" w:oddHBand="0" w:evenHBand="0" w:firstRowFirstColumn="0" w:firstRowLastColumn="0" w:lastRowFirstColumn="0" w:lastRowLastColumn="0"/>
        </w:trPr>
        <w:tc>
          <w:tcPr>
            <w:tcW w:w="3855" w:type="dxa"/>
          </w:tcPr>
          <w:p w:rsidR="00062F84" w:rsidRPr="00876C03" w:rsidRDefault="00062F84" w:rsidP="004D73A0">
            <w:pPr>
              <w:pStyle w:val="Tableheader"/>
            </w:pPr>
            <w:r w:rsidRPr="00876C03">
              <w:t xml:space="preserve">Estimated </w:t>
            </w:r>
            <w:r w:rsidR="004D73A0" w:rsidRPr="00876C03">
              <w:t>annual red tape savings</w:t>
            </w:r>
          </w:p>
        </w:tc>
        <w:tc>
          <w:tcPr>
            <w:tcW w:w="4280" w:type="dxa"/>
          </w:tcPr>
          <w:p w:rsidR="00062F84" w:rsidRPr="00876C03" w:rsidRDefault="00062F84" w:rsidP="004D73A0">
            <w:pPr>
              <w:pStyle w:val="Tableheader"/>
            </w:pPr>
            <w:r w:rsidRPr="00876C03">
              <w:t xml:space="preserve">RCM </w:t>
            </w:r>
            <w:r w:rsidR="004D73A0" w:rsidRPr="00876C03">
              <w:t>requirements</w:t>
            </w:r>
          </w:p>
        </w:tc>
      </w:tr>
      <w:tr w:rsidR="00062F84" w:rsidTr="004D73A0">
        <w:tc>
          <w:tcPr>
            <w:tcW w:w="3855" w:type="dxa"/>
          </w:tcPr>
          <w:p w:rsidR="00062F84" w:rsidRDefault="00062F84" w:rsidP="004D73A0">
            <w:pPr>
              <w:pStyle w:val="Tabletext"/>
            </w:pPr>
            <w:r>
              <w:t>Less than $2</w:t>
            </w:r>
            <w:r w:rsidR="004D73A0">
              <w:t> million</w:t>
            </w:r>
            <w:r>
              <w:t xml:space="preserve"> in savings</w:t>
            </w:r>
          </w:p>
        </w:tc>
        <w:tc>
          <w:tcPr>
            <w:tcW w:w="4280" w:type="dxa"/>
          </w:tcPr>
          <w:p w:rsidR="00062F84" w:rsidRDefault="00062F84" w:rsidP="004D73A0">
            <w:pPr>
              <w:pStyle w:val="Tabletext"/>
            </w:pPr>
            <w:r>
              <w:t xml:space="preserve">RCM </w:t>
            </w:r>
            <w:r w:rsidRPr="004D73A0">
              <w:rPr>
                <w:b/>
              </w:rPr>
              <w:t>not</w:t>
            </w:r>
            <w:r>
              <w:t xml:space="preserve"> required.</w:t>
            </w:r>
          </w:p>
          <w:p w:rsidR="00062F84" w:rsidRDefault="00062F84" w:rsidP="004D73A0">
            <w:pPr>
              <w:pStyle w:val="Tabletext"/>
            </w:pPr>
            <w:r>
              <w:t>However, a basic assessment of the impact, including a cost saving estimate, is required to be submitted to DTF.</w:t>
            </w:r>
          </w:p>
          <w:p w:rsidR="00062F84" w:rsidRDefault="00062F84" w:rsidP="004D73A0">
            <w:pPr>
              <w:pStyle w:val="Tabletext"/>
            </w:pPr>
            <w:r>
              <w:t>Basic assessment will not be published.</w:t>
            </w:r>
          </w:p>
        </w:tc>
      </w:tr>
      <w:tr w:rsidR="00062F84" w:rsidTr="004D73A0">
        <w:tc>
          <w:tcPr>
            <w:tcW w:w="3855" w:type="dxa"/>
          </w:tcPr>
          <w:p w:rsidR="00062F84" w:rsidRDefault="00062F84" w:rsidP="004D73A0">
            <w:pPr>
              <w:pStyle w:val="Tabletext"/>
            </w:pPr>
            <w:r>
              <w:t>$2</w:t>
            </w:r>
            <w:r w:rsidR="004D73A0">
              <w:t> million</w:t>
            </w:r>
            <w:r>
              <w:t xml:space="preserve"> up to $5</w:t>
            </w:r>
            <w:r w:rsidR="004D73A0">
              <w:t> million</w:t>
            </w:r>
            <w:r>
              <w:t xml:space="preserve"> in savings</w:t>
            </w:r>
          </w:p>
        </w:tc>
        <w:tc>
          <w:tcPr>
            <w:tcW w:w="4280" w:type="dxa"/>
          </w:tcPr>
          <w:p w:rsidR="00062F84" w:rsidRDefault="00062F84" w:rsidP="004D73A0">
            <w:pPr>
              <w:pStyle w:val="Tabletext"/>
            </w:pPr>
            <w:r>
              <w:t>RCM required.</w:t>
            </w:r>
          </w:p>
          <w:p w:rsidR="00062F84" w:rsidRDefault="00062F84" w:rsidP="004D73A0">
            <w:pPr>
              <w:pStyle w:val="Tabletext"/>
            </w:pPr>
            <w:r>
              <w:t>Consultation with the affected sector not required where the department can substantiate the savings measurement, or assumptions underpinning it, with an applicable existing study or resource.</w:t>
            </w:r>
          </w:p>
          <w:p w:rsidR="00062F84" w:rsidRDefault="00062F84" w:rsidP="004D73A0">
            <w:pPr>
              <w:pStyle w:val="Tabletext"/>
            </w:pPr>
            <w:r w:rsidRPr="00024105">
              <w:t>RCM should be published</w:t>
            </w:r>
            <w:r>
              <w:t>.</w:t>
            </w:r>
          </w:p>
        </w:tc>
      </w:tr>
      <w:tr w:rsidR="00062F84" w:rsidTr="004D73A0">
        <w:tc>
          <w:tcPr>
            <w:tcW w:w="3855" w:type="dxa"/>
          </w:tcPr>
          <w:p w:rsidR="00062F84" w:rsidRDefault="00062F84" w:rsidP="004D73A0">
            <w:pPr>
              <w:pStyle w:val="Tabletext"/>
            </w:pPr>
            <w:r>
              <w:t>$5</w:t>
            </w:r>
            <w:r w:rsidR="004D73A0">
              <w:t> million</w:t>
            </w:r>
            <w:r>
              <w:t xml:space="preserve"> and over in savings</w:t>
            </w:r>
          </w:p>
        </w:tc>
        <w:tc>
          <w:tcPr>
            <w:tcW w:w="4280" w:type="dxa"/>
          </w:tcPr>
          <w:p w:rsidR="00062F84" w:rsidRDefault="00062F84" w:rsidP="004D73A0">
            <w:pPr>
              <w:pStyle w:val="Tabletext"/>
            </w:pPr>
            <w:r>
              <w:t>RCM required.</w:t>
            </w:r>
          </w:p>
          <w:p w:rsidR="00062F84" w:rsidRDefault="00062F84" w:rsidP="004D73A0">
            <w:pPr>
              <w:pStyle w:val="Tabletext"/>
            </w:pPr>
            <w:r>
              <w:t>Consultation with the affected sector required.</w:t>
            </w:r>
          </w:p>
          <w:p w:rsidR="00062F84" w:rsidRDefault="00062F84" w:rsidP="004D73A0">
            <w:pPr>
              <w:pStyle w:val="Tabletext"/>
            </w:pPr>
            <w:r w:rsidRPr="00024105">
              <w:t>RCM should be published</w:t>
            </w:r>
            <w:r>
              <w:t>.</w:t>
            </w:r>
          </w:p>
        </w:tc>
      </w:tr>
    </w:tbl>
    <w:p w:rsidR="00062F84" w:rsidRDefault="00062F84" w:rsidP="004D73A0">
      <w:pPr>
        <w:pStyle w:val="Spacer"/>
      </w:pPr>
    </w:p>
    <w:p w:rsidR="00062F84" w:rsidRPr="00096749" w:rsidRDefault="00062F84" w:rsidP="00062F84">
      <w:pPr>
        <w:pStyle w:val="Heading2numbered"/>
      </w:pPr>
      <w:bookmarkStart w:id="84" w:name="_Toc468455411"/>
      <w:bookmarkStart w:id="85" w:name="_Toc470078905"/>
      <w:r>
        <w:t>Step-by-</w:t>
      </w:r>
      <w:r w:rsidRPr="00096749">
        <w:t>step guide to an RCM</w:t>
      </w:r>
      <w:bookmarkEnd w:id="84"/>
      <w:bookmarkEnd w:id="85"/>
    </w:p>
    <w:p w:rsidR="00062F84" w:rsidRDefault="00062F84" w:rsidP="004D73A0">
      <w:pPr>
        <w:pStyle w:val="NormalIndent"/>
      </w:pPr>
      <w:r w:rsidRPr="00096749">
        <w:t xml:space="preserve">Figure 1 summarises the process for preparing a RCM. </w:t>
      </w:r>
      <w:r>
        <w:t xml:space="preserve"> </w:t>
      </w:r>
      <w:r w:rsidRPr="00096749">
        <w:t xml:space="preserve">It also </w:t>
      </w:r>
      <w:r>
        <w:t xml:space="preserve">cross-references the parts of this </w:t>
      </w:r>
      <w:r w:rsidRPr="00096749">
        <w:t xml:space="preserve">manual </w:t>
      </w:r>
      <w:r>
        <w:t xml:space="preserve">covering </w:t>
      </w:r>
      <w:r w:rsidRPr="00096749">
        <w:t xml:space="preserve">the various steps. For example, </w:t>
      </w:r>
      <w:r w:rsidRPr="005113BE">
        <w:t>s.2.1</w:t>
      </w:r>
      <w:r w:rsidRPr="00096749">
        <w:t xml:space="preserve"> (entitled </w:t>
      </w:r>
      <w:r w:rsidR="004D73A0">
        <w:t>‘</w:t>
      </w:r>
      <w:r w:rsidRPr="00096749">
        <w:t>Is the regulatory change within scope</w:t>
      </w:r>
      <w:r>
        <w:t>?</w:t>
      </w:r>
      <w:r w:rsidR="004D73A0">
        <w:t>’</w:t>
      </w:r>
      <w:r w:rsidRPr="00096749">
        <w:t>) refers to section 2.1 in this manual.</w:t>
      </w:r>
    </w:p>
    <w:p w:rsidR="00062F84" w:rsidRPr="00096749" w:rsidRDefault="00062F84" w:rsidP="004D73A0">
      <w:pPr>
        <w:pStyle w:val="Tablechartdiagramheadingindent"/>
      </w:pPr>
      <w:r w:rsidRPr="00096749">
        <w:lastRenderedPageBreak/>
        <w:t>Fi</w:t>
      </w:r>
      <w:r>
        <w:t>gure 1: Key steps for a RCM</w:t>
      </w:r>
    </w:p>
    <w:p w:rsidR="00062F84" w:rsidRPr="00096749" w:rsidRDefault="00062F84" w:rsidP="00062F84">
      <w:pPr>
        <w:jc w:val="center"/>
      </w:pPr>
      <w:r>
        <w:rPr>
          <w:noProof/>
        </w:rPr>
        <w:drawing>
          <wp:inline distT="0" distB="0" distL="0" distR="0" wp14:anchorId="2A620972" wp14:editId="0E111264">
            <wp:extent cx="4304080" cy="598383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303806" cy="5983453"/>
                    </a:xfrm>
                    <a:prstGeom prst="rect">
                      <a:avLst/>
                    </a:prstGeom>
                    <a:noFill/>
                    <a:ln>
                      <a:noFill/>
                    </a:ln>
                  </pic:spPr>
                </pic:pic>
              </a:graphicData>
            </a:graphic>
          </wp:inline>
        </w:drawing>
      </w:r>
    </w:p>
    <w:p w:rsidR="00062F84" w:rsidRDefault="00062F84">
      <w:pPr>
        <w:spacing w:before="0" w:after="200"/>
      </w:pPr>
    </w:p>
    <w:p w:rsidR="004D73A0" w:rsidRDefault="004D73A0">
      <w:pPr>
        <w:spacing w:before="0" w:after="200"/>
        <w:rPr>
          <w:rFonts w:asciiTheme="majorHAnsi" w:eastAsiaTheme="majorEastAsia" w:hAnsiTheme="majorHAnsi" w:cstheme="majorBidi"/>
          <w:b/>
          <w:bCs/>
          <w:color w:val="201547"/>
          <w:spacing w:val="-1"/>
          <w:sz w:val="36"/>
          <w:szCs w:val="28"/>
        </w:rPr>
      </w:pPr>
      <w:bookmarkStart w:id="86" w:name="_Toc355267620"/>
      <w:bookmarkStart w:id="87" w:name="_Toc355275831"/>
      <w:bookmarkStart w:id="88" w:name="_Toc358276076"/>
      <w:bookmarkStart w:id="89" w:name="_Toc358282348"/>
      <w:bookmarkStart w:id="90" w:name="_Toc468455412"/>
      <w:r>
        <w:br w:type="page"/>
      </w:r>
    </w:p>
    <w:p w:rsidR="00062F84" w:rsidRPr="00096749" w:rsidRDefault="00062F84" w:rsidP="00062F84">
      <w:pPr>
        <w:pStyle w:val="Heading1numbered"/>
      </w:pPr>
      <w:bookmarkStart w:id="91" w:name="_Toc470078906"/>
      <w:r w:rsidRPr="00096749">
        <w:lastRenderedPageBreak/>
        <w:t>Deciding whether a RCM is required</w:t>
      </w:r>
      <w:bookmarkEnd w:id="86"/>
      <w:bookmarkEnd w:id="87"/>
      <w:bookmarkEnd w:id="88"/>
      <w:bookmarkEnd w:id="89"/>
      <w:bookmarkEnd w:id="90"/>
      <w:bookmarkEnd w:id="91"/>
    </w:p>
    <w:p w:rsidR="00062F84" w:rsidRPr="00096749" w:rsidRDefault="00062F84" w:rsidP="004D73A0">
      <w:pPr>
        <w:pStyle w:val="NormalIndent"/>
      </w:pPr>
      <w:r w:rsidRPr="00096749">
        <w:t>A RCM is required when:</w:t>
      </w:r>
    </w:p>
    <w:p w:rsidR="00062F84" w:rsidRDefault="00062F84" w:rsidP="004D73A0">
      <w:pPr>
        <w:pStyle w:val="Listnumindent"/>
      </w:pPr>
      <w:r w:rsidRPr="00096749">
        <w:t>the regulatory change is within scope of the Governm</w:t>
      </w:r>
      <w:r>
        <w:t xml:space="preserve">ent’s </w:t>
      </w:r>
      <w:r w:rsidR="00E918CF">
        <w:t>Regulation</w:t>
      </w:r>
      <w:r>
        <w:t xml:space="preserve"> </w:t>
      </w:r>
      <w:r w:rsidR="00E918CF">
        <w:t xml:space="preserve">Reform </w:t>
      </w:r>
      <w:r>
        <w:t>Program; and</w:t>
      </w:r>
    </w:p>
    <w:p w:rsidR="00062F84" w:rsidRDefault="00062F84" w:rsidP="004D73A0">
      <w:pPr>
        <w:pStyle w:val="Listnumindent"/>
      </w:pPr>
      <w:r>
        <w:t>the magnitude of the red tape reduction is in excess of $2</w:t>
      </w:r>
      <w:r w:rsidR="004D73A0">
        <w:t> million</w:t>
      </w:r>
      <w:r>
        <w:t xml:space="preserve"> a year.</w:t>
      </w:r>
    </w:p>
    <w:p w:rsidR="00062F84" w:rsidRDefault="00062F84" w:rsidP="00062F84">
      <w:pPr>
        <w:pStyle w:val="Heading2numbered"/>
      </w:pPr>
      <w:bookmarkStart w:id="92" w:name="_Toc355267621"/>
      <w:bookmarkStart w:id="93" w:name="_Toc355275832"/>
      <w:bookmarkStart w:id="94" w:name="_Toc358276077"/>
      <w:bookmarkStart w:id="95" w:name="_Toc358282349"/>
      <w:bookmarkStart w:id="96" w:name="_Toc468455413"/>
      <w:bookmarkStart w:id="97" w:name="_Toc470078907"/>
      <w:r>
        <w:t>Is the regulatory change within scope?</w:t>
      </w:r>
      <w:bookmarkEnd w:id="92"/>
      <w:bookmarkEnd w:id="93"/>
      <w:bookmarkEnd w:id="94"/>
      <w:bookmarkEnd w:id="95"/>
      <w:bookmarkEnd w:id="96"/>
      <w:bookmarkEnd w:id="97"/>
      <w:r>
        <w:t xml:space="preserve"> </w:t>
      </w:r>
    </w:p>
    <w:p w:rsidR="00062F84" w:rsidRDefault="00062F84" w:rsidP="004D73A0">
      <w:pPr>
        <w:pStyle w:val="NormalIndent"/>
      </w:pPr>
      <w:r>
        <w:t xml:space="preserve">The Government’s </w:t>
      </w:r>
      <w:r w:rsidR="00E918CF">
        <w:t>Regulation Reform</w:t>
      </w:r>
      <w:r>
        <w:t xml:space="preserve"> Program includes costs imposed by legally enforceable obligations from Victorian Government Ministers, departments, regulatory agencies and local governments on:</w:t>
      </w:r>
    </w:p>
    <w:p w:rsidR="00062F84" w:rsidRDefault="00062F84" w:rsidP="004D73A0">
      <w:pPr>
        <w:pStyle w:val="Bulletindent"/>
      </w:pPr>
      <w:r>
        <w:t>business;</w:t>
      </w:r>
    </w:p>
    <w:p w:rsidR="00062F84" w:rsidRDefault="00062F84" w:rsidP="004D73A0">
      <w:pPr>
        <w:pStyle w:val="Bulletindent"/>
      </w:pPr>
      <w:r>
        <w:t>not-for-profit (NFP) organisations;</w:t>
      </w:r>
    </w:p>
    <w:p w:rsidR="00062F84" w:rsidRDefault="00062F84" w:rsidP="004D73A0">
      <w:pPr>
        <w:pStyle w:val="Bulletindent"/>
      </w:pPr>
      <w:r>
        <w:t>government service providers that deliver services comparable to those provided by business or the NFP sector; and</w:t>
      </w:r>
    </w:p>
    <w:p w:rsidR="00062F84" w:rsidRDefault="00062F84" w:rsidP="004D73A0">
      <w:pPr>
        <w:pStyle w:val="Bulletindent"/>
      </w:pPr>
      <w:r>
        <w:t>individuals.</w:t>
      </w:r>
    </w:p>
    <w:p w:rsidR="00062F84" w:rsidRDefault="00062F84" w:rsidP="004D73A0">
      <w:pPr>
        <w:pStyle w:val="NormalIndent"/>
      </w:pPr>
      <w:r>
        <w:t xml:space="preserve">The definition of costs includes: </w:t>
      </w:r>
    </w:p>
    <w:p w:rsidR="00062F84" w:rsidRPr="00632A44" w:rsidRDefault="00062F84" w:rsidP="004D73A0">
      <w:pPr>
        <w:pStyle w:val="Bulletindent"/>
      </w:pPr>
      <w:r w:rsidRPr="00632A44">
        <w:t>compliance costs</w:t>
      </w:r>
      <w:r>
        <w:t>,</w:t>
      </w:r>
      <w:r w:rsidRPr="00632A44">
        <w:t xml:space="preserve"> including administrative costs</w:t>
      </w:r>
      <w:r>
        <w:t xml:space="preserve"> and substantive compliance costs</w:t>
      </w:r>
      <w:r w:rsidRPr="00632A44">
        <w:t>;</w:t>
      </w:r>
    </w:p>
    <w:p w:rsidR="00062F84" w:rsidRDefault="00062F84" w:rsidP="004D73A0">
      <w:pPr>
        <w:pStyle w:val="Bulletindent"/>
      </w:pPr>
      <w:r>
        <w:t>delay costs; and</w:t>
      </w:r>
    </w:p>
    <w:p w:rsidR="00062F84" w:rsidRPr="00F22C60" w:rsidRDefault="00062F84" w:rsidP="004D73A0">
      <w:pPr>
        <w:pStyle w:val="Bulletindent"/>
      </w:pPr>
      <w:r w:rsidRPr="00F22C60">
        <w:t>economic costs of prohibitions</w:t>
      </w:r>
      <w:r w:rsidRPr="00F22C60">
        <w:rPr>
          <w:rStyle w:val="FootnoteReference"/>
        </w:rPr>
        <w:footnoteReference w:id="1"/>
      </w:r>
      <w:r>
        <w:t xml:space="preserve"> e.g. lifting restrictions on Easter Sunday trading</w:t>
      </w:r>
      <w:r w:rsidRPr="00F22C60">
        <w:t xml:space="preserve">. </w:t>
      </w:r>
    </w:p>
    <w:p w:rsidR="00062F84" w:rsidRDefault="00062F84" w:rsidP="004D73A0">
      <w:pPr>
        <w:pStyle w:val="NormalIndent"/>
      </w:pPr>
      <w:r>
        <w:t xml:space="preserve">The </w:t>
      </w:r>
      <w:r w:rsidR="00E918CF">
        <w:t>Regulation Reform</w:t>
      </w:r>
      <w:r>
        <w:t xml:space="preserve"> Program scope excludes: </w:t>
      </w:r>
    </w:p>
    <w:p w:rsidR="00062F84" w:rsidRDefault="00062F84" w:rsidP="004D73A0">
      <w:pPr>
        <w:pStyle w:val="Bulletindent"/>
      </w:pPr>
      <w:r>
        <w:t>costs imposed on local governments by the Victorian Government;</w:t>
      </w:r>
    </w:p>
    <w:p w:rsidR="00062F84" w:rsidRDefault="00062F84" w:rsidP="004D73A0">
      <w:pPr>
        <w:pStyle w:val="Bulletindent"/>
      </w:pPr>
      <w:r w:rsidRPr="00404FE5">
        <w:t>financial costs</w:t>
      </w:r>
      <w:r>
        <w:t>,</w:t>
      </w:r>
      <w:r w:rsidRPr="005A3E25">
        <w:t xml:space="preserve"> </w:t>
      </w:r>
      <w:r>
        <w:t>involving  a direct transfer from a regulated entity to the State Government (e.g. licensing fees); and</w:t>
      </w:r>
    </w:p>
    <w:p w:rsidR="00062F84" w:rsidRPr="007640E5" w:rsidRDefault="00062F84" w:rsidP="004D73A0">
      <w:pPr>
        <w:pStyle w:val="Bulletindent"/>
      </w:pPr>
      <w:r>
        <w:t xml:space="preserve">obligations imposed on </w:t>
      </w:r>
      <w:r w:rsidRPr="00AD2434">
        <w:t xml:space="preserve">public sector bodies </w:t>
      </w:r>
      <w:r>
        <w:t xml:space="preserve">that deliver services that are not comparable to those provided by </w:t>
      </w:r>
      <w:r w:rsidRPr="00AD2434">
        <w:t xml:space="preserve">business or </w:t>
      </w:r>
      <w:r>
        <w:t>the NFP sector (e.g. police).</w:t>
      </w:r>
    </w:p>
    <w:p w:rsidR="00062F84" w:rsidRDefault="00062F84" w:rsidP="004D73A0">
      <w:pPr>
        <w:pStyle w:val="NormalIndent"/>
      </w:pPr>
      <w:r w:rsidRPr="0067676E">
        <w:t xml:space="preserve">Some of these terms are defined further in </w:t>
      </w:r>
      <w:r w:rsidRPr="00DA482D">
        <w:t>Appendix A.</w:t>
      </w:r>
    </w:p>
    <w:p w:rsidR="00062F84" w:rsidRPr="00AD2434" w:rsidRDefault="00062F84" w:rsidP="00062F84">
      <w:pPr>
        <w:pStyle w:val="Heading2numbered"/>
      </w:pPr>
      <w:bookmarkStart w:id="98" w:name="_Toc355267622"/>
      <w:bookmarkStart w:id="99" w:name="_Toc355275833"/>
      <w:bookmarkStart w:id="100" w:name="_Toc358276078"/>
      <w:bookmarkStart w:id="101" w:name="_Toc358282350"/>
      <w:bookmarkStart w:id="102" w:name="_Toc468455414"/>
      <w:bookmarkStart w:id="103" w:name="_Toc470078908"/>
      <w:r w:rsidRPr="00AD2434">
        <w:t xml:space="preserve">Is the </w:t>
      </w:r>
      <w:r>
        <w:t>magnitude of the red tape reduction at least $2</w:t>
      </w:r>
      <w:r w:rsidR="004D73A0">
        <w:t> million</w:t>
      </w:r>
      <w:r w:rsidRPr="00AD2434">
        <w:t>?</w:t>
      </w:r>
      <w:bookmarkEnd w:id="98"/>
      <w:bookmarkEnd w:id="99"/>
      <w:bookmarkEnd w:id="100"/>
      <w:bookmarkEnd w:id="101"/>
      <w:bookmarkEnd w:id="102"/>
      <w:bookmarkEnd w:id="103"/>
    </w:p>
    <w:p w:rsidR="00062F84" w:rsidRDefault="00062F84" w:rsidP="004D73A0">
      <w:pPr>
        <w:pStyle w:val="NormalIndent"/>
      </w:pPr>
      <w:r w:rsidRPr="00AD2434">
        <w:t xml:space="preserve">A RCM is required where there is evidence that the </w:t>
      </w:r>
      <w:r>
        <w:t xml:space="preserve">reduction </w:t>
      </w:r>
      <w:r w:rsidRPr="00AD2434">
        <w:t xml:space="preserve">in regulatory </w:t>
      </w:r>
      <w:r>
        <w:t xml:space="preserve">costs </w:t>
      </w:r>
      <w:r w:rsidRPr="00AD2434">
        <w:t>is</w:t>
      </w:r>
      <w:r>
        <w:t xml:space="preserve"> at least $2</w:t>
      </w:r>
      <w:r w:rsidR="004D73A0">
        <w:t> million</w:t>
      </w:r>
      <w:r>
        <w:t xml:space="preserve"> a year. An initial, more basic, calculation of estimates should be used to assess whether the threshold has been met.</w:t>
      </w:r>
    </w:p>
    <w:tbl>
      <w:tblPr>
        <w:tblStyle w:val="DTFtexttableindent"/>
        <w:tblW w:w="0" w:type="auto"/>
        <w:tblLook w:val="0680" w:firstRow="0" w:lastRow="0" w:firstColumn="1" w:lastColumn="0" w:noHBand="1" w:noVBand="1"/>
      </w:tblPr>
      <w:tblGrid>
        <w:gridCol w:w="8319"/>
      </w:tblGrid>
      <w:tr w:rsidR="00062F84" w:rsidTr="00AB2B4F">
        <w:tc>
          <w:tcPr>
            <w:cnfStyle w:val="001000000000" w:firstRow="0" w:lastRow="0" w:firstColumn="1" w:lastColumn="0" w:oddVBand="0" w:evenVBand="0" w:oddHBand="0" w:evenHBand="0" w:firstRowFirstColumn="0" w:firstRowLastColumn="0" w:lastRowFirstColumn="0" w:lastRowLastColumn="0"/>
            <w:tcW w:w="8503" w:type="dxa"/>
          </w:tcPr>
          <w:p w:rsidR="00062F84" w:rsidRPr="00182F6E" w:rsidRDefault="00062F84" w:rsidP="00AB2B4F">
            <w:pPr>
              <w:rPr>
                <w:b/>
              </w:rPr>
            </w:pPr>
            <w:r>
              <w:rPr>
                <w:b/>
              </w:rPr>
              <w:t>Example</w:t>
            </w:r>
          </w:p>
          <w:p w:rsidR="00062F84" w:rsidRPr="00193677" w:rsidRDefault="00062F84" w:rsidP="00AB2B4F">
            <w:r>
              <w:t>A regulatory change impacting about 4 000 businesses is expected to save between four and eight hours of administrative work per year. Assuming the administrative task was previously undertaken by an employee being paid around the Victorian average wage (costing the business $71.76 per hour, including on-costs and overheads), this change would save businesses between $</w:t>
            </w:r>
            <w:r w:rsidRPr="00BC54D7">
              <w:t>1</w:t>
            </w:r>
            <w:r>
              <w:t> </w:t>
            </w:r>
            <w:r w:rsidRPr="00BC54D7">
              <w:t>148</w:t>
            </w:r>
            <w:r>
              <w:t> </w:t>
            </w:r>
            <w:r w:rsidRPr="00BC54D7">
              <w:t>160</w:t>
            </w:r>
            <w:r>
              <w:t xml:space="preserve"> and $2 296 320 a year. As the upper bound of the estimated savings exceeds $2</w:t>
            </w:r>
            <w:r w:rsidR="004D73A0">
              <w:t> million</w:t>
            </w:r>
            <w:r>
              <w:t xml:space="preserve"> a year, a RCM is required. </w:t>
            </w:r>
          </w:p>
        </w:tc>
      </w:tr>
    </w:tbl>
    <w:p w:rsidR="00062F84" w:rsidRDefault="00062F84" w:rsidP="004D73A0">
      <w:pPr>
        <w:pStyle w:val="NormalIndent"/>
      </w:pPr>
      <w:bookmarkStart w:id="104" w:name="_Toc355267623"/>
      <w:bookmarkStart w:id="105" w:name="_Toc355275834"/>
      <w:bookmarkStart w:id="106" w:name="_Toc358276079"/>
      <w:bookmarkStart w:id="107" w:name="_Toc358282351"/>
      <w:r>
        <w:lastRenderedPageBreak/>
        <w:t>For regulatory changes delivering red tape savings of less than $2</w:t>
      </w:r>
      <w:r w:rsidR="004D73A0">
        <w:t> million</w:t>
      </w:r>
      <w:r>
        <w:t xml:space="preserve"> a year, a RCM report is not required. However, a basic assessment of the impact is required to be submitted to DTF.  The analysis should:</w:t>
      </w:r>
    </w:p>
    <w:p w:rsidR="00062F84" w:rsidRDefault="00062F84" w:rsidP="004D73A0">
      <w:pPr>
        <w:pStyle w:val="Bulletindent"/>
      </w:pPr>
      <w:r>
        <w:t>clearly describe the regulatory change; and</w:t>
      </w:r>
    </w:p>
    <w:p w:rsidR="00062F84" w:rsidRDefault="00062F84" w:rsidP="004D73A0">
      <w:pPr>
        <w:pStyle w:val="Bulletindent"/>
      </w:pPr>
      <w:r>
        <w:t>provide an estimate of the savings, including the working calculations.</w:t>
      </w:r>
    </w:p>
    <w:p w:rsidR="00062F84" w:rsidRDefault="00062F84" w:rsidP="004D73A0">
      <w:pPr>
        <w:pStyle w:val="NormalIndent"/>
      </w:pPr>
      <w:r>
        <w:t>As an indicative guide, the analysis should be approximately 1-3 pages in length. DTF will review the analysis provided and, where necessary, discuss any concerns regarding the estimate with the relevant Department. Where DTF and the Department do not agree on the estimate, the relevant Department will decide the amount that will count towards the Government’s red tape target.</w:t>
      </w:r>
    </w:p>
    <w:p w:rsidR="00062F84" w:rsidRDefault="00062F84" w:rsidP="00062F84">
      <w:pPr>
        <w:pStyle w:val="Heading2numbered"/>
      </w:pPr>
      <w:bookmarkStart w:id="108" w:name="_Toc468455415"/>
      <w:bookmarkStart w:id="109" w:name="_Toc470078909"/>
      <w:r>
        <w:t>When should a RCM be prepared?</w:t>
      </w:r>
      <w:bookmarkEnd w:id="104"/>
      <w:bookmarkEnd w:id="105"/>
      <w:bookmarkEnd w:id="106"/>
      <w:bookmarkEnd w:id="107"/>
      <w:bookmarkEnd w:id="108"/>
      <w:bookmarkEnd w:id="109"/>
    </w:p>
    <w:p w:rsidR="00062F84" w:rsidRDefault="00062F84" w:rsidP="004D73A0">
      <w:pPr>
        <w:pStyle w:val="NormalIndent"/>
      </w:pPr>
      <w:r>
        <w:t>The Government is currently undertaking six-monthly reporting on progress towards the Government’s red tape target.  The RCMs and estimates of other regulatory changes (less than $2</w:t>
      </w:r>
      <w:r w:rsidR="004D73A0">
        <w:t> million</w:t>
      </w:r>
      <w:r>
        <w:t>) implemented in the reporting period should be included in that report.</w:t>
      </w:r>
    </w:p>
    <w:p w:rsidR="00062F84" w:rsidRPr="00AD2434" w:rsidRDefault="00062F84" w:rsidP="004359FE">
      <w:pPr>
        <w:pStyle w:val="NormalIndent"/>
      </w:pPr>
      <w:r>
        <w:t xml:space="preserve">A RCM may be conducted before a </w:t>
      </w:r>
      <w:r w:rsidRPr="00AD2434">
        <w:t>regulatory change</w:t>
      </w:r>
      <w:r>
        <w:t xml:space="preserve"> has</w:t>
      </w:r>
      <w:r w:rsidRPr="00AD2434">
        <w:t xml:space="preserve"> been fully implemented</w:t>
      </w:r>
      <w:r>
        <w:t xml:space="preserve">, if the RCM is undertaken as part of the RIS process, or where regulatory obligations have been removed entirely (for example, regulations have been repealed). In these cases, the RCM report can be based on reasonable assumptions and stakeholder input about cost reductions likely to be experienced by affected sectors. It should be noted, however, that to count towards the Government’s red tape target, the reform must be </w:t>
      </w:r>
      <w:r w:rsidR="004359FE">
        <w:t>fully committed to by Government, including having all stages funded, and begin implementation by the end of November 2018.</w:t>
      </w:r>
      <w:r>
        <w:t xml:space="preserve"> </w:t>
      </w:r>
    </w:p>
    <w:p w:rsidR="004D73A0" w:rsidRDefault="004D73A0">
      <w:pPr>
        <w:spacing w:before="0" w:after="200"/>
        <w:rPr>
          <w:rFonts w:asciiTheme="majorHAnsi" w:eastAsiaTheme="majorEastAsia" w:hAnsiTheme="majorHAnsi" w:cstheme="majorBidi"/>
          <w:b/>
          <w:bCs/>
          <w:color w:val="201547"/>
          <w:spacing w:val="-1"/>
          <w:sz w:val="36"/>
          <w:szCs w:val="28"/>
        </w:rPr>
      </w:pPr>
      <w:bookmarkStart w:id="110" w:name="_Toc306180905"/>
      <w:bookmarkStart w:id="111" w:name="_Toc306182600"/>
      <w:bookmarkStart w:id="112" w:name="_Toc306192569"/>
      <w:bookmarkStart w:id="113" w:name="_Toc306879053"/>
      <w:bookmarkStart w:id="114" w:name="_Toc307211399"/>
      <w:bookmarkStart w:id="115" w:name="_Toc307215171"/>
      <w:bookmarkStart w:id="116" w:name="_Toc307215211"/>
      <w:bookmarkStart w:id="117" w:name="_Toc308179649"/>
      <w:bookmarkStart w:id="118" w:name="_Toc355267624"/>
      <w:bookmarkStart w:id="119" w:name="_Toc355275835"/>
      <w:bookmarkStart w:id="120" w:name="_Toc358276080"/>
      <w:bookmarkStart w:id="121" w:name="_Toc358282352"/>
      <w:bookmarkStart w:id="122" w:name="_Toc468455416"/>
      <w:bookmarkEnd w:id="110"/>
      <w:bookmarkEnd w:id="111"/>
      <w:bookmarkEnd w:id="112"/>
      <w:bookmarkEnd w:id="113"/>
      <w:bookmarkEnd w:id="114"/>
      <w:bookmarkEnd w:id="115"/>
      <w:bookmarkEnd w:id="116"/>
      <w:bookmarkEnd w:id="117"/>
      <w:r>
        <w:br w:type="page"/>
      </w:r>
    </w:p>
    <w:p w:rsidR="00062F84" w:rsidRPr="00AD2434" w:rsidRDefault="00062F84" w:rsidP="00062F84">
      <w:pPr>
        <w:pStyle w:val="Heading1numbered"/>
      </w:pPr>
      <w:bookmarkStart w:id="123" w:name="_Toc470078910"/>
      <w:r>
        <w:lastRenderedPageBreak/>
        <w:t>Preparing</w:t>
      </w:r>
      <w:r w:rsidRPr="00AD2434">
        <w:t xml:space="preserve"> the </w:t>
      </w:r>
      <w:r>
        <w:t xml:space="preserve">draft </w:t>
      </w:r>
      <w:r w:rsidRPr="00AD2434">
        <w:t>RCM report</w:t>
      </w:r>
      <w:bookmarkEnd w:id="118"/>
      <w:bookmarkEnd w:id="119"/>
      <w:bookmarkEnd w:id="120"/>
      <w:bookmarkEnd w:id="121"/>
      <w:r>
        <w:t xml:space="preserve"> (above $2</w:t>
      </w:r>
      <w:r w:rsidR="004D73A0">
        <w:t> million</w:t>
      </w:r>
      <w:r>
        <w:t>)</w:t>
      </w:r>
      <w:bookmarkEnd w:id="122"/>
      <w:bookmarkEnd w:id="123"/>
      <w:r w:rsidRPr="00AD2434">
        <w:t xml:space="preserve"> </w:t>
      </w:r>
    </w:p>
    <w:p w:rsidR="00062F84" w:rsidRPr="00AD2434" w:rsidRDefault="00062F84" w:rsidP="004D73A0">
      <w:pPr>
        <w:pStyle w:val="NormalIndent"/>
      </w:pPr>
      <w:r>
        <w:t>Once a regulatory change has been determined to be in scope and savings are estimated to be at least $2</w:t>
      </w:r>
      <w:r w:rsidR="004D73A0">
        <w:t> million</w:t>
      </w:r>
      <w:r>
        <w:t xml:space="preserve"> a year, a RCM report</w:t>
      </w:r>
      <w:r w:rsidRPr="00AD2434">
        <w:t xml:space="preserve"> </w:t>
      </w:r>
      <w:r>
        <w:t>should be drafted by the regulator or policy department using the following steps outlined below.</w:t>
      </w:r>
    </w:p>
    <w:p w:rsidR="00062F84" w:rsidRDefault="00062F84" w:rsidP="00062F84">
      <w:pPr>
        <w:pStyle w:val="Heading2numbered"/>
      </w:pPr>
      <w:bookmarkStart w:id="124" w:name="_Toc355267625"/>
      <w:bookmarkStart w:id="125" w:name="_Toc355275836"/>
      <w:bookmarkStart w:id="126" w:name="_Toc358276081"/>
      <w:bookmarkStart w:id="127" w:name="_Toc358282353"/>
      <w:bookmarkStart w:id="128" w:name="_Toc468455417"/>
      <w:bookmarkStart w:id="129" w:name="_Toc470078911"/>
      <w:r>
        <w:t>Conduct desktop analysis of the red tape reduction</w:t>
      </w:r>
      <w:bookmarkEnd w:id="124"/>
      <w:bookmarkEnd w:id="125"/>
      <w:bookmarkEnd w:id="126"/>
      <w:bookmarkEnd w:id="127"/>
      <w:bookmarkEnd w:id="128"/>
      <w:bookmarkEnd w:id="129"/>
    </w:p>
    <w:p w:rsidR="00062F84" w:rsidRDefault="00062F84" w:rsidP="004D73A0">
      <w:pPr>
        <w:pStyle w:val="NormalIndent"/>
      </w:pPr>
      <w:bookmarkStart w:id="130" w:name="_Toc355267626"/>
      <w:bookmarkStart w:id="131" w:name="_Toc355275837"/>
      <w:bookmarkStart w:id="132" w:name="_Toc358276082"/>
      <w:bookmarkStart w:id="133" w:name="_Toc358282354"/>
      <w:r>
        <w:t>Conducting the desktop analysis involves two steps, namely:</w:t>
      </w:r>
    </w:p>
    <w:p w:rsidR="00062F84" w:rsidRDefault="00062F84" w:rsidP="004D73A0">
      <w:pPr>
        <w:pStyle w:val="Numparaindent"/>
      </w:pPr>
      <w:r>
        <w:t>identifying and documenting the regulatory change; and</w:t>
      </w:r>
    </w:p>
    <w:p w:rsidR="00062F84" w:rsidRDefault="00062F84" w:rsidP="004D73A0">
      <w:pPr>
        <w:pStyle w:val="Numparaindent"/>
      </w:pPr>
      <w:r>
        <w:t>calculating the costs associated with the changed regulatory obligations.</w:t>
      </w:r>
    </w:p>
    <w:p w:rsidR="00062F84" w:rsidRDefault="00062F84" w:rsidP="004D73A0">
      <w:pPr>
        <w:pStyle w:val="NormalIndent"/>
      </w:pPr>
      <w:r>
        <w:t xml:space="preserve">If departments wish to discuss the methodology for calculating the cost of the regulatory change, DTF is able to assist.  </w:t>
      </w:r>
    </w:p>
    <w:p w:rsidR="00062F84" w:rsidRPr="00AD2434" w:rsidRDefault="00062F84" w:rsidP="004D73A0">
      <w:pPr>
        <w:pStyle w:val="Heading3numbered"/>
      </w:pPr>
      <w:bookmarkStart w:id="134" w:name="_Toc468455418"/>
      <w:bookmarkStart w:id="135" w:name="_Toc470078912"/>
      <w:r>
        <w:t>Identify</w:t>
      </w:r>
      <w:r w:rsidRPr="00AD2434">
        <w:t xml:space="preserve"> the </w:t>
      </w:r>
      <w:r>
        <w:t xml:space="preserve">regulatory </w:t>
      </w:r>
      <w:r w:rsidRPr="00AD2434">
        <w:t>change</w:t>
      </w:r>
      <w:bookmarkEnd w:id="130"/>
      <w:bookmarkEnd w:id="131"/>
      <w:bookmarkEnd w:id="132"/>
      <w:bookmarkEnd w:id="133"/>
      <w:bookmarkEnd w:id="134"/>
      <w:bookmarkEnd w:id="135"/>
    </w:p>
    <w:p w:rsidR="00062F84" w:rsidRDefault="00062F84" w:rsidP="004D73A0">
      <w:pPr>
        <w:pStyle w:val="NormalIndent"/>
      </w:pPr>
      <w:r>
        <w:t>To understand the nature of the regulatory change being measured, the following must be identified and documented:</w:t>
      </w:r>
    </w:p>
    <w:p w:rsidR="00062F84" w:rsidRDefault="00062F84" w:rsidP="004D73A0">
      <w:pPr>
        <w:pStyle w:val="Bulletindent"/>
      </w:pPr>
      <w:r>
        <w:t>the changed requirements (by comparing the regulatory obligations imposed under the previous and new regulatory frameworks);</w:t>
      </w:r>
    </w:p>
    <w:p w:rsidR="00062F84" w:rsidRDefault="00062F84" w:rsidP="004D73A0">
      <w:pPr>
        <w:pStyle w:val="Bulletindent"/>
      </w:pPr>
      <w:r>
        <w:t>the sector(s) that the obligations are imposed on; and</w:t>
      </w:r>
    </w:p>
    <w:p w:rsidR="00062F84" w:rsidRDefault="00062F84" w:rsidP="004D73A0">
      <w:pPr>
        <w:pStyle w:val="Bulletindent"/>
      </w:pPr>
      <w:r>
        <w:t>the type of costs imposed by these obligations (i.e. compliance costs, delay costs or economic costs of prohibitions).</w:t>
      </w:r>
    </w:p>
    <w:p w:rsidR="00062F84" w:rsidRDefault="00062F84" w:rsidP="004D73A0">
      <w:pPr>
        <w:pStyle w:val="NormalIndent"/>
      </w:pPr>
      <w:r>
        <w:t>To ensure an efficient approach to measurement, a top-</w:t>
      </w:r>
      <w:r w:rsidRPr="00BA369D">
        <w:t>down approach</w:t>
      </w:r>
      <w:r>
        <w:t xml:space="preserve"> may be used to determine the changes in obligations experienced by businesses and other entities.  For example, rather than identifying each information requirement/step in an application process, the change in the overall application process requirements may be able to be reliably assessed.</w:t>
      </w:r>
    </w:p>
    <w:p w:rsidR="00062F84" w:rsidRDefault="00062F84" w:rsidP="004D73A0">
      <w:pPr>
        <w:pStyle w:val="NormalIndent"/>
      </w:pPr>
      <w:r>
        <w:t xml:space="preserve">A RCM should </w:t>
      </w:r>
      <w:r w:rsidRPr="005C528F">
        <w:t xml:space="preserve">not include </w:t>
      </w:r>
      <w:r>
        <w:t>‘business-as-</w:t>
      </w:r>
      <w:r w:rsidRPr="005C528F">
        <w:t>usual</w:t>
      </w:r>
      <w:r>
        <w:t>’</w:t>
      </w:r>
      <w:r w:rsidRPr="005C528F">
        <w:t xml:space="preserve"> costs</w:t>
      </w:r>
      <w:r>
        <w:t xml:space="preserve">. In comparing the previous and new regulatory frameworks, it is important to ensure that costs that would have been incurred by the business, even in the absence of specific regulation, are not included. For example, in moving from </w:t>
      </w:r>
      <w:r w:rsidR="00D06A77">
        <w:t>paper based</w:t>
      </w:r>
      <w:r>
        <w:t xml:space="preserve"> lodgement of annual returns to electronic lodgement, it would be reasonable to assume that most businesses already use a computer and the internet for other business activities, so the cost of these would be considered business-as-usual costs and would not be counted as a cost of moving to the new regulatory framework.</w:t>
      </w:r>
    </w:p>
    <w:p w:rsidR="00AB2B4F" w:rsidRDefault="00AB2B4F">
      <w:pPr>
        <w:spacing w:before="0" w:after="200"/>
        <w:rPr>
          <w:rFonts w:asciiTheme="majorHAnsi" w:eastAsiaTheme="majorEastAsia" w:hAnsiTheme="majorHAnsi" w:cstheme="majorBidi"/>
          <w:b/>
          <w:bCs/>
          <w:color w:val="0063A6" w:themeColor="accent1"/>
          <w:sz w:val="22"/>
          <w:szCs w:val="22"/>
        </w:rPr>
      </w:pPr>
      <w:bookmarkStart w:id="136" w:name="_Toc355267627"/>
      <w:bookmarkStart w:id="137" w:name="_Toc355275838"/>
      <w:bookmarkStart w:id="138" w:name="_Toc358276083"/>
      <w:bookmarkStart w:id="139" w:name="_Toc358282355"/>
      <w:bookmarkStart w:id="140" w:name="_Toc468455419"/>
      <w:r>
        <w:br w:type="page"/>
      </w:r>
    </w:p>
    <w:p w:rsidR="00062F84" w:rsidRPr="00AD2434" w:rsidRDefault="00062F84" w:rsidP="004D73A0">
      <w:pPr>
        <w:pStyle w:val="Heading3numbered"/>
      </w:pPr>
      <w:bookmarkStart w:id="141" w:name="_Toc470078913"/>
      <w:r>
        <w:lastRenderedPageBreak/>
        <w:t>Calculate the cost of the regulatory change</w:t>
      </w:r>
      <w:bookmarkEnd w:id="136"/>
      <w:bookmarkEnd w:id="137"/>
      <w:bookmarkEnd w:id="138"/>
      <w:bookmarkEnd w:id="139"/>
      <w:bookmarkEnd w:id="140"/>
      <w:bookmarkEnd w:id="141"/>
      <w:r>
        <w:t xml:space="preserve">   </w:t>
      </w:r>
    </w:p>
    <w:p w:rsidR="00062F84" w:rsidRDefault="00062F84" w:rsidP="004D73A0">
      <w:pPr>
        <w:pStyle w:val="NormalIndent"/>
      </w:pPr>
      <w:r>
        <w:t>T</w:t>
      </w:r>
      <w:r w:rsidRPr="00AD2434">
        <w:t>he cost calculation is based on</w:t>
      </w:r>
      <w:r>
        <w:t xml:space="preserve">: </w:t>
      </w:r>
    </w:p>
    <w:p w:rsidR="00062F84" w:rsidRPr="00FF377F" w:rsidRDefault="00062F84" w:rsidP="00062F84">
      <w:pPr>
        <w:jc w:val="center"/>
        <w:rPr>
          <w:b/>
        </w:rPr>
      </w:pPr>
      <w:r w:rsidRPr="00FF377F">
        <w:rPr>
          <w:b/>
        </w:rPr>
        <w:t xml:space="preserve">Cost of regulatory obligation = </w:t>
      </w:r>
      <w:r>
        <w:rPr>
          <w:b/>
        </w:rPr>
        <w:t>Unit cost</w:t>
      </w:r>
      <w:r w:rsidRPr="00FF377F">
        <w:rPr>
          <w:b/>
        </w:rPr>
        <w:t xml:space="preserve"> × Quantity</w:t>
      </w:r>
    </w:p>
    <w:p w:rsidR="00062F84" w:rsidRPr="00AD2434" w:rsidRDefault="00062F84" w:rsidP="004D73A0">
      <w:pPr>
        <w:pStyle w:val="NormalIndent"/>
      </w:pPr>
      <w:r w:rsidRPr="00AD2434">
        <w:t>where:</w:t>
      </w:r>
      <w:r>
        <w:t xml:space="preserve"> </w:t>
      </w:r>
    </w:p>
    <w:p w:rsidR="00062F84" w:rsidRDefault="00062F84" w:rsidP="004D73A0">
      <w:pPr>
        <w:pStyle w:val="Bulletindent"/>
      </w:pPr>
      <w:r>
        <w:rPr>
          <w:b/>
        </w:rPr>
        <w:t>unit cost</w:t>
      </w:r>
      <w:r w:rsidRPr="00AD2434">
        <w:t xml:space="preserve"> represents the </w:t>
      </w:r>
      <w:r>
        <w:t xml:space="preserve">changed </w:t>
      </w:r>
      <w:r w:rsidRPr="00AD2434">
        <w:t xml:space="preserve">cost experienced by a particular </w:t>
      </w:r>
      <w:r>
        <w:t>party</w:t>
      </w:r>
      <w:r w:rsidRPr="00AD2434">
        <w:t xml:space="preserve"> in complying with a regulatory obligation; and </w:t>
      </w:r>
    </w:p>
    <w:p w:rsidR="00062F84" w:rsidRDefault="00062F84" w:rsidP="004D73A0">
      <w:pPr>
        <w:pStyle w:val="Bulletindent"/>
      </w:pPr>
      <w:r>
        <w:rPr>
          <w:b/>
        </w:rPr>
        <w:t>q</w:t>
      </w:r>
      <w:r w:rsidRPr="00FF377F">
        <w:rPr>
          <w:b/>
        </w:rPr>
        <w:t>uantity</w:t>
      </w:r>
      <w:r w:rsidRPr="004C3BEF">
        <w:t xml:space="preserve"> represents the </w:t>
      </w:r>
      <w:r>
        <w:t xml:space="preserve">number of </w:t>
      </w:r>
      <w:r w:rsidRPr="004C3BEF">
        <w:t xml:space="preserve">affected </w:t>
      </w:r>
      <w:r>
        <w:t>parties</w:t>
      </w:r>
      <w:r w:rsidRPr="004C3BEF">
        <w:t xml:space="preserve"> and the number</w:t>
      </w:r>
      <w:r>
        <w:t>,</w:t>
      </w:r>
      <w:r w:rsidRPr="004C3BEF">
        <w:t xml:space="preserve"> or frequency</w:t>
      </w:r>
      <w:r>
        <w:t>,</w:t>
      </w:r>
      <w:r w:rsidRPr="004C3BEF">
        <w:t xml:space="preserve"> of transactions</w:t>
      </w:r>
      <w:r>
        <w:t xml:space="preserve"> annually</w:t>
      </w:r>
      <w:r w:rsidRPr="004C3BEF">
        <w:t>.</w:t>
      </w:r>
      <w:r>
        <w:t xml:space="preserve"> </w:t>
      </w:r>
    </w:p>
    <w:p w:rsidR="00062F84" w:rsidRDefault="00062F84" w:rsidP="004D73A0">
      <w:pPr>
        <w:pStyle w:val="NormalIndent"/>
      </w:pPr>
      <w:r>
        <w:t xml:space="preserve">Further technical guidance on calculating compliance and delay costs is provided in </w:t>
      </w:r>
      <w:r w:rsidRPr="00DA482D">
        <w:t xml:space="preserve">Appendix </w:t>
      </w:r>
      <w:r>
        <w:t>B and Appendix C</w:t>
      </w:r>
      <w:r w:rsidRPr="00DA482D">
        <w:t>.</w:t>
      </w:r>
    </w:p>
    <w:p w:rsidR="00062F84" w:rsidRPr="00320F33" w:rsidRDefault="00062F84" w:rsidP="004D73A0">
      <w:pPr>
        <w:pStyle w:val="NormalIndent"/>
      </w:pPr>
      <w:r>
        <w:t xml:space="preserve">Data sources need to be identified for determining the relevant unit costs and quantities. The desktop analysis should </w:t>
      </w:r>
      <w:r w:rsidRPr="00AD2434">
        <w:t xml:space="preserve">primarily </w:t>
      </w:r>
      <w:r>
        <w:t xml:space="preserve">use </w:t>
      </w:r>
      <w:r w:rsidRPr="00AD2434">
        <w:t xml:space="preserve">data from </w:t>
      </w:r>
      <w:r>
        <w:t>the Australian Bureau of Statistics (</w:t>
      </w:r>
      <w:r w:rsidRPr="00AD2434">
        <w:t>ABS</w:t>
      </w:r>
      <w:r>
        <w:t xml:space="preserve">), internal data sources (e.g. synthetic estimates where policy officers fill out forms and search for information to estimate time savings), information from similar studies in other </w:t>
      </w:r>
      <w:r w:rsidR="00D06A77">
        <w:t>jurisdictions</w:t>
      </w:r>
      <w:r>
        <w:t xml:space="preserve"> and relevant departmental experts. A list of suitable data sources for unit cost and quantity are provided in </w:t>
      </w:r>
      <w:r w:rsidRPr="00DA482D">
        <w:t>Appendix D.</w:t>
      </w:r>
    </w:p>
    <w:p w:rsidR="00062F84" w:rsidRDefault="00062F84" w:rsidP="004D73A0">
      <w:pPr>
        <w:pStyle w:val="NormalIndent"/>
      </w:pPr>
      <w:r>
        <w:t>Where there are gaps in the data available, or appropriate data is too costly to obtain, assumptions will need to be made. These should be documented and referenced appropriately.</w:t>
      </w:r>
    </w:p>
    <w:p w:rsidR="00062F84" w:rsidRDefault="00062F84" w:rsidP="004D73A0">
      <w:pPr>
        <w:pStyle w:val="NormalIndent"/>
      </w:pPr>
      <w:r>
        <w:t xml:space="preserve">The cost of complying with a regulatory requirement can vary considerably depending on the nature of the regulated entities. The RCM aims to assess the costs experienced by a normally efficient business (i.e. an entity that handles its regulatory tasks neither better nor worse than may be reasonably expected). In some cases, the regulatory costs experienced by small businesses are different to the costs experienced by larger businesses. Where this is the case, it may be appropriate to segment the affected sector, estimate the costs for each segment and use a weighted average to arrive at a full estimate of red tape savings. </w:t>
      </w:r>
    </w:p>
    <w:p w:rsidR="00062F84" w:rsidRDefault="00062F84" w:rsidP="004D73A0">
      <w:pPr>
        <w:pStyle w:val="NormalIndent"/>
      </w:pPr>
      <w:r>
        <w:t>Measurements of costs should be indicative of the effect of the red tape reduction. I</w:t>
      </w:r>
      <w:r w:rsidRPr="00AD2434">
        <w:t>t may</w:t>
      </w:r>
      <w:r>
        <w:t xml:space="preserve"> </w:t>
      </w:r>
      <w:r w:rsidRPr="00AD2434">
        <w:t>be appropriate</w:t>
      </w:r>
      <w:r>
        <w:t xml:space="preserve"> to present a range, particularly where any assumptions considerably impact the estimated red tape savings of the regulatory change.</w:t>
      </w:r>
    </w:p>
    <w:p w:rsidR="00062F84" w:rsidRPr="00766019" w:rsidRDefault="00062F84" w:rsidP="004D73A0">
      <w:pPr>
        <w:pStyle w:val="NormalIndent"/>
      </w:pPr>
      <w:r>
        <w:t xml:space="preserve">The </w:t>
      </w:r>
      <w:r w:rsidRPr="00A71C0A">
        <w:t>economic costs of prohibitions</w:t>
      </w:r>
      <w:r>
        <w:t xml:space="preserve"> should be identified but</w:t>
      </w:r>
      <w:r w:rsidRPr="00DA482D">
        <w:t xml:space="preserve"> </w:t>
      </w:r>
      <w:r>
        <w:t xml:space="preserve">only a qualitative discussion of these costs is required for the RCM to ensure the cost of preparing the RCM is not overly burdensome. </w:t>
      </w:r>
    </w:p>
    <w:p w:rsidR="00AB2B4F" w:rsidRDefault="00AB2B4F">
      <w:pPr>
        <w:spacing w:before="0" w:after="200"/>
        <w:rPr>
          <w:rFonts w:asciiTheme="majorHAnsi" w:eastAsiaTheme="majorEastAsia" w:hAnsiTheme="majorHAnsi" w:cstheme="majorBidi"/>
          <w:b/>
          <w:bCs/>
          <w:color w:val="0063A6" w:themeColor="accent1"/>
          <w:sz w:val="28"/>
          <w:szCs w:val="26"/>
        </w:rPr>
      </w:pPr>
      <w:bookmarkStart w:id="142" w:name="_Toc355267629"/>
      <w:bookmarkStart w:id="143" w:name="_Toc355275840"/>
      <w:bookmarkStart w:id="144" w:name="_Toc358276085"/>
      <w:bookmarkStart w:id="145" w:name="_Toc358282357"/>
      <w:bookmarkStart w:id="146" w:name="_Toc468455420"/>
      <w:r>
        <w:br w:type="page"/>
      </w:r>
    </w:p>
    <w:p w:rsidR="00062F84" w:rsidRPr="00AD2434" w:rsidRDefault="00062F84" w:rsidP="00062F84">
      <w:pPr>
        <w:pStyle w:val="Heading2numbered"/>
      </w:pPr>
      <w:bookmarkStart w:id="147" w:name="_Toc470078914"/>
      <w:r>
        <w:lastRenderedPageBreak/>
        <w:t>Refine</w:t>
      </w:r>
      <w:r w:rsidRPr="00AD2434">
        <w:t xml:space="preserve"> costs and assumptions</w:t>
      </w:r>
      <w:bookmarkEnd w:id="142"/>
      <w:bookmarkEnd w:id="143"/>
      <w:bookmarkEnd w:id="144"/>
      <w:bookmarkEnd w:id="145"/>
      <w:bookmarkEnd w:id="146"/>
      <w:bookmarkEnd w:id="147"/>
    </w:p>
    <w:p w:rsidR="00062F84" w:rsidRDefault="00062F84" w:rsidP="004D73A0">
      <w:pPr>
        <w:pStyle w:val="NormalIndent"/>
      </w:pPr>
      <w:r>
        <w:t>T</w:t>
      </w:r>
      <w:r w:rsidRPr="00AD2434">
        <w:t xml:space="preserve">he costs should be </w:t>
      </w:r>
      <w:r>
        <w:t xml:space="preserve">refined through further desktop research and/or consultation.  Departments should </w:t>
      </w:r>
      <w:r w:rsidRPr="00AD2434">
        <w:t>consult with relevant regulators and departmental expe</w:t>
      </w:r>
      <w:r>
        <w:t xml:space="preserve">rts to confirm whether the data, </w:t>
      </w:r>
      <w:r w:rsidRPr="00AD2434">
        <w:t>assumptions</w:t>
      </w:r>
      <w:r>
        <w:t xml:space="preserve"> and</w:t>
      </w:r>
      <w:r w:rsidRPr="00AD2434">
        <w:t xml:space="preserve"> estimated results are plausible.</w:t>
      </w:r>
    </w:p>
    <w:p w:rsidR="00062F84" w:rsidRDefault="00062F84" w:rsidP="004D73A0">
      <w:pPr>
        <w:pStyle w:val="NormalIndent"/>
      </w:pPr>
      <w:r>
        <w:t>For RCMs with savings of less than $5</w:t>
      </w:r>
      <w:r w:rsidR="004D73A0">
        <w:t> million</w:t>
      </w:r>
      <w:r>
        <w:t xml:space="preserve"> a year, consulting with the affected sector may not be required. Consultation is only likely to be required where the department is unable to substantiate the estimate using an existing study or resource. For RCMs with savings over $5</w:t>
      </w:r>
      <w:r w:rsidR="004D73A0">
        <w:t> million</w:t>
      </w:r>
      <w:r>
        <w:t xml:space="preserve"> per year, consulting with the affected sector is recommended unless there is reliable data readily available.</w:t>
      </w:r>
    </w:p>
    <w:p w:rsidR="00062F84" w:rsidRPr="00D675F7" w:rsidRDefault="00062F84" w:rsidP="004D73A0">
      <w:pPr>
        <w:pStyle w:val="NormalIndent"/>
      </w:pPr>
      <w:r>
        <w:t xml:space="preserve">Consultation could involve interviews with individual businesses, relevant experienced consultants working in the sector or industry associations. It may focus on testing particular assumptions and data sources or whether the overall estimated savings are plausible. </w:t>
      </w:r>
    </w:p>
    <w:p w:rsidR="00062F84" w:rsidRPr="00AD2434" w:rsidRDefault="00062F84" w:rsidP="00062F84">
      <w:pPr>
        <w:pStyle w:val="Heading2numbered"/>
      </w:pPr>
      <w:bookmarkStart w:id="148" w:name="_Toc355267630"/>
      <w:bookmarkStart w:id="149" w:name="_Toc355275841"/>
      <w:bookmarkStart w:id="150" w:name="_Toc358276086"/>
      <w:bookmarkStart w:id="151" w:name="_Toc358282358"/>
      <w:bookmarkStart w:id="152" w:name="_Toc468455421"/>
      <w:bookmarkStart w:id="153" w:name="_Toc470078915"/>
      <w:r>
        <w:t>Draft the RCM r</w:t>
      </w:r>
      <w:r w:rsidRPr="00AD2434">
        <w:t>eport</w:t>
      </w:r>
      <w:bookmarkEnd w:id="148"/>
      <w:bookmarkEnd w:id="149"/>
      <w:bookmarkEnd w:id="150"/>
      <w:bookmarkEnd w:id="151"/>
      <w:bookmarkEnd w:id="152"/>
      <w:bookmarkEnd w:id="153"/>
      <w:r w:rsidRPr="00AD2434">
        <w:t xml:space="preserve"> </w:t>
      </w:r>
    </w:p>
    <w:p w:rsidR="00062F84" w:rsidRDefault="00062F84" w:rsidP="004D73A0">
      <w:pPr>
        <w:pStyle w:val="NormalIndent"/>
      </w:pPr>
      <w:r>
        <w:t>The RCM report is a single consolidated document that:</w:t>
      </w:r>
    </w:p>
    <w:p w:rsidR="00062F84" w:rsidRDefault="00062F84" w:rsidP="004D73A0">
      <w:pPr>
        <w:pStyle w:val="Bulletindent"/>
      </w:pPr>
      <w:r>
        <w:t>describes the regulatory change;</w:t>
      </w:r>
    </w:p>
    <w:p w:rsidR="00062F84" w:rsidRDefault="00062F84" w:rsidP="004D73A0">
      <w:pPr>
        <w:pStyle w:val="Bulletindent"/>
      </w:pPr>
      <w:r>
        <w:t xml:space="preserve">details the methodology used to measure the savings, including data sources and assumptions made; </w:t>
      </w:r>
    </w:p>
    <w:p w:rsidR="00062F84" w:rsidRDefault="00062F84" w:rsidP="004D73A0">
      <w:pPr>
        <w:pStyle w:val="Bulletindent"/>
      </w:pPr>
      <w:r>
        <w:t>reports a point estimate or range of the dollar value of savings to business and the community from the regulatory change; and</w:t>
      </w:r>
    </w:p>
    <w:p w:rsidR="00062F84" w:rsidRDefault="00062F84" w:rsidP="004D73A0">
      <w:pPr>
        <w:pStyle w:val="Bulletindent"/>
      </w:pPr>
      <w:r>
        <w:t>provides a qualitative discussion of the economic costs associated with removing prohibitions, where appropriate.</w:t>
      </w:r>
    </w:p>
    <w:p w:rsidR="00062F84" w:rsidRDefault="00062F84" w:rsidP="004D73A0">
      <w:pPr>
        <w:pStyle w:val="NormalIndent"/>
      </w:pPr>
      <w:r>
        <w:t xml:space="preserve"> Policy justifications for the regulatory change should not be included in the RCM.</w:t>
      </w:r>
    </w:p>
    <w:p w:rsidR="00062F84" w:rsidRPr="00AD2434" w:rsidRDefault="00062F84" w:rsidP="004D73A0">
      <w:pPr>
        <w:pStyle w:val="NormalIndent"/>
      </w:pPr>
      <w:r w:rsidRPr="00AD2434">
        <w:t xml:space="preserve">In preparing </w:t>
      </w:r>
      <w:r w:rsidRPr="004C6491">
        <w:t xml:space="preserve">the </w:t>
      </w:r>
      <w:r w:rsidRPr="00AD2434">
        <w:t>RCM report, departments</w:t>
      </w:r>
      <w:r>
        <w:t xml:space="preserve"> </w:t>
      </w:r>
      <w:r w:rsidRPr="00AD2434">
        <w:t xml:space="preserve">are </w:t>
      </w:r>
      <w:r w:rsidRPr="00FC4D70">
        <w:t xml:space="preserve">strongly encouraged to adopt the standard </w:t>
      </w:r>
      <w:r>
        <w:t>RCM r</w:t>
      </w:r>
      <w:r w:rsidRPr="00FC4D70">
        <w:t xml:space="preserve">eport template </w:t>
      </w:r>
      <w:r>
        <w:t>in Box 1</w:t>
      </w:r>
      <w:r w:rsidRPr="00AD2434">
        <w:t>.</w:t>
      </w:r>
    </w:p>
    <w:tbl>
      <w:tblPr>
        <w:tblStyle w:val="DTFtexttableindent"/>
        <w:tblW w:w="0" w:type="auto"/>
        <w:tblLook w:val="0680" w:firstRow="0" w:lastRow="0" w:firstColumn="1" w:lastColumn="0" w:noHBand="1" w:noVBand="1"/>
      </w:tblPr>
      <w:tblGrid>
        <w:gridCol w:w="8319"/>
      </w:tblGrid>
      <w:tr w:rsidR="00062F84" w:rsidRPr="004F5827" w:rsidTr="00AB2B4F">
        <w:tc>
          <w:tcPr>
            <w:cnfStyle w:val="001000000000" w:firstRow="0" w:lastRow="0" w:firstColumn="1" w:lastColumn="0" w:oddVBand="0" w:evenVBand="0" w:oddHBand="0" w:evenHBand="0" w:firstRowFirstColumn="0" w:firstRowLastColumn="0" w:lastRowFirstColumn="0" w:lastRowLastColumn="0"/>
            <w:tcW w:w="8503" w:type="dxa"/>
          </w:tcPr>
          <w:p w:rsidR="00062F84" w:rsidRPr="004F5827" w:rsidRDefault="00062F84" w:rsidP="00AB2B4F">
            <w:pPr>
              <w:pStyle w:val="Tablechartdiagramheading"/>
            </w:pPr>
            <w:r>
              <w:lastRenderedPageBreak/>
              <w:t>Box 1</w:t>
            </w:r>
            <w:r w:rsidRPr="004F5827">
              <w:t>: Recommended standard template for the RCM report</w:t>
            </w:r>
          </w:p>
          <w:p w:rsidR="00062F84" w:rsidRPr="00AB2B4F" w:rsidRDefault="00062F84" w:rsidP="00AB2B4F">
            <w:pPr>
              <w:pStyle w:val="Tabletextbold"/>
              <w:spacing w:before="80" w:after="80"/>
            </w:pPr>
            <w:r w:rsidRPr="00AB2B4F">
              <w:t xml:space="preserve">Executive </w:t>
            </w:r>
            <w:r w:rsidR="00AB2B4F" w:rsidRPr="00AB2B4F">
              <w:t>summary</w:t>
            </w:r>
          </w:p>
          <w:p w:rsidR="00062F84" w:rsidRPr="004F5827" w:rsidRDefault="00062F84" w:rsidP="00AB2B4F">
            <w:pPr>
              <w:pStyle w:val="Tabletext"/>
              <w:spacing w:before="80" w:after="80"/>
            </w:pPr>
            <w:r>
              <w:t>S</w:t>
            </w:r>
            <w:r w:rsidRPr="004F5827">
              <w:t>ummar</w:t>
            </w:r>
            <w:r>
              <w:t>ises</w:t>
            </w:r>
            <w:r w:rsidRPr="004F5827">
              <w:t xml:space="preserve"> the regulatory change and the results of the measurement</w:t>
            </w:r>
            <w:r>
              <w:t xml:space="preserve"> exercise. It should </w:t>
            </w:r>
            <w:r w:rsidRPr="004F5827">
              <w:t>emphasis</w:t>
            </w:r>
            <w:r>
              <w:t>e</w:t>
            </w:r>
            <w:r w:rsidRPr="004F5827">
              <w:t xml:space="preserve"> </w:t>
            </w:r>
            <w:r>
              <w:t>that the</w:t>
            </w:r>
            <w:r w:rsidRPr="004F5827">
              <w:t xml:space="preserve"> RCM pro</w:t>
            </w:r>
            <w:r>
              <w:t>vides</w:t>
            </w:r>
            <w:r w:rsidRPr="004F5827">
              <w:t xml:space="preserve"> an </w:t>
            </w:r>
            <w:r w:rsidRPr="004F5827">
              <w:rPr>
                <w:i/>
              </w:rPr>
              <w:t>indicative estimate</w:t>
            </w:r>
            <w:r w:rsidRPr="004F5827">
              <w:t xml:space="preserve"> of </w:t>
            </w:r>
            <w:r>
              <w:t>red tape savings</w:t>
            </w:r>
            <w:r w:rsidRPr="004F5827">
              <w:t>.</w:t>
            </w:r>
          </w:p>
          <w:p w:rsidR="00062F84" w:rsidRPr="004F5827" w:rsidRDefault="00062F84" w:rsidP="00AB2B4F">
            <w:pPr>
              <w:pStyle w:val="Tabletextbold"/>
              <w:spacing w:before="80" w:after="80"/>
            </w:pPr>
            <w:r w:rsidRPr="004F5827">
              <w:t>1. The regulatory change</w:t>
            </w:r>
          </w:p>
          <w:p w:rsidR="00062F84" w:rsidRPr="004F5827" w:rsidRDefault="00062F84" w:rsidP="00AB2B4F">
            <w:pPr>
              <w:pStyle w:val="Tabletext"/>
              <w:spacing w:before="80" w:after="80"/>
            </w:pPr>
            <w:r w:rsidRPr="004F5827">
              <w:t xml:space="preserve">The precise regulatory change should be clearly </w:t>
            </w:r>
            <w:r>
              <w:t>explained</w:t>
            </w:r>
            <w:r w:rsidRPr="004F5827">
              <w:t>, including:</w:t>
            </w:r>
          </w:p>
          <w:p w:rsidR="00062F84" w:rsidRPr="004F5827" w:rsidRDefault="00062F84" w:rsidP="00AB2B4F">
            <w:pPr>
              <w:pStyle w:val="Tablebullet"/>
              <w:spacing w:before="80" w:after="80"/>
            </w:pPr>
            <w:r w:rsidRPr="004F5827">
              <w:t xml:space="preserve">the name or description of the regulation or regulatory process (and type, such as legislation, regulation, Ministerial order, etc.); </w:t>
            </w:r>
          </w:p>
          <w:p w:rsidR="00062F84" w:rsidRPr="004F5827" w:rsidRDefault="00062F84" w:rsidP="00AB2B4F">
            <w:pPr>
              <w:pStyle w:val="Tablebullet"/>
              <w:spacing w:before="80" w:after="80"/>
            </w:pPr>
            <w:r w:rsidRPr="004F5827">
              <w:t>the main section number(s) of the regulation or details of the relevant process being measured;</w:t>
            </w:r>
          </w:p>
          <w:p w:rsidR="00062F84" w:rsidRPr="004F5827" w:rsidRDefault="00062F84" w:rsidP="00AB2B4F">
            <w:pPr>
              <w:pStyle w:val="Tablebullet"/>
              <w:spacing w:before="80" w:after="80"/>
            </w:pPr>
            <w:r w:rsidRPr="004F5827">
              <w:t>the date when the regulatory change takes</w:t>
            </w:r>
            <w:r>
              <w:t>, or took,</w:t>
            </w:r>
            <w:r w:rsidRPr="004F5827">
              <w:t xml:space="preserve"> effect; and </w:t>
            </w:r>
          </w:p>
          <w:p w:rsidR="00062F84" w:rsidRPr="004F5827" w:rsidRDefault="00062F84" w:rsidP="00AB2B4F">
            <w:pPr>
              <w:pStyle w:val="Tablebullet"/>
              <w:spacing w:before="80" w:after="80"/>
            </w:pPr>
            <w:r w:rsidRPr="004F5827">
              <w:t>the duration of the r</w:t>
            </w:r>
            <w:r>
              <w:t>egulatory change</w:t>
            </w:r>
            <w:r w:rsidRPr="004F5827">
              <w:t xml:space="preserve"> (the default duration is 10 years).</w:t>
            </w:r>
          </w:p>
          <w:p w:rsidR="00062F84" w:rsidRPr="004F5827" w:rsidRDefault="00062F84" w:rsidP="00AB2B4F">
            <w:pPr>
              <w:pStyle w:val="Tabletextbold"/>
              <w:spacing w:before="80" w:after="80"/>
            </w:pPr>
            <w:r>
              <w:t>2</w:t>
            </w:r>
            <w:r w:rsidRPr="004F5827">
              <w:t xml:space="preserve">. </w:t>
            </w:r>
            <w:r>
              <w:t>Methodology for measuring the savings</w:t>
            </w:r>
          </w:p>
          <w:p w:rsidR="00062F84" w:rsidRPr="004F5827" w:rsidRDefault="00062F84" w:rsidP="00AB2B4F">
            <w:pPr>
              <w:pStyle w:val="Tabletext"/>
              <w:spacing w:before="80" w:after="80"/>
            </w:pPr>
            <w:r w:rsidRPr="004F5827">
              <w:t xml:space="preserve">This section should </w:t>
            </w:r>
            <w:r>
              <w:t>include</w:t>
            </w:r>
            <w:r w:rsidRPr="004F5827">
              <w:t xml:space="preserve"> some or all of the following information, as appropriate:  </w:t>
            </w:r>
          </w:p>
          <w:p w:rsidR="00062F84" w:rsidRDefault="00062F84" w:rsidP="00AB2B4F">
            <w:pPr>
              <w:pStyle w:val="Tablebullet"/>
              <w:spacing w:before="80" w:after="80"/>
            </w:pPr>
            <w:r w:rsidRPr="004F5827">
              <w:t xml:space="preserve">the </w:t>
            </w:r>
            <w:r>
              <w:t>methodology</w:t>
            </w:r>
            <w:r w:rsidRPr="004F5827">
              <w:t xml:space="preserve"> </w:t>
            </w:r>
            <w:r>
              <w:t>used to measure the savings, including:</w:t>
            </w:r>
          </w:p>
          <w:p w:rsidR="00062F84" w:rsidRDefault="00062F84" w:rsidP="00AB2B4F">
            <w:pPr>
              <w:pStyle w:val="Tabledash"/>
              <w:spacing w:before="80" w:after="80"/>
            </w:pPr>
            <w:r>
              <w:t>the</w:t>
            </w:r>
            <w:r w:rsidRPr="003943CD">
              <w:t xml:space="preserve"> sources of data, including appropriate references;</w:t>
            </w:r>
          </w:p>
          <w:p w:rsidR="00062F84" w:rsidRDefault="00062F84" w:rsidP="00AB2B4F">
            <w:pPr>
              <w:pStyle w:val="Tabledash"/>
              <w:spacing w:before="80" w:after="80"/>
            </w:pPr>
            <w:r>
              <w:t>the assumptions made, with supporting justifications;</w:t>
            </w:r>
          </w:p>
          <w:p w:rsidR="00062F84" w:rsidRPr="003943CD" w:rsidRDefault="00062F84" w:rsidP="00AB2B4F">
            <w:pPr>
              <w:pStyle w:val="Tabledash"/>
              <w:spacing w:before="80" w:after="80"/>
            </w:pPr>
            <w:r w:rsidRPr="003943CD">
              <w:t>the approach taken to assess how the estimated costs apply to a normally efficient business;</w:t>
            </w:r>
            <w:r>
              <w:t xml:space="preserve"> and</w:t>
            </w:r>
          </w:p>
          <w:p w:rsidR="00062F84" w:rsidRPr="003943CD" w:rsidRDefault="00062F84" w:rsidP="00AB2B4F">
            <w:pPr>
              <w:pStyle w:val="Tabledash"/>
              <w:spacing w:before="80" w:after="80"/>
            </w:pPr>
            <w:r w:rsidRPr="003943CD">
              <w:t xml:space="preserve">the approach taken to determine </w:t>
            </w:r>
            <w:r>
              <w:t>business-as-usual costs.</w:t>
            </w:r>
          </w:p>
          <w:p w:rsidR="00062F84" w:rsidRPr="004F5827" w:rsidRDefault="00062F84" w:rsidP="00AB2B4F">
            <w:pPr>
              <w:pStyle w:val="Tablebullet"/>
              <w:spacing w:before="80" w:after="80"/>
            </w:pPr>
            <w:r>
              <w:t>the approach taken to refine</w:t>
            </w:r>
            <w:r w:rsidRPr="004F5827">
              <w:t xml:space="preserve"> data,</w:t>
            </w:r>
            <w:r>
              <w:t xml:space="preserve"> assumptions and/or the final estimate. This could discuss the consultation process with </w:t>
            </w:r>
            <w:r w:rsidRPr="004F5827">
              <w:t>the affected sector,</w:t>
            </w:r>
            <w:r>
              <w:t xml:space="preserve"> such as,</w:t>
            </w:r>
            <w:r w:rsidRPr="004F5827">
              <w:t xml:space="preserve"> the number of interviews conducted (if any), and the range of experts consulted. </w:t>
            </w:r>
            <w:r>
              <w:t>B</w:t>
            </w:r>
            <w:r w:rsidRPr="004F5827">
              <w:t>usinesses or experts interviewed</w:t>
            </w:r>
            <w:r>
              <w:t xml:space="preserve"> do not need to be identified (</w:t>
            </w:r>
            <w:r w:rsidRPr="004F5827">
              <w:t xml:space="preserve">unless </w:t>
            </w:r>
            <w:r>
              <w:t>they gave</w:t>
            </w:r>
            <w:r w:rsidRPr="004F5827">
              <w:t xml:space="preserve"> express permission </w:t>
            </w:r>
            <w:r>
              <w:t xml:space="preserve">for such details to be </w:t>
            </w:r>
            <w:r w:rsidRPr="004F5827">
              <w:t>disclose</w:t>
            </w:r>
            <w:r>
              <w:t>d); however, their views should be reported.</w:t>
            </w:r>
            <w:r w:rsidRPr="004F5827">
              <w:t xml:space="preserve"> </w:t>
            </w:r>
          </w:p>
          <w:p w:rsidR="00062F84" w:rsidRPr="004F5827" w:rsidRDefault="00062F84" w:rsidP="00AB2B4F">
            <w:pPr>
              <w:pStyle w:val="Tabletextbold"/>
              <w:spacing w:before="80" w:after="80"/>
            </w:pPr>
            <w:r>
              <w:t>3</w:t>
            </w:r>
            <w:r w:rsidRPr="004F5827">
              <w:t>. Results</w:t>
            </w:r>
          </w:p>
          <w:p w:rsidR="00062F84" w:rsidRPr="00DF51B8" w:rsidRDefault="00062F84" w:rsidP="00AB2B4F">
            <w:pPr>
              <w:pStyle w:val="Tabletext"/>
              <w:spacing w:before="80" w:after="80"/>
            </w:pPr>
            <w:r w:rsidRPr="004F5827">
              <w:t xml:space="preserve">This section </w:t>
            </w:r>
            <w:r>
              <w:t xml:space="preserve">should </w:t>
            </w:r>
            <w:r w:rsidRPr="004F5827">
              <w:t>outline and report the main quantita</w:t>
            </w:r>
            <w:r>
              <w:t>tive results in a table</w:t>
            </w:r>
            <w:r w:rsidRPr="004F5827">
              <w:t xml:space="preserve"> using the template provided below.</w:t>
            </w:r>
          </w:p>
          <w:p w:rsidR="00062F84" w:rsidRPr="004F5827" w:rsidRDefault="00062F84" w:rsidP="00AB2B4F">
            <w:pPr>
              <w:keepNext/>
              <w:jc w:val="center"/>
              <w:rPr>
                <w:b/>
                <w:color w:val="4C4C4C"/>
              </w:rPr>
            </w:pPr>
            <w:r w:rsidRPr="004F5827">
              <w:rPr>
                <w:b/>
                <w:color w:val="4C4C4C"/>
              </w:rPr>
              <w:t xml:space="preserve">Regulatory Change Measurement </w:t>
            </w:r>
            <w:r w:rsidR="00F44A38">
              <w:rPr>
                <w:b/>
                <w:color w:val="4C4C4C"/>
              </w:rPr>
              <w:t>summary table</w:t>
            </w:r>
          </w:p>
          <w:tbl>
            <w:tblPr>
              <w:tblStyle w:val="DTFtexttable"/>
              <w:tblW w:w="0" w:type="auto"/>
              <w:jc w:val="center"/>
              <w:tblLook w:val="0620" w:firstRow="1" w:lastRow="0" w:firstColumn="0" w:lastColumn="0" w:noHBand="1" w:noVBand="1"/>
            </w:tblPr>
            <w:tblGrid>
              <w:gridCol w:w="1580"/>
              <w:gridCol w:w="1135"/>
              <w:gridCol w:w="806"/>
              <w:gridCol w:w="1418"/>
              <w:gridCol w:w="1296"/>
              <w:gridCol w:w="1254"/>
            </w:tblGrid>
            <w:tr w:rsidR="00062F84" w:rsidRPr="004F5827" w:rsidTr="00AB2B4F">
              <w:trPr>
                <w:cnfStyle w:val="100000000000" w:firstRow="1" w:lastRow="0" w:firstColumn="0" w:lastColumn="0" w:oddVBand="0" w:evenVBand="0" w:oddHBand="0" w:evenHBand="0" w:firstRowFirstColumn="0" w:firstRowLastColumn="0" w:lastRowFirstColumn="0" w:lastRowLastColumn="0"/>
                <w:jc w:val="center"/>
              </w:trPr>
              <w:tc>
                <w:tcPr>
                  <w:tcW w:w="1580" w:type="dxa"/>
                </w:tcPr>
                <w:p w:rsidR="00062F84" w:rsidRPr="00F44A38" w:rsidRDefault="00062F84" w:rsidP="00AB2B4F">
                  <w:pPr>
                    <w:rPr>
                      <w:color w:val="FFFFFF"/>
                    </w:rPr>
                  </w:pPr>
                  <w:r w:rsidRPr="00F44A38">
                    <w:rPr>
                      <w:color w:val="FFFFFF"/>
                    </w:rPr>
                    <w:t>Sector</w:t>
                  </w:r>
                </w:p>
              </w:tc>
              <w:tc>
                <w:tcPr>
                  <w:tcW w:w="1135" w:type="dxa"/>
                </w:tcPr>
                <w:p w:rsidR="00062F84" w:rsidRPr="00F44A38" w:rsidRDefault="00062F84" w:rsidP="00F44A38">
                  <w:pPr>
                    <w:jc w:val="center"/>
                    <w:rPr>
                      <w:color w:val="FFFFFF"/>
                    </w:rPr>
                  </w:pPr>
                  <w:r w:rsidRPr="00F44A38">
                    <w:rPr>
                      <w:color w:val="FFFFFF"/>
                    </w:rPr>
                    <w:t>Business</w:t>
                  </w:r>
                </w:p>
              </w:tc>
              <w:tc>
                <w:tcPr>
                  <w:tcW w:w="806" w:type="dxa"/>
                </w:tcPr>
                <w:p w:rsidR="00062F84" w:rsidRPr="00F44A38" w:rsidRDefault="00062F84" w:rsidP="00F44A38">
                  <w:pPr>
                    <w:jc w:val="center"/>
                    <w:rPr>
                      <w:color w:val="FFFFFF"/>
                    </w:rPr>
                  </w:pPr>
                  <w:r w:rsidRPr="00F44A38">
                    <w:rPr>
                      <w:color w:val="FFFFFF"/>
                    </w:rPr>
                    <w:t>NFP</w:t>
                  </w:r>
                </w:p>
              </w:tc>
              <w:tc>
                <w:tcPr>
                  <w:tcW w:w="1418" w:type="dxa"/>
                </w:tcPr>
                <w:p w:rsidR="00062F84" w:rsidRPr="00F44A38" w:rsidRDefault="00062F84" w:rsidP="00F44A38">
                  <w:pPr>
                    <w:jc w:val="center"/>
                    <w:rPr>
                      <w:color w:val="FFFFFF"/>
                    </w:rPr>
                  </w:pPr>
                  <w:r w:rsidRPr="00F44A38">
                    <w:rPr>
                      <w:color w:val="FFFFFF"/>
                    </w:rPr>
                    <w:t>Government services</w:t>
                  </w:r>
                </w:p>
              </w:tc>
              <w:tc>
                <w:tcPr>
                  <w:tcW w:w="1296" w:type="dxa"/>
                </w:tcPr>
                <w:p w:rsidR="00062F84" w:rsidRPr="00F44A38" w:rsidRDefault="00062F84" w:rsidP="00F44A38">
                  <w:pPr>
                    <w:jc w:val="center"/>
                    <w:rPr>
                      <w:color w:val="FFFFFF"/>
                    </w:rPr>
                  </w:pPr>
                  <w:r w:rsidRPr="00F44A38">
                    <w:rPr>
                      <w:color w:val="FFFFFF"/>
                    </w:rPr>
                    <w:t>Individuals</w:t>
                  </w:r>
                </w:p>
              </w:tc>
              <w:tc>
                <w:tcPr>
                  <w:tcW w:w="1254" w:type="dxa"/>
                </w:tcPr>
                <w:p w:rsidR="00062F84" w:rsidRPr="00F44A38" w:rsidRDefault="00062F84" w:rsidP="00F44A38">
                  <w:pPr>
                    <w:jc w:val="center"/>
                    <w:rPr>
                      <w:color w:val="FFFFFF"/>
                    </w:rPr>
                  </w:pPr>
                  <w:r w:rsidRPr="00F44A38">
                    <w:rPr>
                      <w:color w:val="FFFFFF"/>
                    </w:rPr>
                    <w:t xml:space="preserve">Total </w:t>
                  </w:r>
                  <w:r w:rsidR="00F44A38" w:rsidRPr="00F44A38">
                    <w:rPr>
                      <w:color w:val="FFFFFF"/>
                    </w:rPr>
                    <w:t>costs</w:t>
                  </w:r>
                </w:p>
              </w:tc>
            </w:tr>
            <w:tr w:rsidR="00062F84" w:rsidRPr="00AD2434" w:rsidTr="00AB2B4F">
              <w:trPr>
                <w:jc w:val="center"/>
              </w:trPr>
              <w:tc>
                <w:tcPr>
                  <w:tcW w:w="1580" w:type="dxa"/>
                </w:tcPr>
                <w:p w:rsidR="00062F84" w:rsidRPr="00257AA1" w:rsidRDefault="00062F84" w:rsidP="00AB2B4F">
                  <w:pPr>
                    <w:rPr>
                      <w:b/>
                    </w:rPr>
                  </w:pPr>
                  <w:r>
                    <w:rPr>
                      <w:b/>
                    </w:rPr>
                    <w:t xml:space="preserve">Costs by </w:t>
                  </w:r>
                  <w:r w:rsidR="00AB2B4F">
                    <w:rPr>
                      <w:b/>
                    </w:rPr>
                    <w:t>sector</w:t>
                  </w:r>
                </w:p>
              </w:tc>
              <w:tc>
                <w:tcPr>
                  <w:tcW w:w="1135" w:type="dxa"/>
                </w:tcPr>
                <w:p w:rsidR="00062F84" w:rsidRPr="00AD2434" w:rsidRDefault="00062F84" w:rsidP="00F44A38">
                  <w:pPr>
                    <w:jc w:val="center"/>
                  </w:pPr>
                  <w:r w:rsidRPr="00AD2434">
                    <w:t>±$</w:t>
                  </w:r>
                </w:p>
              </w:tc>
              <w:tc>
                <w:tcPr>
                  <w:tcW w:w="806" w:type="dxa"/>
                </w:tcPr>
                <w:p w:rsidR="00062F84" w:rsidRPr="00AD2434" w:rsidRDefault="00062F84" w:rsidP="00F44A38">
                  <w:pPr>
                    <w:jc w:val="center"/>
                  </w:pPr>
                  <w:r w:rsidRPr="00AD2434">
                    <w:t>±$</w:t>
                  </w:r>
                </w:p>
              </w:tc>
              <w:tc>
                <w:tcPr>
                  <w:tcW w:w="1418" w:type="dxa"/>
                </w:tcPr>
                <w:p w:rsidR="00062F84" w:rsidRPr="00AD2434" w:rsidRDefault="00062F84" w:rsidP="00F44A38">
                  <w:pPr>
                    <w:jc w:val="center"/>
                  </w:pPr>
                  <w:r w:rsidRPr="00AD2434">
                    <w:t>±$</w:t>
                  </w:r>
                </w:p>
              </w:tc>
              <w:tc>
                <w:tcPr>
                  <w:tcW w:w="1296" w:type="dxa"/>
                </w:tcPr>
                <w:p w:rsidR="00062F84" w:rsidRPr="00AD2434" w:rsidRDefault="00062F84" w:rsidP="00F44A38">
                  <w:pPr>
                    <w:jc w:val="center"/>
                  </w:pPr>
                  <w:r w:rsidRPr="00AD2434">
                    <w:t>±$</w:t>
                  </w:r>
                </w:p>
              </w:tc>
              <w:tc>
                <w:tcPr>
                  <w:tcW w:w="1254" w:type="dxa"/>
                </w:tcPr>
                <w:p w:rsidR="00062F84" w:rsidRPr="00AD2434" w:rsidRDefault="00062F84" w:rsidP="00F44A38">
                  <w:pPr>
                    <w:jc w:val="center"/>
                  </w:pPr>
                  <w:r w:rsidRPr="00AD2434">
                    <w:t>±$</w:t>
                  </w:r>
                </w:p>
              </w:tc>
            </w:tr>
          </w:tbl>
          <w:p w:rsidR="00062F84" w:rsidRPr="00B43778" w:rsidRDefault="00062F84" w:rsidP="00AB2B4F">
            <w:pPr>
              <w:pStyle w:val="Tabletext"/>
              <w:spacing w:before="80" w:after="80"/>
            </w:pPr>
            <w:r w:rsidRPr="00B43778">
              <w:t xml:space="preserve">Where the regulatory change includes </w:t>
            </w:r>
            <w:r>
              <w:t>removing prohibitions</w:t>
            </w:r>
            <w:r w:rsidRPr="00B43778">
              <w:t xml:space="preserve">, this section should provide a qualitative discussion of </w:t>
            </w:r>
            <w:r>
              <w:t>those economic costs</w:t>
            </w:r>
            <w:r w:rsidRPr="00B43778">
              <w:t>.</w:t>
            </w:r>
          </w:p>
          <w:p w:rsidR="00062F84" w:rsidRPr="004F5827" w:rsidRDefault="00062F84" w:rsidP="00AB2B4F">
            <w:pPr>
              <w:pStyle w:val="Tabletextbold"/>
              <w:spacing w:before="80" w:after="80"/>
            </w:pPr>
            <w:r w:rsidRPr="004F5827">
              <w:t>Attachments</w:t>
            </w:r>
          </w:p>
          <w:p w:rsidR="00062F84" w:rsidRPr="004F5827" w:rsidRDefault="00062F84" w:rsidP="00AB2B4F">
            <w:pPr>
              <w:pStyle w:val="Tabletext"/>
              <w:spacing w:before="80" w:after="80"/>
              <w:rPr>
                <w:b/>
              </w:rPr>
            </w:pPr>
            <w:r w:rsidRPr="004F5827">
              <w:t>The attachments to the report should include the underlying detailed spreadsheets and working calculations.</w:t>
            </w:r>
          </w:p>
        </w:tc>
      </w:tr>
    </w:tbl>
    <w:p w:rsidR="00062F84" w:rsidRDefault="00062F84" w:rsidP="00062F84">
      <w:pPr>
        <w:spacing w:before="0" w:after="200"/>
      </w:pPr>
    </w:p>
    <w:p w:rsidR="00AB2B4F" w:rsidRDefault="00AB2B4F">
      <w:pPr>
        <w:spacing w:before="0" w:after="200"/>
        <w:rPr>
          <w:rFonts w:asciiTheme="majorHAnsi" w:eastAsiaTheme="majorEastAsia" w:hAnsiTheme="majorHAnsi" w:cstheme="majorBidi"/>
          <w:b/>
          <w:bCs/>
          <w:color w:val="0063A6" w:themeColor="accent1"/>
          <w:sz w:val="28"/>
          <w:szCs w:val="26"/>
        </w:rPr>
      </w:pPr>
      <w:bookmarkStart w:id="154" w:name="_Toc355267631"/>
      <w:bookmarkStart w:id="155" w:name="_Toc355275842"/>
      <w:bookmarkStart w:id="156" w:name="_Toc358276087"/>
      <w:bookmarkStart w:id="157" w:name="_Toc358282359"/>
      <w:bookmarkStart w:id="158" w:name="_Toc468455422"/>
      <w:r>
        <w:br w:type="page"/>
      </w:r>
    </w:p>
    <w:p w:rsidR="00062F84" w:rsidRPr="00AD2434" w:rsidRDefault="00062F84" w:rsidP="00062F84">
      <w:pPr>
        <w:pStyle w:val="Heading2numbered"/>
      </w:pPr>
      <w:bookmarkStart w:id="159" w:name="_Toc470078916"/>
      <w:r w:rsidRPr="00AD2434">
        <w:lastRenderedPageBreak/>
        <w:t>Check whether the RCM report is adequate</w:t>
      </w:r>
      <w:bookmarkEnd w:id="154"/>
      <w:bookmarkEnd w:id="155"/>
      <w:bookmarkEnd w:id="156"/>
      <w:bookmarkEnd w:id="157"/>
      <w:bookmarkEnd w:id="158"/>
      <w:bookmarkEnd w:id="159"/>
    </w:p>
    <w:p w:rsidR="00062F84" w:rsidRPr="00AD2434" w:rsidRDefault="00062F84" w:rsidP="004D73A0">
      <w:pPr>
        <w:pStyle w:val="NormalIndent"/>
      </w:pPr>
      <w:r>
        <w:t>After</w:t>
      </w:r>
      <w:r w:rsidRPr="00AD2434">
        <w:t xml:space="preserve"> completin</w:t>
      </w:r>
      <w:r>
        <w:t>g</w:t>
      </w:r>
      <w:r w:rsidRPr="00AD2434">
        <w:t xml:space="preserve"> the </w:t>
      </w:r>
      <w:r w:rsidRPr="001C4073">
        <w:t xml:space="preserve">draft </w:t>
      </w:r>
      <w:r w:rsidRPr="00AD2434">
        <w:t>RCM report,</w:t>
      </w:r>
      <w:r>
        <w:t xml:space="preserve"> departments </w:t>
      </w:r>
      <w:r w:rsidRPr="00AD2434">
        <w:t>should</w:t>
      </w:r>
      <w:r>
        <w:t xml:space="preserve"> check that the report:</w:t>
      </w:r>
    </w:p>
    <w:p w:rsidR="00062F84" w:rsidRDefault="00062F84" w:rsidP="004D73A0">
      <w:pPr>
        <w:pStyle w:val="Bulletindent"/>
      </w:pPr>
      <w:r w:rsidRPr="00AD2434">
        <w:t xml:space="preserve">complies with the </w:t>
      </w:r>
      <w:r>
        <w:t>approach</w:t>
      </w:r>
      <w:r w:rsidRPr="00AD2434">
        <w:t xml:space="preserve"> </w:t>
      </w:r>
      <w:r>
        <w:t>outlined in this manual;</w:t>
      </w:r>
    </w:p>
    <w:p w:rsidR="00062F84" w:rsidRPr="00AD2434" w:rsidRDefault="00062F84" w:rsidP="004D73A0">
      <w:pPr>
        <w:pStyle w:val="Bulletindent"/>
      </w:pPr>
      <w:r w:rsidRPr="00AD2434">
        <w:t>is written in plain English;</w:t>
      </w:r>
    </w:p>
    <w:p w:rsidR="00062F84" w:rsidRPr="00AD2434" w:rsidRDefault="00062F84" w:rsidP="004D73A0">
      <w:pPr>
        <w:pStyle w:val="Bulletindent"/>
      </w:pPr>
      <w:r>
        <w:t>documents assumptions and cites data sources</w:t>
      </w:r>
      <w:r w:rsidRPr="00AD2434">
        <w:t xml:space="preserve"> (subject to privacy </w:t>
      </w:r>
      <w:r>
        <w:t>limitations</w:t>
      </w:r>
      <w:r w:rsidRPr="00AD2434">
        <w:t>);</w:t>
      </w:r>
    </w:p>
    <w:p w:rsidR="00062F84" w:rsidRPr="00AD2434" w:rsidRDefault="00062F84" w:rsidP="004D73A0">
      <w:pPr>
        <w:pStyle w:val="Bulletindent"/>
      </w:pPr>
      <w:r>
        <w:t>calculates the savings accurately; and</w:t>
      </w:r>
    </w:p>
    <w:p w:rsidR="00062F84" w:rsidRPr="00C80831" w:rsidRDefault="00062F84" w:rsidP="004D73A0">
      <w:pPr>
        <w:pStyle w:val="Bulletindent"/>
      </w:pPr>
      <w:r>
        <w:t xml:space="preserve">where consultation is undertaken, reports the views of affected parties </w:t>
      </w:r>
      <w:r w:rsidRPr="00AD2434">
        <w:t xml:space="preserve">(subject to privacy </w:t>
      </w:r>
      <w:r>
        <w:t>limitations</w:t>
      </w:r>
      <w:r w:rsidRPr="00AD2434">
        <w:t>)</w:t>
      </w:r>
      <w:r w:rsidRPr="001A60C1">
        <w:t>.</w:t>
      </w:r>
      <w:r w:rsidRPr="00C80831">
        <w:t xml:space="preserve"> </w:t>
      </w:r>
    </w:p>
    <w:p w:rsidR="00062F84" w:rsidRPr="00AD2434" w:rsidRDefault="00062F84" w:rsidP="00062F84">
      <w:pPr>
        <w:pStyle w:val="Heading1numbered"/>
      </w:pPr>
      <w:bookmarkStart w:id="160" w:name="_Toc355267632"/>
      <w:bookmarkStart w:id="161" w:name="_Toc355275843"/>
      <w:bookmarkStart w:id="162" w:name="_Toc358276088"/>
      <w:bookmarkStart w:id="163" w:name="_Toc358282360"/>
      <w:bookmarkStart w:id="164" w:name="_Toc468455423"/>
      <w:bookmarkStart w:id="165" w:name="_Toc470078917"/>
      <w:r>
        <w:t>Verification and publication of the RCM report</w:t>
      </w:r>
      <w:bookmarkEnd w:id="160"/>
      <w:bookmarkEnd w:id="161"/>
      <w:bookmarkEnd w:id="162"/>
      <w:bookmarkEnd w:id="163"/>
      <w:bookmarkEnd w:id="164"/>
      <w:bookmarkEnd w:id="165"/>
    </w:p>
    <w:p w:rsidR="00062F84" w:rsidRPr="00AD2434" w:rsidRDefault="00062F84" w:rsidP="004D73A0">
      <w:pPr>
        <w:pStyle w:val="NormalIndent"/>
      </w:pPr>
      <w:r w:rsidRPr="00F0579E">
        <w:t>Once satisfied that the RCM report meets the criteria</w:t>
      </w:r>
      <w:r>
        <w:t xml:space="preserve"> </w:t>
      </w:r>
      <w:r w:rsidRPr="00F0579E">
        <w:t>outlined in</w:t>
      </w:r>
      <w:r>
        <w:t xml:space="preserve"> section 3.4.1</w:t>
      </w:r>
      <w:r w:rsidRPr="00F0579E">
        <w:t>,</w:t>
      </w:r>
      <w:r w:rsidRPr="00AD2434">
        <w:t xml:space="preserve"> the draft RCM report </w:t>
      </w:r>
      <w:r>
        <w:t>can</w:t>
      </w:r>
      <w:r w:rsidRPr="00AD2434">
        <w:t xml:space="preserve"> be submitted </w:t>
      </w:r>
      <w:r>
        <w:t>to</w:t>
      </w:r>
      <w:r w:rsidRPr="00AD2434">
        <w:t xml:space="preserve"> </w:t>
      </w:r>
      <w:r>
        <w:t>DTF (this is optional) for review/feedback prior to its formal lodgement as part of the government’s six-monthly red tape reduction progress reporting.</w:t>
      </w:r>
    </w:p>
    <w:p w:rsidR="00062F84" w:rsidRDefault="00062F84" w:rsidP="00062F84">
      <w:pPr>
        <w:pStyle w:val="Heading2numbered"/>
      </w:pPr>
      <w:bookmarkStart w:id="166" w:name="_Toc355267634"/>
      <w:bookmarkStart w:id="167" w:name="_Toc355275845"/>
      <w:bookmarkStart w:id="168" w:name="_Toc358276090"/>
      <w:bookmarkStart w:id="169" w:name="_Toc358282362"/>
      <w:bookmarkStart w:id="170" w:name="_Toc468455424"/>
      <w:bookmarkStart w:id="171" w:name="_Toc470078918"/>
      <w:r>
        <w:t>Publication of the RCM report</w:t>
      </w:r>
      <w:bookmarkEnd w:id="166"/>
      <w:bookmarkEnd w:id="167"/>
      <w:bookmarkEnd w:id="168"/>
      <w:bookmarkEnd w:id="169"/>
      <w:bookmarkEnd w:id="170"/>
      <w:bookmarkEnd w:id="171"/>
    </w:p>
    <w:p w:rsidR="00062F84" w:rsidRPr="00FA5B19" w:rsidRDefault="00062F84" w:rsidP="004D73A0">
      <w:pPr>
        <w:pStyle w:val="NormalIndent"/>
      </w:pPr>
      <w:r>
        <w:t>Once completed, t</w:t>
      </w:r>
      <w:r w:rsidRPr="00882B3F">
        <w:t xml:space="preserve">he relevant department and/or regulator should publish the </w:t>
      </w:r>
      <w:r>
        <w:t>final RCM report</w:t>
      </w:r>
      <w:r w:rsidRPr="00882B3F">
        <w:t xml:space="preserve"> on its own website.</w:t>
      </w:r>
      <w:r w:rsidRPr="00FA5B19">
        <w:t xml:space="preserve"> </w:t>
      </w:r>
    </w:p>
    <w:p w:rsidR="00AB2B4F" w:rsidRDefault="00AB2B4F">
      <w:pPr>
        <w:spacing w:before="0" w:after="200"/>
        <w:rPr>
          <w:rFonts w:asciiTheme="majorHAnsi" w:eastAsiaTheme="majorEastAsia" w:hAnsiTheme="majorHAnsi" w:cstheme="majorBidi"/>
          <w:b/>
          <w:bCs/>
          <w:color w:val="201547"/>
          <w:spacing w:val="-1"/>
          <w:sz w:val="36"/>
          <w:szCs w:val="28"/>
        </w:rPr>
      </w:pPr>
      <w:bookmarkStart w:id="172" w:name="_Toc355267636"/>
      <w:bookmarkStart w:id="173" w:name="_Toc355275847"/>
      <w:bookmarkStart w:id="174" w:name="_Toc358276092"/>
      <w:bookmarkStart w:id="175" w:name="_Toc358282364"/>
      <w:bookmarkStart w:id="176" w:name="_Toc468455425"/>
      <w:r>
        <w:br w:type="page"/>
      </w:r>
    </w:p>
    <w:p w:rsidR="00062F84" w:rsidRPr="00AD2434" w:rsidRDefault="00062F84" w:rsidP="00062F84">
      <w:pPr>
        <w:pStyle w:val="Heading1"/>
      </w:pPr>
      <w:bookmarkStart w:id="177" w:name="_Toc470078919"/>
      <w:r w:rsidRPr="00AD2434">
        <w:lastRenderedPageBreak/>
        <w:t>Appendix</w:t>
      </w:r>
      <w:r>
        <w:t xml:space="preserve"> A</w:t>
      </w:r>
      <w:r w:rsidRPr="00AD2434">
        <w:t>: General definitions and concepts</w:t>
      </w:r>
      <w:bookmarkEnd w:id="172"/>
      <w:bookmarkEnd w:id="173"/>
      <w:bookmarkEnd w:id="174"/>
      <w:bookmarkEnd w:id="175"/>
      <w:bookmarkEnd w:id="176"/>
      <w:bookmarkEnd w:id="177"/>
    </w:p>
    <w:p w:rsidR="00062F84" w:rsidRPr="00AD2434" w:rsidRDefault="00062F84" w:rsidP="00062F84">
      <w:pPr>
        <w:pStyle w:val="Heading2"/>
      </w:pPr>
      <w:bookmarkStart w:id="178" w:name="_Toc355275848"/>
      <w:bookmarkStart w:id="179" w:name="_Toc358276093"/>
      <w:bookmarkStart w:id="180" w:name="_Toc358282365"/>
      <w:bookmarkStart w:id="181" w:name="_Toc468455426"/>
      <w:bookmarkStart w:id="182" w:name="_Toc470078920"/>
      <w:r>
        <w:t>A.1</w:t>
      </w:r>
      <w:r>
        <w:tab/>
        <w:t>Legally enforceable obligations</w:t>
      </w:r>
      <w:bookmarkEnd w:id="178"/>
      <w:bookmarkEnd w:id="179"/>
      <w:bookmarkEnd w:id="180"/>
      <w:bookmarkEnd w:id="181"/>
      <w:bookmarkEnd w:id="182"/>
      <w:r w:rsidRPr="00AD2434">
        <w:t xml:space="preserve"> </w:t>
      </w:r>
    </w:p>
    <w:p w:rsidR="00062F84" w:rsidRDefault="00062F84" w:rsidP="004D73A0">
      <w:pPr>
        <w:pStyle w:val="NormalIndent"/>
      </w:pPr>
      <w:r w:rsidRPr="00D8411D">
        <w:t>All legally enforceable obligations</w:t>
      </w:r>
      <w:r w:rsidRPr="00AD2434">
        <w:t xml:space="preserve"> imposed by </w:t>
      </w:r>
      <w:r>
        <w:t>Victorian</w:t>
      </w:r>
      <w:r w:rsidRPr="00AD2434">
        <w:t xml:space="preserve"> Government Ministers, departments, regulatory agencies and local governments in Victoria</w:t>
      </w:r>
      <w:r>
        <w:t xml:space="preserve"> </w:t>
      </w:r>
      <w:r w:rsidRPr="00AD2434">
        <w:t xml:space="preserve">are within the scope of the </w:t>
      </w:r>
      <w:r w:rsidR="00E918CF">
        <w:t>Regulation Reform</w:t>
      </w:r>
      <w:r>
        <w:t xml:space="preserve"> Program, whether through:</w:t>
      </w:r>
    </w:p>
    <w:p w:rsidR="00062F84" w:rsidRDefault="00062F84" w:rsidP="004D73A0">
      <w:pPr>
        <w:pStyle w:val="Bulletindent"/>
      </w:pPr>
      <w:r>
        <w:t>legislation;</w:t>
      </w:r>
    </w:p>
    <w:p w:rsidR="00062F84" w:rsidRDefault="00062F84" w:rsidP="004D73A0">
      <w:pPr>
        <w:pStyle w:val="Bulletindent"/>
      </w:pPr>
      <w:r>
        <w:t>statutory rules</w:t>
      </w:r>
      <w:r w:rsidRPr="00D8411D">
        <w:t>:</w:t>
      </w:r>
    </w:p>
    <w:p w:rsidR="00062F84" w:rsidRDefault="00062F84" w:rsidP="004D73A0">
      <w:pPr>
        <w:pStyle w:val="Bulletindent"/>
      </w:pPr>
      <w:r>
        <w:t>legislative instruments;</w:t>
      </w:r>
    </w:p>
    <w:p w:rsidR="00062F84" w:rsidRDefault="00062F84" w:rsidP="004D73A0">
      <w:pPr>
        <w:pStyle w:val="Bulletindent"/>
      </w:pPr>
      <w:r>
        <w:t>mandatory codes and guidelines;</w:t>
      </w:r>
    </w:p>
    <w:p w:rsidR="00062F84" w:rsidRDefault="00062F84" w:rsidP="004D73A0">
      <w:pPr>
        <w:pStyle w:val="Bulletindent"/>
      </w:pPr>
      <w:r>
        <w:t>court rules;</w:t>
      </w:r>
    </w:p>
    <w:p w:rsidR="00062F84" w:rsidRDefault="00062F84" w:rsidP="004D73A0">
      <w:pPr>
        <w:pStyle w:val="Bulletindent"/>
      </w:pPr>
      <w:r>
        <w:t xml:space="preserve">service agreements; or </w:t>
      </w:r>
    </w:p>
    <w:p w:rsidR="00062F84" w:rsidRPr="00D8411D" w:rsidRDefault="00062F84" w:rsidP="004D73A0">
      <w:pPr>
        <w:pStyle w:val="Bulletindent"/>
      </w:pPr>
      <w:r>
        <w:t>other instruments.</w:t>
      </w:r>
    </w:p>
    <w:p w:rsidR="00062F84" w:rsidRPr="00D8411D" w:rsidRDefault="00062F84" w:rsidP="004D73A0">
      <w:pPr>
        <w:pStyle w:val="NormalIndent"/>
      </w:pPr>
      <w:r w:rsidRPr="00D8411D">
        <w:t>This excludes:</w:t>
      </w:r>
    </w:p>
    <w:p w:rsidR="00062F84" w:rsidRPr="00AD2434" w:rsidRDefault="00062F84" w:rsidP="004D73A0">
      <w:pPr>
        <w:pStyle w:val="Bulletindent"/>
      </w:pPr>
      <w:r>
        <w:t>application of</w:t>
      </w:r>
      <w:r w:rsidRPr="00AD2434">
        <w:t xml:space="preserve"> </w:t>
      </w:r>
      <w:r>
        <w:t>c</w:t>
      </w:r>
      <w:r w:rsidRPr="00AD2434">
        <w:t xml:space="preserve">ommon </w:t>
      </w:r>
      <w:r>
        <w:t>l</w:t>
      </w:r>
      <w:r w:rsidRPr="00AD2434">
        <w:t xml:space="preserve">aw that </w:t>
      </w:r>
      <w:r>
        <w:t>is</w:t>
      </w:r>
      <w:r w:rsidRPr="00AD2434">
        <w:t xml:space="preserve"> not specifically co-regulated through state regulation or court rules;</w:t>
      </w:r>
    </w:p>
    <w:p w:rsidR="00062F84" w:rsidRPr="00AD2434" w:rsidRDefault="00062F84" w:rsidP="004D73A0">
      <w:pPr>
        <w:pStyle w:val="Bulletindent"/>
      </w:pPr>
      <w:r>
        <w:t>G</w:t>
      </w:r>
      <w:r w:rsidRPr="00AD2434">
        <w:t>overnment</w:t>
      </w:r>
      <w:r>
        <w:t>-</w:t>
      </w:r>
      <w:r w:rsidRPr="00AD2434">
        <w:t xml:space="preserve">imposed contractual conditions </w:t>
      </w:r>
      <w:r>
        <w:t>of a primarily commercial nature (e.g. purchase of stationery)</w:t>
      </w:r>
      <w:r w:rsidRPr="00AD2434">
        <w:t>; and</w:t>
      </w:r>
    </w:p>
    <w:p w:rsidR="00062F84" w:rsidRDefault="00062F84" w:rsidP="004D73A0">
      <w:pPr>
        <w:pStyle w:val="Bulletindent"/>
      </w:pPr>
      <w:r w:rsidRPr="00AD2434">
        <w:t>Commonwealth regulation</w:t>
      </w:r>
      <w:r>
        <w:t xml:space="preserve"> (except some national harmonisation reforms – see Box 2)</w:t>
      </w:r>
      <w:r w:rsidRPr="00AD2434">
        <w:t>.</w:t>
      </w:r>
    </w:p>
    <w:p w:rsidR="00062F84" w:rsidRDefault="00062F84" w:rsidP="00062F84">
      <w:pPr>
        <w:spacing w:before="0" w:after="200"/>
      </w:pPr>
    </w:p>
    <w:tbl>
      <w:tblPr>
        <w:tblStyle w:val="DTFtexttableindent"/>
        <w:tblW w:w="8278" w:type="dxa"/>
        <w:tblLayout w:type="fixed"/>
        <w:tblLook w:val="0680" w:firstRow="0" w:lastRow="0" w:firstColumn="1" w:lastColumn="0" w:noHBand="1" w:noVBand="1"/>
      </w:tblPr>
      <w:tblGrid>
        <w:gridCol w:w="8278"/>
      </w:tblGrid>
      <w:tr w:rsidR="00AB2B4F" w:rsidTr="00AB2B4F">
        <w:trPr>
          <w:trHeight w:val="1146"/>
        </w:trPr>
        <w:tc>
          <w:tcPr>
            <w:cnfStyle w:val="001000000000" w:firstRow="0" w:lastRow="0" w:firstColumn="1" w:lastColumn="0" w:oddVBand="0" w:evenVBand="0" w:oddHBand="0" w:evenHBand="0" w:firstRowFirstColumn="0" w:firstRowLastColumn="0" w:lastRowFirstColumn="0" w:lastRowLastColumn="0"/>
            <w:tcW w:w="8278" w:type="dxa"/>
          </w:tcPr>
          <w:p w:rsidR="00AB2B4F" w:rsidRPr="00C80DD7" w:rsidRDefault="00AB2B4F" w:rsidP="00AB2B4F">
            <w:pPr>
              <w:pStyle w:val="Tablechartdiagramheading"/>
            </w:pPr>
            <w:r w:rsidRPr="00C80DD7">
              <w:t xml:space="preserve">Box </w:t>
            </w:r>
            <w:r>
              <w:t>2</w:t>
            </w:r>
            <w:r w:rsidRPr="00141CB5">
              <w:t>:</w:t>
            </w:r>
            <w:r w:rsidRPr="00C80DD7">
              <w:t xml:space="preserve"> </w:t>
            </w:r>
            <w:r w:rsidRPr="00141CB5">
              <w:t>National h</w:t>
            </w:r>
            <w:r w:rsidRPr="00C80DD7">
              <w:t xml:space="preserve">armonisation </w:t>
            </w:r>
          </w:p>
          <w:p w:rsidR="00AB2B4F" w:rsidRDefault="00AB2B4F" w:rsidP="00AB2B4F">
            <w:pPr>
              <w:pStyle w:val="Tabletext"/>
            </w:pPr>
            <w:r>
              <w:t xml:space="preserve">Red tape savings achieved under national harmonisation efforts are within scope of the </w:t>
            </w:r>
            <w:r w:rsidR="00E918CF">
              <w:t>Regulation Reform Program</w:t>
            </w:r>
            <w:r>
              <w:t xml:space="preserve"> where Victoria’s involvement can be demonstrated to  achieve a net red tape reduction for the State.</w:t>
            </w:r>
          </w:p>
          <w:p w:rsidR="00AB2B4F" w:rsidRPr="001858E4" w:rsidRDefault="00AB2B4F" w:rsidP="00AB2B4F">
            <w:pPr>
              <w:pStyle w:val="Tabletext"/>
            </w:pPr>
            <w:r w:rsidRPr="001858E4">
              <w:t xml:space="preserve">Different types of harmonisation may lead to the need for a RCM, as summarised in Table </w:t>
            </w:r>
            <w:r>
              <w:t>3,</w:t>
            </w:r>
            <w:r w:rsidRPr="001858E4">
              <w:t xml:space="preserve"> noting that each change should be assessed for materiality. </w:t>
            </w:r>
          </w:p>
          <w:p w:rsidR="00AB2B4F" w:rsidRPr="00920B1A" w:rsidRDefault="00AB2B4F" w:rsidP="00AB2B4F">
            <w:pPr>
              <w:pStyle w:val="Tabletextbold"/>
              <w:ind w:left="169"/>
            </w:pPr>
            <w:r w:rsidRPr="00920B1A">
              <w:t xml:space="preserve">Table </w:t>
            </w:r>
            <w:r>
              <w:t>3</w:t>
            </w:r>
            <w:r w:rsidRPr="00920B1A">
              <w:t>: The need for a RCM under different national harmonisation models</w:t>
            </w:r>
          </w:p>
          <w:tbl>
            <w:tblPr>
              <w:tblStyle w:val="DTFtexttable"/>
              <w:tblW w:w="7835" w:type="dxa"/>
              <w:jc w:val="center"/>
              <w:tblLayout w:type="fixed"/>
              <w:tblLook w:val="0620" w:firstRow="1" w:lastRow="0" w:firstColumn="0" w:lastColumn="0" w:noHBand="1" w:noVBand="1"/>
            </w:tblPr>
            <w:tblGrid>
              <w:gridCol w:w="3096"/>
              <w:gridCol w:w="2552"/>
              <w:gridCol w:w="2187"/>
            </w:tblGrid>
            <w:tr w:rsidR="00AB2B4F" w:rsidRPr="001858E4" w:rsidTr="00AB2B4F">
              <w:trPr>
                <w:cnfStyle w:val="100000000000" w:firstRow="1" w:lastRow="0" w:firstColumn="0" w:lastColumn="0" w:oddVBand="0" w:evenVBand="0" w:oddHBand="0" w:evenHBand="0" w:firstRowFirstColumn="0" w:firstRowLastColumn="0" w:lastRowFirstColumn="0" w:lastRowLastColumn="0"/>
                <w:trHeight w:val="269"/>
                <w:jc w:val="center"/>
              </w:trPr>
              <w:tc>
                <w:tcPr>
                  <w:tcW w:w="3096" w:type="dxa"/>
                </w:tcPr>
                <w:p w:rsidR="00AB2B4F" w:rsidRPr="00F44A38" w:rsidRDefault="00AB2B4F" w:rsidP="00AB2B4F">
                  <w:pPr>
                    <w:pStyle w:val="NormalBold"/>
                    <w:spacing w:after="60" w:line="240" w:lineRule="auto"/>
                    <w:rPr>
                      <w:rFonts w:ascii="Calibri" w:hAnsi="Calibri" w:cs="Calibri"/>
                      <w:b/>
                      <w:color w:val="FFFFFF"/>
                      <w:sz w:val="22"/>
                      <w:szCs w:val="22"/>
                    </w:rPr>
                  </w:pPr>
                  <w:r w:rsidRPr="00F44A38">
                    <w:rPr>
                      <w:rFonts w:ascii="Calibri" w:hAnsi="Calibri" w:cs="Calibri"/>
                      <w:b/>
                      <w:color w:val="FFFFFF"/>
                      <w:sz w:val="22"/>
                      <w:szCs w:val="22"/>
                    </w:rPr>
                    <w:t>Harmonisation type</w:t>
                  </w:r>
                </w:p>
              </w:tc>
              <w:tc>
                <w:tcPr>
                  <w:tcW w:w="2552" w:type="dxa"/>
                </w:tcPr>
                <w:p w:rsidR="00AB2B4F" w:rsidRPr="00F44A38" w:rsidRDefault="00AB2B4F" w:rsidP="00AB2B4F">
                  <w:pPr>
                    <w:pStyle w:val="NormalBold"/>
                    <w:spacing w:after="60" w:line="240" w:lineRule="auto"/>
                    <w:jc w:val="left"/>
                    <w:rPr>
                      <w:rFonts w:ascii="Calibri" w:hAnsi="Calibri" w:cs="Calibri"/>
                      <w:b/>
                      <w:color w:val="FFFFFF"/>
                      <w:sz w:val="22"/>
                      <w:szCs w:val="22"/>
                    </w:rPr>
                  </w:pPr>
                  <w:r w:rsidRPr="00F44A38">
                    <w:rPr>
                      <w:rFonts w:ascii="Calibri" w:hAnsi="Calibri" w:cs="Calibri"/>
                      <w:b/>
                      <w:color w:val="FFFFFF"/>
                      <w:sz w:val="22"/>
                      <w:szCs w:val="22"/>
                    </w:rPr>
                    <w:t>RCM needed upon transition?</w:t>
                  </w:r>
                </w:p>
              </w:tc>
              <w:tc>
                <w:tcPr>
                  <w:tcW w:w="2187" w:type="dxa"/>
                </w:tcPr>
                <w:p w:rsidR="00AB2B4F" w:rsidRPr="00F44A38" w:rsidRDefault="00AB2B4F" w:rsidP="00AB2B4F">
                  <w:pPr>
                    <w:pStyle w:val="NormalBold"/>
                    <w:spacing w:after="60" w:line="240" w:lineRule="auto"/>
                    <w:jc w:val="left"/>
                    <w:rPr>
                      <w:rFonts w:ascii="Calibri" w:hAnsi="Calibri" w:cs="Calibri"/>
                      <w:b/>
                      <w:color w:val="FFFFFF"/>
                      <w:sz w:val="22"/>
                      <w:szCs w:val="22"/>
                    </w:rPr>
                  </w:pPr>
                  <w:r w:rsidRPr="00F44A38">
                    <w:rPr>
                      <w:rFonts w:ascii="Calibri" w:hAnsi="Calibri" w:cs="Calibri"/>
                      <w:b/>
                      <w:color w:val="FFFFFF"/>
                      <w:sz w:val="22"/>
                      <w:szCs w:val="22"/>
                    </w:rPr>
                    <w:t>RCM for subsequent changes?</w:t>
                  </w:r>
                </w:p>
              </w:tc>
            </w:tr>
            <w:tr w:rsidR="00AB2B4F" w:rsidRPr="001858E4" w:rsidTr="00AB2B4F">
              <w:trPr>
                <w:trHeight w:val="661"/>
                <w:jc w:val="center"/>
              </w:trPr>
              <w:tc>
                <w:tcPr>
                  <w:tcW w:w="3096" w:type="dxa"/>
                </w:tcPr>
                <w:p w:rsidR="00AB2B4F" w:rsidRPr="00057A82" w:rsidRDefault="00AB2B4F" w:rsidP="00AB2B4F">
                  <w:pPr>
                    <w:pStyle w:val="Tabletext"/>
                  </w:pPr>
                  <w:r w:rsidRPr="00057A82">
                    <w:t>Victoria refers its powers to the Commonwealth</w:t>
                  </w:r>
                </w:p>
              </w:tc>
              <w:tc>
                <w:tcPr>
                  <w:tcW w:w="2552" w:type="dxa"/>
                </w:tcPr>
                <w:p w:rsidR="00AB2B4F" w:rsidRPr="00AB2B4F" w:rsidRDefault="00AB2B4F" w:rsidP="00AB2B4F">
                  <w:pPr>
                    <w:pStyle w:val="Tabletext"/>
                    <w:rPr>
                      <w:b/>
                    </w:rPr>
                  </w:pPr>
                  <w:r w:rsidRPr="00AB2B4F">
                    <w:rPr>
                      <w:b/>
                    </w:rPr>
                    <w:t>Yes</w:t>
                  </w:r>
                </w:p>
              </w:tc>
              <w:tc>
                <w:tcPr>
                  <w:tcW w:w="2187" w:type="dxa"/>
                </w:tcPr>
                <w:p w:rsidR="00AB2B4F" w:rsidRPr="00AB2B4F" w:rsidRDefault="00AB2B4F" w:rsidP="00AB2B4F">
                  <w:pPr>
                    <w:pStyle w:val="Tabletext"/>
                    <w:rPr>
                      <w:b/>
                    </w:rPr>
                  </w:pPr>
                  <w:r w:rsidRPr="00AB2B4F">
                    <w:rPr>
                      <w:b/>
                    </w:rPr>
                    <w:t>No</w:t>
                  </w:r>
                </w:p>
              </w:tc>
            </w:tr>
            <w:tr w:rsidR="00AB2B4F" w:rsidRPr="001858E4" w:rsidTr="00AB2B4F">
              <w:trPr>
                <w:trHeight w:val="577"/>
                <w:jc w:val="center"/>
              </w:trPr>
              <w:tc>
                <w:tcPr>
                  <w:tcW w:w="3096" w:type="dxa"/>
                </w:tcPr>
                <w:p w:rsidR="00AB2B4F" w:rsidRPr="00057A82" w:rsidRDefault="00AB2B4F" w:rsidP="00AB2B4F">
                  <w:pPr>
                    <w:pStyle w:val="Tabletext"/>
                  </w:pPr>
                  <w:r w:rsidRPr="00057A82">
                    <w:t>Victoria introduces mirror (i.e.</w:t>
                  </w:r>
                  <w:r>
                    <w:t> </w:t>
                  </w:r>
                  <w:r w:rsidRPr="00057A82">
                    <w:t>identical) regulation</w:t>
                  </w:r>
                </w:p>
              </w:tc>
              <w:tc>
                <w:tcPr>
                  <w:tcW w:w="2552" w:type="dxa"/>
                </w:tcPr>
                <w:p w:rsidR="00AB2B4F" w:rsidRPr="00AB2B4F" w:rsidRDefault="00AB2B4F" w:rsidP="00AB2B4F">
                  <w:pPr>
                    <w:pStyle w:val="Tabletext"/>
                    <w:rPr>
                      <w:b/>
                    </w:rPr>
                  </w:pPr>
                  <w:r w:rsidRPr="00AB2B4F">
                    <w:rPr>
                      <w:b/>
                    </w:rPr>
                    <w:t>Yes</w:t>
                  </w:r>
                </w:p>
              </w:tc>
              <w:tc>
                <w:tcPr>
                  <w:tcW w:w="2187" w:type="dxa"/>
                </w:tcPr>
                <w:p w:rsidR="00AB2B4F" w:rsidRPr="00AB2B4F" w:rsidRDefault="00AB2B4F" w:rsidP="00AB2B4F">
                  <w:pPr>
                    <w:pStyle w:val="Tabletext"/>
                    <w:rPr>
                      <w:b/>
                    </w:rPr>
                  </w:pPr>
                  <w:r w:rsidRPr="00AB2B4F">
                    <w:rPr>
                      <w:b/>
                    </w:rPr>
                    <w:t>Yes</w:t>
                  </w:r>
                </w:p>
              </w:tc>
            </w:tr>
            <w:tr w:rsidR="00AB2B4F" w:rsidRPr="001858E4" w:rsidTr="00AB2B4F">
              <w:trPr>
                <w:trHeight w:val="688"/>
                <w:jc w:val="center"/>
              </w:trPr>
              <w:tc>
                <w:tcPr>
                  <w:tcW w:w="3096" w:type="dxa"/>
                </w:tcPr>
                <w:p w:rsidR="00AB2B4F" w:rsidRPr="00057A82" w:rsidRDefault="00AB2B4F" w:rsidP="00AB2B4F">
                  <w:pPr>
                    <w:pStyle w:val="Tabletext"/>
                  </w:pPr>
                  <w:r w:rsidRPr="00057A82">
                    <w:t>Victoria introduces inter</w:t>
                  </w:r>
                  <w:r>
                    <w:noBreakHyphen/>
                  </w:r>
                  <w:r w:rsidRPr="00057A82">
                    <w:t xml:space="preserve">jurisdictionally consistent regulation </w:t>
                  </w:r>
                </w:p>
              </w:tc>
              <w:tc>
                <w:tcPr>
                  <w:tcW w:w="2552" w:type="dxa"/>
                </w:tcPr>
                <w:p w:rsidR="00AB2B4F" w:rsidRPr="00AB2B4F" w:rsidRDefault="00AB2B4F" w:rsidP="00AB2B4F">
                  <w:pPr>
                    <w:pStyle w:val="Tabletext"/>
                    <w:rPr>
                      <w:b/>
                    </w:rPr>
                  </w:pPr>
                  <w:r w:rsidRPr="00AB2B4F">
                    <w:rPr>
                      <w:b/>
                    </w:rPr>
                    <w:t>Yes</w:t>
                  </w:r>
                </w:p>
              </w:tc>
              <w:tc>
                <w:tcPr>
                  <w:tcW w:w="2187" w:type="dxa"/>
                </w:tcPr>
                <w:p w:rsidR="00AB2B4F" w:rsidRPr="00AB2B4F" w:rsidRDefault="00AB2B4F" w:rsidP="00AB2B4F">
                  <w:pPr>
                    <w:pStyle w:val="Tabletext"/>
                    <w:rPr>
                      <w:b/>
                    </w:rPr>
                  </w:pPr>
                  <w:r w:rsidRPr="00AB2B4F">
                    <w:rPr>
                      <w:b/>
                    </w:rPr>
                    <w:t>Y</w:t>
                  </w:r>
                  <w:bookmarkStart w:id="183" w:name="_GoBack"/>
                  <w:bookmarkEnd w:id="183"/>
                  <w:r w:rsidRPr="00AB2B4F">
                    <w:rPr>
                      <w:b/>
                    </w:rPr>
                    <w:t>es</w:t>
                  </w:r>
                </w:p>
              </w:tc>
            </w:tr>
            <w:tr w:rsidR="00AB2B4F" w:rsidRPr="001858E4" w:rsidTr="00AB2B4F">
              <w:trPr>
                <w:trHeight w:val="600"/>
                <w:jc w:val="center"/>
              </w:trPr>
              <w:tc>
                <w:tcPr>
                  <w:tcW w:w="3096" w:type="dxa"/>
                </w:tcPr>
                <w:p w:rsidR="00AB2B4F" w:rsidRPr="00057A82" w:rsidRDefault="00AB2B4F" w:rsidP="00AB2B4F">
                  <w:pPr>
                    <w:pStyle w:val="Tabletext"/>
                  </w:pPr>
                  <w:r w:rsidRPr="00057A82">
                    <w:t>Victoria introduces regulation based on an inter-jurisdictional agreement on consistent principles or frameworks</w:t>
                  </w:r>
                </w:p>
              </w:tc>
              <w:tc>
                <w:tcPr>
                  <w:tcW w:w="2552" w:type="dxa"/>
                </w:tcPr>
                <w:p w:rsidR="00AB2B4F" w:rsidRPr="00AB2B4F" w:rsidRDefault="00AB2B4F" w:rsidP="00AB2B4F">
                  <w:pPr>
                    <w:pStyle w:val="Tabletext"/>
                  </w:pPr>
                  <w:r w:rsidRPr="00AB2B4F">
                    <w:rPr>
                      <w:b/>
                    </w:rPr>
                    <w:t>Yes</w:t>
                  </w:r>
                  <w:r w:rsidRPr="00AB2B4F">
                    <w:t xml:space="preserve"> </w:t>
                  </w:r>
                  <w:r w:rsidRPr="00AB2B4F">
                    <w:br/>
                    <w:t>However, unlikely to have material impact on regulatory burden.</w:t>
                  </w:r>
                </w:p>
              </w:tc>
              <w:tc>
                <w:tcPr>
                  <w:tcW w:w="2187" w:type="dxa"/>
                </w:tcPr>
                <w:p w:rsidR="00AB2B4F" w:rsidRPr="00AB2B4F" w:rsidRDefault="00AB2B4F" w:rsidP="00AB2B4F">
                  <w:pPr>
                    <w:pStyle w:val="Tabletext"/>
                    <w:rPr>
                      <w:b/>
                    </w:rPr>
                  </w:pPr>
                  <w:r w:rsidRPr="00AB2B4F">
                    <w:rPr>
                      <w:b/>
                    </w:rPr>
                    <w:t xml:space="preserve">Yes </w:t>
                  </w:r>
                </w:p>
              </w:tc>
            </w:tr>
            <w:tr w:rsidR="00AB2B4F" w:rsidRPr="001858E4" w:rsidTr="00AB2B4F">
              <w:trPr>
                <w:trHeight w:val="614"/>
                <w:jc w:val="center"/>
              </w:trPr>
              <w:tc>
                <w:tcPr>
                  <w:tcW w:w="3096" w:type="dxa"/>
                </w:tcPr>
                <w:p w:rsidR="00AB2B4F" w:rsidRPr="00057A82" w:rsidRDefault="00AB2B4F" w:rsidP="00AB2B4F">
                  <w:pPr>
                    <w:pStyle w:val="Tabletext"/>
                  </w:pPr>
                  <w:r w:rsidRPr="00057A82">
                    <w:t>Adoption of a Victorian regulatory approach by other jurisdictions</w:t>
                  </w:r>
                </w:p>
              </w:tc>
              <w:tc>
                <w:tcPr>
                  <w:tcW w:w="2552" w:type="dxa"/>
                </w:tcPr>
                <w:p w:rsidR="00AB2B4F" w:rsidRPr="00AB2B4F" w:rsidRDefault="00AB2B4F" w:rsidP="00AB2B4F">
                  <w:pPr>
                    <w:pStyle w:val="Tabletext"/>
                    <w:rPr>
                      <w:b/>
                    </w:rPr>
                  </w:pPr>
                  <w:r w:rsidRPr="00AB2B4F">
                    <w:rPr>
                      <w:b/>
                    </w:rPr>
                    <w:t>No</w:t>
                  </w:r>
                </w:p>
              </w:tc>
              <w:tc>
                <w:tcPr>
                  <w:tcW w:w="2187" w:type="dxa"/>
                </w:tcPr>
                <w:p w:rsidR="00AB2B4F" w:rsidRPr="00AB2B4F" w:rsidRDefault="00AB2B4F" w:rsidP="00AB2B4F">
                  <w:pPr>
                    <w:pStyle w:val="Tabletext"/>
                    <w:rPr>
                      <w:b/>
                    </w:rPr>
                  </w:pPr>
                  <w:r w:rsidRPr="00AB2B4F">
                    <w:rPr>
                      <w:b/>
                    </w:rPr>
                    <w:t>No</w:t>
                  </w:r>
                </w:p>
              </w:tc>
            </w:tr>
          </w:tbl>
          <w:p w:rsidR="00AB2B4F" w:rsidRPr="001858E4" w:rsidRDefault="00AB2B4F" w:rsidP="00AB2B4F">
            <w:pPr>
              <w:spacing w:after="0"/>
              <w:rPr>
                <w:sz w:val="8"/>
              </w:rPr>
            </w:pPr>
          </w:p>
          <w:p w:rsidR="00AB2B4F" w:rsidRPr="00172340" w:rsidRDefault="00AB2B4F" w:rsidP="00AB2B4F">
            <w:pPr>
              <w:pStyle w:val="Spacer"/>
            </w:pPr>
          </w:p>
        </w:tc>
      </w:tr>
    </w:tbl>
    <w:p w:rsidR="00062F84" w:rsidRDefault="00062F84" w:rsidP="00062F84">
      <w:pPr>
        <w:spacing w:before="0" w:after="200"/>
      </w:pPr>
    </w:p>
    <w:p w:rsidR="00062F84" w:rsidRPr="00AD2434" w:rsidRDefault="00062F84" w:rsidP="00AB2B4F">
      <w:pPr>
        <w:pStyle w:val="Heading2"/>
      </w:pPr>
      <w:bookmarkStart w:id="184" w:name="_Toc355275849"/>
      <w:bookmarkStart w:id="185" w:name="_Toc358276094"/>
      <w:bookmarkStart w:id="186" w:name="_Toc358282366"/>
      <w:bookmarkStart w:id="187" w:name="_Toc468455427"/>
      <w:bookmarkStart w:id="188" w:name="_Toc470078921"/>
      <w:r>
        <w:t>A.2</w:t>
      </w:r>
      <w:r w:rsidRPr="00AD2434">
        <w:tab/>
      </w:r>
      <w:r>
        <w:t>C</w:t>
      </w:r>
      <w:r w:rsidRPr="00AD2434">
        <w:t>ost</w:t>
      </w:r>
      <w:r>
        <w:t xml:space="preserve"> categories</w:t>
      </w:r>
      <w:bookmarkEnd w:id="184"/>
      <w:bookmarkEnd w:id="185"/>
      <w:bookmarkEnd w:id="186"/>
      <w:bookmarkEnd w:id="187"/>
      <w:bookmarkEnd w:id="188"/>
    </w:p>
    <w:p w:rsidR="00062F84" w:rsidRDefault="00062F84" w:rsidP="004D73A0">
      <w:pPr>
        <w:pStyle w:val="NormalIndent"/>
      </w:pPr>
      <w:r>
        <w:t xml:space="preserve">The </w:t>
      </w:r>
      <w:r w:rsidR="00E918CF">
        <w:t>Regulation Reform Program</w:t>
      </w:r>
      <w:r>
        <w:t xml:space="preserve"> includes:</w:t>
      </w:r>
    </w:p>
    <w:p w:rsidR="00062F84" w:rsidRDefault="00062F84" w:rsidP="004D73A0">
      <w:pPr>
        <w:pStyle w:val="Bulletindent"/>
      </w:pPr>
      <w:r>
        <w:t>compliance costs;</w:t>
      </w:r>
    </w:p>
    <w:p w:rsidR="00062F84" w:rsidRDefault="00062F84" w:rsidP="004D73A0">
      <w:pPr>
        <w:pStyle w:val="Bulletindent"/>
      </w:pPr>
      <w:r>
        <w:t>delay costs; and</w:t>
      </w:r>
    </w:p>
    <w:p w:rsidR="00062F84" w:rsidRDefault="00062F84" w:rsidP="004D73A0">
      <w:pPr>
        <w:pStyle w:val="Bulletindent"/>
      </w:pPr>
      <w:r>
        <w:t>the economic costs of prohibitions.</w:t>
      </w:r>
    </w:p>
    <w:p w:rsidR="00062F84" w:rsidRDefault="00062F84" w:rsidP="004D73A0">
      <w:pPr>
        <w:pStyle w:val="NormalIndent"/>
      </w:pPr>
      <w:r>
        <w:t>It does not include financial costs. Detailed guidance, including examples, of the different cost categories follows.</w:t>
      </w:r>
    </w:p>
    <w:p w:rsidR="00062F84" w:rsidRPr="00AD2434" w:rsidRDefault="00062F84" w:rsidP="00062F84">
      <w:pPr>
        <w:pStyle w:val="Heading3"/>
      </w:pPr>
      <w:bookmarkStart w:id="189" w:name="_Toc355275850"/>
      <w:bookmarkStart w:id="190" w:name="_Toc358276095"/>
      <w:bookmarkStart w:id="191" w:name="_Toc358282367"/>
      <w:bookmarkStart w:id="192" w:name="_Toc468455428"/>
      <w:bookmarkStart w:id="193" w:name="_Toc470078922"/>
      <w:r>
        <w:t>A.2.1</w:t>
      </w:r>
      <w:r w:rsidRPr="00AD2434">
        <w:tab/>
        <w:t>Compliance costs</w:t>
      </w:r>
      <w:bookmarkEnd w:id="189"/>
      <w:bookmarkEnd w:id="190"/>
      <w:bookmarkEnd w:id="191"/>
      <w:bookmarkEnd w:id="192"/>
      <w:bookmarkEnd w:id="193"/>
      <w:r w:rsidRPr="00AD2434">
        <w:t xml:space="preserve"> </w:t>
      </w:r>
    </w:p>
    <w:p w:rsidR="00062F84" w:rsidRDefault="00062F84" w:rsidP="004D73A0">
      <w:pPr>
        <w:pStyle w:val="NormalIndent"/>
      </w:pPr>
      <w:r w:rsidRPr="00AD2434">
        <w:t>Compliance costs</w:t>
      </w:r>
      <w:r>
        <w:t xml:space="preserve"> include:</w:t>
      </w:r>
    </w:p>
    <w:p w:rsidR="00062F84" w:rsidRDefault="00062F84" w:rsidP="004D73A0">
      <w:pPr>
        <w:pStyle w:val="Bulletindent"/>
      </w:pPr>
      <w:r>
        <w:t>costs directly leading to delivering the regulated outcomes (known as ‘substantive compliance costs’) and are often capital and production costs such as the purchase of new equipment, maintenance of equipment, or undertaking specified training; and</w:t>
      </w:r>
    </w:p>
    <w:p w:rsidR="00062F84" w:rsidRDefault="00062F84" w:rsidP="004D73A0">
      <w:pPr>
        <w:pStyle w:val="Bulletindent"/>
      </w:pPr>
      <w:r>
        <w:t>costs incurred by regulated entities primarily to demonstrate compliance with the regulation or to allow government to administer the regulation (known as ‘administrative costs’).</w:t>
      </w:r>
    </w:p>
    <w:p w:rsidR="00062F84" w:rsidRPr="00AD2434" w:rsidRDefault="00062F84" w:rsidP="004D73A0">
      <w:pPr>
        <w:pStyle w:val="NormalIndent"/>
      </w:pPr>
      <w:r>
        <w:t xml:space="preserve">Examples of compliance costs are provided in </w:t>
      </w:r>
      <w:r w:rsidRPr="0030419B">
        <w:t xml:space="preserve">Table </w:t>
      </w:r>
      <w:r>
        <w:t xml:space="preserve">4. </w:t>
      </w:r>
    </w:p>
    <w:p w:rsidR="00062F84" w:rsidRDefault="00062F84" w:rsidP="00AB2B4F">
      <w:pPr>
        <w:pStyle w:val="Tablechartdiagramheadingindent"/>
      </w:pPr>
      <w:r>
        <w:t>Table 4</w:t>
      </w:r>
      <w:r w:rsidRPr="00AD2434">
        <w:t xml:space="preserve">: Examples of </w:t>
      </w:r>
      <w:r>
        <w:t xml:space="preserve">compliance </w:t>
      </w:r>
      <w:r w:rsidRPr="00AD2434">
        <w:t>costs</w:t>
      </w:r>
    </w:p>
    <w:tbl>
      <w:tblPr>
        <w:tblStyle w:val="DTFtexttableindent"/>
        <w:tblW w:w="0" w:type="auto"/>
        <w:tblLook w:val="0620" w:firstRow="1" w:lastRow="0" w:firstColumn="0" w:lastColumn="0" w:noHBand="1" w:noVBand="1"/>
      </w:tblPr>
      <w:tblGrid>
        <w:gridCol w:w="8319"/>
      </w:tblGrid>
      <w:tr w:rsidR="00062F84" w:rsidRPr="00AD2434" w:rsidTr="00F44A38">
        <w:trPr>
          <w:cnfStyle w:val="100000000000" w:firstRow="1" w:lastRow="0" w:firstColumn="0" w:lastColumn="0" w:oddVBand="0" w:evenVBand="0" w:oddHBand="0" w:evenHBand="0" w:firstRowFirstColumn="0" w:firstRowLastColumn="0" w:lastRowFirstColumn="0" w:lastRowLastColumn="0"/>
          <w:cantSplit/>
        </w:trPr>
        <w:tc>
          <w:tcPr>
            <w:tcW w:w="8458" w:type="dxa"/>
          </w:tcPr>
          <w:p w:rsidR="00062F84" w:rsidRPr="00257AA1" w:rsidRDefault="00062F84" w:rsidP="00AB2B4F">
            <w:pPr>
              <w:pStyle w:val="Tableheader"/>
            </w:pPr>
            <w:r>
              <w:t>Substantive compliance cost examples</w:t>
            </w:r>
          </w:p>
        </w:tc>
      </w:tr>
      <w:tr w:rsidR="00062F84" w:rsidRPr="00AD2434" w:rsidTr="00F44A38">
        <w:tc>
          <w:tcPr>
            <w:tcW w:w="8458" w:type="dxa"/>
          </w:tcPr>
          <w:p w:rsidR="00062F84" w:rsidRPr="00257AA1" w:rsidRDefault="00062F84" w:rsidP="00F44A38">
            <w:pPr>
              <w:pStyle w:val="Tabletextbold"/>
            </w:pPr>
            <w:r w:rsidRPr="00257AA1">
              <w:t>Training</w:t>
            </w:r>
          </w:p>
          <w:p w:rsidR="00062F84" w:rsidRPr="00257AA1" w:rsidRDefault="00062F84" w:rsidP="00F44A38">
            <w:pPr>
              <w:pStyle w:val="Tablebullet"/>
              <w:rPr>
                <w:b/>
              </w:rPr>
            </w:pPr>
            <w:r w:rsidRPr="00AD2434">
              <w:t>Providing employees with training to ensure they understand and adhere to regulatory requi</w:t>
            </w:r>
            <w:r>
              <w:t>rements,</w:t>
            </w:r>
            <w:r w:rsidRPr="00AD2434">
              <w:t xml:space="preserve"> including fees paid to training provider</w:t>
            </w:r>
            <w:r>
              <w:t>s</w:t>
            </w:r>
            <w:r w:rsidRPr="00AD2434">
              <w:t xml:space="preserve"> or institution</w:t>
            </w:r>
            <w:r>
              <w:t>s.</w:t>
            </w:r>
          </w:p>
        </w:tc>
      </w:tr>
      <w:tr w:rsidR="00062F84" w:rsidRPr="00AD2434" w:rsidTr="00F44A38">
        <w:tc>
          <w:tcPr>
            <w:tcW w:w="8458" w:type="dxa"/>
          </w:tcPr>
          <w:p w:rsidR="00062F84" w:rsidRPr="00257AA1" w:rsidRDefault="00062F84" w:rsidP="00F44A38">
            <w:pPr>
              <w:pStyle w:val="Tabletextbold"/>
            </w:pPr>
            <w:r w:rsidRPr="00257AA1">
              <w:t>Information for third parties</w:t>
            </w:r>
          </w:p>
          <w:p w:rsidR="00062F84" w:rsidRPr="00AD2434" w:rsidRDefault="00062F84" w:rsidP="00F44A38">
            <w:pPr>
              <w:pStyle w:val="Tablebullet"/>
            </w:pPr>
            <w:r w:rsidRPr="00AD2434">
              <w:t>Maintaining signage and warnings required on premises selling alcohol</w:t>
            </w:r>
            <w:r>
              <w:t>.</w:t>
            </w:r>
          </w:p>
          <w:p w:rsidR="00062F84" w:rsidRPr="00AD2434" w:rsidRDefault="00062F84" w:rsidP="00F44A38">
            <w:pPr>
              <w:pStyle w:val="Tablebullet"/>
            </w:pPr>
            <w:r w:rsidRPr="00AD2434">
              <w:t>Printing statements or providing financial statements to third parties</w:t>
            </w:r>
            <w:r>
              <w:t>.</w:t>
            </w:r>
          </w:p>
          <w:p w:rsidR="00062F84" w:rsidRPr="00AD2434" w:rsidRDefault="00062F84" w:rsidP="00F44A38">
            <w:pPr>
              <w:pStyle w:val="Tablebullet"/>
            </w:pPr>
            <w:r w:rsidRPr="00AD2434">
              <w:t>Advertising an application</w:t>
            </w:r>
            <w:r>
              <w:t>.</w:t>
            </w:r>
          </w:p>
          <w:p w:rsidR="00062F84" w:rsidRPr="00A1453B" w:rsidRDefault="00062F84" w:rsidP="00F44A38">
            <w:pPr>
              <w:pStyle w:val="Tablebullet"/>
              <w:rPr>
                <w:b/>
              </w:rPr>
            </w:pPr>
            <w:r w:rsidRPr="00AD2434">
              <w:t>Preparing disclosure statements, labels and signage to provide information to consumers and workers</w:t>
            </w:r>
            <w:r>
              <w:t>.</w:t>
            </w:r>
          </w:p>
        </w:tc>
      </w:tr>
      <w:tr w:rsidR="00062F84" w:rsidRPr="00AD2434" w:rsidTr="00F44A38">
        <w:tc>
          <w:tcPr>
            <w:tcW w:w="8458" w:type="dxa"/>
          </w:tcPr>
          <w:p w:rsidR="00062F84" w:rsidRPr="00257AA1" w:rsidRDefault="00062F84" w:rsidP="00F44A38">
            <w:pPr>
              <w:pStyle w:val="Tabletextbold"/>
            </w:pPr>
            <w:r w:rsidRPr="00257AA1">
              <w:t>Inputs to comply with a plan or test</w:t>
            </w:r>
          </w:p>
          <w:p w:rsidR="00062F84" w:rsidRPr="00AD2434" w:rsidRDefault="00062F84" w:rsidP="00F44A38">
            <w:pPr>
              <w:pStyle w:val="Tablebullet"/>
            </w:pPr>
            <w:r w:rsidRPr="00AD2434">
              <w:t>Undertaking actions se</w:t>
            </w:r>
            <w:r>
              <w:t>t out in a risk management plan.</w:t>
            </w:r>
          </w:p>
          <w:p w:rsidR="00062F84" w:rsidRPr="00257AA1" w:rsidRDefault="00062F84" w:rsidP="00F44A38">
            <w:pPr>
              <w:pStyle w:val="Tablebullet"/>
              <w:rPr>
                <w:b/>
              </w:rPr>
            </w:pPr>
            <w:r w:rsidRPr="00AD2434">
              <w:t>Undertaking actions and purchasing inputs subsequent to an environment test to follow up on recommendations and ensure compliance</w:t>
            </w:r>
            <w:r>
              <w:t>.</w:t>
            </w:r>
          </w:p>
        </w:tc>
      </w:tr>
      <w:tr w:rsidR="00062F84" w:rsidRPr="00AD2434" w:rsidTr="00F44A38">
        <w:tc>
          <w:tcPr>
            <w:tcW w:w="8458" w:type="dxa"/>
          </w:tcPr>
          <w:p w:rsidR="00062F84" w:rsidRPr="00257AA1" w:rsidRDefault="00062F84" w:rsidP="00F44A38">
            <w:pPr>
              <w:pStyle w:val="Tabletextbold"/>
            </w:pPr>
            <w:r w:rsidRPr="00257AA1">
              <w:t>Purchase and maintenance of plant and equipment</w:t>
            </w:r>
          </w:p>
          <w:p w:rsidR="00062F84" w:rsidRPr="00B3604B" w:rsidRDefault="00062F84" w:rsidP="00F44A38">
            <w:pPr>
              <w:pStyle w:val="Tablebullet"/>
            </w:pPr>
            <w:r w:rsidRPr="00B3604B">
              <w:t>Buying and maintaining plant or equipment to meet a regulatory requirement</w:t>
            </w:r>
            <w:r>
              <w:t>.</w:t>
            </w:r>
          </w:p>
          <w:p w:rsidR="00062F84" w:rsidRPr="00B3604B" w:rsidRDefault="00062F84" w:rsidP="00F44A38">
            <w:pPr>
              <w:pStyle w:val="Tablebullet"/>
            </w:pPr>
            <w:r w:rsidRPr="00B3604B">
              <w:t>Depreciation of plant and equipment</w:t>
            </w:r>
            <w:r>
              <w:t>.</w:t>
            </w:r>
          </w:p>
          <w:p w:rsidR="00062F84" w:rsidRPr="00257AA1" w:rsidRDefault="00062F84" w:rsidP="00F44A38">
            <w:pPr>
              <w:pStyle w:val="Tablebullet"/>
              <w:rPr>
                <w:b/>
              </w:rPr>
            </w:pPr>
            <w:r w:rsidRPr="00B3604B">
              <w:t xml:space="preserve">Building a safety fence around a construction site or scaffolding of </w:t>
            </w:r>
            <w:r>
              <w:t xml:space="preserve">an </w:t>
            </w:r>
            <w:r w:rsidRPr="00B3604B">
              <w:t xml:space="preserve">appropriate standard (consideration of </w:t>
            </w:r>
            <w:r>
              <w:t>business-as-usual costs are</w:t>
            </w:r>
            <w:r w:rsidRPr="00B3604B">
              <w:t xml:space="preserve"> particularly important for such matters)</w:t>
            </w:r>
            <w:r>
              <w:t>.</w:t>
            </w:r>
          </w:p>
        </w:tc>
      </w:tr>
      <w:tr w:rsidR="00062F84" w:rsidRPr="00AD2434" w:rsidTr="00F44A38">
        <w:tc>
          <w:tcPr>
            <w:tcW w:w="8458" w:type="dxa"/>
          </w:tcPr>
          <w:p w:rsidR="00062F84" w:rsidRPr="00257AA1" w:rsidRDefault="00062F84" w:rsidP="00F44A38">
            <w:pPr>
              <w:pStyle w:val="Tabletextbold"/>
            </w:pPr>
            <w:r w:rsidRPr="00257AA1">
              <w:lastRenderedPageBreak/>
              <w:t xml:space="preserve">Operations </w:t>
            </w:r>
          </w:p>
          <w:p w:rsidR="00062F84" w:rsidRPr="003D0AF6" w:rsidRDefault="00062F84" w:rsidP="00F44A38">
            <w:pPr>
              <w:pStyle w:val="Tablebullet"/>
            </w:pPr>
            <w:r>
              <w:t>Personnel costs –</w:t>
            </w:r>
            <w:r w:rsidRPr="003D0AF6">
              <w:t xml:space="preserve"> costs of staff, supervision, overseeing, controlling and coordinating costs of internal investigations</w:t>
            </w:r>
            <w:r>
              <w:t>.</w:t>
            </w:r>
          </w:p>
          <w:p w:rsidR="00062F84" w:rsidRPr="003D0AF6" w:rsidRDefault="00062F84" w:rsidP="00F44A38">
            <w:pPr>
              <w:pStyle w:val="Tablebullet"/>
            </w:pPr>
            <w:r w:rsidRPr="003D0AF6">
              <w:t>Energy costs, cost of raw materials and auxiliary materials</w:t>
            </w:r>
            <w:r>
              <w:t>.</w:t>
            </w:r>
          </w:p>
          <w:p w:rsidR="00062F84" w:rsidRPr="003D0AF6" w:rsidRDefault="00062F84" w:rsidP="00F44A38">
            <w:pPr>
              <w:pStyle w:val="Tablebullet"/>
            </w:pPr>
            <w:r w:rsidRPr="003D0AF6">
              <w:t>Construction of a premise to meet regulatory requirements</w:t>
            </w:r>
            <w:r>
              <w:t>.</w:t>
            </w:r>
          </w:p>
          <w:p w:rsidR="00062F84" w:rsidRPr="00257AA1" w:rsidRDefault="00062F84" w:rsidP="00F44A38">
            <w:pPr>
              <w:pStyle w:val="Tablebullet"/>
              <w:rPr>
                <w:b/>
              </w:rPr>
            </w:pPr>
            <w:r w:rsidRPr="003D0AF6">
              <w:t>Clean-up</w:t>
            </w:r>
            <w:r>
              <w:t xml:space="preserve"> costs.</w:t>
            </w:r>
          </w:p>
        </w:tc>
      </w:tr>
    </w:tbl>
    <w:p w:rsidR="00062F84" w:rsidRDefault="00062F84" w:rsidP="00632F2E"/>
    <w:tbl>
      <w:tblPr>
        <w:tblStyle w:val="DTFtexttableindent"/>
        <w:tblW w:w="0" w:type="auto"/>
        <w:tblLook w:val="0620" w:firstRow="1" w:lastRow="0" w:firstColumn="0" w:lastColumn="0" w:noHBand="1" w:noVBand="1"/>
      </w:tblPr>
      <w:tblGrid>
        <w:gridCol w:w="8319"/>
      </w:tblGrid>
      <w:tr w:rsidR="00062F84" w:rsidRPr="00AD2434" w:rsidTr="00F44A38">
        <w:trPr>
          <w:cnfStyle w:val="100000000000" w:firstRow="1" w:lastRow="0" w:firstColumn="0" w:lastColumn="0" w:oddVBand="0" w:evenVBand="0" w:oddHBand="0" w:evenHBand="0" w:firstRowFirstColumn="0" w:firstRowLastColumn="0" w:lastRowFirstColumn="0" w:lastRowLastColumn="0"/>
          <w:cantSplit/>
        </w:trPr>
        <w:tc>
          <w:tcPr>
            <w:tcW w:w="8503" w:type="dxa"/>
          </w:tcPr>
          <w:p w:rsidR="00062F84" w:rsidRPr="00257AA1" w:rsidRDefault="00062F84" w:rsidP="00F44A38">
            <w:pPr>
              <w:pStyle w:val="Tableheader"/>
              <w:rPr>
                <w:b w:val="0"/>
              </w:rPr>
            </w:pPr>
            <w:r w:rsidRPr="0030419B">
              <w:t>Administrative cost examples</w:t>
            </w:r>
          </w:p>
        </w:tc>
      </w:tr>
      <w:tr w:rsidR="00062F84" w:rsidRPr="00AD2434" w:rsidTr="00F44A38">
        <w:tc>
          <w:tcPr>
            <w:tcW w:w="8503" w:type="dxa"/>
          </w:tcPr>
          <w:p w:rsidR="00062F84" w:rsidRPr="00257AA1" w:rsidRDefault="00062F84" w:rsidP="00F44A38">
            <w:pPr>
              <w:pStyle w:val="Tabletextbold"/>
            </w:pPr>
            <w:r w:rsidRPr="00257AA1">
              <w:t>Making, keeping or providing records</w:t>
            </w:r>
          </w:p>
          <w:p w:rsidR="00062F84" w:rsidRPr="003D0AF6" w:rsidRDefault="00062F84" w:rsidP="00F44A38">
            <w:pPr>
              <w:pStyle w:val="Tablebullet"/>
            </w:pPr>
            <w:r w:rsidRPr="003D0AF6">
              <w:t>Keeping records of training undertaken</w:t>
            </w:r>
            <w:r>
              <w:t>.</w:t>
            </w:r>
          </w:p>
          <w:p w:rsidR="00062F84" w:rsidRPr="003D0AF6" w:rsidRDefault="00062F84" w:rsidP="00F44A38">
            <w:pPr>
              <w:pStyle w:val="Tablebullet"/>
            </w:pPr>
            <w:r w:rsidRPr="003D0AF6">
              <w:t>Collecting and storing records, reports and logs</w:t>
            </w:r>
            <w:r>
              <w:t>.</w:t>
            </w:r>
          </w:p>
          <w:p w:rsidR="00062F84" w:rsidRPr="003D0AF6" w:rsidRDefault="00062F84" w:rsidP="00F44A38">
            <w:pPr>
              <w:pStyle w:val="Tablebullet"/>
            </w:pPr>
            <w:r w:rsidRPr="003D0AF6">
              <w:t>Providing evidence that a product meets labelling requirements</w:t>
            </w:r>
            <w:r>
              <w:t>.</w:t>
            </w:r>
          </w:p>
          <w:p w:rsidR="00062F84" w:rsidRPr="00257AA1" w:rsidRDefault="00062F84" w:rsidP="00F44A38">
            <w:pPr>
              <w:pStyle w:val="Tablebullet"/>
              <w:rPr>
                <w:b/>
              </w:rPr>
            </w:pPr>
            <w:r w:rsidRPr="003D0AF6">
              <w:t>Preparing annual financial statements</w:t>
            </w:r>
            <w:r>
              <w:t>.</w:t>
            </w:r>
          </w:p>
        </w:tc>
      </w:tr>
      <w:tr w:rsidR="00062F84" w:rsidRPr="00AD2434" w:rsidTr="00F44A38">
        <w:tc>
          <w:tcPr>
            <w:tcW w:w="8503" w:type="dxa"/>
          </w:tcPr>
          <w:p w:rsidR="00062F84" w:rsidRPr="00257AA1" w:rsidRDefault="00062F84" w:rsidP="00F44A38">
            <w:pPr>
              <w:pStyle w:val="Tabletextbold"/>
            </w:pPr>
            <w:r w:rsidRPr="00257AA1">
              <w:t>Preparing plans</w:t>
            </w:r>
          </w:p>
          <w:p w:rsidR="00062F84" w:rsidRPr="00257AA1" w:rsidRDefault="00062F84" w:rsidP="00F44A38">
            <w:pPr>
              <w:pStyle w:val="Tablebullet"/>
              <w:rPr>
                <w:b/>
              </w:rPr>
            </w:pPr>
            <w:r w:rsidRPr="003D0AF6">
              <w:t>Preparing risk management plans or updating manuals and emergency plans.</w:t>
            </w:r>
          </w:p>
        </w:tc>
      </w:tr>
      <w:tr w:rsidR="00062F84" w:rsidRPr="00AD2434" w:rsidTr="00F44A38">
        <w:tc>
          <w:tcPr>
            <w:tcW w:w="8503" w:type="dxa"/>
          </w:tcPr>
          <w:p w:rsidR="00062F84" w:rsidRPr="00257AA1" w:rsidRDefault="00062F84" w:rsidP="00F44A38">
            <w:pPr>
              <w:pStyle w:val="Tabletextbold"/>
            </w:pPr>
            <w:r w:rsidRPr="00257AA1">
              <w:t>Conducting tests</w:t>
            </w:r>
          </w:p>
          <w:p w:rsidR="00062F84" w:rsidRPr="00AD2434" w:rsidRDefault="00062F84" w:rsidP="00F44A38">
            <w:pPr>
              <w:pStyle w:val="Tablebullet"/>
            </w:pPr>
            <w:r w:rsidRPr="00AD2434">
              <w:t xml:space="preserve">Collating and storing information on dates and purpose of </w:t>
            </w:r>
            <w:r>
              <w:t>an environmental testing program.</w:t>
            </w:r>
          </w:p>
          <w:p w:rsidR="00062F84" w:rsidRPr="00257AA1" w:rsidRDefault="00062F84" w:rsidP="00F44A38">
            <w:pPr>
              <w:pStyle w:val="Tablebullet"/>
              <w:rPr>
                <w:b/>
              </w:rPr>
            </w:pPr>
            <w:r w:rsidRPr="00AD2434">
              <w:t>Conducting an environmental test, preparing the test results and storing these results</w:t>
            </w:r>
            <w:r>
              <w:t>.</w:t>
            </w:r>
          </w:p>
        </w:tc>
      </w:tr>
      <w:tr w:rsidR="00062F84" w:rsidRPr="00AD2434" w:rsidTr="00F44A38">
        <w:tc>
          <w:tcPr>
            <w:tcW w:w="8503" w:type="dxa"/>
          </w:tcPr>
          <w:p w:rsidR="00062F84" w:rsidRPr="00257AA1" w:rsidRDefault="00062F84" w:rsidP="00F44A38">
            <w:pPr>
              <w:pStyle w:val="Tabletextbold"/>
            </w:pPr>
            <w:r w:rsidRPr="00257AA1">
              <w:t>Making an application</w:t>
            </w:r>
          </w:p>
          <w:p w:rsidR="00062F84" w:rsidRPr="00AD2434" w:rsidRDefault="00062F84" w:rsidP="00F44A38">
            <w:pPr>
              <w:pStyle w:val="Tablebullet"/>
            </w:pPr>
            <w:r w:rsidRPr="00AD2434">
              <w:t>Preparing and submitting the documentation for a l</w:t>
            </w:r>
            <w:r>
              <w:t>icence, permission or exemption</w:t>
            </w:r>
            <w:r w:rsidRPr="00AD2434">
              <w:t xml:space="preserve"> </w:t>
            </w:r>
            <w:r>
              <w:t>(</w:t>
            </w:r>
            <w:r w:rsidRPr="00AD2434">
              <w:t>e.g. application for a licence to sell alcohol</w:t>
            </w:r>
            <w:r>
              <w:t>).</w:t>
            </w:r>
          </w:p>
          <w:p w:rsidR="00062F84" w:rsidRPr="00AD2434" w:rsidRDefault="00062F84" w:rsidP="00F44A38">
            <w:pPr>
              <w:pStyle w:val="Tablebullet"/>
            </w:pPr>
            <w:r w:rsidRPr="00AD2434">
              <w:t>Obtaining expert advice on preparing a licence application</w:t>
            </w:r>
            <w:r>
              <w:t>.</w:t>
            </w:r>
          </w:p>
          <w:p w:rsidR="00062F84" w:rsidRPr="00257AA1" w:rsidRDefault="00062F84" w:rsidP="00F44A38">
            <w:pPr>
              <w:pStyle w:val="Tablebullet"/>
              <w:rPr>
                <w:b/>
              </w:rPr>
            </w:pPr>
            <w:r w:rsidRPr="00AD2434">
              <w:t>Making application for authorisation as an asbestos removalist</w:t>
            </w:r>
            <w:r>
              <w:t>.</w:t>
            </w:r>
          </w:p>
        </w:tc>
      </w:tr>
      <w:tr w:rsidR="00062F84" w:rsidRPr="00AD2434" w:rsidTr="00F44A38">
        <w:tc>
          <w:tcPr>
            <w:tcW w:w="8503" w:type="dxa"/>
          </w:tcPr>
          <w:p w:rsidR="00062F84" w:rsidRPr="00257AA1" w:rsidRDefault="00062F84" w:rsidP="00F44A38">
            <w:pPr>
              <w:pStyle w:val="Tabletextbold"/>
            </w:pPr>
            <w:r w:rsidRPr="00257AA1">
              <w:t>Notifications</w:t>
            </w:r>
          </w:p>
          <w:p w:rsidR="00062F84" w:rsidRPr="00257AA1" w:rsidRDefault="00062F84" w:rsidP="00F44A38">
            <w:pPr>
              <w:pStyle w:val="Tablebullet"/>
              <w:rPr>
                <w:b/>
              </w:rPr>
            </w:pPr>
            <w:r w:rsidRPr="00AD2434">
              <w:t>Notifying government about certain activities</w:t>
            </w:r>
            <w:r>
              <w:t xml:space="preserve"> (</w:t>
            </w:r>
            <w:r w:rsidRPr="00AD2434">
              <w:t>e.g. notification of the transportation of dangerous goods</w:t>
            </w:r>
            <w:r>
              <w:t>).</w:t>
            </w:r>
          </w:p>
        </w:tc>
      </w:tr>
      <w:tr w:rsidR="00062F84" w:rsidRPr="00AD2434" w:rsidTr="00F44A38">
        <w:tc>
          <w:tcPr>
            <w:tcW w:w="8503" w:type="dxa"/>
          </w:tcPr>
          <w:p w:rsidR="00062F84" w:rsidRPr="00257AA1" w:rsidRDefault="00062F84" w:rsidP="00F44A38">
            <w:pPr>
              <w:pStyle w:val="Tabletextbold"/>
            </w:pPr>
            <w:r w:rsidRPr="00257AA1">
              <w:t>Conducting internal audits and inspections</w:t>
            </w:r>
          </w:p>
          <w:p w:rsidR="00062F84" w:rsidRPr="00AD2434" w:rsidRDefault="00062F84" w:rsidP="00F44A38">
            <w:pPr>
              <w:pStyle w:val="Tablebullet"/>
            </w:pPr>
            <w:r w:rsidRPr="00AD2434">
              <w:t>Ca</w:t>
            </w:r>
            <w:r>
              <w:t>rrying out internal inspections</w:t>
            </w:r>
            <w:r w:rsidRPr="00AD2434">
              <w:t xml:space="preserve"> </w:t>
            </w:r>
            <w:r>
              <w:t>(</w:t>
            </w:r>
            <w:r w:rsidRPr="00AD2434">
              <w:t>e.g. the obligation to carry out internal inspections of machinery and equipment for health and safety reasons</w:t>
            </w:r>
            <w:r>
              <w:t>).</w:t>
            </w:r>
          </w:p>
          <w:p w:rsidR="00062F84" w:rsidRPr="00257AA1" w:rsidRDefault="00062F84" w:rsidP="00F44A38">
            <w:pPr>
              <w:pStyle w:val="Tablebullet"/>
              <w:rPr>
                <w:b/>
              </w:rPr>
            </w:pPr>
            <w:r w:rsidRPr="00AD2434">
              <w:t>Cost of outsourced activities to directly demonstrate compliance with a regulatory requirement</w:t>
            </w:r>
            <w:r>
              <w:t xml:space="preserve"> (</w:t>
            </w:r>
            <w:r w:rsidRPr="00AD2434">
              <w:t>e.g. payments for services perfo</w:t>
            </w:r>
            <w:r>
              <w:t>rmed by auditors).</w:t>
            </w:r>
          </w:p>
        </w:tc>
      </w:tr>
      <w:tr w:rsidR="00062F84" w:rsidRPr="00AD2434" w:rsidTr="00F44A38">
        <w:tc>
          <w:tcPr>
            <w:tcW w:w="8503" w:type="dxa"/>
          </w:tcPr>
          <w:p w:rsidR="00062F84" w:rsidRPr="00257AA1" w:rsidRDefault="00062F84" w:rsidP="00F44A38">
            <w:pPr>
              <w:pStyle w:val="Tabletextbold"/>
            </w:pPr>
            <w:r w:rsidRPr="00257AA1">
              <w:t xml:space="preserve">Cooperating with Government inspections </w:t>
            </w:r>
          </w:p>
          <w:p w:rsidR="00062F84" w:rsidRPr="00257AA1" w:rsidRDefault="00062F84" w:rsidP="00F44A38">
            <w:pPr>
              <w:pStyle w:val="Tablebullet"/>
              <w:rPr>
                <w:b/>
              </w:rPr>
            </w:pPr>
            <w:r w:rsidRPr="00AD2434">
              <w:t>Providing info</w:t>
            </w:r>
            <w:r>
              <w:t>rmation to,</w:t>
            </w:r>
            <w:r w:rsidRPr="00AD2434">
              <w:t xml:space="preserve"> and assisting</w:t>
            </w:r>
            <w:r>
              <w:t>,</w:t>
            </w:r>
            <w:r w:rsidRPr="00AD2434">
              <w:t xml:space="preserve"> official inspectors who visit a business in connection with enforcement of a regulation</w:t>
            </w:r>
            <w:r>
              <w:t>.</w:t>
            </w:r>
          </w:p>
        </w:tc>
      </w:tr>
    </w:tbl>
    <w:p w:rsidR="00062F84" w:rsidRDefault="00062F84" w:rsidP="00632F2E"/>
    <w:p w:rsidR="00F44A38" w:rsidRDefault="00F44A38">
      <w:pPr>
        <w:spacing w:before="0" w:after="200"/>
        <w:rPr>
          <w:rFonts w:asciiTheme="majorHAnsi" w:eastAsiaTheme="majorEastAsia" w:hAnsiTheme="majorHAnsi" w:cstheme="majorBidi"/>
          <w:b/>
          <w:bCs/>
          <w:color w:val="0063A6" w:themeColor="accent1"/>
          <w:sz w:val="22"/>
          <w:szCs w:val="22"/>
        </w:rPr>
      </w:pPr>
      <w:bookmarkStart w:id="194" w:name="_Toc355275851"/>
      <w:bookmarkStart w:id="195" w:name="_Toc358276096"/>
      <w:bookmarkStart w:id="196" w:name="_Toc358282368"/>
      <w:bookmarkStart w:id="197" w:name="_Toc468455429"/>
      <w:r>
        <w:br w:type="page"/>
      </w:r>
    </w:p>
    <w:p w:rsidR="00062F84" w:rsidRPr="00AD2434" w:rsidRDefault="00062F84" w:rsidP="00062F84">
      <w:pPr>
        <w:pStyle w:val="Heading3"/>
      </w:pPr>
      <w:bookmarkStart w:id="198" w:name="_Toc470078923"/>
      <w:r>
        <w:lastRenderedPageBreak/>
        <w:t>A.2.2</w:t>
      </w:r>
      <w:r w:rsidRPr="00AD2434">
        <w:t xml:space="preserve"> </w:t>
      </w:r>
      <w:r w:rsidRPr="00AD2434">
        <w:tab/>
        <w:t xml:space="preserve">Delay </w:t>
      </w:r>
      <w:r w:rsidR="00F44A38" w:rsidRPr="00AD2434">
        <w:t>costs</w:t>
      </w:r>
      <w:bookmarkEnd w:id="194"/>
      <w:bookmarkEnd w:id="195"/>
      <w:bookmarkEnd w:id="196"/>
      <w:bookmarkEnd w:id="197"/>
      <w:bookmarkEnd w:id="198"/>
      <w:r w:rsidR="00F44A38" w:rsidRPr="00AD2434">
        <w:t xml:space="preserve"> </w:t>
      </w:r>
    </w:p>
    <w:p w:rsidR="00062F84" w:rsidRDefault="00062F84" w:rsidP="004D73A0">
      <w:pPr>
        <w:pStyle w:val="NormalIndent"/>
      </w:pPr>
      <w:r w:rsidRPr="00AD2434">
        <w:t xml:space="preserve">Delays are </w:t>
      </w:r>
      <w:r>
        <w:t>experienced by</w:t>
      </w:r>
      <w:r w:rsidRPr="00AD2434">
        <w:t xml:space="preserve"> </w:t>
      </w:r>
      <w:r>
        <w:t xml:space="preserve">regulated entities starting </w:t>
      </w:r>
      <w:r w:rsidRPr="00AD2434">
        <w:t>new business project</w:t>
      </w:r>
      <w:r>
        <w:t>s</w:t>
      </w:r>
      <w:r w:rsidRPr="00AD2434">
        <w:t xml:space="preserve">. </w:t>
      </w:r>
      <w:r w:rsidRPr="00433A40">
        <w:t>Delay costs</w:t>
      </w:r>
      <w:r w:rsidRPr="00AD2434">
        <w:t xml:space="preserve"> are the expenses and</w:t>
      </w:r>
      <w:r>
        <w:t>/or</w:t>
      </w:r>
      <w:r w:rsidRPr="00AD2434">
        <w:t xml:space="preserve"> loss of income incurre</w:t>
      </w:r>
      <w:r>
        <w:t>d by a regulated entity due to:</w:t>
      </w:r>
    </w:p>
    <w:p w:rsidR="00062F84" w:rsidRPr="0073191C" w:rsidRDefault="00062F84" w:rsidP="004D73A0">
      <w:pPr>
        <w:pStyle w:val="Bulletindent"/>
      </w:pPr>
      <w:r>
        <w:t>a</w:t>
      </w:r>
      <w:r w:rsidRPr="00AD2434">
        <w:t xml:space="preserve">n </w:t>
      </w:r>
      <w:r w:rsidRPr="00F81ED4">
        <w:rPr>
          <w:b/>
        </w:rPr>
        <w:t>application delay</w:t>
      </w:r>
      <w:r w:rsidR="00D06A77">
        <w:rPr>
          <w:b/>
        </w:rPr>
        <w:t xml:space="preserve"> – </w:t>
      </w:r>
      <w:r w:rsidRPr="0073191C">
        <w:t xml:space="preserve">the </w:t>
      </w:r>
      <w:r>
        <w:t xml:space="preserve">elapsed </w:t>
      </w:r>
      <w:r w:rsidRPr="0073191C">
        <w:t>time</w:t>
      </w:r>
      <w:r>
        <w:t xml:space="preserve"> while </w:t>
      </w:r>
      <w:r w:rsidRPr="0073191C">
        <w:t xml:space="preserve">a </w:t>
      </w:r>
      <w:r w:rsidRPr="00F81ED4">
        <w:t xml:space="preserve">regulated entity </w:t>
      </w:r>
      <w:r>
        <w:t>completes</w:t>
      </w:r>
      <w:r w:rsidRPr="00F81ED4">
        <w:t xml:space="preserve"> an administrative application requirement</w:t>
      </w:r>
      <w:r w:rsidRPr="0073191C">
        <w:t xml:space="preserve"> prevent</w:t>
      </w:r>
      <w:r>
        <w:t>ing</w:t>
      </w:r>
      <w:r w:rsidRPr="0073191C">
        <w:t xml:space="preserve"> it from commencing its intende</w:t>
      </w:r>
      <w:r>
        <w:t xml:space="preserve">d operations </w:t>
      </w:r>
      <w:r w:rsidRPr="0073191C">
        <w:t>(such as a</w:t>
      </w:r>
      <w:r>
        <w:t xml:space="preserve"> licence </w:t>
      </w:r>
      <w:r w:rsidRPr="0073191C">
        <w:t>application, registration, certification, or permit)</w:t>
      </w:r>
      <w:r>
        <w:t>; and</w:t>
      </w:r>
    </w:p>
    <w:p w:rsidR="00062F84" w:rsidRPr="0073191C" w:rsidRDefault="00062F84" w:rsidP="004D73A0">
      <w:pPr>
        <w:pStyle w:val="Bulletindent"/>
      </w:pPr>
      <w:r>
        <w:t>a</w:t>
      </w:r>
      <w:r w:rsidRPr="00AD2434">
        <w:t xml:space="preserve">n </w:t>
      </w:r>
      <w:r w:rsidRPr="00F81ED4">
        <w:rPr>
          <w:b/>
        </w:rPr>
        <w:t>approval delay</w:t>
      </w:r>
      <w:r w:rsidR="00D06A77">
        <w:rPr>
          <w:b/>
        </w:rPr>
        <w:t xml:space="preserve"> – </w:t>
      </w:r>
      <w:r w:rsidRPr="0073191C">
        <w:t xml:space="preserve">the time taken </w:t>
      </w:r>
      <w:r>
        <w:t xml:space="preserve">between lodging an application and </w:t>
      </w:r>
      <w:r w:rsidRPr="0073191C">
        <w:t>a regulator communicat</w:t>
      </w:r>
      <w:r>
        <w:t>ing its</w:t>
      </w:r>
      <w:r w:rsidRPr="0073191C">
        <w:t xml:space="preserve"> final decision (such as notification, agreement or licence) prevent</w:t>
      </w:r>
      <w:r>
        <w:t>ing</w:t>
      </w:r>
      <w:r w:rsidRPr="0073191C">
        <w:t xml:space="preserve"> the regulated entity from commencing its operations. This includes time taken by the regulated entity </w:t>
      </w:r>
      <w:r>
        <w:t xml:space="preserve">to rework </w:t>
      </w:r>
      <w:r w:rsidRPr="0073191C">
        <w:t>the applicati</w:t>
      </w:r>
      <w:r>
        <w:t>on at the regulator’s request.</w:t>
      </w:r>
    </w:p>
    <w:p w:rsidR="00062F84" w:rsidRPr="00CD66B3" w:rsidRDefault="00062F84" w:rsidP="004D73A0">
      <w:pPr>
        <w:pStyle w:val="NormalIndent"/>
        <w:rPr>
          <w:lang w:val="en-GB"/>
        </w:rPr>
      </w:pPr>
      <w:r w:rsidRPr="00CD66B3">
        <w:rPr>
          <w:lang w:val="en-GB"/>
        </w:rPr>
        <w:t xml:space="preserve">The </w:t>
      </w:r>
      <w:r w:rsidRPr="00CD66B3">
        <w:rPr>
          <w:i/>
          <w:lang w:val="en-GB"/>
        </w:rPr>
        <w:t>direct</w:t>
      </w:r>
      <w:r w:rsidRPr="00CD66B3">
        <w:rPr>
          <w:lang w:val="en-GB"/>
        </w:rPr>
        <w:t xml:space="preserve"> costs of preparing an application or re-working it, </w:t>
      </w:r>
      <w:r w:rsidRPr="00CD66B3">
        <w:t>including time spent on phone calls</w:t>
      </w:r>
      <w:r w:rsidRPr="00CD66B3">
        <w:rPr>
          <w:b/>
          <w:i/>
        </w:rPr>
        <w:t xml:space="preserve"> </w:t>
      </w:r>
      <w:r w:rsidRPr="00CD66B3">
        <w:t>or</w:t>
      </w:r>
      <w:r w:rsidRPr="00CD66B3">
        <w:rPr>
          <w:b/>
        </w:rPr>
        <w:t xml:space="preserve"> </w:t>
      </w:r>
      <w:r w:rsidRPr="00CD66B3">
        <w:t>meetings as part of an</w:t>
      </w:r>
      <w:r>
        <w:t xml:space="preserve"> application </w:t>
      </w:r>
      <w:r w:rsidRPr="00CD66B3">
        <w:t xml:space="preserve">process is to be </w:t>
      </w:r>
      <w:r w:rsidRPr="00CD66B3">
        <w:rPr>
          <w:lang w:val="en-GB"/>
        </w:rPr>
        <w:t xml:space="preserve">counted as a </w:t>
      </w:r>
      <w:r>
        <w:rPr>
          <w:lang w:val="en-GB"/>
        </w:rPr>
        <w:t>compliance</w:t>
      </w:r>
      <w:r w:rsidRPr="00CD66B3">
        <w:rPr>
          <w:lang w:val="en-GB"/>
        </w:rPr>
        <w:t xml:space="preserve"> cost. </w:t>
      </w:r>
    </w:p>
    <w:p w:rsidR="00062F84" w:rsidRPr="0030419B" w:rsidRDefault="00062F84" w:rsidP="004D73A0">
      <w:pPr>
        <w:pStyle w:val="NormalIndent"/>
      </w:pPr>
      <w:r>
        <w:t xml:space="preserve">Examples of delay costs are provided in </w:t>
      </w:r>
      <w:r w:rsidRPr="0030419B">
        <w:t xml:space="preserve">Table </w:t>
      </w:r>
      <w:r>
        <w:t>5</w:t>
      </w:r>
      <w:r w:rsidRPr="0030419B">
        <w:t xml:space="preserve">. </w:t>
      </w:r>
    </w:p>
    <w:p w:rsidR="00062F84" w:rsidRPr="00AD2434" w:rsidRDefault="00062F84" w:rsidP="00F44A38">
      <w:pPr>
        <w:pStyle w:val="Tablechartdiagramheadingindent"/>
      </w:pPr>
      <w:r>
        <w:t>Table 5</w:t>
      </w:r>
      <w:r w:rsidRPr="0030419B">
        <w:t>:</w:t>
      </w:r>
      <w:r w:rsidRPr="00AD2434">
        <w:t xml:space="preserve"> Examples of </w:t>
      </w:r>
      <w:r>
        <w:t xml:space="preserve">delay </w:t>
      </w:r>
      <w:r w:rsidRPr="00AD2434">
        <w:t>costs</w:t>
      </w:r>
    </w:p>
    <w:tbl>
      <w:tblPr>
        <w:tblStyle w:val="DTFtexttableindent"/>
        <w:tblW w:w="0" w:type="auto"/>
        <w:tblInd w:w="867" w:type="dxa"/>
        <w:tblLook w:val="0620" w:firstRow="1" w:lastRow="0" w:firstColumn="0" w:lastColumn="0" w:noHBand="1" w:noVBand="1"/>
      </w:tblPr>
      <w:tblGrid>
        <w:gridCol w:w="8183"/>
      </w:tblGrid>
      <w:tr w:rsidR="00062F84" w:rsidRPr="00AD2434" w:rsidTr="00F44A38">
        <w:trPr>
          <w:cnfStyle w:val="100000000000" w:firstRow="1" w:lastRow="0" w:firstColumn="0" w:lastColumn="0" w:oddVBand="0" w:evenVBand="0" w:oddHBand="0" w:evenHBand="0" w:firstRowFirstColumn="0" w:firstRowLastColumn="0" w:lastRowFirstColumn="0" w:lastRowLastColumn="0"/>
          <w:cantSplit/>
        </w:trPr>
        <w:tc>
          <w:tcPr>
            <w:tcW w:w="8183" w:type="dxa"/>
          </w:tcPr>
          <w:p w:rsidR="00062F84" w:rsidRPr="00257AA1" w:rsidRDefault="00062F84" w:rsidP="00F44A38">
            <w:pPr>
              <w:pStyle w:val="Tableheader"/>
              <w:rPr>
                <w:b w:val="0"/>
              </w:rPr>
            </w:pPr>
            <w:r>
              <w:t>Delay cost examples</w:t>
            </w:r>
          </w:p>
        </w:tc>
      </w:tr>
      <w:tr w:rsidR="00062F84" w:rsidRPr="00AD2434" w:rsidTr="00F44A38">
        <w:tc>
          <w:tcPr>
            <w:tcW w:w="8183" w:type="dxa"/>
          </w:tcPr>
          <w:p w:rsidR="00062F84" w:rsidRDefault="00062F84" w:rsidP="00F44A38">
            <w:pPr>
              <w:pStyle w:val="Tabletextbold"/>
            </w:pPr>
            <w:r w:rsidRPr="0073191C">
              <w:t xml:space="preserve">Holding costs of land </w:t>
            </w:r>
          </w:p>
          <w:p w:rsidR="00062F84" w:rsidRPr="00AD2434" w:rsidRDefault="00062F84" w:rsidP="00F44A38">
            <w:pPr>
              <w:pStyle w:val="Tabletext"/>
            </w:pPr>
            <w:r w:rsidRPr="00AD2434">
              <w:t xml:space="preserve">Where a business is forced to buy </w:t>
            </w:r>
            <w:r>
              <w:t xml:space="preserve">land earlier than it would </w:t>
            </w:r>
            <w:r w:rsidRPr="00AD2434">
              <w:t xml:space="preserve">otherwise have </w:t>
            </w:r>
            <w:r>
              <w:t xml:space="preserve">done </w:t>
            </w:r>
            <w:r w:rsidRPr="00AD2434">
              <w:t>(such as for building houses on land)</w:t>
            </w:r>
            <w:r>
              <w:t>,</w:t>
            </w:r>
            <w:r w:rsidRPr="00AD2434">
              <w:t xml:space="preserve"> its resource usage (or consumption of capital) has been indirectly affected by the regulatory requirement. These extra costs of holding on to land</w:t>
            </w:r>
            <w:r>
              <w:t xml:space="preserve"> (not the cost of land itself, which is a business-as-usual</w:t>
            </w:r>
            <w:r w:rsidRPr="00AD2434">
              <w:t xml:space="preserve"> cost) comprise:</w:t>
            </w:r>
          </w:p>
          <w:p w:rsidR="00062F84" w:rsidRPr="00AD2434" w:rsidRDefault="00062F84" w:rsidP="00F44A38">
            <w:pPr>
              <w:pStyle w:val="Tablebullet"/>
            </w:pPr>
            <w:r w:rsidRPr="00AD2434">
              <w:t>higher expenses through interest payments on loans for land; and</w:t>
            </w:r>
          </w:p>
          <w:p w:rsidR="00062F84" w:rsidRPr="00A1453B" w:rsidRDefault="00062F84" w:rsidP="00F44A38">
            <w:pPr>
              <w:pStyle w:val="Tablebullet"/>
            </w:pPr>
            <w:r w:rsidRPr="00AD2434">
              <w:t>capital (equity) locked into an inefficient use, incurring what is known as the ‘opportunity cost’ of capital, or the loss of income from resources locked into the land.</w:t>
            </w:r>
          </w:p>
        </w:tc>
      </w:tr>
      <w:tr w:rsidR="00062F84" w:rsidRPr="00AD2434" w:rsidTr="00F44A38">
        <w:tc>
          <w:tcPr>
            <w:tcW w:w="8183" w:type="dxa"/>
          </w:tcPr>
          <w:p w:rsidR="00062F84" w:rsidRPr="0073191C" w:rsidRDefault="00062F84" w:rsidP="00F44A38">
            <w:pPr>
              <w:pStyle w:val="Tabletextbold"/>
            </w:pPr>
            <w:r w:rsidRPr="0073191C">
              <w:t>Standby costs of capital</w:t>
            </w:r>
          </w:p>
          <w:p w:rsidR="00062F84" w:rsidRPr="00AD2434" w:rsidRDefault="00062F84" w:rsidP="00F44A38">
            <w:pPr>
              <w:pStyle w:val="Tabletext"/>
            </w:pPr>
            <w:r w:rsidRPr="00AD2434">
              <w:t xml:space="preserve">Where physical capital such as plant and machinery is idle on account of application or approval delays </w:t>
            </w:r>
            <w:r>
              <w:t>forming</w:t>
            </w:r>
            <w:r w:rsidRPr="00AD2434">
              <w:t xml:space="preserve"> part of a regulatory process, the regulated entity incurs:</w:t>
            </w:r>
          </w:p>
          <w:p w:rsidR="00062F84" w:rsidRPr="00AD2434" w:rsidRDefault="00062F84" w:rsidP="00F44A38">
            <w:pPr>
              <w:pStyle w:val="Tablebullet"/>
            </w:pPr>
            <w:r w:rsidRPr="00AD2434">
              <w:t xml:space="preserve">higher expenses through interest on loans or rents for such idle physical capital and increased material procurement to maintain physical assets during the delay; and </w:t>
            </w:r>
          </w:p>
          <w:p w:rsidR="00062F84" w:rsidRPr="00A1453B" w:rsidRDefault="00062F84" w:rsidP="00F44A38">
            <w:pPr>
              <w:pStyle w:val="Tablebullet"/>
            </w:pPr>
            <w:r w:rsidRPr="00AD2434">
              <w:t>capital (equity) locked into inefficient use, incurring loss of income from such resources</w:t>
            </w:r>
            <w:r>
              <w:t>.</w:t>
            </w:r>
          </w:p>
        </w:tc>
      </w:tr>
      <w:tr w:rsidR="00062F84" w:rsidRPr="00AD2434" w:rsidTr="00F44A38">
        <w:tc>
          <w:tcPr>
            <w:tcW w:w="8183" w:type="dxa"/>
          </w:tcPr>
          <w:p w:rsidR="00062F84" w:rsidRPr="0073191C" w:rsidRDefault="00062F84" w:rsidP="00F44A38">
            <w:pPr>
              <w:pStyle w:val="Tabletextbold"/>
            </w:pPr>
            <w:r w:rsidRPr="0073191C">
              <w:t>Standby costs of labour (or labour downtime)</w:t>
            </w:r>
          </w:p>
          <w:p w:rsidR="00062F84" w:rsidRPr="0073191C" w:rsidRDefault="00062F84" w:rsidP="00F44A38">
            <w:pPr>
              <w:pStyle w:val="Tabletext"/>
            </w:pPr>
            <w:r w:rsidRPr="0073191C">
              <w:t>Where human resources are kept idle on account of application or approval delays form</w:t>
            </w:r>
            <w:r>
              <w:t>ing</w:t>
            </w:r>
            <w:r w:rsidRPr="0073191C">
              <w:t xml:space="preserve"> part of a regulatory process, the regulated entity incurs higher operational costs through an extension of its labour contracts or consultancies, or by having to hire additional human resources. These costs include additional overheads and on-costs.</w:t>
            </w:r>
          </w:p>
        </w:tc>
      </w:tr>
      <w:tr w:rsidR="00062F84" w:rsidRPr="00AD2434" w:rsidTr="00F44A38">
        <w:tc>
          <w:tcPr>
            <w:tcW w:w="8183" w:type="dxa"/>
          </w:tcPr>
          <w:p w:rsidR="00062F84" w:rsidRPr="0073191C" w:rsidRDefault="00062F84" w:rsidP="00F44A38">
            <w:pPr>
              <w:pStyle w:val="Tabletextbold"/>
            </w:pPr>
            <w:r w:rsidRPr="0073191C">
              <w:t xml:space="preserve">Lost </w:t>
            </w:r>
            <w:r>
              <w:t xml:space="preserve">income earning </w:t>
            </w:r>
            <w:r w:rsidR="00D06A77">
              <w:t>opportunities</w:t>
            </w:r>
          </w:p>
          <w:p w:rsidR="00062F84" w:rsidRPr="00062F84" w:rsidRDefault="00062F84" w:rsidP="00F44A38">
            <w:pPr>
              <w:pStyle w:val="Tabletext"/>
            </w:pPr>
            <w:r w:rsidRPr="00062F84">
              <w:t>Regulated entities can lose income earning opportunities arising from delays. For example, a restaurant already in operation loses the potential to earn income from the sale of alcohol while waiting for a liquor licence. Any estimates of lost income earning opportunities must take into account any expenses that can be deferred until the approval is obtained.</w:t>
            </w:r>
          </w:p>
        </w:tc>
      </w:tr>
    </w:tbl>
    <w:p w:rsidR="00062F84" w:rsidRDefault="00062F84" w:rsidP="00F44A38">
      <w:pPr>
        <w:pStyle w:val="Spacer"/>
      </w:pPr>
    </w:p>
    <w:p w:rsidR="00C433C7" w:rsidRDefault="00C433C7">
      <w:pPr>
        <w:spacing w:before="0" w:after="200"/>
      </w:pPr>
      <w:r>
        <w:br w:type="page"/>
      </w:r>
    </w:p>
    <w:p w:rsidR="00062F84" w:rsidRPr="00AD2434" w:rsidRDefault="00062F84" w:rsidP="004D73A0">
      <w:pPr>
        <w:pStyle w:val="NormalIndent"/>
      </w:pPr>
      <w:r w:rsidRPr="00AD2434">
        <w:lastRenderedPageBreak/>
        <w:t xml:space="preserve">It is necessary to isolate the impacts of the relevant delay on costs experienced by the regulated entity from other (overlapping) approval processes potentially imposed by multiple regulators. </w:t>
      </w:r>
      <w:r>
        <w:t xml:space="preserve">Departments may find it useful to map these overlapping processes in order to identify whether the delay is on the critical path of the investment. </w:t>
      </w:r>
      <w:r w:rsidRPr="00AD2434">
        <w:t xml:space="preserve">Delay costs also need to be carefully distinguished from </w:t>
      </w:r>
      <w:r>
        <w:t>business-as-usual delays (</w:t>
      </w:r>
      <w:r w:rsidRPr="00AD2434">
        <w:t>the time taken by a regulated entity for its own processes</w:t>
      </w:r>
      <w:r>
        <w:t>)</w:t>
      </w:r>
      <w:r w:rsidRPr="00AD2434">
        <w:t xml:space="preserve">. Doing so will avoid the risk of double-counting a delay cost. </w:t>
      </w:r>
    </w:p>
    <w:p w:rsidR="00062F84" w:rsidRDefault="00062F84" w:rsidP="004D73A0">
      <w:pPr>
        <w:pStyle w:val="NormalIndent"/>
      </w:pPr>
      <w:r w:rsidRPr="0030419B">
        <w:t>Box 3</w:t>
      </w:r>
      <w:r w:rsidRPr="00AD2434">
        <w:t xml:space="preserve"> illustrates some issues around the identification of delay costs in a planning application made by a property developer. </w:t>
      </w:r>
    </w:p>
    <w:p w:rsidR="00F44A38" w:rsidRDefault="00F44A38" w:rsidP="00F44A38">
      <w:pPr>
        <w:pStyle w:val="Spacer"/>
      </w:pPr>
    </w:p>
    <w:tbl>
      <w:tblPr>
        <w:tblStyle w:val="DTFtexttableindent"/>
        <w:tblW w:w="0" w:type="auto"/>
        <w:tblLook w:val="0680" w:firstRow="0" w:lastRow="0" w:firstColumn="1" w:lastColumn="0" w:noHBand="1" w:noVBand="1"/>
      </w:tblPr>
      <w:tblGrid>
        <w:gridCol w:w="8319"/>
      </w:tblGrid>
      <w:tr w:rsidR="00F44A38" w:rsidTr="00F44A38">
        <w:tc>
          <w:tcPr>
            <w:cnfStyle w:val="001000000000" w:firstRow="0" w:lastRow="0" w:firstColumn="1" w:lastColumn="0" w:oddVBand="0" w:evenVBand="0" w:oddHBand="0" w:evenHBand="0" w:firstRowFirstColumn="0" w:firstRowLastColumn="0" w:lastRowFirstColumn="0" w:lastRowLastColumn="0"/>
            <w:tcW w:w="8319" w:type="dxa"/>
          </w:tcPr>
          <w:p w:rsidR="00F44A38" w:rsidRPr="00AD2434" w:rsidRDefault="00F44A38" w:rsidP="00F44A38">
            <w:pPr>
              <w:pStyle w:val="Tablechartdiagramheading"/>
            </w:pPr>
            <w:r w:rsidRPr="0030419B">
              <w:t xml:space="preserve">Box </w:t>
            </w:r>
            <w:r>
              <w:t>3</w:t>
            </w:r>
            <w:r w:rsidRPr="0030419B">
              <w:t>:</w:t>
            </w:r>
            <w:r w:rsidRPr="00AD2434">
              <w:t xml:space="preserve"> </w:t>
            </w:r>
            <w:r>
              <w:t>Classifying the</w:t>
            </w:r>
            <w:r w:rsidRPr="00AD2434">
              <w:t xml:space="preserve"> costs imposed in a planning process</w:t>
            </w:r>
          </w:p>
          <w:p w:rsidR="00F44A38" w:rsidRPr="00AD2434" w:rsidRDefault="00F44A38" w:rsidP="00F44A38">
            <w:pPr>
              <w:pStyle w:val="Tabletextbold"/>
            </w:pPr>
            <w:r w:rsidRPr="00AD2434">
              <w:t>Purchase of land not a compliance cost</w:t>
            </w:r>
          </w:p>
          <w:p w:rsidR="00F44A38" w:rsidRPr="00AD2434" w:rsidRDefault="00F44A38" w:rsidP="00F44A38">
            <w:pPr>
              <w:pStyle w:val="Tabletext"/>
            </w:pPr>
            <w:r w:rsidRPr="00AD2434">
              <w:t xml:space="preserve">Planning regulations require applicants (often property developers) to own the block of land on which they want to build. Since property developers have to buy the land anyway – as part of their commercial operations – the compliance requirement (to own land) is offset by </w:t>
            </w:r>
            <w:r>
              <w:t>business-as-usual</w:t>
            </w:r>
            <w:r w:rsidRPr="00AD2434">
              <w:t xml:space="preserve"> costs. The net compliance cost is therefore zero. </w:t>
            </w:r>
          </w:p>
          <w:p w:rsidR="00F44A38" w:rsidRPr="00AD2434" w:rsidRDefault="00F44A38" w:rsidP="00F44A38">
            <w:pPr>
              <w:pStyle w:val="Tabletextbold"/>
            </w:pPr>
            <w:r w:rsidRPr="00AD2434">
              <w:t>Delay costs</w:t>
            </w:r>
          </w:p>
          <w:p w:rsidR="00F44A38" w:rsidRPr="00AD2434" w:rsidRDefault="00F44A38" w:rsidP="00F44A38">
            <w:pPr>
              <w:pStyle w:val="Tabletext"/>
            </w:pPr>
            <w:r w:rsidRPr="00AD2434">
              <w:t>How</w:t>
            </w:r>
            <w:r>
              <w:t>ever, developers can incur</w:t>
            </w:r>
            <w:r w:rsidRPr="00AD2434">
              <w:t xml:space="preserve"> delay costs in this process, such as:</w:t>
            </w:r>
          </w:p>
          <w:p w:rsidR="00F44A38" w:rsidRPr="00F44A38" w:rsidRDefault="00F44A38" w:rsidP="00F44A38">
            <w:pPr>
              <w:pStyle w:val="Tabletext"/>
              <w:rPr>
                <w:i/>
              </w:rPr>
            </w:pPr>
            <w:r w:rsidRPr="00F44A38">
              <w:rPr>
                <w:i/>
              </w:rPr>
              <w:t>Holding costs of land</w:t>
            </w:r>
          </w:p>
          <w:p w:rsidR="00F44A38" w:rsidRPr="00AD2434" w:rsidRDefault="00F44A38" w:rsidP="00F44A38">
            <w:pPr>
              <w:pStyle w:val="Tablebullet"/>
            </w:pPr>
            <w:r w:rsidRPr="00AD2434">
              <w:t xml:space="preserve">Application and approval processes prior to building on a block of land impose a holding cost on property developers who must hold the land for longer (and often for an uncertain period) than they would have otherwise done. </w:t>
            </w:r>
          </w:p>
          <w:p w:rsidR="00F44A38" w:rsidRPr="00F44A38" w:rsidRDefault="00F44A38" w:rsidP="00F44A38">
            <w:pPr>
              <w:pStyle w:val="Tabletext"/>
              <w:rPr>
                <w:i/>
              </w:rPr>
            </w:pPr>
            <w:r w:rsidRPr="00F44A38">
              <w:rPr>
                <w:i/>
              </w:rPr>
              <w:t>Cost of capital (equity) locked into the project</w:t>
            </w:r>
          </w:p>
          <w:p w:rsidR="00F44A38" w:rsidRPr="00F44A38" w:rsidRDefault="00F44A38" w:rsidP="00F44A38">
            <w:pPr>
              <w:pStyle w:val="Tablebullet"/>
            </w:pPr>
            <w:r w:rsidRPr="00AD2434">
              <w:t xml:space="preserve">In addition, developers experience a loss of return from their equity that is locked into the project for the duration of the delays. </w:t>
            </w:r>
          </w:p>
        </w:tc>
      </w:tr>
    </w:tbl>
    <w:p w:rsidR="00F44A38" w:rsidRPr="00AD2434" w:rsidRDefault="00F44A38" w:rsidP="00F44A38">
      <w:pPr>
        <w:pStyle w:val="Spacer"/>
      </w:pPr>
    </w:p>
    <w:p w:rsidR="00C433C7" w:rsidRPr="00AD2434" w:rsidRDefault="00062F84" w:rsidP="00C433C7">
      <w:pPr>
        <w:pStyle w:val="Heading3"/>
      </w:pPr>
      <w:bookmarkStart w:id="199" w:name="_Toc355275852"/>
      <w:bookmarkStart w:id="200" w:name="_Toc358276097"/>
      <w:bookmarkStart w:id="201" w:name="_Toc358282369"/>
      <w:bookmarkStart w:id="202" w:name="_Toc468455430"/>
      <w:bookmarkStart w:id="203" w:name="_Toc470078924"/>
      <w:r w:rsidRPr="00374477">
        <w:t xml:space="preserve">A.2.3 </w:t>
      </w:r>
      <w:r w:rsidR="00C433C7">
        <w:tab/>
      </w:r>
      <w:r>
        <w:t>Economic costs of prohibitions</w:t>
      </w:r>
      <w:bookmarkEnd w:id="199"/>
      <w:bookmarkEnd w:id="200"/>
      <w:bookmarkEnd w:id="201"/>
      <w:bookmarkEnd w:id="202"/>
      <w:bookmarkEnd w:id="203"/>
    </w:p>
    <w:p w:rsidR="00062F84" w:rsidRPr="00AD2434" w:rsidRDefault="00062F84" w:rsidP="004D73A0">
      <w:pPr>
        <w:pStyle w:val="NormalIndent"/>
      </w:pPr>
      <w:r>
        <w:t>There are a number of other costs that arise indirectly from the impacts of a regulation or from the way it is administered. Unlike compliance costs, such costs are not incurred as a result of regulatory obligations that directly achieve a regulated outcome. Rather, they limit the ability to create, or expand, businesses or innovate. These other costs include:</w:t>
      </w:r>
    </w:p>
    <w:p w:rsidR="00062F84" w:rsidRPr="00AD2434" w:rsidRDefault="00062F84" w:rsidP="004D73A0">
      <w:pPr>
        <w:pStyle w:val="Bulletindent"/>
      </w:pPr>
      <w:r w:rsidRPr="00AD2434">
        <w:t xml:space="preserve">negative externalities; </w:t>
      </w:r>
    </w:p>
    <w:p w:rsidR="00062F84" w:rsidRPr="00AD2434" w:rsidRDefault="00062F84" w:rsidP="004D73A0">
      <w:pPr>
        <w:pStyle w:val="Bulletindent"/>
      </w:pPr>
      <w:r w:rsidRPr="00AD2434">
        <w:t xml:space="preserve">impacts on competition or market structure; </w:t>
      </w:r>
    </w:p>
    <w:p w:rsidR="00062F84" w:rsidRPr="00AD2434" w:rsidRDefault="00062F84" w:rsidP="004D73A0">
      <w:pPr>
        <w:pStyle w:val="Bulletindent"/>
      </w:pPr>
      <w:r w:rsidRPr="00AD2434">
        <w:t xml:space="preserve">impacts on innovation; and </w:t>
      </w:r>
    </w:p>
    <w:p w:rsidR="00062F84" w:rsidRDefault="00062F84" w:rsidP="004D73A0">
      <w:pPr>
        <w:pStyle w:val="Bulletindent"/>
      </w:pPr>
      <w:r w:rsidRPr="00AD2434">
        <w:t>impacts on consumption patterns or resource allocation (those impact</w:t>
      </w:r>
      <w:r>
        <w:t>s not included in delay costs).</w:t>
      </w:r>
    </w:p>
    <w:p w:rsidR="00062F84" w:rsidRDefault="00062F84" w:rsidP="004D73A0">
      <w:pPr>
        <w:pStyle w:val="NormalIndent"/>
      </w:pPr>
      <w:r>
        <w:t xml:space="preserve">The relevant costs that should be discussed in the RCM report are the economic costs to business or other relevant sectors resulting from prohibitions. </w:t>
      </w:r>
    </w:p>
    <w:p w:rsidR="00062F84" w:rsidRPr="00766019" w:rsidRDefault="00062F84" w:rsidP="004D73A0">
      <w:pPr>
        <w:pStyle w:val="NormalIndent"/>
      </w:pPr>
      <w:r>
        <w:t xml:space="preserve">To ensure value for money in the RCM process, the </w:t>
      </w:r>
      <w:r w:rsidRPr="00A71C0A">
        <w:t>economic costs of prohibitions</w:t>
      </w:r>
      <w:r>
        <w:t xml:space="preserve"> should be identified but only a qualitative discussion of these costs should be provided in the RCM. </w:t>
      </w:r>
    </w:p>
    <w:p w:rsidR="00062F84" w:rsidRPr="00AD2434" w:rsidRDefault="00062F84" w:rsidP="00062F84">
      <w:pPr>
        <w:pStyle w:val="Heading3"/>
      </w:pPr>
      <w:bookmarkStart w:id="204" w:name="_Toc355275853"/>
      <w:bookmarkStart w:id="205" w:name="_Toc358276098"/>
      <w:bookmarkStart w:id="206" w:name="_Toc358282370"/>
      <w:bookmarkStart w:id="207" w:name="_Toc468455431"/>
      <w:bookmarkStart w:id="208" w:name="_Toc470078925"/>
      <w:r>
        <w:lastRenderedPageBreak/>
        <w:t>A.2.4</w:t>
      </w:r>
      <w:r w:rsidRPr="00AD2434">
        <w:tab/>
        <w:t xml:space="preserve">Financial </w:t>
      </w:r>
      <w:r w:rsidR="00F44A38" w:rsidRPr="00AD2434">
        <w:t>costs</w:t>
      </w:r>
      <w:bookmarkEnd w:id="204"/>
      <w:bookmarkEnd w:id="205"/>
      <w:bookmarkEnd w:id="206"/>
      <w:bookmarkEnd w:id="207"/>
      <w:bookmarkEnd w:id="208"/>
      <w:r w:rsidR="00F44A38" w:rsidRPr="00AD2434">
        <w:t xml:space="preserve"> </w:t>
      </w:r>
    </w:p>
    <w:p w:rsidR="00062F84" w:rsidRPr="00AD2434" w:rsidRDefault="00062F84" w:rsidP="004D73A0">
      <w:pPr>
        <w:pStyle w:val="NormalIndent"/>
      </w:pPr>
      <w:r w:rsidRPr="00AD2434">
        <w:t>Financial costs arise from an obligation to transfer a sum of money to the Government or the competent authority</w:t>
      </w:r>
      <w:r w:rsidRPr="00AD2434">
        <w:rPr>
          <w:rStyle w:val="FootnoteReference"/>
        </w:rPr>
        <w:footnoteReference w:id="2"/>
      </w:r>
      <w:r w:rsidRPr="00AD2434">
        <w:t>. Examples include:</w:t>
      </w:r>
    </w:p>
    <w:p w:rsidR="00062F84" w:rsidRPr="00AD2434" w:rsidRDefault="00062F84" w:rsidP="004D73A0">
      <w:pPr>
        <w:pStyle w:val="Bulletindent"/>
      </w:pPr>
      <w:r w:rsidRPr="00AD2434">
        <w:t>administrative charges;</w:t>
      </w:r>
    </w:p>
    <w:p w:rsidR="00062F84" w:rsidRPr="00AD2434" w:rsidRDefault="00062F84" w:rsidP="004D73A0">
      <w:pPr>
        <w:pStyle w:val="Bulletindent"/>
      </w:pPr>
      <w:r w:rsidRPr="00AD2434">
        <w:t>fees for applying for a permit;</w:t>
      </w:r>
    </w:p>
    <w:p w:rsidR="00062F84" w:rsidRPr="00AD2434" w:rsidRDefault="00062F84" w:rsidP="004D73A0">
      <w:pPr>
        <w:pStyle w:val="Bulletindent"/>
      </w:pPr>
      <w:r w:rsidRPr="00AD2434">
        <w:t>taxes;</w:t>
      </w:r>
    </w:p>
    <w:p w:rsidR="00062F84" w:rsidRPr="00AD2434" w:rsidRDefault="00062F84" w:rsidP="004D73A0">
      <w:pPr>
        <w:pStyle w:val="Bulletindent"/>
      </w:pPr>
      <w:r w:rsidRPr="00E3472E">
        <w:t>premiums payable to Government for mandatory insurance</w:t>
      </w:r>
      <w:r>
        <w:t xml:space="preserve"> (e.g. WorkCover premiums)</w:t>
      </w:r>
      <w:r w:rsidRPr="00AD2434">
        <w:rPr>
          <w:rStyle w:val="FootnoteReference"/>
        </w:rPr>
        <w:footnoteReference w:id="3"/>
      </w:r>
      <w:r w:rsidRPr="00AD2434">
        <w:t>; and</w:t>
      </w:r>
    </w:p>
    <w:p w:rsidR="00062F84" w:rsidRPr="00AD2434" w:rsidRDefault="00062F84" w:rsidP="004D73A0">
      <w:pPr>
        <w:pStyle w:val="Bulletindent"/>
      </w:pPr>
      <w:r w:rsidRPr="00AD2434">
        <w:t>levies.</w:t>
      </w:r>
    </w:p>
    <w:p w:rsidR="00062F84" w:rsidRPr="00AD2434" w:rsidRDefault="00062F84" w:rsidP="004D73A0">
      <w:pPr>
        <w:pStyle w:val="NormalIndent"/>
      </w:pPr>
      <w:r>
        <w:t xml:space="preserve">Financial costs are excluded from the </w:t>
      </w:r>
      <w:r w:rsidR="00E918CF">
        <w:t>Regulation Reform Program</w:t>
      </w:r>
      <w:r>
        <w:t>.</w:t>
      </w:r>
    </w:p>
    <w:p w:rsidR="00062F84" w:rsidRPr="00AD2434" w:rsidRDefault="00062F84" w:rsidP="00C433C7">
      <w:pPr>
        <w:pStyle w:val="Heading2"/>
        <w:ind w:left="792" w:hanging="792"/>
      </w:pPr>
      <w:bookmarkStart w:id="209" w:name="_Toc355275854"/>
      <w:bookmarkStart w:id="210" w:name="_Toc358276099"/>
      <w:bookmarkStart w:id="211" w:name="_Toc358282371"/>
      <w:bookmarkStart w:id="212" w:name="_Toc468455432"/>
      <w:bookmarkStart w:id="213" w:name="_Toc470078926"/>
      <w:r w:rsidRPr="00647AC8">
        <w:t xml:space="preserve">A.3 </w:t>
      </w:r>
      <w:r w:rsidR="00C433C7">
        <w:tab/>
      </w:r>
      <w:r>
        <w:t>Business-as-usual</w:t>
      </w:r>
      <w:r w:rsidRPr="00647AC8">
        <w:t xml:space="preserve"> costs</w:t>
      </w:r>
      <w:bookmarkEnd w:id="209"/>
      <w:bookmarkEnd w:id="210"/>
      <w:bookmarkEnd w:id="211"/>
      <w:bookmarkEnd w:id="212"/>
      <w:bookmarkEnd w:id="213"/>
    </w:p>
    <w:p w:rsidR="00062F84" w:rsidRPr="00AD2434" w:rsidRDefault="00062F84" w:rsidP="004D73A0">
      <w:pPr>
        <w:pStyle w:val="NormalIndent"/>
      </w:pPr>
      <w:r w:rsidRPr="00AD2434">
        <w:t>Regulated entities often incur a range of costs</w:t>
      </w:r>
      <w:r>
        <w:t>,</w:t>
      </w:r>
      <w:r w:rsidRPr="00AD2434">
        <w:t xml:space="preserve"> including a</w:t>
      </w:r>
      <w:r>
        <w:t xml:space="preserve">dministrative and delay costs, </w:t>
      </w:r>
      <w:r w:rsidRPr="00AD2434">
        <w:t xml:space="preserve">even in the absence of a specific regulation. Such costs incurred by a regulated entity </w:t>
      </w:r>
      <w:r>
        <w:t xml:space="preserve">as part of its normal business practice </w:t>
      </w:r>
      <w:r w:rsidRPr="00AD2434">
        <w:t xml:space="preserve">because of other </w:t>
      </w:r>
      <w:r>
        <w:t>regulatory obligations</w:t>
      </w:r>
      <w:r w:rsidRPr="00AD2434">
        <w:t xml:space="preserve"> (such as </w:t>
      </w:r>
      <w:r>
        <w:t xml:space="preserve">other Victorian requirements not subject to current analysis or </w:t>
      </w:r>
      <w:r w:rsidRPr="00AD2434">
        <w:t xml:space="preserve">those of the Commonwealth) </w:t>
      </w:r>
      <w:r>
        <w:t xml:space="preserve">are known as business-as-usual </w:t>
      </w:r>
      <w:r w:rsidRPr="00AD2434">
        <w:t xml:space="preserve">costs. </w:t>
      </w:r>
    </w:p>
    <w:p w:rsidR="00062F84" w:rsidRPr="00AD2434" w:rsidRDefault="00062F84" w:rsidP="004D73A0">
      <w:pPr>
        <w:pStyle w:val="NormalIndent"/>
      </w:pPr>
      <w:r>
        <w:t xml:space="preserve">The </w:t>
      </w:r>
      <w:r w:rsidRPr="00AD2434">
        <w:t>costs</w:t>
      </w:r>
      <w:r>
        <w:t xml:space="preserve"> of a particular regulatory obligation</w:t>
      </w:r>
      <w:r w:rsidRPr="00AD2434">
        <w:t xml:space="preserve"> should be seen as the increment or addition to costs that are incurred by a regulated entity in the absence of that </w:t>
      </w:r>
      <w:r>
        <w:t>obligation</w:t>
      </w:r>
      <w:r w:rsidRPr="00AD2434">
        <w:t xml:space="preserve">. </w:t>
      </w:r>
      <w:r w:rsidRPr="00E72617">
        <w:t xml:space="preserve">When identifying regulatory costs, it is therefore crucial to subtract </w:t>
      </w:r>
      <w:r>
        <w:t>business-as-usual</w:t>
      </w:r>
      <w:r w:rsidRPr="00E72617">
        <w:t xml:space="preserve"> costs. </w:t>
      </w:r>
      <w:r w:rsidRPr="0030419B">
        <w:t xml:space="preserve">Figure </w:t>
      </w:r>
      <w:r>
        <w:t>2</w:t>
      </w:r>
      <w:r w:rsidRPr="00AD2434">
        <w:t xml:space="preserve"> illustrates this concept, with </w:t>
      </w:r>
      <w:r w:rsidRPr="0030419B">
        <w:t>Box 4</w:t>
      </w:r>
      <w:r w:rsidRPr="00AD2434">
        <w:t xml:space="preserve"> providing an example. </w:t>
      </w:r>
    </w:p>
    <w:p w:rsidR="00062F84" w:rsidRPr="00AD2434" w:rsidRDefault="00062F84" w:rsidP="00F44A38">
      <w:pPr>
        <w:pStyle w:val="Tablechartdiagramheadingindent"/>
      </w:pPr>
      <w:r w:rsidRPr="0030419B">
        <w:t xml:space="preserve">Figure </w:t>
      </w:r>
      <w:r>
        <w:t>2</w:t>
      </w:r>
      <w:r w:rsidRPr="0030419B">
        <w:t>: Regulatory</w:t>
      </w:r>
      <w:r w:rsidRPr="00AD2434">
        <w:t xml:space="preserve"> </w:t>
      </w:r>
      <w:r>
        <w:t>cost</w:t>
      </w:r>
      <w:r w:rsidRPr="00AD2434">
        <w:t xml:space="preserve"> is that part of total costs that exceeds </w:t>
      </w:r>
      <w:r>
        <w:t>business-as-usual</w:t>
      </w:r>
      <w:r w:rsidRPr="00AD2434">
        <w:t xml:space="preserve"> costs</w:t>
      </w:r>
    </w:p>
    <w:p w:rsidR="00062F84" w:rsidRDefault="00062F84" w:rsidP="00F44A38">
      <w:pPr>
        <w:pStyle w:val="NormalIndent"/>
        <w:ind w:left="1440"/>
      </w:pPr>
      <w:r>
        <w:rPr>
          <w:noProof/>
        </w:rPr>
        <w:drawing>
          <wp:inline distT="0" distB="0" distL="0" distR="0" wp14:anchorId="67F212DB" wp14:editId="4CCA5983">
            <wp:extent cx="3482340" cy="211391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82340" cy="2113915"/>
                    </a:xfrm>
                    <a:prstGeom prst="rect">
                      <a:avLst/>
                    </a:prstGeom>
                    <a:noFill/>
                    <a:ln>
                      <a:noFill/>
                    </a:ln>
                  </pic:spPr>
                </pic:pic>
              </a:graphicData>
            </a:graphic>
          </wp:inline>
        </w:drawing>
      </w:r>
    </w:p>
    <w:p w:rsidR="00062F84" w:rsidRDefault="00062F84" w:rsidP="00632F2E"/>
    <w:tbl>
      <w:tblPr>
        <w:tblStyle w:val="DTFtexttableindent"/>
        <w:tblW w:w="0" w:type="auto"/>
        <w:tblLook w:val="0680" w:firstRow="0" w:lastRow="0" w:firstColumn="1" w:lastColumn="0" w:noHBand="1" w:noVBand="1"/>
      </w:tblPr>
      <w:tblGrid>
        <w:gridCol w:w="8319"/>
      </w:tblGrid>
      <w:tr w:rsidR="00062F84" w:rsidRPr="004F5827" w:rsidTr="00E33EA6">
        <w:tc>
          <w:tcPr>
            <w:cnfStyle w:val="001000000000" w:firstRow="0" w:lastRow="0" w:firstColumn="1" w:lastColumn="0" w:oddVBand="0" w:evenVBand="0" w:oddHBand="0" w:evenHBand="0" w:firstRowFirstColumn="0" w:firstRowLastColumn="0" w:lastRowFirstColumn="0" w:lastRowLastColumn="0"/>
            <w:tcW w:w="8458" w:type="dxa"/>
          </w:tcPr>
          <w:p w:rsidR="00062F84" w:rsidRPr="001C4073" w:rsidRDefault="00062F84" w:rsidP="00E33EA6">
            <w:pPr>
              <w:pStyle w:val="Tablechartdiagramheading"/>
            </w:pPr>
            <w:r w:rsidRPr="001C4073">
              <w:lastRenderedPageBreak/>
              <w:t xml:space="preserve">Box </w:t>
            </w:r>
            <w:r>
              <w:t>4</w:t>
            </w:r>
            <w:r w:rsidRPr="001C4073">
              <w:t>: Calculating total remuneration for payroll tax</w:t>
            </w:r>
          </w:p>
          <w:p w:rsidR="00062F84" w:rsidRDefault="00062F84" w:rsidP="00E33EA6">
            <w:pPr>
              <w:pStyle w:val="Tabletext"/>
            </w:pPr>
            <w:r w:rsidRPr="001C4073">
              <w:t xml:space="preserve">Businesses paying </w:t>
            </w:r>
            <w:r>
              <w:t>Victorian</w:t>
            </w:r>
            <w:r w:rsidRPr="001C4073">
              <w:t xml:space="preserve"> payroll tax are required to calculate their total remuneration. However, they also do this:</w:t>
            </w:r>
          </w:p>
          <w:p w:rsidR="00062F84" w:rsidRPr="001C4073" w:rsidRDefault="00062F84" w:rsidP="00E33EA6">
            <w:pPr>
              <w:pStyle w:val="Tablebullet"/>
            </w:pPr>
            <w:r w:rsidRPr="001C4073">
              <w:t>for their own purpose (management of staff costs) – being direct BAU costs;</w:t>
            </w:r>
          </w:p>
          <w:p w:rsidR="00062F84" w:rsidRPr="001C4073" w:rsidRDefault="00062F84" w:rsidP="00E33EA6">
            <w:pPr>
              <w:pStyle w:val="Tablebullet"/>
            </w:pPr>
            <w:r w:rsidRPr="001C4073">
              <w:t xml:space="preserve">to determine WorkCover premiums; and </w:t>
            </w:r>
          </w:p>
          <w:p w:rsidR="00062F84" w:rsidRPr="001C4073" w:rsidRDefault="00062F84" w:rsidP="00E33EA6">
            <w:pPr>
              <w:pStyle w:val="Tablebullet"/>
            </w:pPr>
            <w:r w:rsidRPr="001C4073">
              <w:t xml:space="preserve">to meet Commonwealth financial reporting obligations. </w:t>
            </w:r>
          </w:p>
          <w:p w:rsidR="00062F84" w:rsidRDefault="00062F84" w:rsidP="00E33EA6">
            <w:pPr>
              <w:pStyle w:val="Tabletext"/>
            </w:pPr>
            <w:r>
              <w:t>In the absence of payroll tax regulation, businesses would still calculate their total remuneration and as such this requirement would be considered a business-as-usual cost and not count towards to the regulatory costs of payroll tax regulation.</w:t>
            </w:r>
          </w:p>
          <w:p w:rsidR="00062F84" w:rsidRPr="001C4073" w:rsidRDefault="00062F84" w:rsidP="00E33EA6">
            <w:pPr>
              <w:pStyle w:val="Tabletext"/>
            </w:pPr>
            <w:r>
              <w:t xml:space="preserve">However, the cost of preparing payroll tax return paperwork is a cost counting towards the regulatory costs of payroll tax regulation. </w:t>
            </w:r>
          </w:p>
        </w:tc>
      </w:tr>
    </w:tbl>
    <w:p w:rsidR="00062F84" w:rsidRDefault="00062F84" w:rsidP="004D73A0">
      <w:pPr>
        <w:pStyle w:val="NormalIndent"/>
      </w:pPr>
      <w:r>
        <w:t xml:space="preserve">It can be difficult to identify business-as-usual costs, in which case, assumptions regarding these costs will need to be made and appropriately disclosed in the RCM report. </w:t>
      </w:r>
      <w:r w:rsidRPr="00AD2434">
        <w:t xml:space="preserve">Rules of thumb can be applied in such cases to assess </w:t>
      </w:r>
      <w:r>
        <w:t>business-as-usual costs</w:t>
      </w:r>
      <w:r w:rsidRPr="00AD2434">
        <w:t>, in consultation with departmental experts or the affected sector (noting that</w:t>
      </w:r>
      <w:r>
        <w:t xml:space="preserve"> it is not mandatory, and</w:t>
      </w:r>
      <w:r w:rsidRPr="00AD2434">
        <w:t xml:space="preserve"> in </w:t>
      </w:r>
      <w:r>
        <w:t>most</w:t>
      </w:r>
      <w:r w:rsidRPr="00AD2434">
        <w:t xml:space="preserve"> cases the industry </w:t>
      </w:r>
      <w:r>
        <w:t xml:space="preserve">does not </w:t>
      </w:r>
      <w:r w:rsidRPr="00AD2434">
        <w:t xml:space="preserve">know a ‘no regulation’ environment and therefore may not be able to provide useful guidance). </w:t>
      </w:r>
      <w:r>
        <w:t xml:space="preserve"> The key to understanding whether there are any business</w:t>
      </w:r>
      <w:r>
        <w:noBreakHyphen/>
        <w:t>as-usual costs is to measure the extent to which business practices or behaviours have actually changed. That is, if there is no or limited change in behaviour following the regulatory change, then regulatory costs may not have been reduced.</w:t>
      </w:r>
    </w:p>
    <w:p w:rsidR="00062F84" w:rsidRDefault="00062F84" w:rsidP="004D73A0">
      <w:pPr>
        <w:pStyle w:val="NormalIndent"/>
      </w:pPr>
      <w:r>
        <w:t xml:space="preserve">Business-as-usual activities relate to the current regulatory environment and do not require determinations about future business/government behaviour. </w:t>
      </w:r>
    </w:p>
    <w:p w:rsidR="00062F84" w:rsidRDefault="00062F84" w:rsidP="00062F84">
      <w:pPr>
        <w:pStyle w:val="Heading2"/>
      </w:pPr>
      <w:bookmarkStart w:id="214" w:name="_Toc355275855"/>
      <w:bookmarkStart w:id="215" w:name="_Toc358276100"/>
      <w:bookmarkStart w:id="216" w:name="_Toc358282372"/>
      <w:bookmarkStart w:id="217" w:name="_Toc468455433"/>
      <w:bookmarkStart w:id="218" w:name="_Toc470078927"/>
      <w:r>
        <w:t>A.4</w:t>
      </w:r>
      <w:r w:rsidRPr="00AD2434">
        <w:tab/>
      </w:r>
      <w:r>
        <w:t>Normally efficient business</w:t>
      </w:r>
      <w:bookmarkEnd w:id="214"/>
      <w:bookmarkEnd w:id="215"/>
      <w:bookmarkEnd w:id="216"/>
      <w:bookmarkEnd w:id="217"/>
      <w:bookmarkEnd w:id="218"/>
    </w:p>
    <w:p w:rsidR="00062F84" w:rsidRDefault="00062F84" w:rsidP="004D73A0">
      <w:pPr>
        <w:pStyle w:val="NormalIndent"/>
      </w:pPr>
      <w:r>
        <w:t xml:space="preserve">The cost of complying with a regulatory requirement can vary considerably depending on the regulated entity.  The RCM aims to assess the costs experienced by a normally efficient business, which is a business (or regulated entity) that handles its regulatory tasks neither better nor worse than may be reasonably expected. This cost experience can be deemed to be representative of the experience of similarly regulated entities in that sector. </w:t>
      </w:r>
    </w:p>
    <w:p w:rsidR="00062F84" w:rsidRDefault="00062F84" w:rsidP="004D73A0">
      <w:pPr>
        <w:pStyle w:val="NormalIndent"/>
      </w:pPr>
      <w:r>
        <w:t xml:space="preserve">Note that this should not be taken to mean that the normally efficient business performs its regulatory tasks perfectly. For instance, it is not an expectation (for the purposes of the RCM) that businesses always complete complex application forms perfectly the first time. An average error rate in complying with complex regulatory requirements can therefore be recognised, including some reasonable amount of re-work in response to feedback or advice from regulators. </w:t>
      </w:r>
    </w:p>
    <w:p w:rsidR="00062F84" w:rsidRDefault="00062F84" w:rsidP="004D73A0">
      <w:pPr>
        <w:pStyle w:val="NormalIndent"/>
      </w:pPr>
      <w:r>
        <w:t>In some cases, the regulatory costs experienced by small businesses are different than the costs experienced by larger businesses as they may not have specialist in-house expertise to deal with complex regulatory requirements. It may be appropriate to segment the affected sector in such cases. In general, no more than three segments should be needed for any given sector.</w:t>
      </w:r>
    </w:p>
    <w:p w:rsidR="00062F84" w:rsidRDefault="00062F84" w:rsidP="004D73A0">
      <w:pPr>
        <w:pStyle w:val="NormalIndent"/>
      </w:pPr>
      <w:r w:rsidRPr="005C528F">
        <w:t xml:space="preserve">It is not </w:t>
      </w:r>
      <w:r>
        <w:t>necessary</w:t>
      </w:r>
      <w:r w:rsidRPr="005C528F">
        <w:t xml:space="preserve"> to conduct business interviews to determine these costs. </w:t>
      </w:r>
    </w:p>
    <w:p w:rsidR="00E33EA6" w:rsidRDefault="00E33EA6">
      <w:pPr>
        <w:spacing w:before="0" w:after="200"/>
        <w:rPr>
          <w:rFonts w:asciiTheme="majorHAnsi" w:eastAsiaTheme="majorEastAsia" w:hAnsiTheme="majorHAnsi" w:cstheme="majorBidi"/>
          <w:b/>
          <w:bCs/>
          <w:color w:val="201547"/>
          <w:spacing w:val="-1"/>
          <w:sz w:val="36"/>
          <w:szCs w:val="28"/>
        </w:rPr>
      </w:pPr>
      <w:bookmarkStart w:id="219" w:name="_Toc257015783"/>
      <w:bookmarkStart w:id="220" w:name="_Toc335401934"/>
      <w:bookmarkStart w:id="221" w:name="_Toc355267648"/>
      <w:bookmarkStart w:id="222" w:name="_Toc355275868"/>
      <w:bookmarkStart w:id="223" w:name="_Toc358276101"/>
      <w:bookmarkStart w:id="224" w:name="_Toc358282373"/>
      <w:bookmarkStart w:id="225" w:name="_Toc468455434"/>
      <w:r>
        <w:br w:type="page"/>
      </w:r>
    </w:p>
    <w:p w:rsidR="00062F84" w:rsidRDefault="00062F84" w:rsidP="00062F84">
      <w:pPr>
        <w:pStyle w:val="Heading1"/>
      </w:pPr>
      <w:bookmarkStart w:id="226" w:name="_Toc470078928"/>
      <w:r>
        <w:lastRenderedPageBreak/>
        <w:t>Appendix B:</w:t>
      </w:r>
      <w:r w:rsidRPr="003036C6">
        <w:t xml:space="preserve"> Calculating </w:t>
      </w:r>
      <w:bookmarkEnd w:id="219"/>
      <w:bookmarkEnd w:id="220"/>
      <w:r>
        <w:t>compliance costs</w:t>
      </w:r>
      <w:bookmarkEnd w:id="221"/>
      <w:bookmarkEnd w:id="222"/>
      <w:bookmarkEnd w:id="223"/>
      <w:bookmarkEnd w:id="224"/>
      <w:bookmarkEnd w:id="225"/>
      <w:bookmarkEnd w:id="226"/>
    </w:p>
    <w:p w:rsidR="00062F84" w:rsidRPr="003036C6" w:rsidRDefault="00062F84" w:rsidP="004D73A0">
      <w:pPr>
        <w:pStyle w:val="NormalIndent"/>
      </w:pPr>
      <w:r w:rsidRPr="003036C6">
        <w:t xml:space="preserve">This section </w:t>
      </w:r>
      <w:r>
        <w:t xml:space="preserve">discusses </w:t>
      </w:r>
      <w:r w:rsidRPr="003036C6">
        <w:t xml:space="preserve">the </w:t>
      </w:r>
      <w:r>
        <w:t>formulae</w:t>
      </w:r>
      <w:r w:rsidRPr="003036C6">
        <w:t xml:space="preserve"> for </w:t>
      </w:r>
      <w:r>
        <w:t>calculating compliance</w:t>
      </w:r>
      <w:r w:rsidRPr="003036C6">
        <w:t xml:space="preserve"> costs.</w:t>
      </w:r>
    </w:p>
    <w:p w:rsidR="00062F84" w:rsidRPr="003036C6" w:rsidRDefault="00062F84" w:rsidP="00E33EA6">
      <w:pPr>
        <w:pStyle w:val="Heading2"/>
        <w:ind w:left="792" w:hanging="792"/>
      </w:pPr>
      <w:bookmarkStart w:id="227" w:name="_Toc257015784"/>
      <w:bookmarkStart w:id="228" w:name="_Toc335401935"/>
      <w:bookmarkStart w:id="229" w:name="_Toc355267649"/>
      <w:bookmarkStart w:id="230" w:name="_Toc355275869"/>
      <w:bookmarkStart w:id="231" w:name="_Toc358276102"/>
      <w:bookmarkStart w:id="232" w:name="_Toc358282374"/>
      <w:bookmarkStart w:id="233" w:name="_Toc468455435"/>
      <w:bookmarkStart w:id="234" w:name="_Toc470078929"/>
      <w:bookmarkStart w:id="235" w:name="_Toc238293552"/>
      <w:r>
        <w:t>B.1</w:t>
      </w:r>
      <w:r w:rsidRPr="003036C6">
        <w:t xml:space="preserve"> </w:t>
      </w:r>
      <w:r w:rsidR="00E33EA6">
        <w:tab/>
      </w:r>
      <w:r w:rsidRPr="003036C6">
        <w:t>Administrative costs</w:t>
      </w:r>
      <w:bookmarkEnd w:id="227"/>
      <w:bookmarkEnd w:id="228"/>
      <w:bookmarkEnd w:id="229"/>
      <w:bookmarkEnd w:id="230"/>
      <w:bookmarkEnd w:id="231"/>
      <w:bookmarkEnd w:id="232"/>
      <w:bookmarkEnd w:id="233"/>
      <w:bookmarkEnd w:id="234"/>
    </w:p>
    <w:p w:rsidR="00062F84" w:rsidRDefault="00062F84" w:rsidP="004D73A0">
      <w:pPr>
        <w:pStyle w:val="NormalIndent"/>
      </w:pPr>
      <w:r w:rsidRPr="003036C6">
        <w:t>The basic formula for calculating administrative costs is:</w:t>
      </w:r>
    </w:p>
    <w:tbl>
      <w:tblPr>
        <w:tblStyle w:val="DTFtexttableindent"/>
        <w:tblW w:w="0" w:type="auto"/>
        <w:tblLook w:val="0680" w:firstRow="0" w:lastRow="0" w:firstColumn="1" w:lastColumn="0" w:noHBand="1" w:noVBand="1"/>
      </w:tblPr>
      <w:tblGrid>
        <w:gridCol w:w="8319"/>
      </w:tblGrid>
      <w:tr w:rsidR="00E33EA6" w:rsidTr="00E33EA6">
        <w:tc>
          <w:tcPr>
            <w:cnfStyle w:val="001000000000" w:firstRow="0" w:lastRow="0" w:firstColumn="1" w:lastColumn="0" w:oddVBand="0" w:evenVBand="0" w:oddHBand="0" w:evenHBand="0" w:firstRowFirstColumn="0" w:firstRowLastColumn="0" w:lastRowFirstColumn="0" w:lastRowLastColumn="0"/>
            <w:tcW w:w="9242" w:type="dxa"/>
          </w:tcPr>
          <w:p w:rsidR="00E33EA6" w:rsidRPr="003036C6" w:rsidRDefault="00E33EA6" w:rsidP="00E33EA6">
            <w:pPr>
              <w:pStyle w:val="Tablechartdiagramheading"/>
            </w:pPr>
            <w:r w:rsidRPr="003036C6">
              <w:t>Administrative cost</w:t>
            </w:r>
            <w:r>
              <w:t xml:space="preserve">    </w:t>
            </w:r>
            <w:r w:rsidRPr="003036C6">
              <w:t xml:space="preserve">= </w:t>
            </w:r>
            <w:r>
              <w:t xml:space="preserve">   Unit cost</w:t>
            </w:r>
            <w:r w:rsidRPr="00F51FEA">
              <w:t xml:space="preserve"> x Quantity</w:t>
            </w:r>
          </w:p>
          <w:p w:rsidR="00E33EA6" w:rsidRDefault="00E33EA6" w:rsidP="00E33EA6">
            <w:pPr>
              <w:pStyle w:val="Tabletextindent"/>
              <w:ind w:left="709" w:hanging="421"/>
            </w:pPr>
            <w:r w:rsidRPr="003036C6">
              <w:t xml:space="preserve">= </w:t>
            </w:r>
            <w:r>
              <w:tab/>
            </w:r>
            <w:r w:rsidRPr="003036C6">
              <w:t>(tariff x time) x (population x annual frequency)</w:t>
            </w:r>
            <w:r>
              <w:t xml:space="preserve"> </w:t>
            </w:r>
            <w:r w:rsidRPr="00E33EA6">
              <w:t>OR</w:t>
            </w:r>
          </w:p>
          <w:p w:rsidR="00E33EA6" w:rsidRDefault="00E33EA6" w:rsidP="00E33EA6">
            <w:pPr>
              <w:pStyle w:val="Tabletextindent"/>
              <w:ind w:left="709" w:hanging="421"/>
            </w:pPr>
            <w:r w:rsidRPr="00E7774E">
              <w:t xml:space="preserve">= </w:t>
            </w:r>
            <w:r>
              <w:tab/>
              <w:t>{i</w:t>
            </w:r>
            <w:r w:rsidRPr="00E7774E">
              <w:t xml:space="preserve">nternal </w:t>
            </w:r>
            <w:r>
              <w:t>cost</w:t>
            </w:r>
            <w:r w:rsidRPr="00E7774E">
              <w:t xml:space="preserve"> (</w:t>
            </w:r>
            <w:r>
              <w:t xml:space="preserve">i.e. </w:t>
            </w:r>
            <w:r w:rsidRPr="00E7774E">
              <w:t>tari</w:t>
            </w:r>
            <w:r>
              <w:t>ff x time) + external tariff + o</w:t>
            </w:r>
            <w:r w:rsidRPr="00E7774E">
              <w:t>ther significant costs</w:t>
            </w:r>
            <w:r>
              <w:t>} x</w:t>
            </w:r>
            <w:r w:rsidRPr="00E7774E">
              <w:t xml:space="preserve"> </w:t>
            </w:r>
            <w:r w:rsidRPr="003036C6">
              <w:t>(population x annual frequency)</w:t>
            </w:r>
          </w:p>
        </w:tc>
      </w:tr>
    </w:tbl>
    <w:p w:rsidR="00E33EA6" w:rsidRPr="003036C6" w:rsidRDefault="00E33EA6" w:rsidP="00E33EA6">
      <w:pPr>
        <w:pStyle w:val="Spacer"/>
      </w:pPr>
    </w:p>
    <w:p w:rsidR="00062F84" w:rsidRPr="00045790" w:rsidRDefault="00062F84" w:rsidP="00E33EA6">
      <w:pPr>
        <w:pStyle w:val="Heading3indent"/>
      </w:pPr>
      <w:r>
        <w:t>Unit cost</w:t>
      </w:r>
    </w:p>
    <w:bookmarkEnd w:id="235"/>
    <w:p w:rsidR="00062F84" w:rsidRDefault="00062F84" w:rsidP="00E33EA6">
      <w:pPr>
        <w:pStyle w:val="NormalIndent"/>
      </w:pPr>
      <w:r w:rsidRPr="003036C6">
        <w:t xml:space="preserve">The </w:t>
      </w:r>
      <w:r>
        <w:t>unit cost</w:t>
      </w:r>
      <w:r w:rsidRPr="003036C6">
        <w:t xml:space="preserve"> of an administrative obligation consists of the </w:t>
      </w:r>
      <w:r>
        <w:t>sum of</w:t>
      </w:r>
      <w:r w:rsidR="00E33EA6">
        <w:t>:</w:t>
      </w:r>
      <w:r>
        <w:t xml:space="preserve"> (a) the </w:t>
      </w:r>
      <w:r w:rsidRPr="003036C6">
        <w:t>internal wage tariff (cost of employees undertak</w:t>
      </w:r>
      <w:r>
        <w:t>ing</w:t>
      </w:r>
      <w:r w:rsidRPr="003036C6">
        <w:t xml:space="preserve"> administrative activities)</w:t>
      </w:r>
      <w:r w:rsidR="00E33EA6">
        <w:t>;</w:t>
      </w:r>
      <w:r w:rsidRPr="003036C6">
        <w:t xml:space="preserve"> </w:t>
      </w:r>
      <w:r>
        <w:t xml:space="preserve">(b) </w:t>
      </w:r>
      <w:r w:rsidRPr="003036C6">
        <w:t>the external tariff (cost of contracting out administrative activities)</w:t>
      </w:r>
      <w:r w:rsidR="00E33EA6">
        <w:t>;</w:t>
      </w:r>
      <w:r w:rsidRPr="003036C6">
        <w:t xml:space="preserve"> and </w:t>
      </w:r>
      <w:r>
        <w:t xml:space="preserve">(c) </w:t>
      </w:r>
      <w:r w:rsidRPr="003036C6">
        <w:t xml:space="preserve">other costs necessary to complete the administrative activity. Thus: </w:t>
      </w:r>
    </w:p>
    <w:tbl>
      <w:tblPr>
        <w:tblStyle w:val="DTFtexttableindent"/>
        <w:tblW w:w="0" w:type="auto"/>
        <w:tblLook w:val="0680" w:firstRow="0" w:lastRow="0" w:firstColumn="1" w:lastColumn="0" w:noHBand="1" w:noVBand="1"/>
      </w:tblPr>
      <w:tblGrid>
        <w:gridCol w:w="8319"/>
      </w:tblGrid>
      <w:tr w:rsidR="00E33EA6" w:rsidTr="00E33EA6">
        <w:tc>
          <w:tcPr>
            <w:cnfStyle w:val="001000000000" w:firstRow="0" w:lastRow="0" w:firstColumn="1" w:lastColumn="0" w:oddVBand="0" w:evenVBand="0" w:oddHBand="0" w:evenHBand="0" w:firstRowFirstColumn="0" w:firstRowLastColumn="0" w:lastRowFirstColumn="0" w:lastRowLastColumn="0"/>
            <w:tcW w:w="9242" w:type="dxa"/>
          </w:tcPr>
          <w:p w:rsidR="00E33EA6" w:rsidRDefault="00E33EA6" w:rsidP="00E33EA6">
            <w:pPr>
              <w:pStyle w:val="Tablechartdiagramheading"/>
            </w:pPr>
            <w:r>
              <w:t>Unit cost</w:t>
            </w:r>
          </w:p>
          <w:p w:rsidR="00E33EA6" w:rsidRDefault="00E33EA6" w:rsidP="00E33EA6">
            <w:pPr>
              <w:pStyle w:val="Tabletextindent"/>
              <w:ind w:left="709" w:hanging="421"/>
            </w:pPr>
            <w:r w:rsidRPr="00F51FEA">
              <w:t>=</w:t>
            </w:r>
            <w:r w:rsidRPr="003036C6">
              <w:t xml:space="preserve"> </w:t>
            </w:r>
            <w:r>
              <w:tab/>
              <w:t xml:space="preserve">internal cost (tariff </w:t>
            </w:r>
            <w:r w:rsidRPr="003036C6">
              <w:t>x time) +</w:t>
            </w:r>
            <w:r>
              <w:t xml:space="preserve"> ex</w:t>
            </w:r>
            <w:r w:rsidRPr="003036C6">
              <w:t>ternal tariff +</w:t>
            </w:r>
            <w:r>
              <w:t xml:space="preserve"> other significant costs </w:t>
            </w:r>
          </w:p>
        </w:tc>
      </w:tr>
    </w:tbl>
    <w:p w:rsidR="00E33EA6" w:rsidRDefault="00E33EA6" w:rsidP="00E33EA6">
      <w:pPr>
        <w:pStyle w:val="Spacer"/>
      </w:pPr>
    </w:p>
    <w:p w:rsidR="00062F84" w:rsidRPr="00E33EA6" w:rsidRDefault="00062F84" w:rsidP="00E33EA6">
      <w:pPr>
        <w:pStyle w:val="NormalIndent"/>
        <w:rPr>
          <w:i/>
        </w:rPr>
      </w:pPr>
      <w:r w:rsidRPr="00E33EA6">
        <w:rPr>
          <w:i/>
        </w:rPr>
        <w:t>where:</w:t>
      </w:r>
    </w:p>
    <w:p w:rsidR="00062F84" w:rsidRPr="00A507BA" w:rsidRDefault="00062F84" w:rsidP="00E33EA6">
      <w:pPr>
        <w:pStyle w:val="Bulletindent"/>
      </w:pPr>
      <w:r>
        <w:t>t</w:t>
      </w:r>
      <w:r w:rsidRPr="00066ADE">
        <w:t xml:space="preserve">he </w:t>
      </w:r>
      <w:r w:rsidRPr="00066ADE">
        <w:rPr>
          <w:b/>
        </w:rPr>
        <w:t>tariff</w:t>
      </w:r>
      <w:r w:rsidRPr="00066ADE">
        <w:t xml:space="preserve"> is </w:t>
      </w:r>
      <w:r>
        <w:t>labour tariff (</w:t>
      </w:r>
      <w:r w:rsidRPr="00D9600D">
        <w:t xml:space="preserve">see Appendix D, </w:t>
      </w:r>
      <w:r>
        <w:t xml:space="preserve">section </w:t>
      </w:r>
      <w:r w:rsidRPr="00D9600D">
        <w:t>D</w:t>
      </w:r>
      <w:r>
        <w:t>.1);</w:t>
      </w:r>
    </w:p>
    <w:p w:rsidR="00062F84" w:rsidRDefault="00062F84" w:rsidP="00E33EA6">
      <w:pPr>
        <w:pStyle w:val="Bulletindent"/>
      </w:pPr>
      <w:r>
        <w:t>t</w:t>
      </w:r>
      <w:r w:rsidRPr="003036C6">
        <w:t xml:space="preserve">he </w:t>
      </w:r>
      <w:r w:rsidRPr="00652128">
        <w:rPr>
          <w:b/>
        </w:rPr>
        <w:t>time</w:t>
      </w:r>
      <w:r w:rsidRPr="003036C6">
        <w:t xml:space="preserve"> </w:t>
      </w:r>
      <w:r>
        <w:t xml:space="preserve">refers </w:t>
      </w:r>
      <w:r w:rsidRPr="003036C6">
        <w:t>to the internal time (in minutes or hours) that it</w:t>
      </w:r>
      <w:r>
        <w:t xml:space="preserve"> takes a normally efficient </w:t>
      </w:r>
      <w:r w:rsidRPr="003036C6">
        <w:t xml:space="preserve">business to perform an </w:t>
      </w:r>
      <w:r w:rsidRPr="003036C6">
        <w:rPr>
          <w:i/>
        </w:rPr>
        <w:t xml:space="preserve">administrative </w:t>
      </w:r>
      <w:r w:rsidRPr="003036C6">
        <w:t>activity</w:t>
      </w:r>
      <w:r>
        <w:t>;</w:t>
      </w:r>
      <w:r w:rsidRPr="003036C6">
        <w:t xml:space="preserve"> </w:t>
      </w:r>
    </w:p>
    <w:p w:rsidR="00062F84" w:rsidRDefault="00062F84" w:rsidP="00E33EA6">
      <w:pPr>
        <w:pStyle w:val="Bulletindent"/>
      </w:pPr>
      <w:r>
        <w:t>t</w:t>
      </w:r>
      <w:r w:rsidRPr="003036C6">
        <w:t xml:space="preserve">he </w:t>
      </w:r>
      <w:r w:rsidRPr="00652128">
        <w:rPr>
          <w:b/>
        </w:rPr>
        <w:t>external tariff</w:t>
      </w:r>
      <w:r w:rsidRPr="003036C6">
        <w:t xml:space="preserve"> </w:t>
      </w:r>
      <w:r>
        <w:t>is</w:t>
      </w:r>
      <w:r w:rsidRPr="003036C6">
        <w:t xml:space="preserve"> </w:t>
      </w:r>
      <w:r>
        <w:t xml:space="preserve">what a regulated entity </w:t>
      </w:r>
      <w:r w:rsidRPr="003036C6">
        <w:t>pay</w:t>
      </w:r>
      <w:r>
        <w:t>s</w:t>
      </w:r>
      <w:r w:rsidRPr="003036C6">
        <w:t xml:space="preserve"> to external service providers </w:t>
      </w:r>
      <w:r>
        <w:t xml:space="preserve">for </w:t>
      </w:r>
      <w:r w:rsidRPr="00A507BA">
        <w:rPr>
          <w:i/>
        </w:rPr>
        <w:t>administrative</w:t>
      </w:r>
      <w:r>
        <w:t xml:space="preserve"> activities undertaken by that </w:t>
      </w:r>
      <w:r w:rsidRPr="003036C6">
        <w:t xml:space="preserve">service provider </w:t>
      </w:r>
      <w:r>
        <w:t xml:space="preserve">to enable the regulated entity </w:t>
      </w:r>
      <w:r w:rsidRPr="003036C6">
        <w:t xml:space="preserve">to comply with </w:t>
      </w:r>
      <w:r>
        <w:t xml:space="preserve">an </w:t>
      </w:r>
      <w:r w:rsidRPr="00A507BA">
        <w:rPr>
          <w:i/>
        </w:rPr>
        <w:t>information</w:t>
      </w:r>
      <w:r>
        <w:t xml:space="preserve"> </w:t>
      </w:r>
      <w:r w:rsidRPr="003036C6">
        <w:t>obligation</w:t>
      </w:r>
      <w:r>
        <w:t xml:space="preserve">. </w:t>
      </w:r>
      <w:r w:rsidRPr="003036C6">
        <w:rPr>
          <w:rFonts w:cs="Arial"/>
        </w:rPr>
        <w:t>The external tariff include</w:t>
      </w:r>
      <w:r>
        <w:rPr>
          <w:rFonts w:cs="Arial"/>
        </w:rPr>
        <w:t>s</w:t>
      </w:r>
      <w:r w:rsidRPr="003036C6">
        <w:rPr>
          <w:rFonts w:cs="Arial"/>
        </w:rPr>
        <w:t xml:space="preserve"> the cost of accountants, legal workers</w:t>
      </w:r>
      <w:r w:rsidRPr="003036C6">
        <w:t xml:space="preserve"> and the like</w:t>
      </w:r>
      <w:r>
        <w:t xml:space="preserve"> and is usually expressed as a total cost; and</w:t>
      </w:r>
    </w:p>
    <w:p w:rsidR="00062F84" w:rsidRDefault="00062F84" w:rsidP="00E33EA6">
      <w:pPr>
        <w:pStyle w:val="Bulletindent"/>
        <w:rPr>
          <w:rFonts w:cs="Arial"/>
        </w:rPr>
      </w:pPr>
      <w:r>
        <w:rPr>
          <w:b/>
        </w:rPr>
        <w:t>o</w:t>
      </w:r>
      <w:r w:rsidRPr="00A507BA">
        <w:rPr>
          <w:b/>
        </w:rPr>
        <w:t>ther significant costs</w:t>
      </w:r>
      <w:r w:rsidRPr="003036C6">
        <w:t xml:space="preserve"> include capital costs incurred </w:t>
      </w:r>
      <w:r>
        <w:t xml:space="preserve">by a </w:t>
      </w:r>
      <w:r w:rsidRPr="003036C6">
        <w:t xml:space="preserve">business </w:t>
      </w:r>
      <w:r w:rsidRPr="00996A7D">
        <w:rPr>
          <w:i/>
        </w:rPr>
        <w:t>directly</w:t>
      </w:r>
      <w:r>
        <w:t xml:space="preserve"> </w:t>
      </w:r>
      <w:r w:rsidRPr="003036C6">
        <w:t xml:space="preserve">to comply with a specific </w:t>
      </w:r>
      <w:r w:rsidRPr="003036C6">
        <w:rPr>
          <w:i/>
        </w:rPr>
        <w:t>information obligation</w:t>
      </w:r>
      <w:r w:rsidRPr="003036C6">
        <w:t xml:space="preserve">, noting that </w:t>
      </w:r>
      <w:r>
        <w:t xml:space="preserve">some capital </w:t>
      </w:r>
      <w:r w:rsidRPr="003036C6">
        <w:t xml:space="preserve">costs such as internet connections </w:t>
      </w:r>
      <w:r>
        <w:t xml:space="preserve">are </w:t>
      </w:r>
      <w:r w:rsidRPr="003036C6">
        <w:t>captured in overhead</w:t>
      </w:r>
      <w:r>
        <w:t>s</w:t>
      </w:r>
      <w:r w:rsidRPr="003036C6">
        <w:t xml:space="preserve">. </w:t>
      </w:r>
      <w:r w:rsidRPr="003036C6">
        <w:rPr>
          <w:rFonts w:cs="Arial"/>
        </w:rPr>
        <w:t xml:space="preserve">Where a capital investment </w:t>
      </w:r>
      <w:r>
        <w:rPr>
          <w:rFonts w:cs="Arial"/>
        </w:rPr>
        <w:t xml:space="preserve">is </w:t>
      </w:r>
      <w:r w:rsidRPr="003036C6">
        <w:rPr>
          <w:rFonts w:cs="Arial"/>
        </w:rPr>
        <w:t xml:space="preserve">made </w:t>
      </w:r>
      <w:r w:rsidRPr="00996A7D">
        <w:rPr>
          <w:rFonts w:cs="Arial"/>
          <w:i/>
        </w:rPr>
        <w:t>specifically</w:t>
      </w:r>
      <w:r w:rsidRPr="003036C6">
        <w:rPr>
          <w:rFonts w:cs="Arial"/>
        </w:rPr>
        <w:t xml:space="preserve"> for the purpose of meeting an </w:t>
      </w:r>
      <w:r w:rsidRPr="003036C6">
        <w:rPr>
          <w:rFonts w:cs="Arial"/>
          <w:i/>
        </w:rPr>
        <w:t>information obligation</w:t>
      </w:r>
      <w:r w:rsidRPr="003036C6">
        <w:rPr>
          <w:rFonts w:cs="Arial"/>
        </w:rPr>
        <w:t xml:space="preserve">, e.g. </w:t>
      </w:r>
      <w:r>
        <w:rPr>
          <w:rFonts w:cs="Arial"/>
        </w:rPr>
        <w:t xml:space="preserve">the </w:t>
      </w:r>
      <w:r w:rsidRPr="003036C6">
        <w:rPr>
          <w:rFonts w:cs="Arial"/>
        </w:rPr>
        <w:t>purchas</w:t>
      </w:r>
      <w:r>
        <w:rPr>
          <w:rFonts w:cs="Arial"/>
        </w:rPr>
        <w:t xml:space="preserve">e of </w:t>
      </w:r>
      <w:r w:rsidRPr="003036C6">
        <w:rPr>
          <w:rFonts w:cs="Arial"/>
        </w:rPr>
        <w:t>a meter, it will generally have a service life of several years. A fixed annual cost</w:t>
      </w:r>
      <w:r>
        <w:rPr>
          <w:rFonts w:cs="Arial"/>
        </w:rPr>
        <w:t>,</w:t>
      </w:r>
      <w:r w:rsidRPr="003036C6">
        <w:rPr>
          <w:rFonts w:cs="Arial"/>
        </w:rPr>
        <w:t xml:space="preserve"> equivalent to the total cost divided by expected service life</w:t>
      </w:r>
      <w:r>
        <w:rPr>
          <w:rFonts w:cs="Arial"/>
        </w:rPr>
        <w:t>,</w:t>
      </w:r>
      <w:r w:rsidRPr="003036C6">
        <w:rPr>
          <w:rFonts w:cs="Arial"/>
        </w:rPr>
        <w:t xml:space="preserve"> should be </w:t>
      </w:r>
      <w:r>
        <w:rPr>
          <w:rFonts w:cs="Arial"/>
        </w:rPr>
        <w:t>used in the calculation</w:t>
      </w:r>
      <w:r w:rsidRPr="003036C6">
        <w:rPr>
          <w:rFonts w:cs="Arial"/>
        </w:rPr>
        <w:t>.</w:t>
      </w:r>
      <w:r>
        <w:rPr>
          <w:rStyle w:val="FootnoteReference"/>
          <w:rFonts w:cs="Arial"/>
        </w:rPr>
        <w:footnoteReference w:id="4"/>
      </w:r>
      <w:r w:rsidRPr="003036C6">
        <w:rPr>
          <w:rFonts w:cs="Arial"/>
        </w:rPr>
        <w:t xml:space="preserve"> </w:t>
      </w:r>
    </w:p>
    <w:p w:rsidR="00062F84" w:rsidRPr="00045790" w:rsidRDefault="00062F84" w:rsidP="00E33EA6">
      <w:pPr>
        <w:pStyle w:val="Heading3indent"/>
      </w:pPr>
      <w:r>
        <w:t>Quantity</w:t>
      </w:r>
    </w:p>
    <w:p w:rsidR="00062F84" w:rsidRDefault="00062F84" w:rsidP="004D73A0">
      <w:pPr>
        <w:pStyle w:val="NormalIndent"/>
      </w:pPr>
      <w:r w:rsidRPr="003036C6">
        <w:t xml:space="preserve">The </w:t>
      </w:r>
      <w:r>
        <w:t xml:space="preserve">formula for calculating the </w:t>
      </w:r>
      <w:r w:rsidRPr="00BE293F">
        <w:rPr>
          <w:i/>
        </w:rPr>
        <w:t>quantity</w:t>
      </w:r>
      <w:r w:rsidRPr="003036C6">
        <w:t xml:space="preserve"> </w:t>
      </w:r>
      <w:r>
        <w:t xml:space="preserve">of an administrative cost calculation </w:t>
      </w:r>
      <w:r w:rsidR="00E33EA6">
        <w:t xml:space="preserve">is: </w:t>
      </w:r>
    </w:p>
    <w:tbl>
      <w:tblPr>
        <w:tblStyle w:val="DTFtexttableindent"/>
        <w:tblW w:w="0" w:type="auto"/>
        <w:tblLook w:val="0680" w:firstRow="0" w:lastRow="0" w:firstColumn="1" w:lastColumn="0" w:noHBand="1" w:noVBand="1"/>
      </w:tblPr>
      <w:tblGrid>
        <w:gridCol w:w="8319"/>
      </w:tblGrid>
      <w:tr w:rsidR="00E33EA6" w:rsidTr="00006417">
        <w:tc>
          <w:tcPr>
            <w:cnfStyle w:val="001000000000" w:firstRow="0" w:lastRow="0" w:firstColumn="1" w:lastColumn="0" w:oddVBand="0" w:evenVBand="0" w:oddHBand="0" w:evenHBand="0" w:firstRowFirstColumn="0" w:firstRowLastColumn="0" w:lastRowFirstColumn="0" w:lastRowLastColumn="0"/>
            <w:tcW w:w="9242" w:type="dxa"/>
          </w:tcPr>
          <w:p w:rsidR="00E33EA6" w:rsidRDefault="00E33EA6" w:rsidP="00006417">
            <w:pPr>
              <w:pStyle w:val="Tablechartdiagramheading"/>
            </w:pPr>
            <w:r>
              <w:t>Quantity</w:t>
            </w:r>
          </w:p>
          <w:p w:rsidR="00E33EA6" w:rsidRDefault="00E33EA6" w:rsidP="00E33EA6">
            <w:pPr>
              <w:pStyle w:val="Tabletextindent"/>
              <w:ind w:left="709" w:hanging="421"/>
            </w:pPr>
            <w:r w:rsidRPr="00F51FEA">
              <w:t>=</w:t>
            </w:r>
            <w:r w:rsidRPr="003036C6">
              <w:t xml:space="preserve"> </w:t>
            </w:r>
            <w:r>
              <w:tab/>
              <w:t>p</w:t>
            </w:r>
            <w:r w:rsidRPr="003036C6">
              <w:t xml:space="preserve">opulation x </w:t>
            </w:r>
            <w:r>
              <w:t>c</w:t>
            </w:r>
            <w:r w:rsidRPr="003036C6">
              <w:t xml:space="preserve">ompliance rate x </w:t>
            </w:r>
            <w:r>
              <w:t>a</w:t>
            </w:r>
            <w:r w:rsidRPr="003036C6">
              <w:t>nnual fr</w:t>
            </w:r>
            <w:r>
              <w:t>equency</w:t>
            </w:r>
          </w:p>
        </w:tc>
      </w:tr>
    </w:tbl>
    <w:p w:rsidR="00E33EA6" w:rsidRDefault="00E33EA6" w:rsidP="00E33EA6">
      <w:pPr>
        <w:pStyle w:val="Spacer"/>
      </w:pPr>
    </w:p>
    <w:p w:rsidR="00E33EA6" w:rsidRDefault="00E33EA6">
      <w:pPr>
        <w:spacing w:before="0" w:after="200"/>
        <w:rPr>
          <w:i/>
        </w:rPr>
      </w:pPr>
      <w:r>
        <w:rPr>
          <w:i/>
        </w:rPr>
        <w:br w:type="page"/>
      </w:r>
    </w:p>
    <w:p w:rsidR="00062F84" w:rsidRPr="00E33EA6" w:rsidRDefault="00062F84" w:rsidP="00E33EA6">
      <w:pPr>
        <w:pStyle w:val="NormalIndent"/>
        <w:rPr>
          <w:rFonts w:cs="Arial"/>
          <w:i/>
        </w:rPr>
      </w:pPr>
      <w:r w:rsidRPr="00E33EA6">
        <w:rPr>
          <w:i/>
        </w:rPr>
        <w:lastRenderedPageBreak/>
        <w:t>where:</w:t>
      </w:r>
    </w:p>
    <w:p w:rsidR="00062F84" w:rsidRPr="0011720B" w:rsidRDefault="00062F84" w:rsidP="00E33EA6">
      <w:pPr>
        <w:pStyle w:val="Bulletindent"/>
      </w:pPr>
      <w:r>
        <w:rPr>
          <w:b/>
        </w:rPr>
        <w:t>p</w:t>
      </w:r>
      <w:r w:rsidRPr="0011720B">
        <w:rPr>
          <w:b/>
        </w:rPr>
        <w:t>opulation</w:t>
      </w:r>
      <w:r w:rsidRPr="0011720B">
        <w:t xml:space="preserve">, or the number of </w:t>
      </w:r>
      <w:r>
        <w:t xml:space="preserve">regulated </w:t>
      </w:r>
      <w:r w:rsidRPr="0011720B">
        <w:t xml:space="preserve">entities the </w:t>
      </w:r>
      <w:r w:rsidRPr="0011720B">
        <w:rPr>
          <w:i/>
        </w:rPr>
        <w:t>information</w:t>
      </w:r>
      <w:r w:rsidRPr="0011720B">
        <w:t xml:space="preserve"> obligation </w:t>
      </w:r>
      <w:r>
        <w:t>affects</w:t>
      </w:r>
      <w:r w:rsidRPr="0011720B">
        <w:t xml:space="preserve">, </w:t>
      </w:r>
      <w:r>
        <w:t xml:space="preserve">has been </w:t>
      </w:r>
      <w:r w:rsidRPr="0011720B">
        <w:t xml:space="preserve">defined in </w:t>
      </w:r>
      <w:r>
        <w:t>Appendix D, section D.2;</w:t>
      </w:r>
    </w:p>
    <w:p w:rsidR="00062F84" w:rsidRPr="0011720B" w:rsidRDefault="00062F84" w:rsidP="00E33EA6">
      <w:pPr>
        <w:pStyle w:val="Bulletindent"/>
      </w:pPr>
      <w:r>
        <w:rPr>
          <w:b/>
        </w:rPr>
        <w:t>c</w:t>
      </w:r>
      <w:r w:rsidRPr="0011720B">
        <w:rPr>
          <w:b/>
        </w:rPr>
        <w:t xml:space="preserve">ompliance rate </w:t>
      </w:r>
      <w:r w:rsidRPr="00BE293F">
        <w:t>has been</w:t>
      </w:r>
      <w:r>
        <w:rPr>
          <w:b/>
        </w:rPr>
        <w:t xml:space="preserve"> </w:t>
      </w:r>
      <w:r w:rsidRPr="00BE293F">
        <w:t>de</w:t>
      </w:r>
      <w:r w:rsidRPr="0011720B">
        <w:t xml:space="preserve">fined </w:t>
      </w:r>
      <w:r>
        <w:t>in</w:t>
      </w:r>
      <w:r w:rsidRPr="00D9600D">
        <w:t xml:space="preserve"> </w:t>
      </w:r>
      <w:r>
        <w:t xml:space="preserve">Appendix D, section D.2, noting that the </w:t>
      </w:r>
      <w:r w:rsidRPr="0011720B">
        <w:t xml:space="preserve">compliance rate for an </w:t>
      </w:r>
      <w:r w:rsidRPr="0011720B">
        <w:rPr>
          <w:i/>
        </w:rPr>
        <w:t>information obligation</w:t>
      </w:r>
      <w:r w:rsidRPr="0011720B">
        <w:t xml:space="preserve"> may not </w:t>
      </w:r>
      <w:r>
        <w:t xml:space="preserve">always </w:t>
      </w:r>
      <w:r w:rsidRPr="0011720B">
        <w:t>be the same as the compliance rate for the overall regulation</w:t>
      </w:r>
      <w:r>
        <w:t>; and</w:t>
      </w:r>
    </w:p>
    <w:p w:rsidR="00062F84" w:rsidRPr="003036C6" w:rsidRDefault="00062F84" w:rsidP="00E33EA6">
      <w:pPr>
        <w:pStyle w:val="Bulletindent"/>
      </w:pPr>
      <w:r>
        <w:t>t</w:t>
      </w:r>
      <w:r w:rsidRPr="0011720B">
        <w:t>he</w:t>
      </w:r>
      <w:r w:rsidRPr="0011720B">
        <w:rPr>
          <w:b/>
        </w:rPr>
        <w:t xml:space="preserve"> annual frequency </w:t>
      </w:r>
      <w:r w:rsidRPr="00BE293F">
        <w:t>has been</w:t>
      </w:r>
      <w:r>
        <w:rPr>
          <w:b/>
        </w:rPr>
        <w:t xml:space="preserve"> </w:t>
      </w:r>
      <w:r w:rsidRPr="0011720B">
        <w:t xml:space="preserve">defined in </w:t>
      </w:r>
      <w:r>
        <w:t>Appendix D, section D.2</w:t>
      </w:r>
      <w:r w:rsidRPr="0011720B">
        <w:t>.</w:t>
      </w:r>
    </w:p>
    <w:p w:rsidR="00062F84" w:rsidRPr="003036C6" w:rsidRDefault="00062F84" w:rsidP="00062F84">
      <w:pPr>
        <w:pStyle w:val="Heading2"/>
      </w:pPr>
      <w:bookmarkStart w:id="236" w:name="_Toc257015785"/>
      <w:bookmarkStart w:id="237" w:name="_Toc335401936"/>
      <w:bookmarkStart w:id="238" w:name="_Toc355267650"/>
      <w:bookmarkStart w:id="239" w:name="_Toc355275870"/>
      <w:bookmarkStart w:id="240" w:name="_Toc358276103"/>
      <w:bookmarkStart w:id="241" w:name="_Toc358282375"/>
      <w:bookmarkStart w:id="242" w:name="_Toc468455436"/>
      <w:bookmarkStart w:id="243" w:name="_Toc470078930"/>
      <w:r>
        <w:t>B</w:t>
      </w:r>
      <w:r w:rsidRPr="003036C6">
        <w:t>.2</w:t>
      </w:r>
      <w:r>
        <w:t xml:space="preserve"> </w:t>
      </w:r>
      <w:r w:rsidR="00E33EA6">
        <w:tab/>
      </w:r>
      <w:r w:rsidRPr="003036C6">
        <w:t>Substantive compliance costs</w:t>
      </w:r>
      <w:bookmarkEnd w:id="236"/>
      <w:bookmarkEnd w:id="237"/>
      <w:bookmarkEnd w:id="238"/>
      <w:bookmarkEnd w:id="239"/>
      <w:bookmarkEnd w:id="240"/>
      <w:bookmarkEnd w:id="241"/>
      <w:bookmarkEnd w:id="242"/>
      <w:bookmarkEnd w:id="243"/>
    </w:p>
    <w:p w:rsidR="00062F84" w:rsidRPr="003036C6" w:rsidRDefault="00062F84" w:rsidP="004D73A0">
      <w:pPr>
        <w:pStyle w:val="NormalIndent"/>
      </w:pPr>
      <w:r>
        <w:t xml:space="preserve">In the case of substantive compliance costs it may be useful to </w:t>
      </w:r>
      <w:r w:rsidRPr="00FD32F6">
        <w:t>distinguish</w:t>
      </w:r>
      <w:r>
        <w:t xml:space="preserve"> </w:t>
      </w:r>
      <w:r w:rsidRPr="00FD32F6">
        <w:t>between transition and structural costs</w:t>
      </w:r>
      <w:r>
        <w:t>, as discussed below</w:t>
      </w:r>
      <w:r w:rsidRPr="003036C6">
        <w:t>:</w:t>
      </w:r>
    </w:p>
    <w:p w:rsidR="00062F84" w:rsidRDefault="00062F84" w:rsidP="004D73A0">
      <w:pPr>
        <w:pStyle w:val="Bulletindent"/>
      </w:pPr>
      <w:r w:rsidRPr="005C260E">
        <w:rPr>
          <w:b/>
        </w:rPr>
        <w:t>Transition costs</w:t>
      </w:r>
      <w:r w:rsidRPr="005C260E">
        <w:t xml:space="preserve"> </w:t>
      </w:r>
      <w:r w:rsidRPr="00BE293F">
        <w:t>are</w:t>
      </w:r>
      <w:r w:rsidRPr="005C260E">
        <w:t xml:space="preserve"> </w:t>
      </w:r>
      <w:r w:rsidRPr="005C260E">
        <w:rPr>
          <w:b/>
        </w:rPr>
        <w:t>one-off</w:t>
      </w:r>
      <w:r>
        <w:t xml:space="preserve"> adjustment costs or </w:t>
      </w:r>
      <w:r w:rsidRPr="003036C6">
        <w:t>investments</w:t>
      </w:r>
      <w:r>
        <w:t xml:space="preserve"> </w:t>
      </w:r>
      <w:r w:rsidRPr="003036C6">
        <w:t xml:space="preserve">incurred in moving to a new regulatory regime or </w:t>
      </w:r>
      <w:r>
        <w:t>process</w:t>
      </w:r>
      <w:r w:rsidRPr="003036C6">
        <w:t xml:space="preserve">. </w:t>
      </w:r>
      <w:r>
        <w:t xml:space="preserve">In the cost calculation, these </w:t>
      </w:r>
      <w:r w:rsidRPr="003036C6">
        <w:t xml:space="preserve">costs </w:t>
      </w:r>
      <w:r>
        <w:t xml:space="preserve">are </w:t>
      </w:r>
      <w:r w:rsidRPr="003036C6">
        <w:t>spread over the duration of the regulation</w:t>
      </w:r>
      <w:r>
        <w:t xml:space="preserve"> (the </w:t>
      </w:r>
      <w:r w:rsidRPr="003036C6">
        <w:t xml:space="preserve">default </w:t>
      </w:r>
      <w:r>
        <w:t xml:space="preserve">being </w:t>
      </w:r>
      <w:r w:rsidRPr="003036C6">
        <w:t>10 years</w:t>
      </w:r>
      <w:r>
        <w:t>)</w:t>
      </w:r>
      <w:r w:rsidRPr="003036C6">
        <w:t>.</w:t>
      </w:r>
    </w:p>
    <w:p w:rsidR="00062F84" w:rsidRDefault="00062F84" w:rsidP="004D73A0">
      <w:pPr>
        <w:pStyle w:val="Bulletindent"/>
      </w:pPr>
      <w:r w:rsidRPr="005C260E">
        <w:rPr>
          <w:b/>
        </w:rPr>
        <w:t>Structural costs</w:t>
      </w:r>
      <w:r w:rsidRPr="005C260E">
        <w:t xml:space="preserve"> </w:t>
      </w:r>
      <w:r w:rsidRPr="00BE293F">
        <w:t>are</w:t>
      </w:r>
      <w:r w:rsidRPr="005C260E">
        <w:t xml:space="preserve"> </w:t>
      </w:r>
      <w:r w:rsidRPr="005C260E">
        <w:rPr>
          <w:b/>
        </w:rPr>
        <w:t>ongoing costs</w:t>
      </w:r>
      <w:r>
        <w:t xml:space="preserve"> </w:t>
      </w:r>
      <w:r w:rsidRPr="003036C6">
        <w:t>recur</w:t>
      </w:r>
      <w:r>
        <w:t>ring</w:t>
      </w:r>
      <w:r w:rsidRPr="003036C6">
        <w:t xml:space="preserve"> each year and </w:t>
      </w:r>
      <w:r>
        <w:t xml:space="preserve">are </w:t>
      </w:r>
      <w:r w:rsidRPr="003036C6">
        <w:t xml:space="preserve">measured </w:t>
      </w:r>
      <w:r>
        <w:t xml:space="preserve">on an </w:t>
      </w:r>
      <w:r w:rsidRPr="003036C6">
        <w:t>annual</w:t>
      </w:r>
      <w:r>
        <w:t xml:space="preserve"> basis</w:t>
      </w:r>
      <w:r w:rsidRPr="003036C6">
        <w:t>.</w:t>
      </w:r>
    </w:p>
    <w:p w:rsidR="00062F84" w:rsidRDefault="00062F84" w:rsidP="004D73A0">
      <w:pPr>
        <w:pStyle w:val="NormalIndent"/>
      </w:pPr>
      <w:r w:rsidRPr="003036C6">
        <w:t xml:space="preserve">The </w:t>
      </w:r>
      <w:r>
        <w:t xml:space="preserve">general </w:t>
      </w:r>
      <w:r w:rsidRPr="003036C6">
        <w:t>formula for calculating substantive compliance costs is</w:t>
      </w:r>
      <w:r>
        <w:t xml:space="preserve"> provided below</w:t>
      </w:r>
      <w:r w:rsidRPr="003036C6">
        <w:t>:</w:t>
      </w:r>
    </w:p>
    <w:tbl>
      <w:tblPr>
        <w:tblStyle w:val="DTFtexttableindent"/>
        <w:tblW w:w="0" w:type="auto"/>
        <w:tblLook w:val="0680" w:firstRow="0" w:lastRow="0" w:firstColumn="1" w:lastColumn="0" w:noHBand="1" w:noVBand="1"/>
      </w:tblPr>
      <w:tblGrid>
        <w:gridCol w:w="8319"/>
      </w:tblGrid>
      <w:tr w:rsidR="00E33EA6" w:rsidTr="00006417">
        <w:tc>
          <w:tcPr>
            <w:cnfStyle w:val="001000000000" w:firstRow="0" w:lastRow="0" w:firstColumn="1" w:lastColumn="0" w:oddVBand="0" w:evenVBand="0" w:oddHBand="0" w:evenHBand="0" w:firstRowFirstColumn="0" w:firstRowLastColumn="0" w:lastRowFirstColumn="0" w:lastRowLastColumn="0"/>
            <w:tcW w:w="9242" w:type="dxa"/>
          </w:tcPr>
          <w:p w:rsidR="00E33EA6" w:rsidRPr="00E33EA6" w:rsidRDefault="00E33EA6" w:rsidP="00E33EA6">
            <w:pPr>
              <w:pStyle w:val="Tablechartdiagramheading"/>
            </w:pPr>
            <w:r w:rsidRPr="003036C6">
              <w:t>Substantive compliance cost</w:t>
            </w:r>
            <w:r>
              <w:t xml:space="preserve"> </w:t>
            </w:r>
          </w:p>
          <w:p w:rsidR="00E33EA6" w:rsidRDefault="00E33EA6" w:rsidP="00E33EA6">
            <w:pPr>
              <w:pStyle w:val="Tabletextindent2"/>
            </w:pPr>
            <w:r w:rsidRPr="00F51FEA">
              <w:t>=</w:t>
            </w:r>
            <w:r w:rsidRPr="003036C6">
              <w:t xml:space="preserve"> </w:t>
            </w:r>
            <w:r>
              <w:tab/>
              <w:t>Unit cost</w:t>
            </w:r>
            <w:r w:rsidRPr="003036C6">
              <w:t xml:space="preserve"> x Quantity</w:t>
            </w:r>
          </w:p>
          <w:p w:rsidR="00E33EA6" w:rsidRPr="003036C6" w:rsidRDefault="00E33EA6" w:rsidP="00E33EA6">
            <w:pPr>
              <w:pStyle w:val="Tabletextindent2"/>
              <w:rPr>
                <w:b/>
              </w:rPr>
            </w:pPr>
            <w:r w:rsidRPr="003036C6">
              <w:t xml:space="preserve">= </w:t>
            </w:r>
            <w:r>
              <w:tab/>
            </w:r>
            <w:r w:rsidRPr="003036C6">
              <w:t xml:space="preserve">(tariff x time) x (population x frequency) </w:t>
            </w:r>
            <w:r w:rsidRPr="003036C6">
              <w:rPr>
                <w:b/>
              </w:rPr>
              <w:t>OR</w:t>
            </w:r>
          </w:p>
          <w:p w:rsidR="00E33EA6" w:rsidRPr="003036C6" w:rsidRDefault="00E33EA6" w:rsidP="00E33EA6">
            <w:pPr>
              <w:pStyle w:val="Tabletextindent2"/>
              <w:rPr>
                <w:b/>
              </w:rPr>
            </w:pPr>
            <w:r w:rsidRPr="003036C6">
              <w:t xml:space="preserve">= </w:t>
            </w:r>
            <w:r>
              <w:tab/>
            </w:r>
            <w:r w:rsidRPr="003036C6">
              <w:t xml:space="preserve">(one-off </w:t>
            </w:r>
            <w:r>
              <w:t>cost</w:t>
            </w:r>
            <w:r w:rsidRPr="003036C6">
              <w:t xml:space="preserve"> of physical asset x number of assets) x (population x frequency) </w:t>
            </w:r>
            <w:r w:rsidRPr="003036C6">
              <w:rPr>
                <w:b/>
              </w:rPr>
              <w:t>OR</w:t>
            </w:r>
          </w:p>
          <w:p w:rsidR="00E33EA6" w:rsidRDefault="00E33EA6" w:rsidP="00E33EA6">
            <w:pPr>
              <w:pStyle w:val="Tabletextindent2"/>
            </w:pPr>
            <w:r w:rsidRPr="003036C6">
              <w:t xml:space="preserve">= </w:t>
            </w:r>
            <w:r>
              <w:tab/>
            </w:r>
            <w:r w:rsidRPr="003036C6">
              <w:t xml:space="preserve">(annualised depreciation x number of assets) x (population x frequency) </w:t>
            </w:r>
          </w:p>
        </w:tc>
      </w:tr>
    </w:tbl>
    <w:p w:rsidR="00E33EA6" w:rsidRDefault="00E33EA6" w:rsidP="00E33EA6">
      <w:pPr>
        <w:pStyle w:val="Spacer"/>
      </w:pPr>
    </w:p>
    <w:p w:rsidR="00E33EA6" w:rsidRDefault="00E33EA6" w:rsidP="00E33EA6">
      <w:pPr>
        <w:pStyle w:val="Spacer"/>
      </w:pPr>
    </w:p>
    <w:p w:rsidR="00062F84" w:rsidRPr="00045790" w:rsidRDefault="00062F84" w:rsidP="00E33EA6">
      <w:pPr>
        <w:pStyle w:val="Heading3indent"/>
      </w:pPr>
      <w:r>
        <w:t>Unit cost</w:t>
      </w:r>
    </w:p>
    <w:p w:rsidR="00062F84" w:rsidRPr="003036C6" w:rsidRDefault="00062F84" w:rsidP="004D73A0">
      <w:pPr>
        <w:pStyle w:val="NormalIndent"/>
      </w:pPr>
      <w:r w:rsidRPr="003036C6">
        <w:t>Substantive compliance costs include labour</w:t>
      </w:r>
      <w:r>
        <w:t>,</w:t>
      </w:r>
      <w:r w:rsidRPr="003036C6">
        <w:t xml:space="preserve"> capital costs or a combination</w:t>
      </w:r>
      <w:r>
        <w:t xml:space="preserve"> thereof. Where:</w:t>
      </w:r>
      <w:r w:rsidRPr="003036C6">
        <w:t xml:space="preserve"> </w:t>
      </w:r>
    </w:p>
    <w:p w:rsidR="00062F84" w:rsidRPr="003036C6" w:rsidRDefault="00062F84" w:rsidP="004D73A0">
      <w:pPr>
        <w:pStyle w:val="Bulletindent"/>
      </w:pPr>
      <w:r w:rsidRPr="005C260E">
        <w:rPr>
          <w:b/>
        </w:rPr>
        <w:t>labour costs</w:t>
      </w:r>
      <w:r w:rsidRPr="003036C6">
        <w:t xml:space="preserve"> are involved, the </w:t>
      </w:r>
      <w:r>
        <w:t xml:space="preserve">formulae </w:t>
      </w:r>
      <w:r w:rsidRPr="003036C6">
        <w:t xml:space="preserve">outlined in the </w:t>
      </w:r>
      <w:r w:rsidRPr="005C260E">
        <w:t>administrative costs</w:t>
      </w:r>
      <w:r w:rsidRPr="003036C6">
        <w:t xml:space="preserve"> section</w:t>
      </w:r>
      <w:r>
        <w:t xml:space="preserve"> (B.2)</w:t>
      </w:r>
      <w:r w:rsidRPr="003036C6">
        <w:t xml:space="preserve"> </w:t>
      </w:r>
      <w:r>
        <w:t xml:space="preserve">would be applicable. </w:t>
      </w:r>
    </w:p>
    <w:p w:rsidR="00062F84" w:rsidRPr="003036C6" w:rsidRDefault="00062F84" w:rsidP="004D73A0">
      <w:pPr>
        <w:pStyle w:val="Bulletindent"/>
      </w:pPr>
      <w:r w:rsidRPr="005C260E">
        <w:rPr>
          <w:b/>
        </w:rPr>
        <w:t>capital costs</w:t>
      </w:r>
      <w:r w:rsidRPr="003036C6">
        <w:t xml:space="preserve"> are involved, these </w:t>
      </w:r>
      <w:r>
        <w:t xml:space="preserve">are </w:t>
      </w:r>
      <w:r w:rsidRPr="003036C6">
        <w:t>generally of two types:</w:t>
      </w:r>
    </w:p>
    <w:p w:rsidR="00062F84" w:rsidRPr="003036C6" w:rsidRDefault="00062F84" w:rsidP="00E33EA6">
      <w:pPr>
        <w:pStyle w:val="Bulletindent2"/>
      </w:pPr>
      <w:r>
        <w:t>p</w:t>
      </w:r>
      <w:r w:rsidRPr="003036C6">
        <w:t xml:space="preserve">urchase costs, being </w:t>
      </w:r>
      <w:r>
        <w:t xml:space="preserve">a </w:t>
      </w:r>
      <w:r w:rsidRPr="003036C6">
        <w:t xml:space="preserve">one-off </w:t>
      </w:r>
      <w:r>
        <w:t>purchase cost</w:t>
      </w:r>
      <w:r w:rsidRPr="003036C6">
        <w:t xml:space="preserve"> of a physical asset</w:t>
      </w:r>
      <w:r>
        <w:t>; and</w:t>
      </w:r>
    </w:p>
    <w:p w:rsidR="00062F84" w:rsidRDefault="00062F84" w:rsidP="00E33EA6">
      <w:pPr>
        <w:pStyle w:val="Bulletindent2"/>
      </w:pPr>
      <w:r>
        <w:t>i</w:t>
      </w:r>
      <w:r w:rsidRPr="003036C6">
        <w:t>nvestment cost</w:t>
      </w:r>
      <w:r>
        <w:t>s</w:t>
      </w:r>
      <w:r w:rsidRPr="003036C6">
        <w:t xml:space="preserve">, being </w:t>
      </w:r>
      <w:r>
        <w:t xml:space="preserve">ongoing costs (e.g. </w:t>
      </w:r>
      <w:r w:rsidRPr="003036C6">
        <w:t>annualised depreciation of the relevant asset</w:t>
      </w:r>
      <w:r>
        <w:t>)</w:t>
      </w:r>
      <w:r w:rsidRPr="003036C6">
        <w:t>.</w:t>
      </w:r>
    </w:p>
    <w:p w:rsidR="00062F84" w:rsidRPr="00045790" w:rsidRDefault="00062F84" w:rsidP="00E33EA6">
      <w:pPr>
        <w:pStyle w:val="Heading3indent"/>
      </w:pPr>
      <w:r>
        <w:t>Quantity</w:t>
      </w:r>
    </w:p>
    <w:p w:rsidR="00062F84" w:rsidRDefault="00062F84" w:rsidP="00E33EA6">
      <w:pPr>
        <w:pStyle w:val="NormalIndent"/>
      </w:pPr>
      <w:r w:rsidRPr="003036C6">
        <w:t xml:space="preserve">The formula </w:t>
      </w:r>
      <w:r>
        <w:t xml:space="preserve">for calculating the </w:t>
      </w:r>
      <w:r w:rsidRPr="00D47333">
        <w:rPr>
          <w:i/>
        </w:rPr>
        <w:t>quantity</w:t>
      </w:r>
      <w:r>
        <w:t xml:space="preserve"> is the same as that used for administrative costs:</w:t>
      </w:r>
    </w:p>
    <w:tbl>
      <w:tblPr>
        <w:tblStyle w:val="DTFtexttableindent"/>
        <w:tblW w:w="0" w:type="auto"/>
        <w:tblLook w:val="0680" w:firstRow="0" w:lastRow="0" w:firstColumn="1" w:lastColumn="0" w:noHBand="1" w:noVBand="1"/>
      </w:tblPr>
      <w:tblGrid>
        <w:gridCol w:w="8319"/>
      </w:tblGrid>
      <w:tr w:rsidR="00E33EA6" w:rsidTr="00006417">
        <w:tc>
          <w:tcPr>
            <w:cnfStyle w:val="001000000000" w:firstRow="0" w:lastRow="0" w:firstColumn="1" w:lastColumn="0" w:oddVBand="0" w:evenVBand="0" w:oddHBand="0" w:evenHBand="0" w:firstRowFirstColumn="0" w:firstRowLastColumn="0" w:lastRowFirstColumn="0" w:lastRowLastColumn="0"/>
            <w:tcW w:w="9242" w:type="dxa"/>
          </w:tcPr>
          <w:p w:rsidR="00E33EA6" w:rsidRDefault="00E33EA6" w:rsidP="00006417">
            <w:pPr>
              <w:pStyle w:val="Tablechartdiagramheading"/>
            </w:pPr>
            <w:r>
              <w:t>Quantity</w:t>
            </w:r>
          </w:p>
          <w:p w:rsidR="00E33EA6" w:rsidRDefault="00E33EA6" w:rsidP="00006417">
            <w:pPr>
              <w:pStyle w:val="Tabletextindent"/>
              <w:ind w:left="709" w:hanging="421"/>
            </w:pPr>
            <w:r w:rsidRPr="00F51FEA">
              <w:t>=</w:t>
            </w:r>
            <w:r w:rsidRPr="003036C6">
              <w:t xml:space="preserve"> </w:t>
            </w:r>
            <w:r>
              <w:tab/>
              <w:t>p</w:t>
            </w:r>
            <w:r w:rsidRPr="003036C6">
              <w:t xml:space="preserve">opulation x </w:t>
            </w:r>
            <w:r>
              <w:t>c</w:t>
            </w:r>
            <w:r w:rsidRPr="003036C6">
              <w:t xml:space="preserve">ompliance rate x </w:t>
            </w:r>
            <w:r>
              <w:t>a</w:t>
            </w:r>
            <w:r w:rsidRPr="003036C6">
              <w:t>nnual fr</w:t>
            </w:r>
            <w:r>
              <w:t>equency</w:t>
            </w:r>
          </w:p>
        </w:tc>
      </w:tr>
    </w:tbl>
    <w:p w:rsidR="00E33EA6" w:rsidRDefault="00E33EA6" w:rsidP="00E33EA6">
      <w:pPr>
        <w:pStyle w:val="Spacer"/>
      </w:pPr>
    </w:p>
    <w:p w:rsidR="00062F84" w:rsidRPr="003036C6" w:rsidRDefault="00062F84" w:rsidP="00E33EA6">
      <w:pPr>
        <w:pStyle w:val="Heading2"/>
        <w:ind w:left="792" w:hanging="792"/>
      </w:pPr>
      <w:bookmarkStart w:id="244" w:name="_Toc257015787"/>
      <w:bookmarkStart w:id="245" w:name="_Toc335401938"/>
      <w:bookmarkStart w:id="246" w:name="_Toc355267651"/>
      <w:bookmarkStart w:id="247" w:name="_Toc355275871"/>
      <w:bookmarkStart w:id="248" w:name="_Toc358276104"/>
      <w:bookmarkStart w:id="249" w:name="_Toc358282376"/>
      <w:bookmarkStart w:id="250" w:name="_Toc468455437"/>
      <w:bookmarkStart w:id="251" w:name="_Toc470078931"/>
      <w:r>
        <w:lastRenderedPageBreak/>
        <w:t xml:space="preserve">B.3 </w:t>
      </w:r>
      <w:r w:rsidR="00E33EA6">
        <w:tab/>
      </w:r>
      <w:r w:rsidRPr="003036C6">
        <w:t>Underlying spreadsheets, working calculations and assumptions</w:t>
      </w:r>
      <w:bookmarkEnd w:id="244"/>
      <w:bookmarkEnd w:id="245"/>
      <w:bookmarkEnd w:id="246"/>
      <w:bookmarkEnd w:id="247"/>
      <w:bookmarkEnd w:id="248"/>
      <w:bookmarkEnd w:id="249"/>
      <w:bookmarkEnd w:id="250"/>
      <w:bookmarkEnd w:id="251"/>
    </w:p>
    <w:p w:rsidR="00062F84" w:rsidRPr="00EE1547" w:rsidRDefault="00062F84" w:rsidP="00E33EA6">
      <w:pPr>
        <w:pStyle w:val="NormalIndent"/>
      </w:pPr>
      <w:r w:rsidRPr="003036C6">
        <w:t xml:space="preserve">Spreadsheets </w:t>
      </w:r>
      <w:r>
        <w:t xml:space="preserve">that </w:t>
      </w:r>
      <w:r w:rsidRPr="003036C6">
        <w:t>show</w:t>
      </w:r>
      <w:r>
        <w:t xml:space="preserve"> </w:t>
      </w:r>
      <w:r w:rsidRPr="003036C6">
        <w:t xml:space="preserve">detailed calculations of </w:t>
      </w:r>
      <w:r>
        <w:t>unit costs</w:t>
      </w:r>
      <w:r w:rsidRPr="003036C6">
        <w:t xml:space="preserve"> and quantity for each </w:t>
      </w:r>
      <w:r>
        <w:t xml:space="preserve">regulatory cost </w:t>
      </w:r>
      <w:r w:rsidRPr="004D27B0">
        <w:t xml:space="preserve">obligation </w:t>
      </w:r>
      <w:r>
        <w:t>should be prepared and,</w:t>
      </w:r>
      <w:r w:rsidRPr="003036C6">
        <w:t xml:space="preserve"> </w:t>
      </w:r>
      <w:r>
        <w:t>to the extent possible, attached to the RCM report. In any event, detailed working calculations and assumptions should be appropriately documented in the report</w:t>
      </w:r>
      <w:r w:rsidRPr="003036C6">
        <w:t xml:space="preserve">. </w:t>
      </w:r>
    </w:p>
    <w:p w:rsidR="00062F84" w:rsidRDefault="00062F84" w:rsidP="00E33EA6">
      <w:pPr>
        <w:pStyle w:val="Heading2"/>
        <w:ind w:left="792" w:hanging="792"/>
      </w:pPr>
      <w:bookmarkStart w:id="252" w:name="_Toc257015788"/>
      <w:bookmarkStart w:id="253" w:name="_Toc335401939"/>
      <w:bookmarkStart w:id="254" w:name="_Toc355267652"/>
      <w:bookmarkStart w:id="255" w:name="_Toc355275872"/>
      <w:bookmarkStart w:id="256" w:name="_Toc358276105"/>
      <w:bookmarkStart w:id="257" w:name="_Toc358282377"/>
      <w:bookmarkStart w:id="258" w:name="_Toc468455438"/>
      <w:bookmarkStart w:id="259" w:name="_Toc470078932"/>
      <w:r>
        <w:t>B.4</w:t>
      </w:r>
      <w:r w:rsidRPr="003036C6">
        <w:t xml:space="preserve"> </w:t>
      </w:r>
      <w:r w:rsidR="00E33EA6">
        <w:tab/>
      </w:r>
      <w:r>
        <w:t>A</w:t>
      </w:r>
      <w:r w:rsidRPr="00B9622B">
        <w:t>nnual</w:t>
      </w:r>
      <w:r>
        <w:t xml:space="preserve">ised </w:t>
      </w:r>
      <w:r w:rsidRPr="00B9622B">
        <w:t xml:space="preserve">figure </w:t>
      </w:r>
      <w:r>
        <w:t xml:space="preserve">for </w:t>
      </w:r>
      <w:r w:rsidRPr="00B9622B">
        <w:t xml:space="preserve">uneven </w:t>
      </w:r>
      <w:r>
        <w:t>regulatory</w:t>
      </w:r>
      <w:r w:rsidRPr="00B9622B">
        <w:t xml:space="preserve"> </w:t>
      </w:r>
      <w:r>
        <w:t>change</w:t>
      </w:r>
      <w:bookmarkEnd w:id="252"/>
      <w:bookmarkEnd w:id="253"/>
      <w:bookmarkEnd w:id="254"/>
      <w:bookmarkEnd w:id="255"/>
      <w:bookmarkEnd w:id="256"/>
      <w:bookmarkEnd w:id="257"/>
      <w:bookmarkEnd w:id="258"/>
      <w:bookmarkEnd w:id="259"/>
    </w:p>
    <w:p w:rsidR="00062F84" w:rsidRDefault="00062F84" w:rsidP="004D73A0">
      <w:pPr>
        <w:pStyle w:val="Bulletindent"/>
      </w:pPr>
      <w:r w:rsidRPr="005C260E">
        <w:rPr>
          <w:b/>
        </w:rPr>
        <w:t>Default duration of a regulatory change</w:t>
      </w:r>
      <w:r w:rsidRPr="005C260E">
        <w:t>:</w:t>
      </w:r>
      <w:r>
        <w:t xml:space="preserve"> For the purpose of a RCM, t</w:t>
      </w:r>
      <w:r w:rsidRPr="003036C6">
        <w:t xml:space="preserve">he default duration of a regulation </w:t>
      </w:r>
      <w:r>
        <w:t xml:space="preserve">or regulatory change </w:t>
      </w:r>
      <w:r w:rsidRPr="003036C6">
        <w:t xml:space="preserve">should be taken as </w:t>
      </w:r>
      <w:r w:rsidRPr="005C260E">
        <w:t>ten years</w:t>
      </w:r>
      <w:r w:rsidRPr="003036C6">
        <w:t xml:space="preserve"> except </w:t>
      </w:r>
      <w:r>
        <w:t xml:space="preserve">where the change is implemented over a </w:t>
      </w:r>
      <w:r w:rsidRPr="003036C6">
        <w:t xml:space="preserve">shorter </w:t>
      </w:r>
      <w:r>
        <w:t>period.</w:t>
      </w:r>
      <w:r w:rsidRPr="003036C6">
        <w:t xml:space="preserve"> </w:t>
      </w:r>
    </w:p>
    <w:p w:rsidR="00062F84" w:rsidRPr="008C15A4" w:rsidRDefault="00062F84" w:rsidP="004D73A0">
      <w:pPr>
        <w:pStyle w:val="Bulletindent"/>
      </w:pPr>
      <w:r w:rsidRPr="005C260E">
        <w:rPr>
          <w:b/>
        </w:rPr>
        <w:t>Annualising the cost estimates</w:t>
      </w:r>
      <w:r w:rsidRPr="005C260E">
        <w:t xml:space="preserve">: </w:t>
      </w:r>
      <w:r w:rsidRPr="003036C6">
        <w:t>For a</w:t>
      </w:r>
      <w:r>
        <w:t xml:space="preserve"> R</w:t>
      </w:r>
      <w:r w:rsidRPr="003036C6">
        <w:t xml:space="preserve">CM, </w:t>
      </w:r>
      <w:r w:rsidRPr="008C15A4">
        <w:t xml:space="preserve">an </w:t>
      </w:r>
      <w:r w:rsidRPr="005C260E">
        <w:t>annualised</w:t>
      </w:r>
      <w:r w:rsidRPr="008C15A4">
        <w:t xml:space="preserve"> measure of the change</w:t>
      </w:r>
      <w:r>
        <w:t xml:space="preserve"> (</w:t>
      </w:r>
      <w:r w:rsidRPr="005C260E">
        <w:t>not</w:t>
      </w:r>
      <w:r>
        <w:t xml:space="preserve"> discounted present value)</w:t>
      </w:r>
      <w:r w:rsidRPr="008C15A4">
        <w:t xml:space="preserve"> </w:t>
      </w:r>
      <w:r>
        <w:t>should be calculated in the following manner:</w:t>
      </w:r>
      <w:r w:rsidRPr="008C15A4">
        <w:t xml:space="preserve"> </w:t>
      </w:r>
    </w:p>
    <w:p w:rsidR="00062F84" w:rsidRDefault="00062F84" w:rsidP="00E33EA6">
      <w:pPr>
        <w:pStyle w:val="Bulletindent2"/>
      </w:pPr>
      <w:r>
        <w:t>f</w:t>
      </w:r>
      <w:r w:rsidRPr="003036C6">
        <w:t xml:space="preserve">or regulatory change, </w:t>
      </w:r>
      <w:r>
        <w:t xml:space="preserve">the uptake of which does not vary over time, </w:t>
      </w:r>
      <w:r w:rsidRPr="003036C6">
        <w:t xml:space="preserve">the </w:t>
      </w:r>
      <w:r>
        <w:t xml:space="preserve">impact of the change </w:t>
      </w:r>
      <w:r w:rsidRPr="003036C6">
        <w:t xml:space="preserve">in the first year </w:t>
      </w:r>
      <w:r>
        <w:t xml:space="preserve">should be treated as the annualised measure of change; or </w:t>
      </w:r>
    </w:p>
    <w:p w:rsidR="00062F84" w:rsidRDefault="00062F84" w:rsidP="00E33EA6">
      <w:pPr>
        <w:pStyle w:val="Bulletindent2"/>
      </w:pPr>
      <w:r>
        <w:t>f</w:t>
      </w:r>
      <w:r w:rsidRPr="003036C6">
        <w:t xml:space="preserve">or regulations </w:t>
      </w:r>
      <w:r>
        <w:t xml:space="preserve">that </w:t>
      </w:r>
      <w:r w:rsidRPr="003036C6">
        <w:t xml:space="preserve">impose varying costs over time, the total change </w:t>
      </w:r>
      <w:r>
        <w:t xml:space="preserve">over the duration of the regulation or regulatory process should be </w:t>
      </w:r>
      <w:r w:rsidRPr="003036C6">
        <w:t>divided by th</w:t>
      </w:r>
      <w:r>
        <w:t>at</w:t>
      </w:r>
      <w:r w:rsidRPr="003036C6">
        <w:t xml:space="preserve"> duration </w:t>
      </w:r>
      <w:r>
        <w:t xml:space="preserve">(section B.4.1 provides more detail). </w:t>
      </w:r>
    </w:p>
    <w:p w:rsidR="00062F84" w:rsidRDefault="00062F84" w:rsidP="004D73A0">
      <w:pPr>
        <w:pStyle w:val="NormalIndent"/>
      </w:pPr>
      <w:r>
        <w:t>Two cases are illustrated below:</w:t>
      </w:r>
    </w:p>
    <w:p w:rsidR="00062F84" w:rsidRPr="001F2D58" w:rsidRDefault="00062F84" w:rsidP="00E33EA6">
      <w:pPr>
        <w:pStyle w:val="Heading3"/>
        <w:ind w:left="792" w:hanging="792"/>
      </w:pPr>
      <w:bookmarkStart w:id="260" w:name="_Toc257015789"/>
      <w:bookmarkStart w:id="261" w:name="_Toc335401940"/>
      <w:bookmarkStart w:id="262" w:name="_Toc355267653"/>
      <w:bookmarkStart w:id="263" w:name="_Toc355275873"/>
      <w:bookmarkStart w:id="264" w:name="_Toc358276106"/>
      <w:bookmarkStart w:id="265" w:name="_Toc358282378"/>
      <w:bookmarkStart w:id="266" w:name="_Toc468455439"/>
      <w:bookmarkStart w:id="267" w:name="_Toc470078933"/>
      <w:r>
        <w:t>B.4</w:t>
      </w:r>
      <w:r w:rsidRPr="003036C6">
        <w:t>.</w:t>
      </w:r>
      <w:r>
        <w:t>1</w:t>
      </w:r>
      <w:r w:rsidRPr="003036C6">
        <w:t xml:space="preserve"> </w:t>
      </w:r>
      <w:r w:rsidR="00E33EA6">
        <w:tab/>
      </w:r>
      <w:r>
        <w:t>Change distributed unevenly over 10 years</w:t>
      </w:r>
      <w:bookmarkEnd w:id="260"/>
      <w:bookmarkEnd w:id="261"/>
      <w:bookmarkEnd w:id="262"/>
      <w:bookmarkEnd w:id="263"/>
      <w:bookmarkEnd w:id="264"/>
      <w:bookmarkEnd w:id="265"/>
      <w:bookmarkEnd w:id="266"/>
      <w:bookmarkEnd w:id="267"/>
    </w:p>
    <w:p w:rsidR="00062F84" w:rsidRPr="007C2578" w:rsidRDefault="00062F84" w:rsidP="004D73A0">
      <w:pPr>
        <w:pStyle w:val="NormalIndent"/>
      </w:pPr>
      <w:r w:rsidRPr="007C2578">
        <w:t xml:space="preserve">Where </w:t>
      </w:r>
      <w:r>
        <w:t xml:space="preserve">the </w:t>
      </w:r>
      <w:r w:rsidRPr="007C2578">
        <w:t xml:space="preserve">change in </w:t>
      </w:r>
      <w:r>
        <w:t xml:space="preserve">regulatory </w:t>
      </w:r>
      <w:r w:rsidRPr="007C2578">
        <w:t xml:space="preserve">burden is distributed </w:t>
      </w:r>
      <w:r w:rsidRPr="007C2578">
        <w:rPr>
          <w:i/>
        </w:rPr>
        <w:t xml:space="preserve">unevenly </w:t>
      </w:r>
      <w:r w:rsidRPr="005C260E">
        <w:rPr>
          <w:i/>
        </w:rPr>
        <w:t>over</w:t>
      </w:r>
      <w:r w:rsidRPr="005C260E">
        <w:t xml:space="preserve"> </w:t>
      </w:r>
      <w:r w:rsidRPr="005C260E">
        <w:rPr>
          <w:i/>
        </w:rPr>
        <w:t xml:space="preserve">10 years, </w:t>
      </w:r>
      <w:r w:rsidRPr="005C260E">
        <w:t>the average of the change over 10 years yi</w:t>
      </w:r>
      <w:r w:rsidRPr="007C2578">
        <w:t>eld</w:t>
      </w:r>
      <w:r>
        <w:t>s</w:t>
      </w:r>
      <w:r w:rsidRPr="007C2578">
        <w:t xml:space="preserve"> the relevant </w:t>
      </w:r>
      <w:r>
        <w:t xml:space="preserve">annualised </w:t>
      </w:r>
      <w:r w:rsidRPr="007C2578">
        <w:t xml:space="preserve">figure for </w:t>
      </w:r>
      <w:r>
        <w:t>an R</w:t>
      </w:r>
      <w:r w:rsidRPr="007C2578">
        <w:t xml:space="preserve">CM. For instance, in </w:t>
      </w:r>
      <w:r w:rsidRPr="004C1766">
        <w:t>Figure 3</w:t>
      </w:r>
      <w:r w:rsidRPr="007C2578">
        <w:t xml:space="preserve">, the annual change in burden </w:t>
      </w:r>
      <w:r>
        <w:t xml:space="preserve">reported in the RCM report should be </w:t>
      </w:r>
      <w:r w:rsidRPr="007C2578">
        <w:t>$4</w:t>
      </w:r>
      <w:r w:rsidR="004D73A0">
        <w:t> million</w:t>
      </w:r>
      <w:r w:rsidRPr="007C2578">
        <w:t>.</w:t>
      </w:r>
    </w:p>
    <w:p w:rsidR="00062F84" w:rsidRDefault="00062F84" w:rsidP="004B10B5">
      <w:pPr>
        <w:pStyle w:val="NormalIndent"/>
      </w:pPr>
      <w:r>
        <w:rPr>
          <w:noProof/>
        </w:rPr>
        <w:drawing>
          <wp:inline distT="0" distB="0" distL="0" distR="0" wp14:anchorId="3FDF6FE2" wp14:editId="79D3FE33">
            <wp:extent cx="4294022" cy="30357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7">
                      <a:extLst>
                        <a:ext uri="{28A0092B-C50C-407E-A947-70E740481C1C}">
                          <a14:useLocalDpi xmlns:a14="http://schemas.microsoft.com/office/drawing/2010/main" val="0"/>
                        </a:ext>
                      </a:extLst>
                    </a:blip>
                    <a:srcRect t="3935"/>
                    <a:stretch/>
                  </pic:blipFill>
                  <pic:spPr bwMode="auto">
                    <a:xfrm>
                      <a:off x="0" y="0"/>
                      <a:ext cx="4304081" cy="3042818"/>
                    </a:xfrm>
                    <a:prstGeom prst="rect">
                      <a:avLst/>
                    </a:prstGeom>
                    <a:noFill/>
                    <a:ln>
                      <a:noFill/>
                    </a:ln>
                    <a:extLst>
                      <a:ext uri="{53640926-AAD7-44D8-BBD7-CCE9431645EC}">
                        <a14:shadowObscured xmlns:a14="http://schemas.microsoft.com/office/drawing/2010/main"/>
                      </a:ext>
                    </a:extLst>
                  </pic:spPr>
                </pic:pic>
              </a:graphicData>
            </a:graphic>
          </wp:inline>
        </w:drawing>
      </w:r>
    </w:p>
    <w:p w:rsidR="00062F84" w:rsidRDefault="00062F84" w:rsidP="00062F84">
      <w:pPr>
        <w:pStyle w:val="Heading3"/>
        <w:rPr>
          <w:rFonts w:cs="Arial"/>
        </w:rPr>
      </w:pPr>
      <w:bookmarkStart w:id="268" w:name="_Toc257015790"/>
      <w:bookmarkStart w:id="269" w:name="_Toc335401941"/>
      <w:bookmarkStart w:id="270" w:name="_Toc355267654"/>
      <w:bookmarkStart w:id="271" w:name="_Toc355275874"/>
      <w:bookmarkStart w:id="272" w:name="_Toc358276107"/>
      <w:bookmarkStart w:id="273" w:name="_Toc358282379"/>
      <w:bookmarkStart w:id="274" w:name="_Toc468455440"/>
      <w:bookmarkStart w:id="275" w:name="_Toc470078934"/>
      <w:r>
        <w:lastRenderedPageBreak/>
        <w:t>B</w:t>
      </w:r>
      <w:r w:rsidRPr="003036C6">
        <w:t>.</w:t>
      </w:r>
      <w:r>
        <w:t>4</w:t>
      </w:r>
      <w:r w:rsidRPr="003036C6">
        <w:t>.</w:t>
      </w:r>
      <w:r>
        <w:t xml:space="preserve">2 </w:t>
      </w:r>
      <w:r w:rsidRPr="00EE1547">
        <w:t>Change distributed unevenly over less than 10 years</w:t>
      </w:r>
      <w:bookmarkEnd w:id="268"/>
      <w:bookmarkEnd w:id="269"/>
      <w:bookmarkEnd w:id="270"/>
      <w:bookmarkEnd w:id="271"/>
      <w:bookmarkEnd w:id="272"/>
      <w:bookmarkEnd w:id="273"/>
      <w:bookmarkEnd w:id="274"/>
      <w:bookmarkEnd w:id="275"/>
    </w:p>
    <w:p w:rsidR="00062F84" w:rsidRPr="007C2578" w:rsidRDefault="00062F84" w:rsidP="004D73A0">
      <w:pPr>
        <w:pStyle w:val="NormalIndent"/>
      </w:pPr>
      <w:r w:rsidRPr="007C2578">
        <w:t xml:space="preserve">Where a change in </w:t>
      </w:r>
      <w:r>
        <w:t>regulatory</w:t>
      </w:r>
      <w:r w:rsidRPr="007C2578">
        <w:t xml:space="preserve"> burden is distributed </w:t>
      </w:r>
      <w:r>
        <w:t xml:space="preserve">unevenly </w:t>
      </w:r>
      <w:r w:rsidRPr="005C260E">
        <w:t xml:space="preserve">over </w:t>
      </w:r>
      <w:r w:rsidRPr="005C260E">
        <w:rPr>
          <w:i/>
        </w:rPr>
        <w:t xml:space="preserve">less than 10 years, </w:t>
      </w:r>
      <w:r w:rsidRPr="005C260E">
        <w:t>the average of the change taken over the relevant duration yields th</w:t>
      </w:r>
      <w:r w:rsidRPr="007C2578">
        <w:t>e appropriate figure</w:t>
      </w:r>
      <w:r>
        <w:t xml:space="preserve"> </w:t>
      </w:r>
      <w:r w:rsidRPr="007C2578">
        <w:t xml:space="preserve">for </w:t>
      </w:r>
      <w:r>
        <w:t>an R</w:t>
      </w:r>
      <w:r w:rsidRPr="007C2578">
        <w:t xml:space="preserve">CM. For instance, in </w:t>
      </w:r>
      <w:r>
        <w:t>Figure 4</w:t>
      </w:r>
      <w:r w:rsidRPr="007C2578">
        <w:t xml:space="preserve">, the annual change in burden </w:t>
      </w:r>
      <w:r>
        <w:t xml:space="preserve">reported in the RCM report should be </w:t>
      </w:r>
      <w:r w:rsidRPr="007C2578">
        <w:t>$4</w:t>
      </w:r>
      <w:r w:rsidR="004D73A0">
        <w:t> million</w:t>
      </w:r>
      <w:r w:rsidRPr="007C2578">
        <w:t>.</w:t>
      </w:r>
    </w:p>
    <w:p w:rsidR="00062F84" w:rsidRDefault="00062F84" w:rsidP="004B10B5">
      <w:pPr>
        <w:pStyle w:val="NormalIndent"/>
      </w:pPr>
      <w:r>
        <w:rPr>
          <w:noProof/>
        </w:rPr>
        <w:drawing>
          <wp:inline distT="0" distB="0" distL="0" distR="0" wp14:anchorId="7FD377D5" wp14:editId="6EA92FB8">
            <wp:extent cx="4491533" cy="287423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495285" cy="2876631"/>
                    </a:xfrm>
                    <a:prstGeom prst="rect">
                      <a:avLst/>
                    </a:prstGeom>
                    <a:noFill/>
                    <a:ln>
                      <a:noFill/>
                    </a:ln>
                  </pic:spPr>
                </pic:pic>
              </a:graphicData>
            </a:graphic>
          </wp:inline>
        </w:drawing>
      </w:r>
    </w:p>
    <w:p w:rsidR="00062F84" w:rsidRDefault="00062F84" w:rsidP="00632F2E"/>
    <w:p w:rsidR="004B10B5" w:rsidRDefault="004B10B5">
      <w:pPr>
        <w:spacing w:before="0" w:after="200"/>
        <w:rPr>
          <w:rFonts w:asciiTheme="majorHAnsi" w:eastAsiaTheme="majorEastAsia" w:hAnsiTheme="majorHAnsi" w:cstheme="majorBidi"/>
          <w:b/>
          <w:bCs/>
          <w:color w:val="201547"/>
          <w:spacing w:val="-1"/>
          <w:sz w:val="36"/>
          <w:szCs w:val="28"/>
        </w:rPr>
      </w:pPr>
      <w:bookmarkStart w:id="276" w:name="_Toc306185902"/>
      <w:bookmarkStart w:id="277" w:name="_Toc306187739"/>
      <w:bookmarkStart w:id="278" w:name="_Toc355267655"/>
      <w:bookmarkStart w:id="279" w:name="_Toc355275875"/>
      <w:bookmarkStart w:id="280" w:name="_Toc358276108"/>
      <w:bookmarkStart w:id="281" w:name="_Toc358282380"/>
      <w:bookmarkStart w:id="282" w:name="_Toc468455441"/>
      <w:r>
        <w:br w:type="page"/>
      </w:r>
    </w:p>
    <w:p w:rsidR="00062F84" w:rsidRPr="00CD66B3" w:rsidRDefault="00062F84" w:rsidP="00062F84">
      <w:pPr>
        <w:pStyle w:val="Heading1"/>
      </w:pPr>
      <w:bookmarkStart w:id="283" w:name="_Toc470078935"/>
      <w:r>
        <w:lastRenderedPageBreak/>
        <w:t>Appendix C</w:t>
      </w:r>
      <w:r w:rsidRPr="00CD66B3">
        <w:t xml:space="preserve">: </w:t>
      </w:r>
      <w:r>
        <w:t>Calculating dela</w:t>
      </w:r>
      <w:r w:rsidRPr="00CD66B3">
        <w:t>y</w:t>
      </w:r>
      <w:bookmarkEnd w:id="276"/>
      <w:bookmarkEnd w:id="277"/>
      <w:r>
        <w:t xml:space="preserve"> costs</w:t>
      </w:r>
      <w:bookmarkEnd w:id="278"/>
      <w:bookmarkEnd w:id="279"/>
      <w:bookmarkEnd w:id="280"/>
      <w:bookmarkEnd w:id="281"/>
      <w:bookmarkEnd w:id="282"/>
      <w:bookmarkEnd w:id="283"/>
    </w:p>
    <w:p w:rsidR="00062F84" w:rsidRDefault="00062F84" w:rsidP="004D73A0">
      <w:pPr>
        <w:pStyle w:val="NormalIndent"/>
      </w:pPr>
      <w:bookmarkStart w:id="284" w:name="_Toc306185903"/>
      <w:bookmarkStart w:id="285" w:name="_Toc306187740"/>
      <w:bookmarkStart w:id="286" w:name="_Toc355267656"/>
      <w:bookmarkStart w:id="287" w:name="_Toc355275876"/>
      <w:r w:rsidRPr="003036C6">
        <w:t xml:space="preserve">This section </w:t>
      </w:r>
      <w:r>
        <w:t xml:space="preserve">discusses </w:t>
      </w:r>
      <w:r w:rsidRPr="003036C6">
        <w:t xml:space="preserve">the </w:t>
      </w:r>
      <w:r>
        <w:t>formulae</w:t>
      </w:r>
      <w:r w:rsidRPr="003036C6">
        <w:t xml:space="preserve"> for </w:t>
      </w:r>
      <w:r>
        <w:t>calculating delay</w:t>
      </w:r>
      <w:r w:rsidRPr="003036C6">
        <w:t xml:space="preserve"> costs.</w:t>
      </w:r>
    </w:p>
    <w:p w:rsidR="00062F84" w:rsidRPr="00CD66B3" w:rsidRDefault="00062F84" w:rsidP="004B10B5">
      <w:pPr>
        <w:pStyle w:val="Heading2"/>
        <w:ind w:left="792" w:hanging="792"/>
      </w:pPr>
      <w:bookmarkStart w:id="288" w:name="_Toc358276109"/>
      <w:bookmarkStart w:id="289" w:name="_Toc358282381"/>
      <w:bookmarkStart w:id="290" w:name="_Toc468455442"/>
      <w:bookmarkStart w:id="291" w:name="_Toc470078936"/>
      <w:r>
        <w:t>C.</w:t>
      </w:r>
      <w:r w:rsidRPr="00CD66B3">
        <w:t xml:space="preserve">1 </w:t>
      </w:r>
      <w:r w:rsidR="004B10B5">
        <w:tab/>
      </w:r>
      <w:r w:rsidRPr="00CD66B3">
        <w:t>Causes of delay</w:t>
      </w:r>
      <w:bookmarkEnd w:id="284"/>
      <w:bookmarkEnd w:id="285"/>
      <w:bookmarkEnd w:id="286"/>
      <w:bookmarkEnd w:id="287"/>
      <w:bookmarkEnd w:id="288"/>
      <w:bookmarkEnd w:id="289"/>
      <w:bookmarkEnd w:id="290"/>
      <w:bookmarkEnd w:id="291"/>
      <w:r w:rsidRPr="00CD66B3">
        <w:t xml:space="preserve"> </w:t>
      </w:r>
    </w:p>
    <w:p w:rsidR="00062F84" w:rsidRPr="00CD66B3" w:rsidRDefault="00062F84" w:rsidP="004D73A0">
      <w:pPr>
        <w:pStyle w:val="NormalIndent"/>
        <w:rPr>
          <w:lang w:val="en-GB"/>
        </w:rPr>
      </w:pPr>
      <w:r>
        <w:rPr>
          <w:lang w:val="en-GB"/>
        </w:rPr>
        <w:t>D</w:t>
      </w:r>
      <w:r w:rsidRPr="00CD66B3">
        <w:rPr>
          <w:lang w:val="en-GB"/>
        </w:rPr>
        <w:t>elay costs are the expenses and loss of income imposed on a regulated entity through an application delay and</w:t>
      </w:r>
      <w:r>
        <w:rPr>
          <w:lang w:val="en-GB"/>
        </w:rPr>
        <w:t>/or</w:t>
      </w:r>
      <w:r w:rsidRPr="00CD66B3">
        <w:rPr>
          <w:lang w:val="en-GB"/>
        </w:rPr>
        <w:t xml:space="preserve"> an approval delay. </w:t>
      </w:r>
      <w:r w:rsidRPr="00CD66B3">
        <w:t xml:space="preserve">The </w:t>
      </w:r>
      <w:r w:rsidRPr="00CD66B3">
        <w:rPr>
          <w:b/>
          <w:i/>
        </w:rPr>
        <w:t>cause of a delay</w:t>
      </w:r>
      <w:r w:rsidRPr="00CD66B3">
        <w:t xml:space="preserve"> can accordingly be </w:t>
      </w:r>
      <w:r>
        <w:t>separated</w:t>
      </w:r>
      <w:r w:rsidRPr="00CD66B3">
        <w:t xml:space="preserve"> into two main </w:t>
      </w:r>
      <w:r>
        <w:t>areas</w:t>
      </w:r>
      <w:r w:rsidRPr="00CD66B3">
        <w:t xml:space="preserve">: </w:t>
      </w:r>
      <w:r w:rsidRPr="00CD66B3">
        <w:rPr>
          <w:lang w:val="en-GB"/>
        </w:rPr>
        <w:t xml:space="preserve"> </w:t>
      </w:r>
    </w:p>
    <w:p w:rsidR="00062F84" w:rsidRPr="00CD66B3" w:rsidRDefault="00062F84" w:rsidP="004D73A0">
      <w:pPr>
        <w:pStyle w:val="Bulletindent"/>
      </w:pPr>
      <w:r w:rsidRPr="005C260E">
        <w:t xml:space="preserve">the </w:t>
      </w:r>
      <w:r w:rsidRPr="005C260E">
        <w:rPr>
          <w:b/>
        </w:rPr>
        <w:t>application process</w:t>
      </w:r>
      <w:r w:rsidRPr="005C260E">
        <w:t xml:space="preserve"> (e.g. </w:t>
      </w:r>
      <w:r w:rsidRPr="00CD66B3">
        <w:t xml:space="preserve">obligation to lodge a planning application); </w:t>
      </w:r>
      <w:r w:rsidRPr="005C260E">
        <w:t xml:space="preserve">or </w:t>
      </w:r>
    </w:p>
    <w:p w:rsidR="00062F84" w:rsidRPr="00CD66B3" w:rsidRDefault="00062F84" w:rsidP="004D73A0">
      <w:pPr>
        <w:pStyle w:val="Bulletindent"/>
      </w:pPr>
      <w:r w:rsidRPr="005C260E">
        <w:t xml:space="preserve">the </w:t>
      </w:r>
      <w:r w:rsidRPr="005C260E">
        <w:rPr>
          <w:b/>
        </w:rPr>
        <w:t>approval process</w:t>
      </w:r>
      <w:r w:rsidRPr="005C260E">
        <w:t xml:space="preserve"> </w:t>
      </w:r>
      <w:r w:rsidRPr="00CD66B3">
        <w:t>(e.g. requirement to wait for government approval of application).</w:t>
      </w:r>
    </w:p>
    <w:p w:rsidR="00062F84" w:rsidRPr="00CD66B3" w:rsidRDefault="00062F84" w:rsidP="004D73A0">
      <w:pPr>
        <w:pStyle w:val="NormalIndent"/>
        <w:rPr>
          <w:lang w:val="en-GB"/>
        </w:rPr>
      </w:pPr>
      <w:r w:rsidRPr="00CD66B3">
        <w:rPr>
          <w:lang w:val="en-GB"/>
        </w:rPr>
        <w:t xml:space="preserve">The </w:t>
      </w:r>
      <w:r w:rsidRPr="00CD66B3">
        <w:rPr>
          <w:i/>
          <w:lang w:val="en-GB"/>
        </w:rPr>
        <w:t>direct</w:t>
      </w:r>
      <w:r w:rsidRPr="00CD66B3">
        <w:rPr>
          <w:lang w:val="en-GB"/>
        </w:rPr>
        <w:t xml:space="preserve"> costs of preparing an application or re-working it, </w:t>
      </w:r>
      <w:r w:rsidRPr="00CD66B3">
        <w:t>including time spent on phone calls</w:t>
      </w:r>
      <w:r w:rsidRPr="00CD66B3">
        <w:rPr>
          <w:b/>
          <w:i/>
        </w:rPr>
        <w:t xml:space="preserve"> </w:t>
      </w:r>
      <w:r w:rsidRPr="00CD66B3">
        <w:t>or</w:t>
      </w:r>
      <w:r w:rsidRPr="00CD66B3">
        <w:rPr>
          <w:b/>
        </w:rPr>
        <w:t xml:space="preserve"> </w:t>
      </w:r>
      <w:r w:rsidRPr="00CD66B3">
        <w:t>meetings as part of an approval process</w:t>
      </w:r>
      <w:r>
        <w:t>,</w:t>
      </w:r>
      <w:r w:rsidRPr="00CD66B3">
        <w:t xml:space="preserve"> </w:t>
      </w:r>
      <w:r>
        <w:t>should</w:t>
      </w:r>
      <w:r w:rsidRPr="00CD66B3">
        <w:t xml:space="preserve"> be </w:t>
      </w:r>
      <w:r w:rsidRPr="00CD66B3">
        <w:rPr>
          <w:lang w:val="en-GB"/>
        </w:rPr>
        <w:t>counted as a</w:t>
      </w:r>
      <w:r>
        <w:rPr>
          <w:lang w:val="en-GB"/>
        </w:rPr>
        <w:t xml:space="preserve"> compliance</w:t>
      </w:r>
      <w:r w:rsidRPr="00CD66B3">
        <w:rPr>
          <w:lang w:val="en-GB"/>
        </w:rPr>
        <w:t xml:space="preserve"> cost. </w:t>
      </w:r>
    </w:p>
    <w:p w:rsidR="00062F84" w:rsidRPr="00CD66B3" w:rsidRDefault="00062F84" w:rsidP="004D73A0">
      <w:pPr>
        <w:pStyle w:val="NormalIndent"/>
        <w:rPr>
          <w:lang w:val="en-GB"/>
        </w:rPr>
      </w:pPr>
      <w:r w:rsidRPr="00CD66B3">
        <w:rPr>
          <w:lang w:val="en-GB"/>
        </w:rPr>
        <w:t xml:space="preserve">It is important to ensure that </w:t>
      </w:r>
      <w:r>
        <w:rPr>
          <w:lang w:val="en-GB"/>
        </w:rPr>
        <w:t>business as usual</w:t>
      </w:r>
      <w:r w:rsidRPr="00CD66B3">
        <w:rPr>
          <w:lang w:val="en-GB"/>
        </w:rPr>
        <w:t xml:space="preserve"> costs are identified clearly and that the delay is attributed only to processes that </w:t>
      </w:r>
      <w:r w:rsidRPr="00CD66B3">
        <w:rPr>
          <w:i/>
          <w:lang w:val="en-GB"/>
        </w:rPr>
        <w:t>actually</w:t>
      </w:r>
      <w:r w:rsidRPr="00CD66B3">
        <w:rPr>
          <w:lang w:val="en-GB"/>
        </w:rPr>
        <w:t xml:space="preserve"> impose a delay, i.e. are on the critical path of the activities of the regulated entity. Removing such</w:t>
      </w:r>
      <w:r>
        <w:rPr>
          <w:lang w:val="en-GB"/>
        </w:rPr>
        <w:t xml:space="preserve"> regulatory</w:t>
      </w:r>
      <w:r w:rsidRPr="00CD66B3">
        <w:rPr>
          <w:lang w:val="en-GB"/>
        </w:rPr>
        <w:t xml:space="preserve"> activities should directly expedite business activities. Figure </w:t>
      </w:r>
      <w:r>
        <w:rPr>
          <w:lang w:val="en-GB"/>
        </w:rPr>
        <w:t>5</w:t>
      </w:r>
      <w:r w:rsidRPr="00CD66B3">
        <w:rPr>
          <w:lang w:val="en-GB"/>
        </w:rPr>
        <w:t xml:space="preserve"> </w:t>
      </w:r>
      <w:r>
        <w:rPr>
          <w:lang w:val="en-GB"/>
        </w:rPr>
        <w:t>i</w:t>
      </w:r>
      <w:r w:rsidRPr="00CD66B3">
        <w:rPr>
          <w:lang w:val="en-GB"/>
        </w:rPr>
        <w:t>llustrates the two kinds of delays.</w:t>
      </w:r>
    </w:p>
    <w:p w:rsidR="00062F84" w:rsidRPr="00CD66B3" w:rsidRDefault="00062F84" w:rsidP="004B10B5">
      <w:pPr>
        <w:pStyle w:val="Tablechartdiagramheadingindent"/>
      </w:pPr>
      <w:r w:rsidRPr="00CD66B3">
        <w:t xml:space="preserve">Figure </w:t>
      </w:r>
      <w:r>
        <w:t>5</w:t>
      </w:r>
      <w:r w:rsidRPr="00CD66B3">
        <w:t>: Types of delays (RP = Regulatory process)</w:t>
      </w:r>
    </w:p>
    <w:p w:rsidR="00062F84" w:rsidRDefault="00062F84" w:rsidP="004B10B5">
      <w:pPr>
        <w:pStyle w:val="NormalIndent"/>
        <w:rPr>
          <w:lang w:val="en-GB"/>
        </w:rPr>
      </w:pPr>
      <w:r>
        <w:rPr>
          <w:noProof/>
        </w:rPr>
        <w:drawing>
          <wp:inline distT="0" distB="0" distL="0" distR="0" wp14:anchorId="1238BFBE" wp14:editId="26209F29">
            <wp:extent cx="5180700" cy="161366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5183692" cy="1614593"/>
                    </a:xfrm>
                    <a:prstGeom prst="rect">
                      <a:avLst/>
                    </a:prstGeom>
                    <a:noFill/>
                    <a:ln>
                      <a:noFill/>
                    </a:ln>
                  </pic:spPr>
                </pic:pic>
              </a:graphicData>
            </a:graphic>
          </wp:inline>
        </w:drawing>
      </w:r>
    </w:p>
    <w:p w:rsidR="004B10B5" w:rsidRPr="00CD66B3" w:rsidRDefault="004B10B5" w:rsidP="004B10B5">
      <w:pPr>
        <w:pStyle w:val="Spacer"/>
        <w:rPr>
          <w:lang w:val="en-GB"/>
        </w:rPr>
      </w:pPr>
    </w:p>
    <w:p w:rsidR="00062F84" w:rsidRPr="009F1A96" w:rsidRDefault="00062F84" w:rsidP="004B10B5">
      <w:pPr>
        <w:pStyle w:val="Heading3indent"/>
      </w:pPr>
      <w:bookmarkStart w:id="292" w:name="_Toc358276110"/>
      <w:bookmarkStart w:id="293" w:name="_Toc358282382"/>
      <w:bookmarkStart w:id="294" w:name="_Toc468455443"/>
      <w:r w:rsidRPr="009F1A96">
        <w:t>Identifying application delays</w:t>
      </w:r>
      <w:bookmarkEnd w:id="292"/>
      <w:bookmarkEnd w:id="293"/>
      <w:bookmarkEnd w:id="294"/>
    </w:p>
    <w:p w:rsidR="00062F84" w:rsidRPr="00CD66B3" w:rsidRDefault="00062F84" w:rsidP="004D73A0">
      <w:pPr>
        <w:pStyle w:val="NormalIndent"/>
        <w:rPr>
          <w:lang w:val="en-GB"/>
        </w:rPr>
      </w:pPr>
      <w:r w:rsidRPr="00CD66B3">
        <w:rPr>
          <w:lang w:val="en-GB"/>
        </w:rPr>
        <w:t xml:space="preserve">To be counted as a delay, an </w:t>
      </w:r>
      <w:r w:rsidRPr="00CD66B3">
        <w:rPr>
          <w:b/>
          <w:i/>
          <w:lang w:val="en-GB"/>
        </w:rPr>
        <w:t>application delay</w:t>
      </w:r>
      <w:r w:rsidRPr="00CD66B3">
        <w:rPr>
          <w:lang w:val="en-GB"/>
        </w:rPr>
        <w:t xml:space="preserve"> must meet </w:t>
      </w:r>
      <w:r w:rsidRPr="00CD66B3">
        <w:rPr>
          <w:b/>
          <w:i/>
          <w:lang w:val="en-GB"/>
        </w:rPr>
        <w:t>all</w:t>
      </w:r>
      <w:r w:rsidRPr="00CD66B3">
        <w:rPr>
          <w:lang w:val="en-GB"/>
        </w:rPr>
        <w:t xml:space="preserve"> of the following criteria:</w:t>
      </w:r>
    </w:p>
    <w:p w:rsidR="00062F84" w:rsidRPr="005C260E" w:rsidRDefault="00062F84" w:rsidP="004D73A0">
      <w:pPr>
        <w:pStyle w:val="Bulletindent"/>
      </w:pPr>
      <w:r w:rsidRPr="005C260E">
        <w:t xml:space="preserve">these delays must prevent the regulated entity from commencing its intended operations;  </w:t>
      </w:r>
    </w:p>
    <w:p w:rsidR="00062F84" w:rsidRPr="005C260E" w:rsidRDefault="00062F84" w:rsidP="004D73A0">
      <w:pPr>
        <w:pStyle w:val="Bulletindent"/>
      </w:pPr>
      <w:r w:rsidRPr="005C260E">
        <w:t>reducing the delay should directly impact the critical path (this refers to the widely known Critical Path Method in project management literature</w:t>
      </w:r>
      <w:r w:rsidRPr="005C260E">
        <w:rPr>
          <w:rStyle w:val="FootnoteReference"/>
        </w:rPr>
        <w:footnoteReference w:id="5"/>
      </w:r>
      <w:r w:rsidRPr="005C260E">
        <w:t xml:space="preserve">). The critical path is shown by the dotted lines in Figure </w:t>
      </w:r>
      <w:r>
        <w:t>5</w:t>
      </w:r>
      <w:r w:rsidRPr="005C260E">
        <w:t>. This means that parallel processes during the application process have not been double-counted; and</w:t>
      </w:r>
    </w:p>
    <w:p w:rsidR="00062F84" w:rsidRPr="005C260E" w:rsidRDefault="00062F84" w:rsidP="004D73A0">
      <w:pPr>
        <w:pStyle w:val="Bulletindent"/>
      </w:pPr>
      <w:r w:rsidRPr="005C260E">
        <w:t xml:space="preserve">business as usual processes that would otherwise have been undertaken as a parallel process during the period of preparation of an application have been excluded or the time spend on these activities subtracted. </w:t>
      </w:r>
    </w:p>
    <w:p w:rsidR="00062F84" w:rsidRPr="00CD66B3" w:rsidRDefault="00062F84" w:rsidP="004B10B5">
      <w:pPr>
        <w:pStyle w:val="NormalIndent"/>
        <w:rPr>
          <w:lang w:val="en-GB"/>
        </w:rPr>
      </w:pPr>
      <w:r w:rsidRPr="00CD66B3">
        <w:rPr>
          <w:lang w:val="en-GB"/>
        </w:rPr>
        <w:lastRenderedPageBreak/>
        <w:t xml:space="preserve">In </w:t>
      </w:r>
      <w:r w:rsidRPr="009F1A96">
        <w:rPr>
          <w:lang w:val="en-GB"/>
        </w:rPr>
        <w:t>Figure 6</w:t>
      </w:r>
      <w:r w:rsidRPr="00CD66B3">
        <w:rPr>
          <w:lang w:val="en-GB"/>
        </w:rPr>
        <w:t>, time T’=1 under the unregulated situation is theoretically the earliest time a business could conduct its normal operations (lower figure). However, in a regulated situation, business may stagger its necessary activities over a longer duration (upper figure).</w:t>
      </w:r>
    </w:p>
    <w:p w:rsidR="00062F84" w:rsidRPr="00CD66B3" w:rsidRDefault="00062F84" w:rsidP="004B10B5">
      <w:pPr>
        <w:pStyle w:val="Tablechartdiagramheadingindent"/>
      </w:pPr>
      <w:r w:rsidRPr="00CD66B3">
        <w:t xml:space="preserve">Figure </w:t>
      </w:r>
      <w:r>
        <w:t>6</w:t>
      </w:r>
      <w:r w:rsidRPr="00CD66B3">
        <w:t>: The effect of business-as-usual on delays</w:t>
      </w:r>
    </w:p>
    <w:p w:rsidR="00062F84" w:rsidRPr="00CD66B3" w:rsidRDefault="00062F84" w:rsidP="00062F84">
      <w:pPr>
        <w:spacing w:after="60"/>
        <w:jc w:val="center"/>
        <w:rPr>
          <w:lang w:val="en-GB"/>
        </w:rPr>
      </w:pPr>
      <w:r>
        <w:rPr>
          <w:noProof/>
        </w:rPr>
        <w:drawing>
          <wp:inline distT="0" distB="0" distL="0" distR="0" wp14:anchorId="06B603CC" wp14:editId="0FBC5B8A">
            <wp:extent cx="3928263" cy="237178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928666" cy="2372025"/>
                    </a:xfrm>
                    <a:prstGeom prst="rect">
                      <a:avLst/>
                    </a:prstGeom>
                    <a:noFill/>
                    <a:ln>
                      <a:noFill/>
                    </a:ln>
                  </pic:spPr>
                </pic:pic>
              </a:graphicData>
            </a:graphic>
          </wp:inline>
        </w:drawing>
      </w:r>
    </w:p>
    <w:p w:rsidR="00062F84" w:rsidRPr="00CD66B3" w:rsidRDefault="00062F84" w:rsidP="004D73A0">
      <w:pPr>
        <w:pStyle w:val="NormalIndent"/>
        <w:rPr>
          <w:lang w:val="en-GB"/>
        </w:rPr>
      </w:pPr>
      <w:r>
        <w:rPr>
          <w:lang w:val="en-GB"/>
        </w:rPr>
        <w:t>Identifying and u</w:t>
      </w:r>
      <w:r w:rsidRPr="00CD66B3">
        <w:rPr>
          <w:lang w:val="en-GB"/>
        </w:rPr>
        <w:t xml:space="preserve">nderstanding all business and regulatory activities clearly is necessary to identify the precise cost of application delay. </w:t>
      </w:r>
    </w:p>
    <w:p w:rsidR="00062F84" w:rsidRPr="009F1A96" w:rsidRDefault="00062F84" w:rsidP="004B10B5">
      <w:pPr>
        <w:pStyle w:val="Heading3indent"/>
      </w:pPr>
      <w:bookmarkStart w:id="295" w:name="_Toc306187741"/>
      <w:bookmarkStart w:id="296" w:name="_Toc355267657"/>
      <w:bookmarkStart w:id="297" w:name="_Toc355275877"/>
      <w:bookmarkStart w:id="298" w:name="_Toc358276111"/>
      <w:bookmarkStart w:id="299" w:name="_Toc358282383"/>
      <w:bookmarkStart w:id="300" w:name="_Toc468455444"/>
      <w:r w:rsidRPr="009F1A96">
        <w:t>Identifying approval delays</w:t>
      </w:r>
      <w:bookmarkEnd w:id="295"/>
      <w:bookmarkEnd w:id="296"/>
      <w:bookmarkEnd w:id="297"/>
      <w:bookmarkEnd w:id="298"/>
      <w:bookmarkEnd w:id="299"/>
      <w:bookmarkEnd w:id="300"/>
      <w:r w:rsidRPr="009F1A96">
        <w:t xml:space="preserve"> </w:t>
      </w:r>
    </w:p>
    <w:p w:rsidR="00062F84" w:rsidRPr="00CD66B3" w:rsidRDefault="00062F84" w:rsidP="004D73A0">
      <w:pPr>
        <w:pStyle w:val="NormalIndent"/>
        <w:rPr>
          <w:lang w:val="en-GB"/>
        </w:rPr>
      </w:pPr>
      <w:r w:rsidRPr="00CD66B3">
        <w:rPr>
          <w:lang w:val="en-GB"/>
        </w:rPr>
        <w:t xml:space="preserve">The moment such an application is lodged with a regulator, the time lapsed can be counted (from T=1 in </w:t>
      </w:r>
      <w:r w:rsidRPr="009F1A96">
        <w:rPr>
          <w:lang w:val="en-GB"/>
        </w:rPr>
        <w:t>Figure 5),</w:t>
      </w:r>
      <w:r w:rsidRPr="00CD66B3">
        <w:rPr>
          <w:lang w:val="en-GB"/>
        </w:rPr>
        <w:t xml:space="preserve"> subject to a deeper understanding of the overall processes underway. In general, to initiate an approval delay, the application lodged with a regulator should generally conform to regulatory requirements (e.g. by furnishing relevant documentary evidence) to a standard expected of a normally efficient business. Since normally efficient businesses may be required to put in a moderate amount of re-work despite their best intentions to submit a perfect application (for the regulatory requirements may be too complex or unclear even for the most expert business), a moderate level of re-work should be counted as part of the approval delay. The average time for re-work taken by businesses can be counted towards this purpose.</w:t>
      </w:r>
    </w:p>
    <w:p w:rsidR="00062F84" w:rsidRPr="00CD66B3" w:rsidRDefault="00062F84" w:rsidP="004D73A0">
      <w:pPr>
        <w:pStyle w:val="Bulletindent"/>
        <w:rPr>
          <w:lang w:val="en-GB"/>
        </w:rPr>
      </w:pPr>
      <w:r w:rsidRPr="00CD66B3">
        <w:rPr>
          <w:lang w:val="en-GB"/>
        </w:rPr>
        <w:t xml:space="preserve">To be counted as a delay, an </w:t>
      </w:r>
      <w:r w:rsidRPr="00CD66B3">
        <w:rPr>
          <w:b/>
          <w:i/>
          <w:lang w:val="en-GB"/>
        </w:rPr>
        <w:t>approval</w:t>
      </w:r>
      <w:r w:rsidRPr="00CD66B3">
        <w:rPr>
          <w:lang w:val="en-GB"/>
        </w:rPr>
        <w:t xml:space="preserve"> </w:t>
      </w:r>
      <w:r w:rsidRPr="00CD66B3">
        <w:rPr>
          <w:b/>
          <w:i/>
          <w:lang w:val="en-GB"/>
        </w:rPr>
        <w:t>delay</w:t>
      </w:r>
      <w:r w:rsidRPr="00CD66B3">
        <w:rPr>
          <w:lang w:val="en-GB"/>
        </w:rPr>
        <w:t xml:space="preserve"> must meet </w:t>
      </w:r>
      <w:r w:rsidRPr="00CD66B3">
        <w:rPr>
          <w:b/>
          <w:i/>
          <w:lang w:val="en-GB"/>
        </w:rPr>
        <w:t>all</w:t>
      </w:r>
      <w:r w:rsidRPr="00CD66B3">
        <w:rPr>
          <w:lang w:val="en-GB"/>
        </w:rPr>
        <w:t xml:space="preserve"> of the following criteria:</w:t>
      </w:r>
    </w:p>
    <w:p w:rsidR="00062F84" w:rsidRPr="005C260E" w:rsidRDefault="00062F84" w:rsidP="004D73A0">
      <w:pPr>
        <w:pStyle w:val="Bulletindent"/>
      </w:pPr>
      <w:r w:rsidRPr="005C260E">
        <w:t xml:space="preserve">the delays must actually prevent the regulated entity from commencing its intended operations;  </w:t>
      </w:r>
    </w:p>
    <w:p w:rsidR="00062F84" w:rsidRPr="005C260E" w:rsidRDefault="00062F84" w:rsidP="004D73A0">
      <w:pPr>
        <w:pStyle w:val="Bulletindent"/>
      </w:pPr>
      <w:r w:rsidRPr="005C260E">
        <w:t xml:space="preserve">parallel processes of re-work during the approval process must not have been double counted (thus, in Figure </w:t>
      </w:r>
      <w:r>
        <w:t>5</w:t>
      </w:r>
      <w:r w:rsidRPr="005C260E">
        <w:t xml:space="preserve">, the re-work of processes 2 and 4 must not be double-counted); </w:t>
      </w:r>
    </w:p>
    <w:p w:rsidR="00062F84" w:rsidRPr="005C260E" w:rsidRDefault="00062F84" w:rsidP="004D73A0">
      <w:pPr>
        <w:pStyle w:val="Bulletindent"/>
      </w:pPr>
      <w:r w:rsidRPr="005C260E">
        <w:t>business as usual processes that would be undertaken in parallel during approval of an application have been subtracted.</w:t>
      </w:r>
    </w:p>
    <w:p w:rsidR="00062F84" w:rsidRPr="005C260E" w:rsidRDefault="00062F84" w:rsidP="004D73A0">
      <w:pPr>
        <w:pStyle w:val="NormalIndent"/>
      </w:pPr>
      <w:r w:rsidRPr="00CD66B3">
        <w:t xml:space="preserve">The average duration of an approval (difference between T=2 and T=1 in Figure </w:t>
      </w:r>
      <w:r>
        <w:t>5</w:t>
      </w:r>
      <w:r w:rsidRPr="00CD66B3">
        <w:t xml:space="preserve"> – including the re-work period), can be determined by considering a normally efficient business and a </w:t>
      </w:r>
      <w:r w:rsidRPr="00CD66B3">
        <w:rPr>
          <w:i/>
        </w:rPr>
        <w:t>normally efficient regulator</w:t>
      </w:r>
      <w:r w:rsidRPr="00CD66B3">
        <w:t xml:space="preserve"> (a concept similar to normally efficient business, when applied to a regulator). </w:t>
      </w:r>
    </w:p>
    <w:p w:rsidR="00062F84" w:rsidRPr="009F1A96" w:rsidRDefault="00062F84" w:rsidP="004B10B5">
      <w:pPr>
        <w:pStyle w:val="Heading3indent"/>
      </w:pPr>
      <w:bookmarkStart w:id="301" w:name="_Toc306187742"/>
      <w:bookmarkStart w:id="302" w:name="_Toc355267658"/>
      <w:bookmarkStart w:id="303" w:name="_Toc355275878"/>
      <w:bookmarkStart w:id="304" w:name="_Toc358276112"/>
      <w:bookmarkStart w:id="305" w:name="_Toc358282384"/>
      <w:bookmarkStart w:id="306" w:name="_Toc468455445"/>
      <w:r w:rsidRPr="009F1A96">
        <w:lastRenderedPageBreak/>
        <w:t>Underlying causes of delay</w:t>
      </w:r>
      <w:bookmarkEnd w:id="301"/>
      <w:bookmarkEnd w:id="302"/>
      <w:bookmarkEnd w:id="303"/>
      <w:bookmarkEnd w:id="304"/>
      <w:bookmarkEnd w:id="305"/>
      <w:bookmarkEnd w:id="306"/>
    </w:p>
    <w:p w:rsidR="00062F84" w:rsidRPr="00CD66B3" w:rsidRDefault="00062F84" w:rsidP="004D73A0">
      <w:pPr>
        <w:pStyle w:val="NormalIndent"/>
      </w:pPr>
      <w:bookmarkStart w:id="307" w:name="_Toc240692080"/>
      <w:r w:rsidRPr="00CD66B3">
        <w:t xml:space="preserve">Where it is felt necessary to gain a better understanding of underlying costs, the cause of delay can be disaggregated into </w:t>
      </w:r>
      <w:bookmarkEnd w:id="307"/>
      <w:r w:rsidRPr="00CD66B3">
        <w:t>its underlying causes, such as:</w:t>
      </w:r>
    </w:p>
    <w:p w:rsidR="00062F84" w:rsidRPr="00CD66B3" w:rsidRDefault="00062F84" w:rsidP="004D73A0">
      <w:pPr>
        <w:pStyle w:val="Bulletindent"/>
      </w:pPr>
      <w:r w:rsidRPr="00CD66B3">
        <w:t>underlying requirement to pay land taxes and rates during a period of delay; and</w:t>
      </w:r>
    </w:p>
    <w:p w:rsidR="00062F84" w:rsidRPr="00CD66B3" w:rsidRDefault="00062F84" w:rsidP="004D73A0">
      <w:pPr>
        <w:pStyle w:val="Bulletindent"/>
      </w:pPr>
      <w:r w:rsidRPr="00CD66B3">
        <w:t>underlying requirement to maintain structures (such as fences) during a period of delay.</w:t>
      </w:r>
      <w:bookmarkStart w:id="308" w:name="_Toc257015786"/>
      <w:bookmarkStart w:id="309" w:name="_Toc335401937"/>
    </w:p>
    <w:p w:rsidR="00062F84" w:rsidRPr="009F1A96" w:rsidRDefault="00062F84" w:rsidP="004B10B5">
      <w:pPr>
        <w:pStyle w:val="Heading3indent"/>
      </w:pPr>
      <w:bookmarkStart w:id="310" w:name="_Toc355267659"/>
      <w:bookmarkStart w:id="311" w:name="_Toc355275879"/>
      <w:bookmarkStart w:id="312" w:name="_Toc358276113"/>
      <w:bookmarkStart w:id="313" w:name="_Toc358282385"/>
      <w:bookmarkStart w:id="314" w:name="_Toc468455446"/>
      <w:r w:rsidRPr="009F1A96">
        <w:t>Calculating delay costs</w:t>
      </w:r>
      <w:bookmarkEnd w:id="308"/>
      <w:bookmarkEnd w:id="309"/>
      <w:bookmarkEnd w:id="310"/>
      <w:bookmarkEnd w:id="311"/>
      <w:bookmarkEnd w:id="312"/>
      <w:bookmarkEnd w:id="313"/>
      <w:bookmarkEnd w:id="314"/>
      <w:r w:rsidRPr="009F1A96">
        <w:t xml:space="preserve"> </w:t>
      </w:r>
    </w:p>
    <w:p w:rsidR="00062F84" w:rsidRPr="00CD66B3" w:rsidRDefault="00062F84" w:rsidP="004D73A0">
      <w:pPr>
        <w:pStyle w:val="NormalIndent"/>
      </w:pPr>
      <w:r w:rsidRPr="00CD66B3">
        <w:t xml:space="preserve">A precise calculation of delay costs can potentially require the consideration of: </w:t>
      </w:r>
    </w:p>
    <w:p w:rsidR="00062F84" w:rsidRPr="00CD66B3" w:rsidRDefault="00062F84" w:rsidP="004D73A0">
      <w:pPr>
        <w:pStyle w:val="Bulletindent"/>
      </w:pPr>
      <w:r w:rsidRPr="00CD66B3">
        <w:t xml:space="preserve">complex time values of future costs and returns; and </w:t>
      </w:r>
    </w:p>
    <w:p w:rsidR="00062F84" w:rsidRPr="00CD66B3" w:rsidRDefault="00062F84" w:rsidP="004D73A0">
      <w:pPr>
        <w:pStyle w:val="Bulletindent"/>
      </w:pPr>
      <w:r w:rsidRPr="00CD66B3">
        <w:t xml:space="preserve">difficult-to-obtain data for the relevant variables. </w:t>
      </w:r>
    </w:p>
    <w:p w:rsidR="00062F84" w:rsidRPr="00CD66B3" w:rsidRDefault="00062F84" w:rsidP="004D73A0">
      <w:pPr>
        <w:pStyle w:val="NormalIndent"/>
        <w:rPr>
          <w:sz w:val="12"/>
        </w:rPr>
      </w:pPr>
      <w:r w:rsidRPr="00CD66B3">
        <w:t xml:space="preserve">Given the difficulties inherent in calculating delay costs, </w:t>
      </w:r>
      <w:r w:rsidRPr="00CD66B3">
        <w:rPr>
          <w:b/>
        </w:rPr>
        <w:t>simplifying assumptions</w:t>
      </w:r>
      <w:r w:rsidRPr="00CD66B3">
        <w:t xml:space="preserve"> should be made where doing so would be reasonable. </w:t>
      </w:r>
    </w:p>
    <w:p w:rsidR="00062F84" w:rsidRDefault="00062F84" w:rsidP="004D73A0">
      <w:pPr>
        <w:pStyle w:val="NormalIndent"/>
      </w:pPr>
      <w:r w:rsidRPr="00CD66B3">
        <w:t xml:space="preserve">Delays impose both </w:t>
      </w:r>
      <w:r w:rsidRPr="00CD66B3">
        <w:rPr>
          <w:i/>
        </w:rPr>
        <w:t>direct costs</w:t>
      </w:r>
      <w:r w:rsidRPr="00CD66B3">
        <w:t xml:space="preserve"> and </w:t>
      </w:r>
      <w:r w:rsidRPr="00CD66B3">
        <w:rPr>
          <w:i/>
        </w:rPr>
        <w:t>opportunity costs</w:t>
      </w:r>
      <w:r w:rsidRPr="00CD66B3">
        <w:t>.</w:t>
      </w:r>
      <w:r w:rsidRPr="00CD66B3">
        <w:rPr>
          <w:vertAlign w:val="superscript"/>
        </w:rPr>
        <w:footnoteReference w:id="6"/>
      </w:r>
      <w:r w:rsidRPr="00CD66B3">
        <w:t xml:space="preserve"> The general formula for assessing delay costs is, therefore:</w:t>
      </w:r>
    </w:p>
    <w:tbl>
      <w:tblPr>
        <w:tblStyle w:val="DTFtexttableindent"/>
        <w:tblW w:w="0" w:type="auto"/>
        <w:tblLook w:val="0680" w:firstRow="0" w:lastRow="0" w:firstColumn="1" w:lastColumn="0" w:noHBand="1" w:noVBand="1"/>
      </w:tblPr>
      <w:tblGrid>
        <w:gridCol w:w="8319"/>
      </w:tblGrid>
      <w:tr w:rsidR="006F7DA0" w:rsidTr="006F7DA0">
        <w:tc>
          <w:tcPr>
            <w:cnfStyle w:val="001000000000" w:firstRow="0" w:lastRow="0" w:firstColumn="1" w:lastColumn="0" w:oddVBand="0" w:evenVBand="0" w:oddHBand="0" w:evenHBand="0" w:firstRowFirstColumn="0" w:firstRowLastColumn="0" w:lastRowFirstColumn="0" w:lastRowLastColumn="0"/>
            <w:tcW w:w="9242" w:type="dxa"/>
          </w:tcPr>
          <w:p w:rsidR="006F7DA0" w:rsidRPr="00CD66B3" w:rsidRDefault="006F7DA0" w:rsidP="006F7DA0">
            <w:pPr>
              <w:pStyle w:val="Tablechartdiagramheading"/>
            </w:pPr>
            <w:r w:rsidRPr="00CD66B3">
              <w:t>Delay costs = Unit cost x Quantity</w:t>
            </w:r>
          </w:p>
          <w:p w:rsidR="006F7DA0" w:rsidRPr="00CD66B3" w:rsidRDefault="006F7DA0" w:rsidP="006F7DA0">
            <w:pPr>
              <w:pStyle w:val="Tabletextindent2"/>
              <w:rPr>
                <w:b/>
              </w:rPr>
            </w:pPr>
            <w:r w:rsidRPr="00CD66B3">
              <w:t xml:space="preserve">= </w:t>
            </w:r>
            <w:r>
              <w:tab/>
            </w:r>
            <w:r w:rsidRPr="00CD66B3">
              <w:t xml:space="preserve">(tariff x time) x (population) </w:t>
            </w:r>
            <w:r w:rsidRPr="00CD66B3">
              <w:rPr>
                <w:b/>
              </w:rPr>
              <w:t>OR</w:t>
            </w:r>
          </w:p>
          <w:p w:rsidR="006F7DA0" w:rsidRDefault="006F7DA0" w:rsidP="006F7DA0">
            <w:pPr>
              <w:pStyle w:val="Tabletextindent2"/>
            </w:pPr>
            <w:r>
              <w:t xml:space="preserve">= </w:t>
            </w:r>
            <w:r>
              <w:tab/>
            </w:r>
            <w:r w:rsidRPr="00CD66B3">
              <w:rPr>
                <w:rFonts w:cs="Arial"/>
              </w:rPr>
              <w:t>{</w:t>
            </w:r>
            <w:r w:rsidRPr="00CD66B3">
              <w:t>(costs incurred + opportunity cost) x delay period</w:t>
            </w:r>
            <w:r w:rsidRPr="00CD66B3">
              <w:rPr>
                <w:rFonts w:cs="Arial"/>
              </w:rPr>
              <w:t>}</w:t>
            </w:r>
            <w:r>
              <w:t xml:space="preserve"> x (affected units)</w:t>
            </w:r>
          </w:p>
        </w:tc>
      </w:tr>
    </w:tbl>
    <w:p w:rsidR="004B10B5" w:rsidRDefault="004B10B5" w:rsidP="006F7DA0">
      <w:pPr>
        <w:pStyle w:val="Spacer"/>
      </w:pPr>
    </w:p>
    <w:p w:rsidR="00062F84" w:rsidRDefault="00062F84" w:rsidP="004D73A0">
      <w:pPr>
        <w:pStyle w:val="NormalIndent"/>
      </w:pPr>
      <w:r w:rsidRPr="00CD66B3">
        <w:t xml:space="preserve">Businesses often take </w:t>
      </w:r>
      <w:r w:rsidRPr="00CD66B3">
        <w:rPr>
          <w:b/>
        </w:rPr>
        <w:t>actions to mitigate the costs imposed by delays</w:t>
      </w:r>
      <w:r w:rsidRPr="00CD66B3">
        <w:t xml:space="preserve">. For instance, they may rent out the asset which they are required to hold during an application process. Revenues received from these mitigating actions must be counted, and used to offset some of the costs imposed by regulatory delays. An example of a delay cost calculation that takes into account such a mitigating action is provided in Box </w:t>
      </w:r>
      <w:r>
        <w:t>5</w:t>
      </w:r>
      <w:r w:rsidRPr="00CD66B3">
        <w:t>.</w:t>
      </w:r>
    </w:p>
    <w:tbl>
      <w:tblPr>
        <w:tblStyle w:val="DTFtexttableindent"/>
        <w:tblW w:w="8144" w:type="dxa"/>
        <w:tblLayout w:type="fixed"/>
        <w:tblLook w:val="0380" w:firstRow="0" w:lastRow="0" w:firstColumn="1" w:lastColumn="1" w:noHBand="1" w:noVBand="0"/>
      </w:tblPr>
      <w:tblGrid>
        <w:gridCol w:w="8144"/>
      </w:tblGrid>
      <w:tr w:rsidR="00062F84" w:rsidRPr="00CD66B3" w:rsidTr="006F7DA0">
        <w:tc>
          <w:tcPr>
            <w:cnfStyle w:val="001000000000" w:firstRow="0" w:lastRow="0" w:firstColumn="1" w:lastColumn="0" w:oddVBand="0" w:evenVBand="0" w:oddHBand="0" w:evenHBand="0" w:firstRowFirstColumn="0" w:firstRowLastColumn="0" w:lastRowFirstColumn="0" w:lastRowLastColumn="0"/>
            <w:tcW w:w="8144" w:type="dxa"/>
          </w:tcPr>
          <w:p w:rsidR="00062F84" w:rsidRPr="00CD66B3" w:rsidRDefault="00062F84" w:rsidP="006F7DA0">
            <w:pPr>
              <w:pStyle w:val="Tablechartdiagramheading"/>
            </w:pPr>
            <w:r w:rsidRPr="00CD66B3">
              <w:lastRenderedPageBreak/>
              <w:t xml:space="preserve">Box </w:t>
            </w:r>
            <w:r>
              <w:t>5:</w:t>
            </w:r>
            <w:r w:rsidRPr="00CD66B3">
              <w:t xml:space="preserve"> An example of a delay cost calculation</w:t>
            </w:r>
          </w:p>
          <w:p w:rsidR="00062F84" w:rsidRPr="00CD66B3" w:rsidRDefault="00062F84" w:rsidP="006F7DA0">
            <w:pPr>
              <w:pStyle w:val="Tabletextbold"/>
            </w:pPr>
            <w:r w:rsidRPr="00CD66B3">
              <w:t>Planning application process</w:t>
            </w:r>
          </w:p>
          <w:p w:rsidR="00062F84" w:rsidRPr="00AD52E3" w:rsidRDefault="00062F84" w:rsidP="006F7DA0">
            <w:pPr>
              <w:pStyle w:val="Tabletextbold"/>
            </w:pPr>
            <w:r w:rsidRPr="00AD52E3">
              <w:t>Scenario</w:t>
            </w:r>
          </w:p>
          <w:p w:rsidR="00062F84" w:rsidRPr="00AD52E3" w:rsidRDefault="00062F84" w:rsidP="006F7DA0">
            <w:pPr>
              <w:pStyle w:val="Tabletext"/>
            </w:pPr>
            <w:r w:rsidRPr="00AD52E3">
              <w:t xml:space="preserve">Box </w:t>
            </w:r>
            <w:r w:rsidRPr="009F1A96">
              <w:t>3 (</w:t>
            </w:r>
            <w:r>
              <w:t>in Appendix A, section A.2.2</w:t>
            </w:r>
            <w:r w:rsidRPr="009F1A96">
              <w:t>)</w:t>
            </w:r>
            <w:r w:rsidRPr="00AD52E3">
              <w:t xml:space="preserve"> discussed an example of a delay cost (approval delay) imposed by a planning approvals process. </w:t>
            </w:r>
            <w:r>
              <w:t>Box 5</w:t>
            </w:r>
            <w:r w:rsidRPr="00AD52E3">
              <w:t xml:space="preserve"> calculates the savings delivered to developers if the time for approval is reduced. The quicker approval process saves property developers an amount of time = </w:t>
            </w:r>
            <w:r>
              <w:rPr>
                <w:noProof/>
                <w:position w:val="-6"/>
              </w:rPr>
              <w:drawing>
                <wp:inline distT="0" distB="0" distL="0" distR="0" wp14:anchorId="5F255BA8" wp14:editId="373A2934">
                  <wp:extent cx="87630" cy="15367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7630" cy="153670"/>
                          </a:xfrm>
                          <a:prstGeom prst="rect">
                            <a:avLst/>
                          </a:prstGeom>
                          <a:noFill/>
                          <a:ln>
                            <a:noFill/>
                          </a:ln>
                        </pic:spPr>
                      </pic:pic>
                    </a:graphicData>
                  </a:graphic>
                </wp:inline>
              </w:drawing>
            </w:r>
            <w:r w:rsidRPr="00AD52E3">
              <w:t>. This time saved is over and above various business as usual processes.</w:t>
            </w:r>
          </w:p>
          <w:p w:rsidR="00062F84" w:rsidRPr="00AD52E3" w:rsidRDefault="00062F84" w:rsidP="006F7DA0">
            <w:pPr>
              <w:pStyle w:val="Tabletextbold"/>
            </w:pPr>
            <w:r w:rsidRPr="00AD52E3">
              <w:t>Assumptions</w:t>
            </w:r>
          </w:p>
          <w:p w:rsidR="00062F84" w:rsidRPr="00AD52E3" w:rsidRDefault="00062F84" w:rsidP="006F7DA0">
            <w:pPr>
              <w:pStyle w:val="Tabletext"/>
            </w:pPr>
            <w:r w:rsidRPr="00AD52E3">
              <w:rPr>
                <w:i/>
              </w:rPr>
              <w:t>Assume</w:t>
            </w:r>
            <w:r w:rsidRPr="00AD52E3">
              <w:t xml:space="preserve"> that some property developers are able to rent out the land during the approval period, thus minimising idle capital. </w:t>
            </w:r>
          </w:p>
          <w:p w:rsidR="00062F84" w:rsidRPr="00AD52E3" w:rsidRDefault="00062F84" w:rsidP="006F7DA0">
            <w:pPr>
              <w:pStyle w:val="Tabletext"/>
            </w:pPr>
            <w:r w:rsidRPr="00AD52E3">
              <w:rPr>
                <w:i/>
              </w:rPr>
              <w:t>Assume</w:t>
            </w:r>
            <w:r w:rsidRPr="00AD52E3">
              <w:t xml:space="preserve"> that the best alternative use for capital (equity) for the developer is to invest in other property development. The annual value of such alternative use is calculated by considering the return from such equity spread over the duration of the entire property development project. </w:t>
            </w:r>
          </w:p>
          <w:p w:rsidR="00062F84" w:rsidRPr="00AD52E3" w:rsidRDefault="00062F84" w:rsidP="006F7DA0">
            <w:pPr>
              <w:pStyle w:val="Tabletextbold"/>
            </w:pPr>
            <w:r w:rsidRPr="00AD52E3">
              <w:t>The calculation</w:t>
            </w:r>
          </w:p>
          <w:p w:rsidR="00062F84" w:rsidRPr="00AD52E3" w:rsidRDefault="00062F84" w:rsidP="006F7DA0">
            <w:pPr>
              <w:pStyle w:val="Tabletext"/>
            </w:pPr>
            <w:r w:rsidRPr="00AD52E3">
              <w:t xml:space="preserve">Two types of savings are delivered by reducing the time for approvals by </w:t>
            </w:r>
            <w:r>
              <w:rPr>
                <w:noProof/>
                <w:position w:val="-6"/>
              </w:rPr>
              <w:drawing>
                <wp:inline distT="0" distB="0" distL="0" distR="0" wp14:anchorId="44D07D38" wp14:editId="0D60A3E4">
                  <wp:extent cx="87630" cy="15367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7630" cy="153670"/>
                          </a:xfrm>
                          <a:prstGeom prst="rect">
                            <a:avLst/>
                          </a:prstGeom>
                          <a:noFill/>
                          <a:ln>
                            <a:noFill/>
                          </a:ln>
                        </pic:spPr>
                      </pic:pic>
                    </a:graphicData>
                  </a:graphic>
                </wp:inline>
              </w:drawing>
            </w:r>
            <w:r w:rsidRPr="00AD52E3">
              <w:t>:</w:t>
            </w:r>
          </w:p>
          <w:p w:rsidR="00062F84" w:rsidRPr="00AD52E3" w:rsidRDefault="00062F84" w:rsidP="006F7DA0">
            <w:pPr>
              <w:pStyle w:val="Tablebullet"/>
            </w:pPr>
            <w:r w:rsidRPr="00AD52E3">
              <w:t>direct savings (from reduced</w:t>
            </w:r>
            <w:r w:rsidRPr="00AD52E3">
              <w:rPr>
                <w:i/>
              </w:rPr>
              <w:t xml:space="preserve"> holding costs of land</w:t>
            </w:r>
            <w:r w:rsidRPr="00AD52E3">
              <w:t xml:space="preserve">) during the period </w:t>
            </w:r>
            <w:r>
              <w:rPr>
                <w:noProof/>
                <w:position w:val="-6"/>
              </w:rPr>
              <w:drawing>
                <wp:inline distT="0" distB="0" distL="0" distR="0" wp14:anchorId="3BA38070" wp14:editId="0A8329CC">
                  <wp:extent cx="87630" cy="15367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7630" cy="153670"/>
                          </a:xfrm>
                          <a:prstGeom prst="rect">
                            <a:avLst/>
                          </a:prstGeom>
                          <a:noFill/>
                          <a:ln>
                            <a:noFill/>
                          </a:ln>
                        </pic:spPr>
                      </pic:pic>
                    </a:graphicData>
                  </a:graphic>
                </wp:inline>
              </w:drawing>
            </w:r>
            <w:r w:rsidRPr="00AD52E3">
              <w:t>; and</w:t>
            </w:r>
            <w:r w:rsidRPr="00AD52E3">
              <w:rPr>
                <w:i/>
              </w:rPr>
              <w:t xml:space="preserve"> </w:t>
            </w:r>
          </w:p>
          <w:p w:rsidR="00062F84" w:rsidRPr="00AD52E3" w:rsidRDefault="00062F84" w:rsidP="006F7DA0">
            <w:pPr>
              <w:pStyle w:val="Tablebullet"/>
            </w:pPr>
            <w:r>
              <w:t xml:space="preserve"> </w:t>
            </w:r>
            <w:r w:rsidRPr="00AD52E3">
              <w:t xml:space="preserve">savings in opportunity costs (of capital locked into less productive use) during the period </w:t>
            </w:r>
            <w:r>
              <w:rPr>
                <w:noProof/>
                <w:position w:val="-6"/>
              </w:rPr>
              <w:drawing>
                <wp:inline distT="0" distB="0" distL="0" distR="0" wp14:anchorId="06E5C3E9" wp14:editId="37996AB5">
                  <wp:extent cx="87630" cy="15367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7630" cy="153670"/>
                          </a:xfrm>
                          <a:prstGeom prst="rect">
                            <a:avLst/>
                          </a:prstGeom>
                          <a:noFill/>
                          <a:ln>
                            <a:noFill/>
                          </a:ln>
                        </pic:spPr>
                      </pic:pic>
                    </a:graphicData>
                  </a:graphic>
                </wp:inline>
              </w:drawing>
            </w:r>
            <w:r w:rsidRPr="00AD52E3">
              <w:t>.</w:t>
            </w:r>
          </w:p>
          <w:p w:rsidR="00062F84" w:rsidRDefault="00062F84" w:rsidP="006F7DA0">
            <w:pPr>
              <w:pStyle w:val="Tabletext"/>
            </w:pPr>
            <w:r w:rsidRPr="00AD52E3">
              <w:t xml:space="preserve">The formula for reduced holding costs of land is provided first: </w:t>
            </w:r>
          </w:p>
          <w:p w:rsidR="00062F84" w:rsidRPr="00AD52E3" w:rsidRDefault="00062F84" w:rsidP="006F7DA0">
            <w:pPr>
              <w:pStyle w:val="Tabletextbold"/>
              <w:jc w:val="center"/>
            </w:pPr>
            <w:r w:rsidRPr="00EB3ACA">
              <w:t>Holding costs incurred = {C x (</w:t>
            </w:r>
            <w:proofErr w:type="spellStart"/>
            <w:r w:rsidRPr="00EB3ACA">
              <w:t>i</w:t>
            </w:r>
            <w:proofErr w:type="spellEnd"/>
            <w:r w:rsidRPr="00EB3ACA">
              <w:t xml:space="preserve"> + t + r)} – (A x R</w:t>
            </w:r>
            <w:r>
              <w:t>)</w:t>
            </w:r>
          </w:p>
          <w:p w:rsidR="00062F84" w:rsidRPr="00AD52E3" w:rsidRDefault="00062F84" w:rsidP="006F7DA0">
            <w:pPr>
              <w:pStyle w:val="Tabletext"/>
            </w:pPr>
            <w:r w:rsidRPr="00AD52E3">
              <w:t>where</w:t>
            </w:r>
          </w:p>
          <w:tbl>
            <w:tblPr>
              <w:tblStyle w:val="DTFtexttable"/>
              <w:tblW w:w="0" w:type="auto"/>
              <w:jc w:val="center"/>
              <w:tblLayout w:type="fixed"/>
              <w:tblLook w:val="0600" w:firstRow="0" w:lastRow="0" w:firstColumn="0" w:lastColumn="0" w:noHBand="1" w:noVBand="1"/>
            </w:tblPr>
            <w:tblGrid>
              <w:gridCol w:w="648"/>
              <w:gridCol w:w="302"/>
              <w:gridCol w:w="5634"/>
            </w:tblGrid>
            <w:tr w:rsidR="00062F84" w:rsidRPr="00AD52E3" w:rsidTr="006F7DA0">
              <w:trPr>
                <w:jc w:val="center"/>
              </w:trPr>
              <w:tc>
                <w:tcPr>
                  <w:tcW w:w="648" w:type="dxa"/>
                </w:tcPr>
                <w:p w:rsidR="00062F84" w:rsidRPr="00AD52E3" w:rsidRDefault="00062F84" w:rsidP="006F7DA0">
                  <w:pPr>
                    <w:pStyle w:val="Tabletext"/>
                  </w:pPr>
                  <w:r>
                    <w:t>C</w:t>
                  </w:r>
                </w:p>
              </w:tc>
              <w:tc>
                <w:tcPr>
                  <w:tcW w:w="302" w:type="dxa"/>
                </w:tcPr>
                <w:p w:rsidR="00062F84" w:rsidRPr="00AD52E3" w:rsidRDefault="00062F84" w:rsidP="006F7DA0">
                  <w:pPr>
                    <w:pStyle w:val="Tabletext"/>
                  </w:pPr>
                  <w:r w:rsidRPr="00AD52E3">
                    <w:t>=</w:t>
                  </w:r>
                </w:p>
              </w:tc>
              <w:tc>
                <w:tcPr>
                  <w:tcW w:w="5634" w:type="dxa"/>
                </w:tcPr>
                <w:p w:rsidR="00062F84" w:rsidRPr="00AD52E3" w:rsidRDefault="00062F84" w:rsidP="006F7DA0">
                  <w:pPr>
                    <w:pStyle w:val="Tabletext"/>
                  </w:pPr>
                  <w:r w:rsidRPr="00AD52E3">
                    <w:t xml:space="preserve">total land cost, </w:t>
                  </w:r>
                  <w:r w:rsidRPr="00AD52E3">
                    <w:rPr>
                      <w:i/>
                    </w:rPr>
                    <w:t>per hectare</w:t>
                  </w:r>
                </w:p>
              </w:tc>
            </w:tr>
            <w:tr w:rsidR="00062F84" w:rsidRPr="00AD52E3" w:rsidTr="006F7DA0">
              <w:trPr>
                <w:jc w:val="center"/>
              </w:trPr>
              <w:tc>
                <w:tcPr>
                  <w:tcW w:w="648" w:type="dxa"/>
                </w:tcPr>
                <w:p w:rsidR="00062F84" w:rsidRPr="00AD52E3" w:rsidRDefault="00062F84" w:rsidP="006F7DA0">
                  <w:pPr>
                    <w:pStyle w:val="Tabletext"/>
                  </w:pPr>
                  <w:proofErr w:type="spellStart"/>
                  <w:r>
                    <w:t>i</w:t>
                  </w:r>
                  <w:proofErr w:type="spellEnd"/>
                </w:p>
              </w:tc>
              <w:tc>
                <w:tcPr>
                  <w:tcW w:w="302" w:type="dxa"/>
                </w:tcPr>
                <w:p w:rsidR="00062F84" w:rsidRPr="00AD52E3" w:rsidRDefault="00062F84" w:rsidP="006F7DA0">
                  <w:pPr>
                    <w:pStyle w:val="Tabletext"/>
                  </w:pPr>
                  <w:r w:rsidRPr="00AD52E3">
                    <w:t>=</w:t>
                  </w:r>
                </w:p>
              </w:tc>
              <w:tc>
                <w:tcPr>
                  <w:tcW w:w="5634" w:type="dxa"/>
                </w:tcPr>
                <w:p w:rsidR="00062F84" w:rsidRPr="00AD52E3" w:rsidRDefault="00062F84" w:rsidP="006F7DA0">
                  <w:pPr>
                    <w:pStyle w:val="Tabletext"/>
                  </w:pPr>
                  <w:r w:rsidRPr="00AD52E3">
                    <w:t>interest rate, in percent per annum, charged by lenders</w:t>
                  </w:r>
                </w:p>
              </w:tc>
            </w:tr>
            <w:tr w:rsidR="00062F84" w:rsidRPr="00AD52E3" w:rsidTr="006F7DA0">
              <w:trPr>
                <w:jc w:val="center"/>
              </w:trPr>
              <w:tc>
                <w:tcPr>
                  <w:tcW w:w="648" w:type="dxa"/>
                </w:tcPr>
                <w:p w:rsidR="00062F84" w:rsidRPr="00AD52E3" w:rsidRDefault="00062F84" w:rsidP="006F7DA0">
                  <w:pPr>
                    <w:pStyle w:val="Tabletext"/>
                  </w:pPr>
                  <w:r>
                    <w:t>T</w:t>
                  </w:r>
                </w:p>
              </w:tc>
              <w:tc>
                <w:tcPr>
                  <w:tcW w:w="302" w:type="dxa"/>
                </w:tcPr>
                <w:p w:rsidR="00062F84" w:rsidRPr="00AD52E3" w:rsidRDefault="00062F84" w:rsidP="006F7DA0">
                  <w:pPr>
                    <w:pStyle w:val="Tabletext"/>
                  </w:pPr>
                  <w:r w:rsidRPr="00AD52E3">
                    <w:t>=</w:t>
                  </w:r>
                </w:p>
              </w:tc>
              <w:tc>
                <w:tcPr>
                  <w:tcW w:w="5634" w:type="dxa"/>
                </w:tcPr>
                <w:p w:rsidR="00062F84" w:rsidRPr="00AD52E3" w:rsidRDefault="00062F84" w:rsidP="006F7DA0">
                  <w:pPr>
                    <w:pStyle w:val="Tabletext"/>
                  </w:pPr>
                  <w:r w:rsidRPr="00AD52E3">
                    <w:t xml:space="preserve">land tax, in percent per annum </w:t>
                  </w:r>
                  <w:r w:rsidRPr="00AD52E3">
                    <w:rPr>
                      <w:i/>
                    </w:rPr>
                    <w:t>per hectare</w:t>
                  </w:r>
                </w:p>
              </w:tc>
            </w:tr>
            <w:tr w:rsidR="00062F84" w:rsidRPr="00AD52E3" w:rsidTr="006F7DA0">
              <w:trPr>
                <w:jc w:val="center"/>
              </w:trPr>
              <w:tc>
                <w:tcPr>
                  <w:tcW w:w="648" w:type="dxa"/>
                </w:tcPr>
                <w:p w:rsidR="00062F84" w:rsidRPr="00AD52E3" w:rsidRDefault="00062F84" w:rsidP="006F7DA0">
                  <w:pPr>
                    <w:pStyle w:val="Tabletext"/>
                  </w:pPr>
                  <w:r>
                    <w:t>r</w:t>
                  </w:r>
                </w:p>
              </w:tc>
              <w:tc>
                <w:tcPr>
                  <w:tcW w:w="302" w:type="dxa"/>
                </w:tcPr>
                <w:p w:rsidR="00062F84" w:rsidRPr="00AD52E3" w:rsidRDefault="00062F84" w:rsidP="006F7DA0">
                  <w:pPr>
                    <w:pStyle w:val="Tabletext"/>
                  </w:pPr>
                  <w:r w:rsidRPr="00AD52E3">
                    <w:t>=</w:t>
                  </w:r>
                </w:p>
              </w:tc>
              <w:tc>
                <w:tcPr>
                  <w:tcW w:w="5634" w:type="dxa"/>
                </w:tcPr>
                <w:p w:rsidR="00062F84" w:rsidRPr="00AD52E3" w:rsidRDefault="00062F84" w:rsidP="006F7DA0">
                  <w:pPr>
                    <w:pStyle w:val="Tabletext"/>
                  </w:pPr>
                  <w:r w:rsidRPr="00AD52E3">
                    <w:t xml:space="preserve">Council rates, in percent per annum </w:t>
                  </w:r>
                  <w:r w:rsidRPr="00AD52E3">
                    <w:rPr>
                      <w:i/>
                    </w:rPr>
                    <w:t>per hectare</w:t>
                  </w:r>
                </w:p>
              </w:tc>
            </w:tr>
            <w:tr w:rsidR="00062F84" w:rsidRPr="00AD52E3" w:rsidTr="006F7DA0">
              <w:trPr>
                <w:jc w:val="center"/>
              </w:trPr>
              <w:tc>
                <w:tcPr>
                  <w:tcW w:w="648" w:type="dxa"/>
                </w:tcPr>
                <w:p w:rsidR="00062F84" w:rsidRPr="00AD52E3" w:rsidRDefault="00062F84" w:rsidP="006F7DA0">
                  <w:pPr>
                    <w:pStyle w:val="Tabletext"/>
                  </w:pPr>
                  <w:r>
                    <w:t>A</w:t>
                  </w:r>
                </w:p>
              </w:tc>
              <w:tc>
                <w:tcPr>
                  <w:tcW w:w="302" w:type="dxa"/>
                </w:tcPr>
                <w:p w:rsidR="00062F84" w:rsidRPr="00AD52E3" w:rsidRDefault="00062F84" w:rsidP="006F7DA0">
                  <w:pPr>
                    <w:pStyle w:val="Tabletext"/>
                  </w:pPr>
                  <w:r w:rsidRPr="00AD52E3">
                    <w:t>=</w:t>
                  </w:r>
                </w:p>
              </w:tc>
              <w:tc>
                <w:tcPr>
                  <w:tcW w:w="5634" w:type="dxa"/>
                </w:tcPr>
                <w:p w:rsidR="00062F84" w:rsidRPr="00AD52E3" w:rsidRDefault="00062F84" w:rsidP="006F7DA0">
                  <w:pPr>
                    <w:pStyle w:val="Tabletext"/>
                    <w:rPr>
                      <w:i/>
                    </w:rPr>
                  </w:pPr>
                  <w:r w:rsidRPr="00AD52E3">
                    <w:t xml:space="preserve">proportion of area rented out (if any) during application process, per annum </w:t>
                  </w:r>
                </w:p>
              </w:tc>
            </w:tr>
            <w:tr w:rsidR="00062F84" w:rsidRPr="00AD52E3" w:rsidTr="006F7DA0">
              <w:trPr>
                <w:jc w:val="center"/>
              </w:trPr>
              <w:tc>
                <w:tcPr>
                  <w:tcW w:w="648" w:type="dxa"/>
                </w:tcPr>
                <w:p w:rsidR="00062F84" w:rsidRPr="00AD52E3" w:rsidRDefault="00062F84" w:rsidP="006F7DA0">
                  <w:pPr>
                    <w:pStyle w:val="Tabletext"/>
                  </w:pPr>
                  <w:r>
                    <w:t>R</w:t>
                  </w:r>
                </w:p>
              </w:tc>
              <w:tc>
                <w:tcPr>
                  <w:tcW w:w="302" w:type="dxa"/>
                </w:tcPr>
                <w:p w:rsidR="00062F84" w:rsidRPr="00AD52E3" w:rsidRDefault="00062F84" w:rsidP="006F7DA0">
                  <w:pPr>
                    <w:pStyle w:val="Tabletext"/>
                  </w:pPr>
                  <w:r w:rsidRPr="00AD52E3">
                    <w:t>=</w:t>
                  </w:r>
                </w:p>
              </w:tc>
              <w:tc>
                <w:tcPr>
                  <w:tcW w:w="5634" w:type="dxa"/>
                </w:tcPr>
                <w:p w:rsidR="00062F84" w:rsidRPr="00AD52E3" w:rsidRDefault="00062F84" w:rsidP="006F7DA0">
                  <w:pPr>
                    <w:pStyle w:val="Tabletext"/>
                  </w:pPr>
                  <w:r w:rsidRPr="00AD52E3">
                    <w:t xml:space="preserve">rents, in dollars per annum </w:t>
                  </w:r>
                  <w:r w:rsidRPr="00AD52E3">
                    <w:rPr>
                      <w:i/>
                    </w:rPr>
                    <w:t>per hectare</w:t>
                  </w:r>
                  <w:r w:rsidRPr="00AD52E3" w:rsidDel="00EF5B92">
                    <w:t xml:space="preserve"> </w:t>
                  </w:r>
                </w:p>
              </w:tc>
            </w:tr>
          </w:tbl>
          <w:p w:rsidR="006F7DA0" w:rsidRDefault="006F7DA0" w:rsidP="006F7DA0">
            <w:pPr>
              <w:pStyle w:val="Spacer"/>
            </w:pPr>
          </w:p>
          <w:p w:rsidR="00062F84" w:rsidRDefault="00062F84" w:rsidP="006F7DA0">
            <w:pPr>
              <w:pStyle w:val="Tabletext"/>
            </w:pPr>
            <w:r w:rsidRPr="00AD52E3">
              <w:t xml:space="preserve">The opportunity costs reduced can be worked out as follows: </w:t>
            </w:r>
          </w:p>
          <w:p w:rsidR="00062F84" w:rsidRPr="006F7DA0" w:rsidRDefault="00062F84" w:rsidP="006F7DA0">
            <w:pPr>
              <w:pStyle w:val="Tabletextbold"/>
              <w:jc w:val="center"/>
            </w:pPr>
            <w:r w:rsidRPr="006F7DA0">
              <w:t xml:space="preserve">Opportunity cost = </w:t>
            </w:r>
            <w:r w:rsidRPr="006F7DA0">
              <w:rPr>
                <w:u w:val="single"/>
              </w:rPr>
              <w:t>TC – IT</w:t>
            </w:r>
            <w:r w:rsidRPr="006F7DA0">
              <w:t xml:space="preserve"> x ROI</w:t>
            </w:r>
          </w:p>
          <w:p w:rsidR="00062F84" w:rsidRPr="006F7DA0" w:rsidRDefault="006F7DA0" w:rsidP="006F7DA0">
            <w:pPr>
              <w:pStyle w:val="Tabletextbold"/>
              <w:tabs>
                <w:tab w:val="center" w:pos="4579"/>
              </w:tabs>
              <w:spacing w:before="0"/>
            </w:pPr>
            <w:r>
              <w:tab/>
            </w:r>
            <w:r w:rsidR="00062F84" w:rsidRPr="006F7DA0">
              <w:t>D</w:t>
            </w:r>
          </w:p>
          <w:p w:rsidR="00062F84" w:rsidRPr="00CD66B3" w:rsidRDefault="00062F84" w:rsidP="00AB2B4F">
            <w:pPr>
              <w:keepNext/>
              <w:spacing w:before="40" w:after="40"/>
              <w:rPr>
                <w:color w:val="333333"/>
                <w:sz w:val="8"/>
              </w:rPr>
            </w:pPr>
          </w:p>
        </w:tc>
      </w:tr>
      <w:tr w:rsidR="00062F84" w:rsidRPr="00CD66B3" w:rsidTr="006F7DA0">
        <w:tc>
          <w:tcPr>
            <w:cnfStyle w:val="001000000000" w:firstRow="0" w:lastRow="0" w:firstColumn="1" w:lastColumn="0" w:oddVBand="0" w:evenVBand="0" w:oddHBand="0" w:evenHBand="0" w:firstRowFirstColumn="0" w:firstRowLastColumn="0" w:lastRowFirstColumn="0" w:lastRowLastColumn="0"/>
            <w:tcW w:w="8144" w:type="dxa"/>
          </w:tcPr>
          <w:p w:rsidR="00062F84" w:rsidRPr="00796464" w:rsidRDefault="00062F84" w:rsidP="006F7DA0">
            <w:pPr>
              <w:pStyle w:val="Tabletext"/>
              <w:rPr>
                <w:i/>
              </w:rPr>
            </w:pPr>
            <w:r w:rsidRPr="00796464">
              <w:rPr>
                <w:i/>
              </w:rPr>
              <w:lastRenderedPageBreak/>
              <w:t>where:</w:t>
            </w:r>
          </w:p>
          <w:tbl>
            <w:tblPr>
              <w:tblStyle w:val="DTFtexttable"/>
              <w:tblW w:w="0" w:type="auto"/>
              <w:jc w:val="center"/>
              <w:tblLayout w:type="fixed"/>
              <w:tblLook w:val="0600" w:firstRow="0" w:lastRow="0" w:firstColumn="0" w:lastColumn="0" w:noHBand="1" w:noVBand="1"/>
            </w:tblPr>
            <w:tblGrid>
              <w:gridCol w:w="767"/>
              <w:gridCol w:w="302"/>
              <w:gridCol w:w="6068"/>
            </w:tblGrid>
            <w:tr w:rsidR="00062F84" w:rsidRPr="00AD52E3" w:rsidTr="00796464">
              <w:trPr>
                <w:jc w:val="center"/>
              </w:trPr>
              <w:tc>
                <w:tcPr>
                  <w:tcW w:w="767" w:type="dxa"/>
                </w:tcPr>
                <w:p w:rsidR="00062F84" w:rsidRPr="006F7DA0" w:rsidRDefault="006F7DA0" w:rsidP="006F7DA0">
                  <w:pPr>
                    <w:pStyle w:val="Tabletext"/>
                  </w:pPr>
                  <w:r>
                    <w:t>TC</w:t>
                  </w:r>
                </w:p>
              </w:tc>
              <w:tc>
                <w:tcPr>
                  <w:tcW w:w="302" w:type="dxa"/>
                </w:tcPr>
                <w:p w:rsidR="00062F84" w:rsidRPr="00AD52E3" w:rsidRDefault="00062F84" w:rsidP="006F7DA0">
                  <w:pPr>
                    <w:pStyle w:val="Tabletext"/>
                  </w:pPr>
                  <w:r w:rsidRPr="00AD52E3">
                    <w:t>=</w:t>
                  </w:r>
                </w:p>
              </w:tc>
              <w:tc>
                <w:tcPr>
                  <w:tcW w:w="6068" w:type="dxa"/>
                </w:tcPr>
                <w:p w:rsidR="00062F84" w:rsidRPr="00AD52E3" w:rsidRDefault="00062F84" w:rsidP="006F7DA0">
                  <w:pPr>
                    <w:pStyle w:val="Tabletext"/>
                  </w:pPr>
                  <w:r w:rsidRPr="00AD52E3">
                    <w:t xml:space="preserve">total cost of the investment project </w:t>
                  </w:r>
                  <w:r w:rsidRPr="00AD52E3">
                    <w:rPr>
                      <w:i/>
                    </w:rPr>
                    <w:t>per hectare</w:t>
                  </w:r>
                  <w:r w:rsidRPr="00AD52E3">
                    <w:t>, including land, raw material, wages</w:t>
                  </w:r>
                </w:p>
              </w:tc>
            </w:tr>
            <w:tr w:rsidR="00062F84" w:rsidRPr="00AD52E3" w:rsidTr="00796464">
              <w:trPr>
                <w:jc w:val="center"/>
              </w:trPr>
              <w:tc>
                <w:tcPr>
                  <w:tcW w:w="767" w:type="dxa"/>
                </w:tcPr>
                <w:p w:rsidR="00062F84" w:rsidRPr="006F7DA0" w:rsidRDefault="006F7DA0" w:rsidP="006F7DA0">
                  <w:pPr>
                    <w:pStyle w:val="Tabletext"/>
                  </w:pPr>
                  <w:r>
                    <w:t>IT</w:t>
                  </w:r>
                </w:p>
              </w:tc>
              <w:tc>
                <w:tcPr>
                  <w:tcW w:w="302" w:type="dxa"/>
                </w:tcPr>
                <w:p w:rsidR="00062F84" w:rsidRPr="00AD52E3" w:rsidRDefault="00062F84" w:rsidP="006F7DA0">
                  <w:pPr>
                    <w:pStyle w:val="Tabletext"/>
                  </w:pPr>
                  <w:r w:rsidRPr="00AD52E3">
                    <w:t>=</w:t>
                  </w:r>
                </w:p>
              </w:tc>
              <w:tc>
                <w:tcPr>
                  <w:tcW w:w="6068" w:type="dxa"/>
                </w:tcPr>
                <w:p w:rsidR="00062F84" w:rsidRPr="00AD52E3" w:rsidRDefault="00062F84" w:rsidP="006F7DA0">
                  <w:pPr>
                    <w:pStyle w:val="Tabletext"/>
                  </w:pPr>
                  <w:r w:rsidRPr="00AD52E3">
                    <w:t xml:space="preserve">total interest and taxes paid out on the investment project, </w:t>
                  </w:r>
                  <w:r w:rsidRPr="00AD52E3">
                    <w:rPr>
                      <w:i/>
                    </w:rPr>
                    <w:t>per hectare</w:t>
                  </w:r>
                  <w:r w:rsidRPr="00AD52E3">
                    <w:t xml:space="preserve"> (excluding interest payments on land which have been separately counted)</w:t>
                  </w:r>
                </w:p>
              </w:tc>
            </w:tr>
            <w:tr w:rsidR="00062F84" w:rsidRPr="00AD52E3" w:rsidTr="00796464">
              <w:trPr>
                <w:jc w:val="center"/>
              </w:trPr>
              <w:tc>
                <w:tcPr>
                  <w:tcW w:w="767" w:type="dxa"/>
                </w:tcPr>
                <w:p w:rsidR="00062F84" w:rsidRPr="006F7DA0" w:rsidRDefault="006F7DA0" w:rsidP="006F7DA0">
                  <w:pPr>
                    <w:pStyle w:val="Tabletext"/>
                  </w:pPr>
                  <w:r>
                    <w:t>D</w:t>
                  </w:r>
                </w:p>
              </w:tc>
              <w:tc>
                <w:tcPr>
                  <w:tcW w:w="302" w:type="dxa"/>
                </w:tcPr>
                <w:p w:rsidR="00062F84" w:rsidRPr="00AD52E3" w:rsidRDefault="00062F84" w:rsidP="006F7DA0">
                  <w:pPr>
                    <w:pStyle w:val="Tabletext"/>
                  </w:pPr>
                  <w:r w:rsidRPr="00AD52E3">
                    <w:t>=</w:t>
                  </w:r>
                </w:p>
              </w:tc>
              <w:tc>
                <w:tcPr>
                  <w:tcW w:w="6068" w:type="dxa"/>
                </w:tcPr>
                <w:p w:rsidR="00062F84" w:rsidRPr="00AD52E3" w:rsidRDefault="00062F84" w:rsidP="006F7DA0">
                  <w:pPr>
                    <w:pStyle w:val="Tabletext"/>
                  </w:pPr>
                  <w:r w:rsidRPr="00AD52E3">
                    <w:t>originally planned project duration, in years</w:t>
                  </w:r>
                </w:p>
              </w:tc>
            </w:tr>
            <w:tr w:rsidR="00062F84" w:rsidRPr="00AD52E3" w:rsidTr="00796464">
              <w:trPr>
                <w:jc w:val="center"/>
              </w:trPr>
              <w:tc>
                <w:tcPr>
                  <w:tcW w:w="767" w:type="dxa"/>
                </w:tcPr>
                <w:p w:rsidR="00062F84" w:rsidRPr="006F7DA0" w:rsidRDefault="006F7DA0" w:rsidP="006F7DA0">
                  <w:pPr>
                    <w:pStyle w:val="Tabletext"/>
                  </w:pPr>
                  <w:r>
                    <w:t>ROI</w:t>
                  </w:r>
                </w:p>
              </w:tc>
              <w:tc>
                <w:tcPr>
                  <w:tcW w:w="302" w:type="dxa"/>
                </w:tcPr>
                <w:p w:rsidR="00062F84" w:rsidRPr="00AD52E3" w:rsidRDefault="00062F84" w:rsidP="006F7DA0">
                  <w:pPr>
                    <w:pStyle w:val="Tabletext"/>
                  </w:pPr>
                  <w:r w:rsidRPr="00AD52E3">
                    <w:t>=</w:t>
                  </w:r>
                </w:p>
              </w:tc>
              <w:tc>
                <w:tcPr>
                  <w:tcW w:w="6068" w:type="dxa"/>
                </w:tcPr>
                <w:p w:rsidR="00062F84" w:rsidRPr="00AD52E3" w:rsidRDefault="00062F84" w:rsidP="006F7DA0">
                  <w:pPr>
                    <w:pStyle w:val="Tabletext"/>
                  </w:pPr>
                  <w:r w:rsidRPr="00AD52E3">
                    <w:t>return on investment of the investment project, percent per annum</w:t>
                  </w:r>
                </w:p>
              </w:tc>
            </w:tr>
          </w:tbl>
          <w:p w:rsidR="006F7DA0" w:rsidRDefault="006F7DA0" w:rsidP="00C433C7">
            <w:pPr>
              <w:pStyle w:val="Spacer"/>
            </w:pPr>
          </w:p>
          <w:p w:rsidR="00062F84" w:rsidRDefault="007C105F" w:rsidP="006F7DA0">
            <w:pPr>
              <w:pStyle w:val="Tabletext"/>
            </w:pPr>
            <w:r>
              <w:rPr>
                <w:noProof/>
              </w:rPr>
              <mc:AlternateContent>
                <mc:Choice Requires="wpg">
                  <w:drawing>
                    <wp:anchor distT="0" distB="0" distL="114300" distR="114300" simplePos="0" relativeHeight="251665408" behindDoc="0" locked="0" layoutInCell="1" allowOverlap="1" wp14:anchorId="6FB29770" wp14:editId="316887A5">
                      <wp:simplePos x="0" y="0"/>
                      <wp:positionH relativeFrom="column">
                        <wp:posOffset>3383915</wp:posOffset>
                      </wp:positionH>
                      <wp:positionV relativeFrom="paragraph">
                        <wp:posOffset>450850</wp:posOffset>
                      </wp:positionV>
                      <wp:extent cx="60325" cy="325120"/>
                      <wp:effectExtent l="0" t="0" r="34925" b="36830"/>
                      <wp:wrapNone/>
                      <wp:docPr id="41" name="Group 41"/>
                      <wp:cNvGraphicFramePr/>
                      <a:graphic xmlns:a="http://schemas.openxmlformats.org/drawingml/2006/main">
                        <a:graphicData uri="http://schemas.microsoft.com/office/word/2010/wordprocessingGroup">
                          <wpg:wgp>
                            <wpg:cNvGrpSpPr/>
                            <wpg:grpSpPr>
                              <a:xfrm flipH="1">
                                <a:off x="0" y="0"/>
                                <a:ext cx="60325" cy="325120"/>
                                <a:chOff x="0" y="0"/>
                                <a:chExt cx="213360" cy="1427099"/>
                              </a:xfrm>
                            </wpg:grpSpPr>
                            <wps:wsp>
                              <wps:cNvPr id="42" name="Line 7"/>
                              <wps:cNvCnPr/>
                              <wps:spPr bwMode="auto">
                                <a:xfrm flipH="1">
                                  <a:off x="0" y="1427099"/>
                                  <a:ext cx="213360"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 name="Line 8"/>
                              <wps:cNvCnPr/>
                              <wps:spPr bwMode="auto">
                                <a:xfrm flipH="1">
                                  <a:off x="0" y="0"/>
                                  <a:ext cx="213360" cy="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9"/>
                              <wps:cNvCnPr/>
                              <wps:spPr bwMode="auto">
                                <a:xfrm>
                                  <a:off x="0" y="0"/>
                                  <a:ext cx="0" cy="142494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41" o:spid="_x0000_s1026" style="position:absolute;margin-left:266.45pt;margin-top:35.5pt;width:4.75pt;height:25.6pt;flip:x;z-index:251665408;mso-width-relative:margin;mso-height-relative:margin" coordsize="2133,1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">
                      <v:line id="Line 7" o:spid="_x0000_s1027" style="position:absolute;flip:x;visibility:visible;mso-wrap-style:square" from="0,14270" to="2133,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0GTcIAAADbAAAADwAAAGRycy9kb3ducmV2LnhtbESPQYvCMBSE7wv+h/AEb2uqiKvVKCIs&#10;7kVwVQRvj+bZVpuXkmRr998bQfA4zMw3zHzZmko05HxpWcGgn4AgzqwuOVdwPHx/TkD4gKyxskwK&#10;/snDctH5mGOq7Z1/qdmHXEQI+xQVFCHUqZQ+K8ig79uaOHoX6wyGKF0utcN7hJtKDpNkLA2WHBcK&#10;rGldUHbb/xkFjZPXW3CmPe9Gp6+zvE4nG79VqtdtVzMQgdrwDr/aP1rBaAj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0GTcIAAADbAAAADwAAAAAAAAAAAAAA&#10;AAChAgAAZHJzL2Rvd25yZXYueG1sUEsFBgAAAAAEAAQA+QAAAJADAAAAAA==&#10;" strokeweight="1pt">
                        <v:stroke joinstyle="miter"/>
                      </v:line>
                      <v:line id="Line 8" o:spid="_x0000_s1028" style="position:absolute;flip:x;visibility:visible;mso-wrap-style:square" from="0,0" to="2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WHg8YAAADbAAAADwAAAGRycy9kb3ducmV2LnhtbESPW2vCQBSE34X+h+UU+qYbbakas4oW&#10;ClqhEC/4esieXDB7NmS3Ju2v7xaEPg4z8w2TrHpTixu1rrKsYDyKQBBnVldcKDgd34czEM4ja6wt&#10;k4JvcrBaPgwSjLXtOKXbwRciQNjFqKD0vomldFlJBt3INsTBy21r0AfZFlK32AW4qeUkil6lwYrD&#10;QokNvZWUXQ9fRsFlNs/P3c7TGD/S7XQ/bT43Pzulnh779QKEp97/h+/trVbw8gx/X8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Fh4PGAAAA2wAAAA8AAAAAAAAA&#10;AAAAAAAAoQIAAGRycy9kb3ducmV2LnhtbFBLBQYAAAAABAAEAPkAAACUAwAAAAA=&#10;" strokeweight="1pt">
                        <v:stroke endcap="round"/>
                      </v:line>
                      <v:line id="Line 9" o:spid="_x0000_s1029" style="position:absolute;visibility:visible;mso-wrap-style:square" from="0,0" to="0,1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foMQAAADbAAAADwAAAGRycy9kb3ducmV2LnhtbESPQWvCQBSE70L/w/KE3nRXCVaia2il&#10;lUIRiRZ6fWSfSWj2bchuk/jvu4WCx2FmvmG22Wgb0VPna8caFnMFgrhwpuZSw+flbbYG4QOywcYx&#10;abiRh2z3MNliatzAOfXnUIoIYZ+ihiqENpXSFxVZ9HPXEkfv6jqLIcqulKbDIcJtI5dKraTFmuNC&#10;hS3tKyq+zz9Ww8eFT4e8eF19ueFJmeNxTNTwovXjdHzegAg0hnv4v/1uNCQJ/H2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Al+gxAAAANsAAAAPAAAAAAAAAAAA&#10;AAAAAKECAABkcnMvZG93bnJldi54bWxQSwUGAAAAAAQABAD5AAAAkgMAAAAA&#10;" strokeweight="1pt">
                        <v:stroke endcap="round"/>
                      </v:line>
                    </v:group>
                  </w:pict>
                </mc:Fallback>
              </mc:AlternateContent>
            </w:r>
            <w:r>
              <w:rPr>
                <w:noProof/>
              </w:rPr>
              <mc:AlternateContent>
                <mc:Choice Requires="wpg">
                  <w:drawing>
                    <wp:anchor distT="0" distB="0" distL="114300" distR="114300" simplePos="0" relativeHeight="251663360" behindDoc="0" locked="0" layoutInCell="1" allowOverlap="1" wp14:anchorId="6BEC0D11" wp14:editId="59BE2C33">
                      <wp:simplePos x="0" y="0"/>
                      <wp:positionH relativeFrom="column">
                        <wp:posOffset>2694940</wp:posOffset>
                      </wp:positionH>
                      <wp:positionV relativeFrom="paragraph">
                        <wp:posOffset>444500</wp:posOffset>
                      </wp:positionV>
                      <wp:extent cx="60325" cy="325120"/>
                      <wp:effectExtent l="0" t="0" r="34925" b="36830"/>
                      <wp:wrapNone/>
                      <wp:docPr id="22" name="Group 22"/>
                      <wp:cNvGraphicFramePr/>
                      <a:graphic xmlns:a="http://schemas.openxmlformats.org/drawingml/2006/main">
                        <a:graphicData uri="http://schemas.microsoft.com/office/word/2010/wordprocessingGroup">
                          <wpg:wgp>
                            <wpg:cNvGrpSpPr/>
                            <wpg:grpSpPr>
                              <a:xfrm>
                                <a:off x="0" y="0"/>
                                <a:ext cx="60325" cy="325120"/>
                                <a:chOff x="0" y="0"/>
                                <a:chExt cx="213360" cy="1427099"/>
                              </a:xfrm>
                            </wpg:grpSpPr>
                            <wps:wsp>
                              <wps:cNvPr id="23" name="Line 7"/>
                              <wps:cNvCnPr/>
                              <wps:spPr bwMode="auto">
                                <a:xfrm flipH="1">
                                  <a:off x="0" y="1427099"/>
                                  <a:ext cx="213360"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 name="Line 8"/>
                              <wps:cNvCnPr/>
                              <wps:spPr bwMode="auto">
                                <a:xfrm flipH="1">
                                  <a:off x="0" y="0"/>
                                  <a:ext cx="213360" cy="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0" y="0"/>
                                  <a:ext cx="0" cy="142494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margin-left:212.2pt;margin-top:35pt;width:4.75pt;height:25.6pt;z-index:251663360;mso-width-relative:margin;mso-height-relative:margin" coordsize="2133,1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">
                      <v:line id="Line 7" o:spid="_x0000_s1027" style="position:absolute;flip:x;visibility:visible;mso-wrap-style:square" from="0,14270" to="2133,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5GdsQAAADbAAAADwAAAGRycy9kb3ducmV2LnhtbESPW4vCMBSE3xf8D+EIvmnqhVWrUWRh&#10;WV+E9YLg26E5ttXmpCTZ2v33G0HYx2FmvmGW69ZUoiHnS8sKhoMEBHFmdcm5gtPxsz8D4QOyxsoy&#10;KfglD+tV522JqbYP3lNzCLmIEPYpKihCqFMpfVaQQT+wNXH0rtYZDFG6XGqHjwg3lRwlybs0WHJc&#10;KLCmj4Ky++HHKGicvN2DM+3le3KeXuRtPvvyO6V63XazABGoDf/hV3urFYzG8Pw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LkZ2xAAAANsAAAAPAAAAAAAAAAAA&#10;AAAAAKECAABkcnMvZG93bnJldi54bWxQSwUGAAAAAAQABAD5AAAAkgMAAAAA&#10;" strokeweight="1pt">
                        <v:stroke joinstyle="miter"/>
                      </v:line>
                      <v:line id="Line 8" o:spid="_x0000_s1028" style="position:absolute;flip:x;visibility:visible;mso-wrap-style:square" from="0,0" to="2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7wUsEAAADbAAAADwAAAGRycy9kb3ducmV2LnhtbERPy4rCMBTdC/5DuAPuNNXFqB3TMgqC&#10;jiD4wu2lubZlmpvSZGydrzcLweXhvBdpZypxp8aVlhWMRxEI4szqknMF59N6OAPhPLLGyjIpeJCD&#10;NOn3Fhhr2/KB7kefixDCLkYFhfd1LKXLCjLoRrYmDtzNNgZ9gE0udYNtCDeVnETRpzRYcmgosKZV&#10;Qdnv8c8ouM7mt0u79TTGn8NmupvW++X/VqnBR/f9BcJT59/il3ujFUzC2PAl/ACZ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vvBSwQAAANsAAAAPAAAAAAAAAAAAAAAA&#10;AKECAABkcnMvZG93bnJldi54bWxQSwUGAAAAAAQABAD5AAAAjwMAAAAA&#10;" strokeweight="1pt">
                        <v:stroke endcap="round"/>
                      </v:line>
                      <v:line id="Line 9" o:spid="_x0000_s1029" style="position:absolute;visibility:visible;mso-wrap-style:square" from="0,0" to="0,1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wVnsQAAADbAAAADwAAAGRycy9kb3ducmV2LnhtbESPQWvCQBSE74L/YXmCN91VxGqaVVRs&#10;KYgUTaHXR/Y1CWbfhuzWpP++KxR6HGbmGybd9rYWd2p95VjDbKpAEOfOVFxo+MheJisQPiAbrB2T&#10;hh/ysN0MBykmxnV8ofs1FCJC2CeooQyhSaT0eUkW/dQ1xNH7cq3FEGVbSNNiF+G2lnOlltJixXGh&#10;xIYOJeW367fVcMr4/fWSH5efrntS5nzuF6rbaz0e9btnEIH68B/+a78ZDfM1PL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3BWexAAAANsAAAAPAAAAAAAAAAAA&#10;AAAAAKECAABkcnMvZG93bnJldi54bWxQSwUGAAAAAAQABAD5AAAAkgMAAAAA&#10;" strokeweight="1pt">
                        <v:stroke endcap="round"/>
                      </v:line>
                    </v:group>
                  </w:pict>
                </mc:Fallback>
              </mc:AlternateContent>
            </w:r>
            <w:r w:rsidR="00062F84" w:rsidRPr="00AD52E3">
              <w:t>Combining these two terms, and multiplying them by the total land (in hectares) affected by the more efficient approvals process gives us the estimate for the delay costs reduced.</w:t>
            </w:r>
            <w:r w:rsidR="00C433C7">
              <w:br/>
            </w:r>
          </w:p>
          <w:p w:rsidR="00062F84" w:rsidRDefault="00062F84" w:rsidP="00AB2B4F">
            <w:pPr>
              <w:keepNext/>
              <w:spacing w:before="40" w:after="40"/>
              <w:rPr>
                <w:b/>
                <w:color w:val="333333"/>
              </w:rPr>
            </w:pPr>
            <w:r w:rsidRPr="007E0F0B">
              <w:rPr>
                <w:b/>
                <w:color w:val="333333"/>
              </w:rPr>
              <w:t xml:space="preserve">Delay costs reduced = </w:t>
            </w:r>
            <w:r>
              <w:rPr>
                <w:b/>
                <w:color w:val="333333"/>
              </w:rPr>
              <w:t xml:space="preserve">                                                 </w:t>
            </w:r>
            <w:r w:rsidRPr="007E0F0B">
              <w:rPr>
                <w:b/>
                <w:color w:val="333333"/>
                <w:u w:val="single"/>
              </w:rPr>
              <w:t>TC – IT</w:t>
            </w:r>
            <w:r>
              <w:rPr>
                <w:b/>
                <w:color w:val="333333"/>
              </w:rPr>
              <w:t xml:space="preserve"> </w:t>
            </w:r>
          </w:p>
          <w:p w:rsidR="00062F84" w:rsidRPr="00C94D78" w:rsidRDefault="00062F84" w:rsidP="00AB2B4F">
            <w:pPr>
              <w:keepNext/>
              <w:spacing w:before="40" w:after="40"/>
              <w:rPr>
                <w:b/>
                <w:color w:val="333333"/>
              </w:rPr>
            </w:pPr>
            <w:r>
              <w:rPr>
                <w:b/>
                <w:color w:val="333333"/>
              </w:rPr>
              <w:t xml:space="preserve">                                         </w:t>
            </w:r>
            <w:r w:rsidRPr="007C105F">
              <w:rPr>
                <w:b/>
                <w:color w:val="333333"/>
                <w:position w:val="6"/>
                <w:u w:val="single"/>
              </w:rPr>
              <w:t>[{C x</w:t>
            </w:r>
            <w:r w:rsidRPr="00C94D78">
              <w:rPr>
                <w:b/>
                <w:color w:val="333333"/>
                <w:u w:val="single"/>
              </w:rPr>
              <w:t xml:space="preserve"> </w:t>
            </w:r>
            <w:r w:rsidRPr="007C105F">
              <w:rPr>
                <w:b/>
                <w:color w:val="333333"/>
                <w:position w:val="6"/>
                <w:u w:val="single"/>
              </w:rPr>
              <w:t>(</w:t>
            </w:r>
            <w:proofErr w:type="spellStart"/>
            <w:r w:rsidRPr="007C105F">
              <w:rPr>
                <w:b/>
                <w:color w:val="333333"/>
                <w:position w:val="6"/>
                <w:u w:val="single"/>
              </w:rPr>
              <w:t>i</w:t>
            </w:r>
            <w:proofErr w:type="spellEnd"/>
            <w:r w:rsidRPr="007C105F">
              <w:rPr>
                <w:b/>
                <w:color w:val="333333"/>
                <w:position w:val="6"/>
                <w:u w:val="single"/>
              </w:rPr>
              <w:t xml:space="preserve"> + t + r)} – (A x R)] +   </w:t>
            </w:r>
            <w:r w:rsidR="00796464" w:rsidRPr="007C105F">
              <w:rPr>
                <w:b/>
                <w:color w:val="333333"/>
                <w:position w:val="6"/>
                <w:u w:val="single"/>
              </w:rPr>
              <w:t xml:space="preserve">  </w:t>
            </w:r>
            <w:r w:rsidRPr="007C105F">
              <w:rPr>
                <w:b/>
                <w:color w:val="333333"/>
                <w:position w:val="6"/>
                <w:u w:val="single"/>
              </w:rPr>
              <w:t xml:space="preserve">   D     x ROI</w:t>
            </w:r>
            <w:r w:rsidRPr="00C94D78">
              <w:rPr>
                <w:b/>
                <w:color w:val="333333"/>
              </w:rPr>
              <w:t xml:space="preserve"> </w:t>
            </w:r>
            <w:r w:rsidR="007C105F">
              <w:rPr>
                <w:b/>
                <w:color w:val="333333"/>
              </w:rPr>
              <w:t xml:space="preserve"> </w:t>
            </w:r>
            <w:r w:rsidRPr="00C94D78">
              <w:rPr>
                <w:b/>
                <w:color w:val="333333"/>
              </w:rPr>
              <w:t xml:space="preserve"> </w:t>
            </w:r>
            <w:r w:rsidRPr="007C105F">
              <w:rPr>
                <w:b/>
                <w:color w:val="333333"/>
                <w:position w:val="6"/>
              </w:rPr>
              <w:t>x t x L</w:t>
            </w:r>
            <w:r>
              <w:rPr>
                <w:b/>
                <w:color w:val="333333"/>
                <w:u w:val="single"/>
              </w:rPr>
              <w:t xml:space="preserve">             </w:t>
            </w:r>
            <w:r>
              <w:rPr>
                <w:b/>
                <w:color w:val="333333"/>
              </w:rPr>
              <w:t xml:space="preserve">  </w:t>
            </w:r>
            <w:r w:rsidRPr="00C94D78">
              <w:rPr>
                <w:b/>
                <w:color w:val="333333"/>
              </w:rPr>
              <w:t xml:space="preserve">                            </w:t>
            </w:r>
          </w:p>
          <w:p w:rsidR="00062F84" w:rsidRPr="007E0F0B" w:rsidRDefault="00062F84" w:rsidP="00AB2B4F">
            <w:pPr>
              <w:keepNext/>
              <w:spacing w:before="40" w:after="40"/>
              <w:jc w:val="center"/>
              <w:rPr>
                <w:b/>
                <w:color w:val="333333"/>
              </w:rPr>
            </w:pPr>
            <w:r>
              <w:rPr>
                <w:b/>
                <w:color w:val="333333"/>
              </w:rPr>
              <w:t>12</w:t>
            </w:r>
            <w:r w:rsidR="00C433C7">
              <w:rPr>
                <w:b/>
                <w:color w:val="333333"/>
              </w:rPr>
              <w:br/>
            </w:r>
          </w:p>
          <w:p w:rsidR="00062F84" w:rsidRPr="00796464" w:rsidRDefault="00062F84" w:rsidP="006F7DA0">
            <w:pPr>
              <w:pStyle w:val="Tabletext"/>
              <w:rPr>
                <w:i/>
              </w:rPr>
            </w:pPr>
            <w:r w:rsidRPr="00796464">
              <w:rPr>
                <w:i/>
              </w:rPr>
              <w:t xml:space="preserve">where: </w:t>
            </w:r>
          </w:p>
          <w:tbl>
            <w:tblPr>
              <w:tblStyle w:val="DTFtexttable"/>
              <w:tblW w:w="0" w:type="auto"/>
              <w:jc w:val="center"/>
              <w:tblLayout w:type="fixed"/>
              <w:tblLook w:val="0600" w:firstRow="0" w:lastRow="0" w:firstColumn="0" w:lastColumn="0" w:noHBand="1" w:noVBand="1"/>
            </w:tblPr>
            <w:tblGrid>
              <w:gridCol w:w="495"/>
              <w:gridCol w:w="298"/>
              <w:gridCol w:w="6373"/>
            </w:tblGrid>
            <w:tr w:rsidR="00062F84" w:rsidRPr="00AD52E3" w:rsidTr="00C433C7">
              <w:trPr>
                <w:trHeight w:val="588"/>
                <w:jc w:val="center"/>
              </w:trPr>
              <w:tc>
                <w:tcPr>
                  <w:tcW w:w="495" w:type="dxa"/>
                </w:tcPr>
                <w:p w:rsidR="00062F84" w:rsidRPr="00AD52E3" w:rsidRDefault="00796464" w:rsidP="00796464">
                  <w:pPr>
                    <w:pStyle w:val="Tabletext"/>
                  </w:pPr>
                  <w:r>
                    <w:rPr>
                      <w:noProof/>
                    </w:rPr>
                    <w:t>t</w:t>
                  </w:r>
                </w:p>
              </w:tc>
              <w:tc>
                <w:tcPr>
                  <w:tcW w:w="298" w:type="dxa"/>
                </w:tcPr>
                <w:p w:rsidR="00062F84" w:rsidRPr="00AD52E3" w:rsidRDefault="00062F84" w:rsidP="00796464">
                  <w:pPr>
                    <w:pStyle w:val="Tabletext"/>
                  </w:pPr>
                  <w:r w:rsidRPr="00AD52E3">
                    <w:t>=</w:t>
                  </w:r>
                </w:p>
              </w:tc>
              <w:tc>
                <w:tcPr>
                  <w:tcW w:w="6373" w:type="dxa"/>
                </w:tcPr>
                <w:p w:rsidR="00062F84" w:rsidRPr="00AD52E3" w:rsidRDefault="00062F84" w:rsidP="00796464">
                  <w:pPr>
                    <w:pStyle w:val="Tabletext"/>
                  </w:pPr>
                  <w:r w:rsidRPr="00AD52E3">
                    <w:t xml:space="preserve">reduction in time in the approval process, in months </w:t>
                  </w:r>
                  <w:r w:rsidRPr="00AD52E3">
                    <w:rPr>
                      <w:i/>
                    </w:rPr>
                    <w:t>over and above BAU time of acquisition of the asset</w:t>
                  </w:r>
                </w:p>
              </w:tc>
            </w:tr>
            <w:tr w:rsidR="00062F84" w:rsidRPr="00AD52E3" w:rsidTr="00C433C7">
              <w:trPr>
                <w:trHeight w:val="377"/>
                <w:jc w:val="center"/>
              </w:trPr>
              <w:tc>
                <w:tcPr>
                  <w:tcW w:w="495" w:type="dxa"/>
                </w:tcPr>
                <w:p w:rsidR="00062F84" w:rsidRPr="00AD52E3" w:rsidRDefault="00796464" w:rsidP="00796464">
                  <w:pPr>
                    <w:pStyle w:val="Tabletext"/>
                  </w:pPr>
                  <w:r>
                    <w:rPr>
                      <w:noProof/>
                      <w:position w:val="-4"/>
                    </w:rPr>
                    <w:t>L</w:t>
                  </w:r>
                </w:p>
              </w:tc>
              <w:tc>
                <w:tcPr>
                  <w:tcW w:w="298" w:type="dxa"/>
                </w:tcPr>
                <w:p w:rsidR="00062F84" w:rsidRPr="00AD52E3" w:rsidRDefault="00062F84" w:rsidP="00796464">
                  <w:pPr>
                    <w:pStyle w:val="Tabletext"/>
                  </w:pPr>
                  <w:r w:rsidRPr="00AD52E3">
                    <w:t>=</w:t>
                  </w:r>
                </w:p>
              </w:tc>
              <w:tc>
                <w:tcPr>
                  <w:tcW w:w="6373" w:type="dxa"/>
                </w:tcPr>
                <w:p w:rsidR="00062F84" w:rsidRPr="00AD52E3" w:rsidRDefault="00062F84" w:rsidP="00796464">
                  <w:pPr>
                    <w:pStyle w:val="Tabletext"/>
                  </w:pPr>
                  <w:r w:rsidRPr="00AD52E3">
                    <w:t xml:space="preserve">total land affected </w:t>
                  </w:r>
                  <w:r w:rsidRPr="00AD52E3">
                    <w:rPr>
                      <w:i/>
                    </w:rPr>
                    <w:t>in hectares</w:t>
                  </w:r>
                </w:p>
              </w:tc>
            </w:tr>
          </w:tbl>
          <w:p w:rsidR="00C433C7" w:rsidRDefault="00C433C7" w:rsidP="00C433C7">
            <w:pPr>
              <w:pStyle w:val="Spacer"/>
            </w:pPr>
          </w:p>
          <w:p w:rsidR="00062F84" w:rsidRPr="00AD52E3" w:rsidRDefault="00062F84" w:rsidP="006F7DA0">
            <w:pPr>
              <w:pStyle w:val="Tabletextbold"/>
            </w:pPr>
            <w:r w:rsidRPr="00AD52E3">
              <w:t>Sources of data</w:t>
            </w:r>
          </w:p>
          <w:p w:rsidR="00062F84" w:rsidRPr="00CD66B3" w:rsidRDefault="00062F84" w:rsidP="006F7DA0">
            <w:pPr>
              <w:pStyle w:val="Tabletext"/>
              <w:rPr>
                <w:sz w:val="24"/>
              </w:rPr>
            </w:pPr>
            <w:r w:rsidRPr="00AD52E3">
              <w:t>It would be almost always necessary in the case of delays to talk to a few industry experts and, where appropriate, to conduct business interviews, to arrive at data relevant to the calculation. Simplifying assumptions and rules of thumb may need to be used where appropriate.</w:t>
            </w:r>
          </w:p>
        </w:tc>
      </w:tr>
    </w:tbl>
    <w:p w:rsidR="00062F84" w:rsidRDefault="00062F84" w:rsidP="00632F2E"/>
    <w:p w:rsidR="00C433C7" w:rsidRDefault="00C433C7">
      <w:pPr>
        <w:spacing w:before="0" w:after="200"/>
        <w:rPr>
          <w:rFonts w:asciiTheme="majorHAnsi" w:eastAsiaTheme="majorEastAsia" w:hAnsiTheme="majorHAnsi" w:cstheme="majorBidi"/>
          <w:b/>
          <w:bCs/>
          <w:color w:val="201547"/>
          <w:spacing w:val="-1"/>
          <w:sz w:val="36"/>
          <w:szCs w:val="28"/>
        </w:rPr>
      </w:pPr>
      <w:bookmarkStart w:id="315" w:name="_Toc257015780"/>
      <w:bookmarkStart w:id="316" w:name="_Toc335401931"/>
      <w:bookmarkStart w:id="317" w:name="_Toc355267645"/>
      <w:bookmarkStart w:id="318" w:name="_Toc355275856"/>
      <w:bookmarkStart w:id="319" w:name="_Toc358276114"/>
      <w:bookmarkStart w:id="320" w:name="_Toc358282386"/>
      <w:bookmarkStart w:id="321" w:name="_Toc468455447"/>
      <w:r>
        <w:br w:type="page"/>
      </w:r>
    </w:p>
    <w:p w:rsidR="00062F84" w:rsidRPr="009F1A96" w:rsidRDefault="00062F84" w:rsidP="00062F84">
      <w:pPr>
        <w:pStyle w:val="Heading1"/>
        <w:rPr>
          <w:rFonts w:cs="Times New Roman"/>
        </w:rPr>
      </w:pPr>
      <w:bookmarkStart w:id="322" w:name="_Toc470078937"/>
      <w:r>
        <w:lastRenderedPageBreak/>
        <w:t>Appendix D:</w:t>
      </w:r>
      <w:r w:rsidRPr="003036C6">
        <w:t xml:space="preserve"> </w:t>
      </w:r>
      <w:bookmarkEnd w:id="315"/>
      <w:bookmarkEnd w:id="316"/>
      <w:bookmarkEnd w:id="317"/>
      <w:r>
        <w:t xml:space="preserve">Cost </w:t>
      </w:r>
      <w:r w:rsidR="00C433C7">
        <w:t xml:space="preserve">variables </w:t>
      </w:r>
      <w:r>
        <w:t xml:space="preserve">– </w:t>
      </w:r>
      <w:r w:rsidR="00C433C7">
        <w:t>definitions and data sources</w:t>
      </w:r>
      <w:bookmarkEnd w:id="318"/>
      <w:bookmarkEnd w:id="319"/>
      <w:bookmarkEnd w:id="320"/>
      <w:bookmarkEnd w:id="321"/>
      <w:bookmarkEnd w:id="322"/>
      <w:r>
        <w:fldChar w:fldCharType="begin"/>
      </w:r>
      <w:r>
        <w:instrText xml:space="preserve"> TOC \o "1-3" \h \z \u </w:instrText>
      </w:r>
      <w:r>
        <w:fldChar w:fldCharType="separate"/>
      </w:r>
      <w:hyperlink w:anchor="_Toc355275856" w:history="1"/>
    </w:p>
    <w:p w:rsidR="00062F84" w:rsidRPr="003036C6" w:rsidRDefault="00062F84" w:rsidP="00C433C7">
      <w:pPr>
        <w:pStyle w:val="Heading2"/>
        <w:ind w:left="792" w:hanging="792"/>
      </w:pPr>
      <w:r>
        <w:rPr>
          <w:b w:val="0"/>
          <w:bCs w:val="0"/>
          <w:noProof/>
        </w:rPr>
        <w:fldChar w:fldCharType="end"/>
      </w:r>
      <w:bookmarkStart w:id="323" w:name="_Toc257015781"/>
      <w:bookmarkStart w:id="324" w:name="_Toc335401932"/>
      <w:bookmarkStart w:id="325" w:name="_Toc355267646"/>
      <w:bookmarkStart w:id="326" w:name="_Toc355275857"/>
      <w:bookmarkStart w:id="327" w:name="_Toc358276115"/>
      <w:bookmarkStart w:id="328" w:name="_Toc358282387"/>
      <w:bookmarkStart w:id="329" w:name="_Toc468455448"/>
      <w:bookmarkStart w:id="330" w:name="_Toc470078938"/>
      <w:r>
        <w:t>D.1</w:t>
      </w:r>
      <w:r w:rsidRPr="003036C6">
        <w:t xml:space="preserve"> </w:t>
      </w:r>
      <w:bookmarkEnd w:id="323"/>
      <w:bookmarkEnd w:id="324"/>
      <w:bookmarkEnd w:id="325"/>
      <w:r w:rsidR="00C433C7">
        <w:tab/>
      </w:r>
      <w:r>
        <w:t>Unit cost variables</w:t>
      </w:r>
      <w:bookmarkEnd w:id="326"/>
      <w:bookmarkEnd w:id="327"/>
      <w:bookmarkEnd w:id="328"/>
      <w:bookmarkEnd w:id="329"/>
      <w:bookmarkEnd w:id="330"/>
    </w:p>
    <w:p w:rsidR="00062F84" w:rsidRPr="005E4B20" w:rsidRDefault="00062F84" w:rsidP="00C433C7">
      <w:pPr>
        <w:pStyle w:val="Heading3indent"/>
      </w:pPr>
      <w:bookmarkStart w:id="331" w:name="_Toc355275858"/>
      <w:bookmarkStart w:id="332" w:name="_Toc358276116"/>
      <w:bookmarkStart w:id="333" w:name="_Toc358282388"/>
      <w:bookmarkStart w:id="334" w:name="_Toc468455449"/>
      <w:r w:rsidRPr="005E4B20">
        <w:t>Labour tariff</w:t>
      </w:r>
      <w:bookmarkEnd w:id="331"/>
      <w:bookmarkEnd w:id="332"/>
      <w:bookmarkEnd w:id="333"/>
      <w:bookmarkEnd w:id="334"/>
    </w:p>
    <w:p w:rsidR="00062F84" w:rsidRPr="00CA330B" w:rsidRDefault="00062F84" w:rsidP="004D73A0">
      <w:pPr>
        <w:pStyle w:val="NormalIndent"/>
      </w:pPr>
      <w:r>
        <w:t xml:space="preserve">The </w:t>
      </w:r>
      <w:r w:rsidRPr="00CA330B">
        <w:rPr>
          <w:b/>
        </w:rPr>
        <w:t>labour tariff</w:t>
      </w:r>
      <w:r w:rsidRPr="003036C6">
        <w:rPr>
          <w:b/>
        </w:rPr>
        <w:t xml:space="preserve"> </w:t>
      </w:r>
      <w:r w:rsidRPr="003036C6">
        <w:t xml:space="preserve">is the </w:t>
      </w:r>
      <w:r w:rsidRPr="00CA330B">
        <w:rPr>
          <w:b/>
        </w:rPr>
        <w:t>wage rate</w:t>
      </w:r>
      <w:r w:rsidRPr="003036C6">
        <w:t xml:space="preserve"> plus </w:t>
      </w:r>
      <w:r w:rsidRPr="00CA330B">
        <w:rPr>
          <w:b/>
        </w:rPr>
        <w:t>overheads and on-costs</w:t>
      </w:r>
      <w:r w:rsidRPr="003036C6">
        <w:t xml:space="preserve"> for activities performed internally. It is calculated by multiplying the</w:t>
      </w:r>
      <w:r w:rsidRPr="00CA330B">
        <w:t xml:space="preserve"> hourly wage rate with a suitable rate for overheads and on-costs.</w:t>
      </w:r>
    </w:p>
    <w:p w:rsidR="00062F84" w:rsidRPr="003036C6" w:rsidRDefault="00062F84" w:rsidP="004D73A0">
      <w:pPr>
        <w:pStyle w:val="Bulletindent"/>
      </w:pPr>
      <w:r w:rsidRPr="003036C6">
        <w:t xml:space="preserve">The </w:t>
      </w:r>
      <w:r w:rsidRPr="00CA330B">
        <w:rPr>
          <w:b/>
        </w:rPr>
        <w:t>hourly wage rate</w:t>
      </w:r>
      <w:r w:rsidRPr="003036C6">
        <w:t xml:space="preserve"> is the gross wage receive</w:t>
      </w:r>
      <w:r>
        <w:t xml:space="preserve">d by an </w:t>
      </w:r>
      <w:r w:rsidRPr="003036C6">
        <w:t xml:space="preserve">employee in payment for </w:t>
      </w:r>
      <w:r>
        <w:t xml:space="preserve">his/her </w:t>
      </w:r>
      <w:r w:rsidRPr="003036C6">
        <w:t xml:space="preserve">work. </w:t>
      </w:r>
      <w:r>
        <w:t>T</w:t>
      </w:r>
      <w:r w:rsidRPr="003036C6">
        <w:t xml:space="preserve">he rate for a </w:t>
      </w:r>
      <w:r w:rsidRPr="00043F30">
        <w:t>paid job</w:t>
      </w:r>
      <w:r w:rsidRPr="003036C6">
        <w:t xml:space="preserve"> </w:t>
      </w:r>
      <w:r>
        <w:t xml:space="preserve">with comparable skills </w:t>
      </w:r>
      <w:r w:rsidRPr="003036C6">
        <w:t xml:space="preserve">is </w:t>
      </w:r>
      <w:r>
        <w:t xml:space="preserve">used for volunteers.  </w:t>
      </w:r>
      <w:r w:rsidRPr="003036C6">
        <w:t xml:space="preserve"> </w:t>
      </w:r>
    </w:p>
    <w:p w:rsidR="00062F84" w:rsidRDefault="00062F84" w:rsidP="004D73A0">
      <w:pPr>
        <w:pStyle w:val="Bulletindent"/>
      </w:pPr>
      <w:r w:rsidRPr="00CA330B">
        <w:rPr>
          <w:b/>
        </w:rPr>
        <w:t>Overhead costs and on-costs</w:t>
      </w:r>
      <w:r w:rsidRPr="003036C6">
        <w:t xml:space="preserve"> include the non-wage costs of employees such as fixed administration costs, for example expenses for premises (rent or building depreciation), telephone, heating, electricity, IT equipment, </w:t>
      </w:r>
      <w:r w:rsidR="00D06A77" w:rsidRPr="003036C6">
        <w:t>etc.</w:t>
      </w:r>
      <w:r w:rsidRPr="003036C6">
        <w:t xml:space="preserve">, as well as on-costs such as superannuation guarantee payments, payroll tax, WorkCover premiums and fringe benefits tax. </w:t>
      </w:r>
      <w:r>
        <w:t>The default overhead and on-cost rate is 75 percent of the wage rate.</w:t>
      </w:r>
    </w:p>
    <w:tbl>
      <w:tblPr>
        <w:tblStyle w:val="DTFtexttableindent"/>
        <w:tblW w:w="8178" w:type="dxa"/>
        <w:tblLook w:val="0680" w:firstRow="0" w:lastRow="0" w:firstColumn="1" w:lastColumn="0" w:noHBand="1" w:noVBand="1"/>
      </w:tblPr>
      <w:tblGrid>
        <w:gridCol w:w="8178"/>
      </w:tblGrid>
      <w:tr w:rsidR="00062F84" w:rsidRPr="003036C6" w:rsidTr="00C433C7">
        <w:tc>
          <w:tcPr>
            <w:cnfStyle w:val="001000000000" w:firstRow="0" w:lastRow="0" w:firstColumn="1" w:lastColumn="0" w:oddVBand="0" w:evenVBand="0" w:oddHBand="0" w:evenHBand="0" w:firstRowFirstColumn="0" w:firstRowLastColumn="0" w:lastRowFirstColumn="0" w:lastRowLastColumn="0"/>
            <w:tcW w:w="8178" w:type="dxa"/>
          </w:tcPr>
          <w:p w:rsidR="00062F84" w:rsidRPr="004D40DF" w:rsidRDefault="00062F84" w:rsidP="00C433C7">
            <w:pPr>
              <w:pStyle w:val="Tablechartdiagramheading"/>
            </w:pPr>
            <w:r>
              <w:t>Data sources</w:t>
            </w:r>
          </w:p>
          <w:p w:rsidR="00062F84" w:rsidRPr="004D40DF" w:rsidRDefault="00062F84" w:rsidP="00C433C7">
            <w:pPr>
              <w:pStyle w:val="Tabletext"/>
            </w:pPr>
            <w:r w:rsidRPr="004D40DF">
              <w:t xml:space="preserve">The </w:t>
            </w:r>
            <w:r w:rsidRPr="004D40DF">
              <w:rPr>
                <w:b/>
              </w:rPr>
              <w:t>wage rate</w:t>
            </w:r>
            <w:r w:rsidRPr="004D40DF">
              <w:t xml:space="preserve"> can be obtained from a number of sources, including internal accounting systems, detailed Australian Bureau of Statistics (ABS) earning data (for example, broken down by sector) or Victorian Public Service salary bands. However, an appropriate proxy wage rate that could be used in all RCMs is the rate calculated from the ABS Average Weekly Earnings (catalogue no. 6302.0). The current wage rate</w:t>
            </w:r>
            <w:r>
              <w:t xml:space="preserve">s </w:t>
            </w:r>
            <w:r w:rsidRPr="004D40DF">
              <w:t xml:space="preserve"> </w:t>
            </w:r>
            <w:r>
              <w:t xml:space="preserve">are </w:t>
            </w:r>
            <w:r w:rsidRPr="004D40DF">
              <w:t xml:space="preserve">based on ABS average weekly earnings </w:t>
            </w:r>
            <w:r w:rsidRPr="009F1A96">
              <w:t>data</w:t>
            </w:r>
            <w:r>
              <w:t>.</w:t>
            </w:r>
          </w:p>
          <w:p w:rsidR="00062F84" w:rsidRDefault="00062F84" w:rsidP="00C433C7">
            <w:pPr>
              <w:pStyle w:val="Tabletext"/>
            </w:pPr>
            <w:r>
              <w:t xml:space="preserve">The current wage rate based on ABS average weekly </w:t>
            </w:r>
            <w:r w:rsidR="00D06A77">
              <w:t>earnings</w:t>
            </w:r>
            <w:r>
              <w:t xml:space="preserve"> data should be used to </w:t>
            </w:r>
            <w:r w:rsidRPr="00384EDC">
              <w:rPr>
                <w:b/>
              </w:rPr>
              <w:t>value the time for individual’s leisure activities</w:t>
            </w:r>
            <w:r>
              <w:rPr>
                <w:b/>
              </w:rPr>
              <w:t xml:space="preserve"> </w:t>
            </w:r>
            <w:r>
              <w:t xml:space="preserve">and </w:t>
            </w:r>
            <w:r>
              <w:rPr>
                <w:b/>
              </w:rPr>
              <w:t>volunteering</w:t>
            </w:r>
            <w:r>
              <w:t xml:space="preserve"> (no overheads or on-costs should be added).</w:t>
            </w:r>
          </w:p>
          <w:p w:rsidR="00062F84" w:rsidRPr="0006023C" w:rsidRDefault="00062F84" w:rsidP="00C433C7">
            <w:pPr>
              <w:pStyle w:val="Tabletext"/>
            </w:pPr>
            <w:r w:rsidRPr="004D40DF">
              <w:t xml:space="preserve">For </w:t>
            </w:r>
            <w:r w:rsidRPr="004D40DF">
              <w:rPr>
                <w:b/>
              </w:rPr>
              <w:t>overheads and on-costs</w:t>
            </w:r>
            <w:r w:rsidRPr="004D40DF">
              <w:t xml:space="preserve"> a default rate of 75 per cent of the hourly wage rate should be used, unless circumstances suggest otherwise.</w:t>
            </w:r>
          </w:p>
        </w:tc>
      </w:tr>
    </w:tbl>
    <w:p w:rsidR="00062F84" w:rsidRDefault="00062F84" w:rsidP="00062F84">
      <w:pPr>
        <w:pStyle w:val="Spacer"/>
      </w:pPr>
    </w:p>
    <w:p w:rsidR="00062F84" w:rsidRPr="00CA330B" w:rsidRDefault="00062F84" w:rsidP="00C433C7">
      <w:pPr>
        <w:pStyle w:val="Heading3indent"/>
      </w:pPr>
      <w:bookmarkStart w:id="335" w:name="_Toc355275859"/>
      <w:bookmarkStart w:id="336" w:name="_Toc358276117"/>
      <w:bookmarkStart w:id="337" w:name="_Toc358282389"/>
      <w:bookmarkStart w:id="338" w:name="_Toc468455450"/>
      <w:r w:rsidRPr="00CA330B">
        <w:t>External tariff</w:t>
      </w:r>
      <w:bookmarkEnd w:id="335"/>
      <w:bookmarkEnd w:id="336"/>
      <w:bookmarkEnd w:id="337"/>
      <w:bookmarkEnd w:id="338"/>
    </w:p>
    <w:p w:rsidR="00062F84" w:rsidRDefault="00062F84" w:rsidP="00C433C7">
      <w:pPr>
        <w:pStyle w:val="NormalIndent"/>
      </w:pPr>
      <w:r>
        <w:t xml:space="preserve">An </w:t>
      </w:r>
      <w:r w:rsidRPr="0098659D">
        <w:rPr>
          <w:b/>
        </w:rPr>
        <w:t>external tariff</w:t>
      </w:r>
      <w:r w:rsidRPr="003036C6">
        <w:rPr>
          <w:b/>
        </w:rPr>
        <w:t xml:space="preserve"> </w:t>
      </w:r>
      <w:r w:rsidRPr="003036C6">
        <w:t xml:space="preserve">is </w:t>
      </w:r>
      <w:r>
        <w:t xml:space="preserve">what a regulated entity </w:t>
      </w:r>
      <w:r w:rsidRPr="003036C6">
        <w:t>pay</w:t>
      </w:r>
      <w:r>
        <w:t>s</w:t>
      </w:r>
      <w:r w:rsidRPr="003036C6">
        <w:t xml:space="preserve"> to </w:t>
      </w:r>
      <w:r>
        <w:t>an external service provider</w:t>
      </w:r>
      <w:r w:rsidRPr="003036C6">
        <w:t xml:space="preserve"> </w:t>
      </w:r>
      <w:r>
        <w:t xml:space="preserve">for activities undertaken by that </w:t>
      </w:r>
      <w:r w:rsidRPr="003036C6">
        <w:t xml:space="preserve">service provider </w:t>
      </w:r>
      <w:r>
        <w:t xml:space="preserve">to enable the regulated entity </w:t>
      </w:r>
      <w:r w:rsidRPr="003036C6">
        <w:t xml:space="preserve">to comply with </w:t>
      </w:r>
      <w:r>
        <w:t xml:space="preserve">a regulatory </w:t>
      </w:r>
      <w:r w:rsidRPr="003036C6">
        <w:t>obligation</w:t>
      </w:r>
      <w:r>
        <w:t>.</w:t>
      </w:r>
    </w:p>
    <w:tbl>
      <w:tblPr>
        <w:tblStyle w:val="DTFtexttableindent"/>
        <w:tblW w:w="8178" w:type="dxa"/>
        <w:tblLook w:val="0680" w:firstRow="0" w:lastRow="0" w:firstColumn="1" w:lastColumn="0" w:noHBand="1" w:noVBand="1"/>
      </w:tblPr>
      <w:tblGrid>
        <w:gridCol w:w="8178"/>
      </w:tblGrid>
      <w:tr w:rsidR="00062F84" w:rsidRPr="003036C6" w:rsidTr="00C433C7">
        <w:tc>
          <w:tcPr>
            <w:cnfStyle w:val="001000000000" w:firstRow="0" w:lastRow="0" w:firstColumn="1" w:lastColumn="0" w:oddVBand="0" w:evenVBand="0" w:oddHBand="0" w:evenHBand="0" w:firstRowFirstColumn="0" w:firstRowLastColumn="0" w:lastRowFirstColumn="0" w:lastRowLastColumn="0"/>
            <w:tcW w:w="8178" w:type="dxa"/>
          </w:tcPr>
          <w:p w:rsidR="00062F84" w:rsidRPr="004D40DF" w:rsidRDefault="00062F84" w:rsidP="00C433C7">
            <w:pPr>
              <w:pStyle w:val="Tablechartdiagramheading"/>
            </w:pPr>
            <w:r w:rsidRPr="004D40DF">
              <w:t>Data sources</w:t>
            </w:r>
          </w:p>
          <w:p w:rsidR="00062F84" w:rsidRPr="004D40DF" w:rsidRDefault="00062F84" w:rsidP="00C433C7">
            <w:pPr>
              <w:pStyle w:val="Tabletext"/>
            </w:pPr>
            <w:r w:rsidRPr="004D40DF">
              <w:t xml:space="preserve">Sources of </w:t>
            </w:r>
            <w:r w:rsidRPr="004D40DF">
              <w:rPr>
                <w:b/>
              </w:rPr>
              <w:t>external tariff</w:t>
            </w:r>
            <w:r w:rsidRPr="004D40DF">
              <w:t xml:space="preserve"> data for regulatory costs could include:</w:t>
            </w:r>
          </w:p>
          <w:p w:rsidR="00062F84" w:rsidRPr="004D40DF" w:rsidRDefault="00062F84" w:rsidP="00C433C7">
            <w:pPr>
              <w:pStyle w:val="Tablebullet"/>
            </w:pPr>
            <w:r w:rsidRPr="004D40DF">
              <w:t>advertised prices by relevant service providers;</w:t>
            </w:r>
          </w:p>
          <w:p w:rsidR="00062F84" w:rsidRPr="004D40DF" w:rsidRDefault="00062F84" w:rsidP="00C433C7">
            <w:pPr>
              <w:pStyle w:val="Tablebullet"/>
            </w:pPr>
            <w:r w:rsidRPr="004D40DF">
              <w:t>information in tender documentation received by Government (this may provide a good proxy for the price of similar services engaged by the private sector);</w:t>
            </w:r>
          </w:p>
          <w:p w:rsidR="00062F84" w:rsidRPr="004D40DF" w:rsidRDefault="00062F84" w:rsidP="00C433C7">
            <w:pPr>
              <w:pStyle w:val="Tablebullet"/>
            </w:pPr>
            <w:r w:rsidRPr="004D40DF">
              <w:t>recent relevant RCMs; and</w:t>
            </w:r>
          </w:p>
          <w:p w:rsidR="00062F84" w:rsidRPr="00FF068B" w:rsidRDefault="00062F84" w:rsidP="00C433C7">
            <w:pPr>
              <w:pStyle w:val="Tablebullet"/>
            </w:pPr>
            <w:r w:rsidRPr="004D40DF">
              <w:t>consultation with departmental staff or industry experts.</w:t>
            </w:r>
          </w:p>
        </w:tc>
      </w:tr>
    </w:tbl>
    <w:p w:rsidR="00062F84" w:rsidRDefault="00062F84" w:rsidP="00062F84">
      <w:pPr>
        <w:pStyle w:val="Spacer"/>
      </w:pPr>
    </w:p>
    <w:p w:rsidR="00C433C7" w:rsidRDefault="00C433C7">
      <w:pPr>
        <w:spacing w:before="0" w:after="200"/>
        <w:rPr>
          <w:rFonts w:asciiTheme="majorHAnsi" w:eastAsiaTheme="majorEastAsia" w:hAnsiTheme="majorHAnsi" w:cstheme="majorBidi"/>
          <w:b/>
          <w:bCs/>
          <w:color w:val="0063A6" w:themeColor="accent1"/>
          <w:sz w:val="22"/>
          <w:szCs w:val="22"/>
        </w:rPr>
      </w:pPr>
      <w:bookmarkStart w:id="339" w:name="_Toc355275860"/>
      <w:bookmarkStart w:id="340" w:name="_Toc358276118"/>
      <w:bookmarkStart w:id="341" w:name="_Toc358282390"/>
      <w:bookmarkStart w:id="342" w:name="_Toc468455451"/>
      <w:r>
        <w:br w:type="page"/>
      </w:r>
    </w:p>
    <w:p w:rsidR="00062F84" w:rsidRDefault="00062F84" w:rsidP="00C433C7">
      <w:pPr>
        <w:pStyle w:val="Heading3indent"/>
      </w:pPr>
      <w:r w:rsidRPr="00CA330B">
        <w:lastRenderedPageBreak/>
        <w:t>One-off cost of a physical asset</w:t>
      </w:r>
      <w:bookmarkEnd w:id="339"/>
      <w:bookmarkEnd w:id="340"/>
      <w:bookmarkEnd w:id="341"/>
      <w:bookmarkEnd w:id="342"/>
    </w:p>
    <w:p w:rsidR="00062F84" w:rsidRDefault="00062F84" w:rsidP="00C433C7">
      <w:pPr>
        <w:pStyle w:val="NormalIndent"/>
      </w:pPr>
      <w:r>
        <w:t xml:space="preserve">The </w:t>
      </w:r>
      <w:r>
        <w:rPr>
          <w:b/>
        </w:rPr>
        <w:t>one-off cost of a physical asset</w:t>
      </w:r>
      <w:r w:rsidRPr="003036C6">
        <w:rPr>
          <w:b/>
        </w:rPr>
        <w:t xml:space="preserve"> </w:t>
      </w:r>
      <w:r w:rsidRPr="003036C6">
        <w:t>is</w:t>
      </w:r>
      <w:r w:rsidRPr="003036C6">
        <w:rPr>
          <w:b/>
        </w:rPr>
        <w:t xml:space="preserve"> </w:t>
      </w:r>
      <w:r w:rsidRPr="003036C6">
        <w:t xml:space="preserve">its purchase price, such as the </w:t>
      </w:r>
      <w:r>
        <w:t xml:space="preserve">market price </w:t>
      </w:r>
      <w:r w:rsidRPr="003036C6">
        <w:t>of a ladder.</w:t>
      </w:r>
    </w:p>
    <w:tbl>
      <w:tblPr>
        <w:tblStyle w:val="DTFtexttableindent"/>
        <w:tblW w:w="8178" w:type="dxa"/>
        <w:tblLook w:val="0680" w:firstRow="0" w:lastRow="0" w:firstColumn="1" w:lastColumn="0" w:noHBand="1" w:noVBand="1"/>
      </w:tblPr>
      <w:tblGrid>
        <w:gridCol w:w="8178"/>
      </w:tblGrid>
      <w:tr w:rsidR="00062F84" w:rsidRPr="003036C6" w:rsidTr="00C433C7">
        <w:tc>
          <w:tcPr>
            <w:cnfStyle w:val="001000000000" w:firstRow="0" w:lastRow="0" w:firstColumn="1" w:lastColumn="0" w:oddVBand="0" w:evenVBand="0" w:oddHBand="0" w:evenHBand="0" w:firstRowFirstColumn="0" w:firstRowLastColumn="0" w:lastRowFirstColumn="0" w:lastRowLastColumn="0"/>
            <w:tcW w:w="8178" w:type="dxa"/>
          </w:tcPr>
          <w:p w:rsidR="00062F84" w:rsidRPr="004D40DF" w:rsidRDefault="00062F84" w:rsidP="00C433C7">
            <w:pPr>
              <w:pStyle w:val="Tablechartdiagramheading"/>
            </w:pPr>
            <w:r w:rsidRPr="004D40DF">
              <w:t>Data sources</w:t>
            </w:r>
          </w:p>
          <w:p w:rsidR="00062F84" w:rsidRPr="000A6107" w:rsidRDefault="00062F84" w:rsidP="00C433C7">
            <w:pPr>
              <w:pStyle w:val="Tabletext"/>
            </w:pPr>
            <w:r w:rsidRPr="004D40DF">
              <w:t xml:space="preserve">Market data, such as advertised prices, can be used </w:t>
            </w:r>
            <w:r>
              <w:t xml:space="preserve">to determine the </w:t>
            </w:r>
            <w:r w:rsidRPr="004D40DF">
              <w:rPr>
                <w:b/>
              </w:rPr>
              <w:t>one-off cost of a physical asset</w:t>
            </w:r>
            <w:r>
              <w:t>.</w:t>
            </w:r>
          </w:p>
        </w:tc>
      </w:tr>
    </w:tbl>
    <w:p w:rsidR="00062F84" w:rsidRDefault="00062F84" w:rsidP="00062F84">
      <w:pPr>
        <w:pStyle w:val="Spacer"/>
      </w:pPr>
    </w:p>
    <w:p w:rsidR="00062F84" w:rsidRPr="00CA330B" w:rsidRDefault="00062F84" w:rsidP="00C433C7">
      <w:pPr>
        <w:pStyle w:val="Heading3indent"/>
      </w:pPr>
      <w:bookmarkStart w:id="343" w:name="_Toc355275861"/>
      <w:bookmarkStart w:id="344" w:name="_Toc358276119"/>
      <w:bookmarkStart w:id="345" w:name="_Toc358282391"/>
      <w:bookmarkStart w:id="346" w:name="_Toc468455452"/>
      <w:r>
        <w:t>A</w:t>
      </w:r>
      <w:r w:rsidRPr="00CA330B">
        <w:t>nnualised depreciation rate</w:t>
      </w:r>
      <w:bookmarkEnd w:id="343"/>
      <w:bookmarkEnd w:id="344"/>
      <w:bookmarkEnd w:id="345"/>
      <w:bookmarkEnd w:id="346"/>
    </w:p>
    <w:p w:rsidR="00062F84" w:rsidRDefault="00062F84" w:rsidP="004D73A0">
      <w:pPr>
        <w:pStyle w:val="NormalIndent"/>
      </w:pPr>
      <w:r>
        <w:t xml:space="preserve">The </w:t>
      </w:r>
      <w:r>
        <w:rPr>
          <w:b/>
        </w:rPr>
        <w:t xml:space="preserve">annualised depreciation rate </w:t>
      </w:r>
      <w:r w:rsidRPr="003036C6">
        <w:t xml:space="preserve">is the </w:t>
      </w:r>
      <w:r>
        <w:t xml:space="preserve">rate by which a </w:t>
      </w:r>
      <w:r w:rsidRPr="003036C6">
        <w:t>physical asset lose</w:t>
      </w:r>
      <w:r>
        <w:t>s</w:t>
      </w:r>
      <w:r w:rsidRPr="003036C6">
        <w:t xml:space="preserve"> </w:t>
      </w:r>
      <w:r>
        <w:t xml:space="preserve">value </w:t>
      </w:r>
      <w:r w:rsidRPr="003036C6">
        <w:t>(</w:t>
      </w:r>
      <w:r>
        <w:t xml:space="preserve">i.e. </w:t>
      </w:r>
      <w:r w:rsidRPr="003036C6">
        <w:t>depreciate</w:t>
      </w:r>
      <w:r>
        <w:t>s</w:t>
      </w:r>
      <w:r w:rsidRPr="003036C6">
        <w:t>) each year</w:t>
      </w:r>
      <w:r>
        <w:t xml:space="preserve">. This rate is normally a proportion of its purchase price (historical cost) distributed over </w:t>
      </w:r>
      <w:r w:rsidRPr="003036C6">
        <w:t xml:space="preserve">its </w:t>
      </w:r>
      <w:r>
        <w:t>effective</w:t>
      </w:r>
      <w:r w:rsidRPr="003036C6">
        <w:t xml:space="preserve"> life.</w:t>
      </w:r>
      <w:r>
        <w:t xml:space="preserve"> In some cases the effective life of an asset could be directly impacted by the duration of regulation, e.g. where a regulation requires the purchase of a durable asset for five years but that asset then has no market value after that period. Such considerations should be taken into account when estimating the depreciation rate.</w:t>
      </w:r>
    </w:p>
    <w:tbl>
      <w:tblPr>
        <w:tblStyle w:val="DTFtexttableindent"/>
        <w:tblW w:w="8178" w:type="dxa"/>
        <w:tblLook w:val="0680" w:firstRow="0" w:lastRow="0" w:firstColumn="1" w:lastColumn="0" w:noHBand="1" w:noVBand="1"/>
      </w:tblPr>
      <w:tblGrid>
        <w:gridCol w:w="8178"/>
      </w:tblGrid>
      <w:tr w:rsidR="00062F84" w:rsidRPr="003036C6" w:rsidTr="00C433C7">
        <w:tc>
          <w:tcPr>
            <w:cnfStyle w:val="001000000000" w:firstRow="0" w:lastRow="0" w:firstColumn="1" w:lastColumn="0" w:oddVBand="0" w:evenVBand="0" w:oddHBand="0" w:evenHBand="0" w:firstRowFirstColumn="0" w:firstRowLastColumn="0" w:lastRowFirstColumn="0" w:lastRowLastColumn="0"/>
            <w:tcW w:w="8178" w:type="dxa"/>
          </w:tcPr>
          <w:p w:rsidR="00062F84" w:rsidRPr="004D40DF" w:rsidRDefault="00062F84" w:rsidP="00C433C7">
            <w:pPr>
              <w:pStyle w:val="Tablechartdiagramheading"/>
            </w:pPr>
            <w:r w:rsidRPr="004D40DF">
              <w:t>Data sources</w:t>
            </w:r>
          </w:p>
          <w:p w:rsidR="00062F84" w:rsidRPr="004D40DF" w:rsidRDefault="00062F84" w:rsidP="00C433C7">
            <w:pPr>
              <w:pStyle w:val="Tabletext"/>
            </w:pPr>
            <w:r w:rsidRPr="004D40DF">
              <w:t>The</w:t>
            </w:r>
            <w:r w:rsidRPr="004D40DF">
              <w:rPr>
                <w:b/>
              </w:rPr>
              <w:t xml:space="preserve"> depreciation</w:t>
            </w:r>
            <w:r w:rsidRPr="004D40DF">
              <w:t xml:space="preserve"> </w:t>
            </w:r>
            <w:r w:rsidRPr="004D40DF">
              <w:rPr>
                <w:b/>
              </w:rPr>
              <w:t>rate</w:t>
            </w:r>
            <w:r w:rsidRPr="004D40DF">
              <w:t xml:space="preserve"> should generally be calculated using the </w:t>
            </w:r>
            <w:r w:rsidRPr="004D40DF">
              <w:rPr>
                <w:b/>
              </w:rPr>
              <w:t>straight line method</w:t>
            </w:r>
            <w:r w:rsidRPr="004D40DF">
              <w:t xml:space="preserve">, which allocates the purchase price (historical cost) of the asset over its effective life. If a particular plant has an effective life of 5 years, 20 per cent of its value is depreciated each year. </w:t>
            </w:r>
          </w:p>
          <w:p w:rsidR="00062F84" w:rsidRDefault="00062F84" w:rsidP="00C433C7">
            <w:pPr>
              <w:pStyle w:val="Tabletext"/>
            </w:pPr>
            <w:r w:rsidRPr="004D40DF">
              <w:t>The</w:t>
            </w:r>
            <w:r w:rsidRPr="004D40DF">
              <w:rPr>
                <w:b/>
              </w:rPr>
              <w:t xml:space="preserve"> effective life</w:t>
            </w:r>
            <w:r w:rsidRPr="004D40DF">
              <w:t xml:space="preserve"> of most assets can be obtained from the Australian Taxation Office website</w:t>
            </w:r>
            <w:r>
              <w:t xml:space="preserve"> (</w:t>
            </w:r>
            <w:hyperlink r:id="rId32" w:history="1">
              <w:r w:rsidRPr="007D233B">
                <w:rPr>
                  <w:rStyle w:val="Hyperlink"/>
                  <w:rFonts w:cs="Arial"/>
                  <w:sz w:val="22"/>
                </w:rPr>
                <w:t>www.ato.gov.au</w:t>
              </w:r>
            </w:hyperlink>
            <w:r>
              <w:t xml:space="preserve">), in particular by </w:t>
            </w:r>
            <w:r w:rsidR="00D06A77">
              <w:t>referring</w:t>
            </w:r>
            <w:r>
              <w:t xml:space="preserve"> to Taxation Ruling TR 2000/18. </w:t>
            </w:r>
          </w:p>
          <w:p w:rsidR="00062F84" w:rsidRPr="003036C6" w:rsidRDefault="00062F84" w:rsidP="00C433C7">
            <w:pPr>
              <w:pStyle w:val="Tabletext"/>
            </w:pPr>
            <w:r>
              <w:t>Departmental finance areas may also be able to provide other potential sources of data on the depreciation rate and effective life.</w:t>
            </w:r>
          </w:p>
        </w:tc>
      </w:tr>
    </w:tbl>
    <w:p w:rsidR="00062F84" w:rsidRDefault="00062F84" w:rsidP="00062F84">
      <w:pPr>
        <w:pStyle w:val="Spacer"/>
      </w:pPr>
    </w:p>
    <w:p w:rsidR="00062F84" w:rsidRPr="00CA330B" w:rsidRDefault="00062F84" w:rsidP="00C433C7">
      <w:pPr>
        <w:pStyle w:val="Heading3indent"/>
      </w:pPr>
      <w:bookmarkStart w:id="347" w:name="_Toc355275862"/>
      <w:bookmarkStart w:id="348" w:name="_Toc358276120"/>
      <w:bookmarkStart w:id="349" w:name="_Toc358282392"/>
      <w:bookmarkStart w:id="350" w:name="_Toc468455453"/>
      <w:r w:rsidRPr="00CA330B">
        <w:t>Interest</w:t>
      </w:r>
      <w:bookmarkEnd w:id="347"/>
      <w:bookmarkEnd w:id="348"/>
      <w:bookmarkEnd w:id="349"/>
      <w:bookmarkEnd w:id="350"/>
    </w:p>
    <w:p w:rsidR="00062F84" w:rsidRPr="00C433C7" w:rsidRDefault="00062F84" w:rsidP="00C433C7">
      <w:pPr>
        <w:pStyle w:val="NormalIndent"/>
      </w:pPr>
      <w:r>
        <w:rPr>
          <w:b/>
        </w:rPr>
        <w:t xml:space="preserve">Interest </w:t>
      </w:r>
      <w:r w:rsidRPr="001A3A33">
        <w:t>is the</w:t>
      </w:r>
      <w:r>
        <w:rPr>
          <w:b/>
        </w:rPr>
        <w:t xml:space="preserve"> </w:t>
      </w:r>
      <w:r>
        <w:t xml:space="preserve">amount paid out as </w:t>
      </w:r>
      <w:r w:rsidRPr="003036C6">
        <w:t>interest on borrowed capital.</w:t>
      </w:r>
    </w:p>
    <w:tbl>
      <w:tblPr>
        <w:tblStyle w:val="DTFtexttableindent"/>
        <w:tblW w:w="8178" w:type="dxa"/>
        <w:tblLook w:val="0680" w:firstRow="0" w:lastRow="0" w:firstColumn="1" w:lastColumn="0" w:noHBand="1" w:noVBand="1"/>
      </w:tblPr>
      <w:tblGrid>
        <w:gridCol w:w="8178"/>
      </w:tblGrid>
      <w:tr w:rsidR="00062F84" w:rsidRPr="003036C6" w:rsidTr="00C433C7">
        <w:tc>
          <w:tcPr>
            <w:cnfStyle w:val="001000000000" w:firstRow="0" w:lastRow="0" w:firstColumn="1" w:lastColumn="0" w:oddVBand="0" w:evenVBand="0" w:oddHBand="0" w:evenHBand="0" w:firstRowFirstColumn="0" w:firstRowLastColumn="0" w:lastRowFirstColumn="0" w:lastRowLastColumn="0"/>
            <w:tcW w:w="8178" w:type="dxa"/>
          </w:tcPr>
          <w:p w:rsidR="00062F84" w:rsidRPr="004D40DF" w:rsidRDefault="00062F84" w:rsidP="00C433C7">
            <w:pPr>
              <w:pStyle w:val="Tablechartdiagramheading"/>
            </w:pPr>
            <w:r w:rsidRPr="004D40DF">
              <w:t>Data sources</w:t>
            </w:r>
          </w:p>
          <w:p w:rsidR="00062F84" w:rsidRPr="004D40DF" w:rsidRDefault="00062F84" w:rsidP="00C433C7">
            <w:pPr>
              <w:pStyle w:val="Tabletext"/>
            </w:pPr>
            <w:r w:rsidRPr="004D40DF">
              <w:t xml:space="preserve">The </w:t>
            </w:r>
            <w:r w:rsidRPr="004D40DF">
              <w:rPr>
                <w:b/>
              </w:rPr>
              <w:t>interest costs</w:t>
            </w:r>
            <w:r w:rsidRPr="004D40DF">
              <w:t xml:space="preserve"> borne by a regulated entity depend on the risk category of that entity (e.g. large and well-established businesses generally pay lower interest costs compared with a newly established small business). </w:t>
            </w:r>
          </w:p>
          <w:p w:rsidR="00062F84" w:rsidRDefault="00062F84" w:rsidP="00C433C7">
            <w:pPr>
              <w:pStyle w:val="Tabletext"/>
            </w:pPr>
            <w:r w:rsidRPr="004D40DF">
              <w:t xml:space="preserve">Appropriate market proxies should be identified for the actual interest costs borne by </w:t>
            </w:r>
            <w:r>
              <w:t>a business or regulated entity.</w:t>
            </w:r>
          </w:p>
          <w:p w:rsidR="00062F84" w:rsidRPr="003036C6" w:rsidRDefault="00062F84" w:rsidP="00C433C7">
            <w:pPr>
              <w:pStyle w:val="Tabletext"/>
            </w:pPr>
            <w:r w:rsidRPr="004D40DF">
              <w:rPr>
                <w:rFonts w:cs="Arial"/>
              </w:rPr>
              <w:t xml:space="preserve">Where a riskless rate is appropriate (only in very rare cases), the annual rate </w:t>
            </w:r>
            <w:r w:rsidRPr="004D40DF">
              <w:t>set by the Treasurer as part of the state budget process can be used</w:t>
            </w:r>
            <w:r>
              <w:t xml:space="preserve"> (available from the DTF website www.dtf.vic.gov.au)</w:t>
            </w:r>
            <w:r w:rsidRPr="004D40DF">
              <w:rPr>
                <w:rFonts w:cs="Arial"/>
              </w:rPr>
              <w:t>.</w:t>
            </w:r>
          </w:p>
        </w:tc>
      </w:tr>
    </w:tbl>
    <w:p w:rsidR="00062F84" w:rsidRDefault="00062F84" w:rsidP="00062F84">
      <w:pPr>
        <w:pStyle w:val="Spacer"/>
      </w:pPr>
    </w:p>
    <w:p w:rsidR="00062F84" w:rsidRPr="00CA330B" w:rsidRDefault="00062F84" w:rsidP="00C433C7">
      <w:pPr>
        <w:pStyle w:val="Heading3indent"/>
      </w:pPr>
      <w:bookmarkStart w:id="351" w:name="_Toc355275863"/>
      <w:bookmarkStart w:id="352" w:name="_Toc358276121"/>
      <w:bookmarkStart w:id="353" w:name="_Toc358282393"/>
      <w:bookmarkStart w:id="354" w:name="_Toc468455454"/>
      <w:r w:rsidRPr="00CA330B">
        <w:t>Time</w:t>
      </w:r>
      <w:bookmarkEnd w:id="351"/>
      <w:bookmarkEnd w:id="352"/>
      <w:bookmarkEnd w:id="353"/>
      <w:bookmarkEnd w:id="354"/>
    </w:p>
    <w:p w:rsidR="00062F84" w:rsidRPr="00C433C7" w:rsidRDefault="00062F84" w:rsidP="00C433C7">
      <w:pPr>
        <w:pStyle w:val="NormalIndent"/>
      </w:pPr>
      <w:r w:rsidRPr="004D40DF">
        <w:rPr>
          <w:b/>
        </w:rPr>
        <w:t>Time</w:t>
      </w:r>
      <w:r>
        <w:t xml:space="preserve"> refers </w:t>
      </w:r>
      <w:r w:rsidRPr="003036C6">
        <w:t>to the internal time (in minutes or hours) that it</w:t>
      </w:r>
      <w:r>
        <w:t xml:space="preserve"> takes a business to perform a regulatory</w:t>
      </w:r>
      <w:r w:rsidRPr="003036C6">
        <w:t xml:space="preserve"> activity. </w:t>
      </w:r>
    </w:p>
    <w:tbl>
      <w:tblPr>
        <w:tblStyle w:val="DTFtexttableindent"/>
        <w:tblW w:w="8178" w:type="dxa"/>
        <w:tblLook w:val="0680" w:firstRow="0" w:lastRow="0" w:firstColumn="1" w:lastColumn="0" w:noHBand="1" w:noVBand="1"/>
      </w:tblPr>
      <w:tblGrid>
        <w:gridCol w:w="8178"/>
      </w:tblGrid>
      <w:tr w:rsidR="00062F84" w:rsidRPr="003036C6" w:rsidTr="00C433C7">
        <w:tc>
          <w:tcPr>
            <w:cnfStyle w:val="001000000000" w:firstRow="0" w:lastRow="0" w:firstColumn="1" w:lastColumn="0" w:oddVBand="0" w:evenVBand="0" w:oddHBand="0" w:evenHBand="0" w:firstRowFirstColumn="0" w:firstRowLastColumn="0" w:lastRowFirstColumn="0" w:lastRowLastColumn="0"/>
            <w:tcW w:w="8178" w:type="dxa"/>
          </w:tcPr>
          <w:p w:rsidR="00062F84" w:rsidRPr="004D40DF" w:rsidRDefault="00062F84" w:rsidP="00C433C7">
            <w:pPr>
              <w:pStyle w:val="Tablechartdiagramheading"/>
            </w:pPr>
            <w:r w:rsidRPr="004D40DF">
              <w:t>Data sources</w:t>
            </w:r>
          </w:p>
          <w:p w:rsidR="00062F84" w:rsidRPr="004D40DF" w:rsidRDefault="00062F84" w:rsidP="00C433C7">
            <w:pPr>
              <w:pStyle w:val="Tabletext"/>
            </w:pPr>
            <w:r>
              <w:t xml:space="preserve">The </w:t>
            </w:r>
            <w:r w:rsidRPr="004D40DF">
              <w:rPr>
                <w:b/>
              </w:rPr>
              <w:t>time</w:t>
            </w:r>
            <w:r w:rsidRPr="004D40DF">
              <w:t xml:space="preserve"> taken to complete a regulatory activity </w:t>
            </w:r>
            <w:r w:rsidRPr="00C433C7">
              <w:t>can be estimated by departmental officers but may need to be confir</w:t>
            </w:r>
            <w:r>
              <w:t xml:space="preserve">med through </w:t>
            </w:r>
            <w:r w:rsidRPr="004D40DF">
              <w:t>consultation with policy and indus</w:t>
            </w:r>
            <w:r>
              <w:t>try experts</w:t>
            </w:r>
            <w:r w:rsidRPr="004D40DF">
              <w:t xml:space="preserve">. </w:t>
            </w:r>
          </w:p>
        </w:tc>
      </w:tr>
    </w:tbl>
    <w:p w:rsidR="00062F84" w:rsidRDefault="00062F84" w:rsidP="00062F84">
      <w:pPr>
        <w:pStyle w:val="Spacer"/>
      </w:pPr>
    </w:p>
    <w:p w:rsidR="00062F84" w:rsidRPr="003036C6" w:rsidRDefault="00062F84" w:rsidP="00C433C7">
      <w:pPr>
        <w:pStyle w:val="Heading2"/>
        <w:ind w:left="792" w:hanging="792"/>
      </w:pPr>
      <w:bookmarkStart w:id="355" w:name="_Toc257015782"/>
      <w:bookmarkStart w:id="356" w:name="_Toc335401933"/>
      <w:bookmarkStart w:id="357" w:name="_Toc355267647"/>
      <w:bookmarkStart w:id="358" w:name="_Toc355275864"/>
      <w:bookmarkStart w:id="359" w:name="_Toc358276122"/>
      <w:bookmarkStart w:id="360" w:name="_Toc358282394"/>
      <w:bookmarkStart w:id="361" w:name="_Toc468455455"/>
      <w:bookmarkStart w:id="362" w:name="_Toc470078939"/>
      <w:r>
        <w:lastRenderedPageBreak/>
        <w:t>D</w:t>
      </w:r>
      <w:r w:rsidRPr="003036C6">
        <w:t xml:space="preserve">.2 </w:t>
      </w:r>
      <w:r w:rsidR="00C433C7">
        <w:tab/>
      </w:r>
      <w:r w:rsidRPr="003036C6">
        <w:t>Quantity variables</w:t>
      </w:r>
      <w:bookmarkEnd w:id="355"/>
      <w:bookmarkEnd w:id="356"/>
      <w:bookmarkEnd w:id="357"/>
      <w:bookmarkEnd w:id="358"/>
      <w:bookmarkEnd w:id="359"/>
      <w:bookmarkEnd w:id="360"/>
      <w:bookmarkEnd w:id="361"/>
      <w:bookmarkEnd w:id="362"/>
    </w:p>
    <w:p w:rsidR="00062F84" w:rsidRPr="004D40DF" w:rsidRDefault="00062F84" w:rsidP="00C433C7">
      <w:pPr>
        <w:pStyle w:val="Heading3indent"/>
      </w:pPr>
      <w:bookmarkStart w:id="363" w:name="_Toc355275865"/>
      <w:bookmarkStart w:id="364" w:name="_Toc358276123"/>
      <w:bookmarkStart w:id="365" w:name="_Toc358282395"/>
      <w:bookmarkStart w:id="366" w:name="_Toc468455456"/>
      <w:r w:rsidRPr="004D40DF">
        <w:t>Population</w:t>
      </w:r>
      <w:bookmarkEnd w:id="363"/>
      <w:bookmarkEnd w:id="364"/>
      <w:bookmarkEnd w:id="365"/>
      <w:bookmarkEnd w:id="366"/>
    </w:p>
    <w:p w:rsidR="00062F84" w:rsidRDefault="00062F84" w:rsidP="004D73A0">
      <w:pPr>
        <w:pStyle w:val="NormalIndent"/>
      </w:pPr>
      <w:r w:rsidRPr="003036C6">
        <w:rPr>
          <w:b/>
        </w:rPr>
        <w:t>Population</w:t>
      </w:r>
      <w:r w:rsidRPr="003036C6">
        <w:t xml:space="preserve"> refers to the number of </w:t>
      </w:r>
      <w:r>
        <w:t xml:space="preserve">regulated </w:t>
      </w:r>
      <w:r w:rsidRPr="003036C6">
        <w:t>entities (e.g. businesses</w:t>
      </w:r>
      <w:r>
        <w:t xml:space="preserve">, </w:t>
      </w:r>
      <w:r w:rsidRPr="003036C6">
        <w:t>not-for-profit organisations</w:t>
      </w:r>
      <w:r>
        <w:t xml:space="preserve"> or individuals</w:t>
      </w:r>
      <w:r w:rsidRPr="003036C6">
        <w:t>) affected by a pa</w:t>
      </w:r>
      <w:r>
        <w:t>rticular regulatory obligation.</w:t>
      </w:r>
    </w:p>
    <w:p w:rsidR="00062F84" w:rsidRDefault="00062F84" w:rsidP="004D73A0">
      <w:pPr>
        <w:pStyle w:val="NormalIndent"/>
      </w:pPr>
      <w:r w:rsidRPr="003036C6">
        <w:t xml:space="preserve">The analysis of population may require </w:t>
      </w:r>
      <w:r w:rsidRPr="004D40DF">
        <w:rPr>
          <w:b/>
        </w:rPr>
        <w:t>segmentation</w:t>
      </w:r>
      <w:r>
        <w:t>.</w:t>
      </w:r>
      <w:r w:rsidRPr="00CA0071">
        <w:t xml:space="preserve"> </w:t>
      </w:r>
      <w:r>
        <w:t xml:space="preserve">Where the </w:t>
      </w:r>
      <w:r w:rsidRPr="00CA0071">
        <w:t xml:space="preserve">affected </w:t>
      </w:r>
      <w:r>
        <w:t xml:space="preserve">population </w:t>
      </w:r>
      <w:r w:rsidRPr="00CA0071">
        <w:t xml:space="preserve">is </w:t>
      </w:r>
      <w:r>
        <w:t>diverse</w:t>
      </w:r>
      <w:r w:rsidRPr="00CA0071">
        <w:t xml:space="preserve">, </w:t>
      </w:r>
      <w:r>
        <w:t>costs</w:t>
      </w:r>
      <w:r w:rsidRPr="00CA0071">
        <w:t xml:space="preserve"> </w:t>
      </w:r>
      <w:r>
        <w:t xml:space="preserve">experienced by different parts of the population (sector) may vary significantly. </w:t>
      </w:r>
      <w:r w:rsidRPr="00CA0071">
        <w:t>For instance, large businesses</w:t>
      </w:r>
      <w:r>
        <w:t xml:space="preserve"> may take much less </w:t>
      </w:r>
      <w:r w:rsidRPr="00CA0071">
        <w:t xml:space="preserve">time to complete a particular </w:t>
      </w:r>
      <w:r>
        <w:t xml:space="preserve">regulatory </w:t>
      </w:r>
      <w:r w:rsidRPr="00CA0071">
        <w:t xml:space="preserve">task </w:t>
      </w:r>
      <w:r>
        <w:t xml:space="preserve">in comparison with smaller businesses. </w:t>
      </w:r>
      <w:r w:rsidRPr="00CA0071">
        <w:t xml:space="preserve">Where </w:t>
      </w:r>
      <w:r>
        <w:t xml:space="preserve">the </w:t>
      </w:r>
      <w:r w:rsidRPr="00CA0071">
        <w:t xml:space="preserve">variation </w:t>
      </w:r>
      <w:r>
        <w:t xml:space="preserve">in costs </w:t>
      </w:r>
      <w:r w:rsidRPr="00CA0071">
        <w:t xml:space="preserve">is significant, the affected </w:t>
      </w:r>
      <w:r>
        <w:t xml:space="preserve">sector can be disaggregated into </w:t>
      </w:r>
      <w:r w:rsidRPr="00CA0071">
        <w:t xml:space="preserve">generally not more than three </w:t>
      </w:r>
      <w:r w:rsidRPr="004D40DF">
        <w:t xml:space="preserve">segments </w:t>
      </w:r>
      <w:r w:rsidRPr="00CA0071">
        <w:t>(e.g.</w:t>
      </w:r>
      <w:r>
        <w:rPr>
          <w:b/>
        </w:rPr>
        <w:t xml:space="preserve"> </w:t>
      </w:r>
      <w:r>
        <w:t xml:space="preserve">small, medium and </w:t>
      </w:r>
      <w:r w:rsidRPr="00CA0071">
        <w:t>large</w:t>
      </w:r>
      <w:r w:rsidRPr="00CA0071">
        <w:rPr>
          <w:rStyle w:val="FootnoteReference"/>
        </w:rPr>
        <w:footnoteReference w:id="7"/>
      </w:r>
      <w:r>
        <w:t>)</w:t>
      </w:r>
      <w:r w:rsidRPr="00CA0071">
        <w:t xml:space="preserve">. </w:t>
      </w:r>
    </w:p>
    <w:tbl>
      <w:tblPr>
        <w:tblStyle w:val="DTFtexttableindent"/>
        <w:tblW w:w="8178" w:type="dxa"/>
        <w:tblLook w:val="0680" w:firstRow="0" w:lastRow="0" w:firstColumn="1" w:lastColumn="0" w:noHBand="1" w:noVBand="1"/>
      </w:tblPr>
      <w:tblGrid>
        <w:gridCol w:w="8178"/>
      </w:tblGrid>
      <w:tr w:rsidR="00062F84" w:rsidRPr="003036C6" w:rsidTr="00C433C7">
        <w:tc>
          <w:tcPr>
            <w:cnfStyle w:val="001000000000" w:firstRow="0" w:lastRow="0" w:firstColumn="1" w:lastColumn="0" w:oddVBand="0" w:evenVBand="0" w:oddHBand="0" w:evenHBand="0" w:firstRowFirstColumn="0" w:firstRowLastColumn="0" w:lastRowFirstColumn="0" w:lastRowLastColumn="0"/>
            <w:tcW w:w="8178" w:type="dxa"/>
          </w:tcPr>
          <w:p w:rsidR="00062F84" w:rsidRPr="004D40DF" w:rsidRDefault="00062F84" w:rsidP="00D06A77">
            <w:pPr>
              <w:pStyle w:val="Tablechartdiagramheading"/>
            </w:pPr>
            <w:r w:rsidRPr="004D40DF">
              <w:t>Data sources</w:t>
            </w:r>
          </w:p>
          <w:p w:rsidR="00062F84" w:rsidRPr="004D40DF" w:rsidRDefault="00062F84" w:rsidP="00D06A77">
            <w:pPr>
              <w:pStyle w:val="Tabletext"/>
            </w:pPr>
            <w:r>
              <w:t>Data regarding the number of affected regulated entities (i.e</w:t>
            </w:r>
            <w:r w:rsidR="00D06A77">
              <w:t>.</w:t>
            </w:r>
            <w:r>
              <w:t xml:space="preserve"> the </w:t>
            </w:r>
            <w:r w:rsidRPr="004D40DF">
              <w:rPr>
                <w:b/>
              </w:rPr>
              <w:t>population</w:t>
            </w:r>
            <w:r w:rsidRPr="004D40DF">
              <w:t>)</w:t>
            </w:r>
            <w:r>
              <w:rPr>
                <w:b/>
              </w:rPr>
              <w:t xml:space="preserve"> </w:t>
            </w:r>
            <w:r>
              <w:t xml:space="preserve">can be obtained from Government registers, industry association statistics and the ABS. </w:t>
            </w:r>
          </w:p>
        </w:tc>
      </w:tr>
    </w:tbl>
    <w:p w:rsidR="00062F84" w:rsidRDefault="00062F84" w:rsidP="00062F84">
      <w:pPr>
        <w:pStyle w:val="Spacer"/>
      </w:pPr>
    </w:p>
    <w:p w:rsidR="00062F84" w:rsidRPr="004D40DF" w:rsidRDefault="00062F84" w:rsidP="00C433C7">
      <w:pPr>
        <w:pStyle w:val="Heading3indent"/>
      </w:pPr>
      <w:bookmarkStart w:id="367" w:name="_Toc355275866"/>
      <w:bookmarkStart w:id="368" w:name="_Toc358276124"/>
      <w:bookmarkStart w:id="369" w:name="_Toc358282396"/>
      <w:bookmarkStart w:id="370" w:name="_Toc468455457"/>
      <w:r w:rsidRPr="004D40DF">
        <w:t>Annual frequency</w:t>
      </w:r>
      <w:bookmarkEnd w:id="367"/>
      <w:bookmarkEnd w:id="368"/>
      <w:bookmarkEnd w:id="369"/>
      <w:bookmarkEnd w:id="370"/>
    </w:p>
    <w:p w:rsidR="00062F84" w:rsidRDefault="00062F84" w:rsidP="004D73A0">
      <w:pPr>
        <w:pStyle w:val="NormalIndent"/>
      </w:pPr>
      <w:r w:rsidRPr="003036C6">
        <w:rPr>
          <w:b/>
        </w:rPr>
        <w:t xml:space="preserve">Annual frequency </w:t>
      </w:r>
      <w:r w:rsidRPr="003036C6">
        <w:t>is the number of times an affected business or other entity delivers or complies with a regulatory obligation each yea</w:t>
      </w:r>
      <w:r>
        <w:t xml:space="preserve">r. Thus, where an </w:t>
      </w:r>
      <w:r w:rsidRPr="003036C6">
        <w:t xml:space="preserve">obligation </w:t>
      </w:r>
      <w:r>
        <w:t xml:space="preserve">is </w:t>
      </w:r>
      <w:r w:rsidRPr="003036C6">
        <w:t xml:space="preserve">required </w:t>
      </w:r>
      <w:r>
        <w:t>every second year, its frequency is 0.5</w:t>
      </w:r>
      <w:r w:rsidRPr="003036C6">
        <w:t>.</w:t>
      </w:r>
    </w:p>
    <w:tbl>
      <w:tblPr>
        <w:tblStyle w:val="DTFtexttableindent"/>
        <w:tblW w:w="8178" w:type="dxa"/>
        <w:tblLook w:val="0680" w:firstRow="0" w:lastRow="0" w:firstColumn="1" w:lastColumn="0" w:noHBand="1" w:noVBand="1"/>
      </w:tblPr>
      <w:tblGrid>
        <w:gridCol w:w="8178"/>
      </w:tblGrid>
      <w:tr w:rsidR="00062F84" w:rsidRPr="003036C6" w:rsidTr="00D06A77">
        <w:tc>
          <w:tcPr>
            <w:cnfStyle w:val="001000000000" w:firstRow="0" w:lastRow="0" w:firstColumn="1" w:lastColumn="0" w:oddVBand="0" w:evenVBand="0" w:oddHBand="0" w:evenHBand="0" w:firstRowFirstColumn="0" w:firstRowLastColumn="0" w:lastRowFirstColumn="0" w:lastRowLastColumn="0"/>
            <w:tcW w:w="8178" w:type="dxa"/>
          </w:tcPr>
          <w:p w:rsidR="00062F84" w:rsidRPr="004D40DF" w:rsidRDefault="00062F84" w:rsidP="00C433C7">
            <w:pPr>
              <w:pStyle w:val="Tablechartdiagramheading"/>
            </w:pPr>
            <w:r w:rsidRPr="004D40DF">
              <w:t>Data sources</w:t>
            </w:r>
          </w:p>
          <w:p w:rsidR="00062F84" w:rsidRPr="00425740" w:rsidRDefault="00062F84" w:rsidP="00C433C7">
            <w:pPr>
              <w:pStyle w:val="Tabletext"/>
              <w:rPr>
                <w:rFonts w:cs="Arial"/>
              </w:rPr>
            </w:pPr>
            <w:r w:rsidRPr="00425740">
              <w:t xml:space="preserve">The </w:t>
            </w:r>
            <w:r w:rsidRPr="00425740">
              <w:rPr>
                <w:b/>
              </w:rPr>
              <w:t>annual frequency</w:t>
            </w:r>
            <w:r w:rsidRPr="00425740">
              <w:t xml:space="preserve"> of an obligation should be derived directly from the regulation.  In some cases departmental or agency information, such as the number of inspections or audits, can be a useful source.</w:t>
            </w:r>
          </w:p>
        </w:tc>
      </w:tr>
    </w:tbl>
    <w:p w:rsidR="00062F84" w:rsidRDefault="00062F84" w:rsidP="00062F84">
      <w:pPr>
        <w:pStyle w:val="Spacer"/>
      </w:pPr>
    </w:p>
    <w:p w:rsidR="00062F84" w:rsidRPr="004D40DF" w:rsidRDefault="00062F84" w:rsidP="00C433C7">
      <w:pPr>
        <w:pStyle w:val="Heading3indent"/>
      </w:pPr>
      <w:bookmarkStart w:id="371" w:name="_Toc355275867"/>
      <w:bookmarkStart w:id="372" w:name="_Toc358276125"/>
      <w:bookmarkStart w:id="373" w:name="_Toc358282397"/>
      <w:bookmarkStart w:id="374" w:name="_Toc468455458"/>
      <w:r w:rsidRPr="004D40DF">
        <w:t>Compliance rate</w:t>
      </w:r>
      <w:bookmarkEnd w:id="371"/>
      <w:bookmarkEnd w:id="372"/>
      <w:bookmarkEnd w:id="373"/>
      <w:bookmarkEnd w:id="374"/>
    </w:p>
    <w:p w:rsidR="00062F84" w:rsidRDefault="00062F84" w:rsidP="004D73A0">
      <w:pPr>
        <w:pStyle w:val="NormalIndent"/>
      </w:pPr>
      <w:r>
        <w:t>N</w:t>
      </w:r>
      <w:r w:rsidRPr="009015E2">
        <w:t xml:space="preserve">ot all affected sectors comply </w:t>
      </w:r>
      <w:r>
        <w:t xml:space="preserve">fully </w:t>
      </w:r>
      <w:r w:rsidRPr="009015E2">
        <w:t>with a given regulatory requirement</w:t>
      </w:r>
      <w:r>
        <w:t xml:space="preserve"> either </w:t>
      </w:r>
      <w:r w:rsidRPr="009015E2">
        <w:t>due to lack of knowledge, lack of enforcement, or because technological change has made the regulat</w:t>
      </w:r>
      <w:r>
        <w:t xml:space="preserve">ory requirement </w:t>
      </w:r>
      <w:r w:rsidRPr="009015E2">
        <w:t xml:space="preserve">redundant. </w:t>
      </w:r>
      <w:r>
        <w:t xml:space="preserve">Where </w:t>
      </w:r>
      <w:r w:rsidRPr="009015E2">
        <w:t xml:space="preserve">evidence </w:t>
      </w:r>
      <w:r>
        <w:t xml:space="preserve">exists of less than </w:t>
      </w:r>
      <w:r w:rsidRPr="009015E2">
        <w:t>100 per cent</w:t>
      </w:r>
      <w:r>
        <w:t xml:space="preserve"> </w:t>
      </w:r>
      <w:r w:rsidRPr="009015E2">
        <w:t xml:space="preserve">compliance with a regulatory requirement, </w:t>
      </w:r>
      <w:r>
        <w:t xml:space="preserve">the actual rate should be used to avoid </w:t>
      </w:r>
      <w:r w:rsidRPr="009015E2">
        <w:t>overstat</w:t>
      </w:r>
      <w:r>
        <w:t>ing</w:t>
      </w:r>
      <w:r w:rsidRPr="00B65F19">
        <w:t xml:space="preserve"> </w:t>
      </w:r>
      <w:r w:rsidRPr="009015E2">
        <w:t xml:space="preserve">the actual </w:t>
      </w:r>
      <w:r>
        <w:t xml:space="preserve">regulatory </w:t>
      </w:r>
      <w:r w:rsidRPr="009015E2">
        <w:t>burden</w:t>
      </w:r>
      <w:r>
        <w:t>. Where no information is available regarding actual compliance, 100 per cent compliance should be assumed.</w:t>
      </w:r>
    </w:p>
    <w:tbl>
      <w:tblPr>
        <w:tblStyle w:val="DTFtexttableindent"/>
        <w:tblW w:w="8178" w:type="dxa"/>
        <w:tblLook w:val="0680" w:firstRow="0" w:lastRow="0" w:firstColumn="1" w:lastColumn="0" w:noHBand="1" w:noVBand="1"/>
      </w:tblPr>
      <w:tblGrid>
        <w:gridCol w:w="8178"/>
      </w:tblGrid>
      <w:tr w:rsidR="00062F84" w:rsidRPr="0056562E" w:rsidTr="00C433C7">
        <w:tc>
          <w:tcPr>
            <w:cnfStyle w:val="001000000000" w:firstRow="0" w:lastRow="0" w:firstColumn="1" w:lastColumn="0" w:oddVBand="0" w:evenVBand="0" w:oddHBand="0" w:evenHBand="0" w:firstRowFirstColumn="0" w:firstRowLastColumn="0" w:lastRowFirstColumn="0" w:lastRowLastColumn="0"/>
            <w:tcW w:w="8178" w:type="dxa"/>
          </w:tcPr>
          <w:p w:rsidR="00062F84" w:rsidRPr="004D40DF" w:rsidRDefault="00062F84" w:rsidP="00C433C7">
            <w:pPr>
              <w:pStyle w:val="Tablechartdiagramheading"/>
            </w:pPr>
            <w:r w:rsidRPr="004D40DF">
              <w:t>Data sources</w:t>
            </w:r>
          </w:p>
          <w:p w:rsidR="00062F84" w:rsidRPr="00425740" w:rsidRDefault="00062F84" w:rsidP="00C433C7">
            <w:pPr>
              <w:pStyle w:val="Tabletext"/>
              <w:rPr>
                <w:lang w:val="en-GB"/>
              </w:rPr>
            </w:pPr>
            <w:r w:rsidRPr="00425740">
              <w:rPr>
                <w:lang w:val="en-GB"/>
              </w:rPr>
              <w:t xml:space="preserve">Data on the actual </w:t>
            </w:r>
            <w:r w:rsidRPr="00425740">
              <w:rPr>
                <w:b/>
                <w:lang w:val="en-GB"/>
              </w:rPr>
              <w:t>compliance rate</w:t>
            </w:r>
            <w:r w:rsidRPr="00425740">
              <w:rPr>
                <w:lang w:val="en-GB"/>
              </w:rPr>
              <w:t xml:space="preserve"> can be obtained from departmental experts and inspectorates. Where no information is available regarding actual compliance, 100 per cent compliance should be assumed. </w:t>
            </w:r>
          </w:p>
        </w:tc>
      </w:tr>
    </w:tbl>
    <w:p w:rsidR="00062F84" w:rsidRDefault="00062F84" w:rsidP="00062F84">
      <w:pPr>
        <w:pStyle w:val="Spacer"/>
      </w:pPr>
    </w:p>
    <w:p w:rsidR="00C433C7" w:rsidRDefault="00C433C7">
      <w:pPr>
        <w:spacing w:before="0" w:after="200"/>
      </w:pPr>
      <w:r>
        <w:br w:type="page"/>
      </w:r>
    </w:p>
    <w:p w:rsidR="00062F84" w:rsidRPr="009015E2" w:rsidRDefault="00062F84" w:rsidP="004D73A0">
      <w:pPr>
        <w:pStyle w:val="NormalIndent"/>
      </w:pPr>
      <w:r w:rsidRPr="009015E2">
        <w:lastRenderedPageBreak/>
        <w:t xml:space="preserve">Where </w:t>
      </w:r>
      <w:r>
        <w:t xml:space="preserve">the </w:t>
      </w:r>
      <w:r w:rsidRPr="009015E2">
        <w:t xml:space="preserve">uptake of a regulatory change </w:t>
      </w:r>
      <w:r>
        <w:t xml:space="preserve">is expected to </w:t>
      </w:r>
      <w:r w:rsidRPr="009015E2">
        <w:t>vary over time</w:t>
      </w:r>
      <w:r>
        <w:t xml:space="preserve"> (</w:t>
      </w:r>
      <w:r w:rsidRPr="009015E2">
        <w:t xml:space="preserve">as </w:t>
      </w:r>
      <w:r>
        <w:t xml:space="preserve">is often the case </w:t>
      </w:r>
      <w:r w:rsidRPr="009015E2">
        <w:t>with information technology solutions</w:t>
      </w:r>
      <w:r>
        <w:t>)</w:t>
      </w:r>
      <w:r w:rsidRPr="009015E2">
        <w:t xml:space="preserve">, </w:t>
      </w:r>
      <w:r>
        <w:t>it is necessary</w:t>
      </w:r>
      <w:r w:rsidRPr="009015E2">
        <w:t xml:space="preserve"> to account for such variation</w:t>
      </w:r>
      <w:r>
        <w:t xml:space="preserve"> through an appropriate </w:t>
      </w:r>
      <w:r w:rsidRPr="003745FD">
        <w:rPr>
          <w:b/>
        </w:rPr>
        <w:t>uptake rate</w:t>
      </w:r>
      <w:r>
        <w:t>.</w:t>
      </w:r>
    </w:p>
    <w:tbl>
      <w:tblPr>
        <w:tblStyle w:val="DTFtexttableindent"/>
        <w:tblW w:w="8178" w:type="dxa"/>
        <w:tblLook w:val="0680" w:firstRow="0" w:lastRow="0" w:firstColumn="1" w:lastColumn="0" w:noHBand="1" w:noVBand="1"/>
      </w:tblPr>
      <w:tblGrid>
        <w:gridCol w:w="8178"/>
      </w:tblGrid>
      <w:tr w:rsidR="00062F84" w:rsidRPr="000A6107" w:rsidTr="00C433C7">
        <w:tc>
          <w:tcPr>
            <w:cnfStyle w:val="001000000000" w:firstRow="0" w:lastRow="0" w:firstColumn="1" w:lastColumn="0" w:oddVBand="0" w:evenVBand="0" w:oddHBand="0" w:evenHBand="0" w:firstRowFirstColumn="0" w:firstRowLastColumn="0" w:lastRowFirstColumn="0" w:lastRowLastColumn="0"/>
            <w:tcW w:w="8178" w:type="dxa"/>
          </w:tcPr>
          <w:p w:rsidR="00062F84" w:rsidRPr="004D40DF" w:rsidRDefault="00062F84" w:rsidP="00C433C7">
            <w:pPr>
              <w:pStyle w:val="Tablechartdiagramheading"/>
            </w:pPr>
            <w:r w:rsidRPr="004D40DF">
              <w:t>Data sources</w:t>
            </w:r>
          </w:p>
          <w:p w:rsidR="00062F84" w:rsidRPr="00425740" w:rsidRDefault="00062F84" w:rsidP="00C433C7">
            <w:pPr>
              <w:pStyle w:val="Tabletext"/>
              <w:rPr>
                <w:lang w:val="en-GB"/>
              </w:rPr>
            </w:pPr>
            <w:r w:rsidRPr="00425740">
              <w:rPr>
                <w:lang w:val="en-GB"/>
              </w:rPr>
              <w:t xml:space="preserve">Data on the </w:t>
            </w:r>
            <w:r w:rsidRPr="00425740">
              <w:rPr>
                <w:b/>
                <w:lang w:val="en-GB"/>
              </w:rPr>
              <w:t>uptake</w:t>
            </w:r>
            <w:r w:rsidRPr="00425740">
              <w:rPr>
                <w:lang w:val="en-GB"/>
              </w:rPr>
              <w:t xml:space="preserve"> of a regulatory processes can be estimated in consultation with departme</w:t>
            </w:r>
            <w:r>
              <w:rPr>
                <w:lang w:val="en-GB"/>
              </w:rPr>
              <w:t>ntal or industry experts.</w:t>
            </w:r>
          </w:p>
        </w:tc>
      </w:tr>
    </w:tbl>
    <w:p w:rsidR="00062F84" w:rsidRDefault="00062F84" w:rsidP="00062F84"/>
    <w:p w:rsidR="00062F84" w:rsidRDefault="00062F84" w:rsidP="00062F84"/>
    <w:p w:rsidR="00062F84" w:rsidRDefault="00062F84" w:rsidP="00632F2E"/>
    <w:p w:rsidR="00062F84" w:rsidRDefault="00062F84" w:rsidP="00632F2E"/>
    <w:p w:rsidR="00062F84" w:rsidRDefault="00062F84" w:rsidP="00632F2E"/>
    <w:p w:rsidR="00D12E74" w:rsidRDefault="00D12E74" w:rsidP="00D2312F"/>
    <w:p w:rsidR="00014213" w:rsidRDefault="00014213" w:rsidP="00D2312F">
      <w:pPr>
        <w:sectPr w:rsidR="00014213" w:rsidSect="00F44A38">
          <w:headerReference w:type="even" r:id="rId33"/>
          <w:headerReference w:type="default" r:id="rId34"/>
          <w:footerReference w:type="even" r:id="rId35"/>
          <w:footerReference w:type="default" r:id="rId36"/>
          <w:type w:val="oddPage"/>
          <w:pgSz w:w="11906" w:h="16838" w:code="9"/>
          <w:pgMar w:top="2160" w:right="1440" w:bottom="1620" w:left="1440" w:header="706" w:footer="461" w:gutter="0"/>
          <w:pgNumType w:start="1"/>
          <w:cols w:space="708"/>
          <w:docGrid w:linePitch="360"/>
        </w:sectPr>
      </w:pPr>
    </w:p>
    <w:p w:rsidR="00014213" w:rsidRPr="00D2312F" w:rsidRDefault="00014213" w:rsidP="00D2312F"/>
    <w:sectPr w:rsidR="00014213" w:rsidRPr="00D2312F" w:rsidSect="00014213">
      <w:headerReference w:type="even" r:id="rId37"/>
      <w:headerReference w:type="default" r:id="rId38"/>
      <w:footerReference w:type="even" r:id="rId39"/>
      <w:footerReference w:type="default" r:id="rId40"/>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CD" w:rsidRDefault="006810CD" w:rsidP="002D711A">
      <w:pPr>
        <w:spacing w:after="0" w:line="240" w:lineRule="auto"/>
      </w:pPr>
      <w:r>
        <w:separator/>
      </w:r>
    </w:p>
    <w:p w:rsidR="006810CD" w:rsidRDefault="006810CD"/>
  </w:endnote>
  <w:endnote w:type="continuationSeparator" w:id="0">
    <w:p w:rsidR="006810CD" w:rsidRDefault="006810CD" w:rsidP="002D711A">
      <w:pPr>
        <w:spacing w:after="0" w:line="240" w:lineRule="auto"/>
      </w:pPr>
      <w:r>
        <w:continuationSeparator/>
      </w:r>
    </w:p>
    <w:p w:rsidR="006810CD" w:rsidRDefault="00681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rsidP="00CB3976">
    <w:pPr>
      <w:pStyle w:val="Spacer"/>
    </w:pPr>
  </w:p>
  <w:p w:rsidR="00006417" w:rsidRDefault="00006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rsidP="00CB3976">
    <w:pPr>
      <w:pStyle w:val="Spacer"/>
    </w:pPr>
  </w:p>
  <w:p w:rsidR="00006417" w:rsidRDefault="00006417" w:rsidP="00C022F9">
    <w:pPr>
      <w:pStyle w:val="Footer"/>
    </w:pPr>
    <w:r>
      <w:drawing>
        <wp:anchor distT="0" distB="0" distL="114300" distR="114300" simplePos="0" relativeHeight="251660288" behindDoc="0" locked="0" layoutInCell="1" allowOverlap="1" wp14:anchorId="58365CC6" wp14:editId="3891F49E">
          <wp:simplePos x="0" y="0"/>
          <wp:positionH relativeFrom="column">
            <wp:posOffset>4224020</wp:posOffset>
          </wp:positionH>
          <wp:positionV relativeFrom="page">
            <wp:posOffset>9498330</wp:posOffset>
          </wp:positionV>
          <wp:extent cx="1956435" cy="582930"/>
          <wp:effectExtent l="0" t="0" r="5715" b="7620"/>
          <wp:wrapNone/>
          <wp:docPr id="3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7F" w:rsidRDefault="00D502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rsidP="00A47634">
    <w:pPr>
      <w:pStyle w:val="Spacer"/>
    </w:pPr>
  </w:p>
  <w:p w:rsidR="00006417" w:rsidRPr="00297281" w:rsidRDefault="00006417"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476DED">
      <w:rPr>
        <w:rStyle w:val="PageNumber"/>
      </w:rPr>
      <w:t>ii</w:t>
    </w:r>
    <w:r w:rsidRPr="00297281">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Pr="00CB3976" w:rsidRDefault="00006417" w:rsidP="00CB3976">
    <w:pPr>
      <w:pStyle w:val="Spacer"/>
    </w:pPr>
  </w:p>
  <w:p w:rsidR="00006417" w:rsidRPr="00297281" w:rsidRDefault="00006417"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476DED">
      <w:rPr>
        <w:rStyle w:val="PageNumber"/>
      </w:rPr>
      <w:t>i</w:t>
    </w:r>
    <w:r w:rsidRPr="00297281">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rsidP="00A47634">
    <w:pPr>
      <w:pStyle w:val="Spacer"/>
    </w:pPr>
  </w:p>
  <w:p w:rsidR="00006417" w:rsidRPr="00297281" w:rsidRDefault="00006417"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476DED">
      <w:rPr>
        <w:rStyle w:val="PageNumber"/>
      </w:rPr>
      <w:t>12</w:t>
    </w:r>
    <w:r w:rsidRPr="00297281">
      <w:rPr>
        <w:rStyle w:val="PageNumber"/>
      </w:rPr>
      <w:fldChar w:fldCharType="end"/>
    </w: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76DED">
      <w:rPr>
        <w:b/>
        <w:color w:val="0063A6" w:themeColor="accent1"/>
      </w:rPr>
      <w:t>Victorian Regulatory Change Measurement Manual</w:t>
    </w:r>
    <w:r w:rsidRPr="00C022F9">
      <w:rPr>
        <w:b/>
        <w:color w:val="0063A6" w:themeColor="accent1"/>
      </w:rPr>
      <w:fldChar w:fldCharType="end"/>
    </w:r>
    <w:r w:rsidRPr="00C022F9">
      <w:rPr>
        <w:b/>
        <w:color w:val="0063A6"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476DED">
      <w:t>March 2018</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476DED">
      <w:t>Version 3.1</w:t>
    </w:r>
    <w:r w:rsidRPr="00C022F9">
      <w:fldChar w:fldCharType="end"/>
    </w:r>
    <w: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rsidP="00165E66">
    <w:pPr>
      <w:pStyle w:val="Spacer"/>
    </w:pPr>
  </w:p>
  <w:p w:rsidR="00006417" w:rsidRPr="00C022F9" w:rsidRDefault="00006417"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76DED">
      <w:rPr>
        <w:b/>
        <w:color w:val="0063A6" w:themeColor="accent1"/>
      </w:rPr>
      <w:t>Victorian Regulatory Change Measurement Manual</w:t>
    </w:r>
    <w:r w:rsidRPr="00C022F9">
      <w:rPr>
        <w:b/>
        <w:color w:val="0063A6" w:themeColor="accent1"/>
      </w:rPr>
      <w:fldChar w:fldCharType="end"/>
    </w:r>
    <w:r w:rsidRPr="00C022F9">
      <w:rPr>
        <w:b/>
        <w:color w:val="0063A6"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476DED">
      <w:t>March 2018</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476DED">
      <w:t>Version 3.1</w:t>
    </w:r>
    <w:r w:rsidRPr="00C022F9">
      <w:fldChar w:fldCharType="end"/>
    </w:r>
    <w:r>
      <w:t>)</w: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476DED">
      <w:rPr>
        <w:rStyle w:val="PageNumber"/>
      </w:rPr>
      <w:t>13</w:t>
    </w:r>
    <w:r w:rsidRPr="00DE60CC">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Pr="00014213" w:rsidRDefault="00006417" w:rsidP="00C022F9">
    <w:pPr>
      <w:pStyle w:val="Footer"/>
    </w:pPr>
    <w:r>
      <w:drawing>
        <wp:anchor distT="0" distB="0" distL="114300" distR="114300" simplePos="0" relativeHeight="251667456" behindDoc="0" locked="0" layoutInCell="1" allowOverlap="1" wp14:anchorId="3ECB8FC5" wp14:editId="22573C01">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rsidP="00CB3976">
    <w:pPr>
      <w:pStyle w:val="Spacer"/>
    </w:pPr>
  </w:p>
  <w:p w:rsidR="00006417" w:rsidRPr="00CB3976" w:rsidRDefault="00006417" w:rsidP="00CB3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CD" w:rsidRDefault="006810CD" w:rsidP="002D711A">
      <w:pPr>
        <w:spacing w:after="0" w:line="240" w:lineRule="auto"/>
      </w:pPr>
      <w:r>
        <w:separator/>
      </w:r>
    </w:p>
  </w:footnote>
  <w:footnote w:type="continuationSeparator" w:id="0">
    <w:p w:rsidR="006810CD" w:rsidRDefault="006810CD" w:rsidP="002D711A">
      <w:pPr>
        <w:spacing w:after="0" w:line="240" w:lineRule="auto"/>
      </w:pPr>
      <w:r>
        <w:continuationSeparator/>
      </w:r>
    </w:p>
    <w:p w:rsidR="006810CD" w:rsidRDefault="006810CD"/>
  </w:footnote>
  <w:footnote w:id="1">
    <w:p w:rsidR="00006417" w:rsidRDefault="00006417" w:rsidP="004D73A0">
      <w:pPr>
        <w:pStyle w:val="FootnoteText"/>
      </w:pPr>
      <w:r w:rsidRPr="00B105A3">
        <w:rPr>
          <w:rStyle w:val="FootnoteReference"/>
        </w:rPr>
        <w:footnoteRef/>
      </w:r>
      <w:r w:rsidRPr="00B105A3">
        <w:rPr>
          <w:rStyle w:val="FootnoteReference"/>
        </w:rPr>
        <w:t xml:space="preserve"> </w:t>
      </w:r>
      <w:r w:rsidRPr="00B105A3">
        <w:t>The economic costs of prohibitions are included in this manual for completeness</w:t>
      </w:r>
      <w:r>
        <w:t>. However, to ensure value for money in the RCM process, only a qualitative discussion of these costs is required for an RCM.</w:t>
      </w:r>
    </w:p>
  </w:footnote>
  <w:footnote w:id="2">
    <w:p w:rsidR="00006417" w:rsidRPr="00522D37" w:rsidRDefault="00006417" w:rsidP="00F44A38">
      <w:pPr>
        <w:pStyle w:val="FootnoteText"/>
      </w:pPr>
      <w:r w:rsidRPr="00522D37">
        <w:rPr>
          <w:rStyle w:val="FootnoteReference"/>
          <w:sz w:val="18"/>
          <w:szCs w:val="18"/>
        </w:rPr>
        <w:footnoteRef/>
      </w:r>
      <w:r w:rsidRPr="00522D37">
        <w:t xml:space="preserve"> A competent authority includes a private business that receives money as an agent of the Government.</w:t>
      </w:r>
    </w:p>
  </w:footnote>
  <w:footnote w:id="3">
    <w:p w:rsidR="00006417" w:rsidRPr="00522D37" w:rsidRDefault="00006417" w:rsidP="00F44A38">
      <w:pPr>
        <w:pStyle w:val="FootnoteText"/>
      </w:pPr>
      <w:r w:rsidRPr="00522D37">
        <w:rPr>
          <w:rStyle w:val="FootnoteReference"/>
          <w:sz w:val="18"/>
          <w:szCs w:val="18"/>
        </w:rPr>
        <w:footnoteRef/>
      </w:r>
      <w:r w:rsidRPr="00522D37">
        <w:t xml:space="preserve"> </w:t>
      </w:r>
      <w:r>
        <w:t>Premiums paid to a commercial insurance provider for mandatory insurance are a compliance cost and as such are within scope of the Government’s red tape reduction target</w:t>
      </w:r>
      <w:r w:rsidRPr="00522D37">
        <w:t>.</w:t>
      </w:r>
    </w:p>
  </w:footnote>
  <w:footnote w:id="4">
    <w:p w:rsidR="00006417" w:rsidRDefault="00006417" w:rsidP="00E33EA6">
      <w:pPr>
        <w:pStyle w:val="FootnoteText"/>
      </w:pPr>
      <w:r>
        <w:rPr>
          <w:rStyle w:val="FootnoteReference"/>
        </w:rPr>
        <w:footnoteRef/>
      </w:r>
      <w:r>
        <w:t xml:space="preserve"> </w:t>
      </w:r>
      <w:r w:rsidRPr="004C1766">
        <w:t>This is similar to the straight line depreciation method.</w:t>
      </w:r>
    </w:p>
  </w:footnote>
  <w:footnote w:id="5">
    <w:p w:rsidR="00006417" w:rsidRDefault="00006417" w:rsidP="004B10B5">
      <w:pPr>
        <w:pStyle w:val="FootnoteText"/>
      </w:pPr>
      <w:r w:rsidRPr="0026643E">
        <w:rPr>
          <w:rStyle w:val="FootnoteReference"/>
        </w:rPr>
        <w:footnoteRef/>
      </w:r>
      <w:r w:rsidRPr="0026643E">
        <w:t xml:space="preserve"> </w:t>
      </w:r>
      <w:r w:rsidRPr="004C1766">
        <w:t>The critical path determines the shortest time to complete the project and it is the longest duration path through a network of tasks. Critical tasks are tasks on the critical path. More details on the critical path method are available readily on the internet and in standard project management books.</w:t>
      </w:r>
    </w:p>
  </w:footnote>
  <w:footnote w:id="6">
    <w:p w:rsidR="00006417" w:rsidRPr="00CE4CD6" w:rsidRDefault="00006417" w:rsidP="00062F84">
      <w:pPr>
        <w:pStyle w:val="FootnoteText"/>
      </w:pPr>
      <w:r>
        <w:rPr>
          <w:rStyle w:val="FootnoteReference"/>
        </w:rPr>
        <w:footnoteRef/>
      </w:r>
      <w:r>
        <w:t xml:space="preserve"> </w:t>
      </w:r>
      <w:r w:rsidRPr="009F1A96">
        <w:rPr>
          <w:b/>
          <w:sz w:val="18"/>
          <w:szCs w:val="18"/>
        </w:rPr>
        <w:t>Opportunity costs</w:t>
      </w:r>
      <w:r w:rsidRPr="009F1A96">
        <w:rPr>
          <w:sz w:val="18"/>
          <w:szCs w:val="18"/>
        </w:rPr>
        <w:t xml:space="preserve"> are costs imposed through opportunities foregone during the period of delay. </w:t>
      </w:r>
      <w:r w:rsidRPr="0023432B">
        <w:rPr>
          <w:sz w:val="18"/>
          <w:szCs w:val="18"/>
        </w:rPr>
        <w:t>For example</w:t>
      </w:r>
      <w:r w:rsidRPr="004D7883">
        <w:rPr>
          <w:sz w:val="18"/>
          <w:szCs w:val="18"/>
        </w:rPr>
        <w:t>,</w:t>
      </w:r>
      <w:r w:rsidRPr="009F1A96">
        <w:rPr>
          <w:sz w:val="18"/>
          <w:szCs w:val="18"/>
        </w:rPr>
        <w:t xml:space="preserve"> the cost of choosing to train as a lawyer is not merely the direct cost (i.e. tuition fees, the price of books, and so on), but also the opportunity cost (e.g. lost income from a salaried job). The total cost incurred is therefore the direct cost plus the opportunity cost, or: the tuition fees plus lost salary.</w:t>
      </w:r>
    </w:p>
  </w:footnote>
  <w:footnote w:id="7">
    <w:p w:rsidR="00006417" w:rsidRPr="00C433C7" w:rsidRDefault="00006417" w:rsidP="00C433C7">
      <w:pPr>
        <w:pStyle w:val="FootnoteText"/>
      </w:pPr>
      <w:r w:rsidRPr="00652128">
        <w:rPr>
          <w:rStyle w:val="FootnoteReference"/>
          <w:sz w:val="18"/>
          <w:szCs w:val="18"/>
        </w:rPr>
        <w:footnoteRef/>
      </w:r>
      <w:r w:rsidRPr="00652128">
        <w:t xml:space="preserve"> According to ABS, a small business employs less than 20 people, medium between 20 and 200, and large more than 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7F" w:rsidRDefault="00D502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pPr>
      <w:pStyle w:val="Header"/>
    </w:pPr>
    <w:r>
      <w:rPr>
        <w:noProof/>
      </w:rPr>
      <w:drawing>
        <wp:anchor distT="0" distB="0" distL="114300" distR="114300" simplePos="0" relativeHeight="251656188" behindDoc="1" locked="0" layoutInCell="1" allowOverlap="1" wp14:anchorId="0D6224D8" wp14:editId="092C2739">
          <wp:simplePos x="0" y="0"/>
          <wp:positionH relativeFrom="column">
            <wp:posOffset>-930303</wp:posOffset>
          </wp:positionH>
          <wp:positionV relativeFrom="page">
            <wp:posOffset>-31805</wp:posOffset>
          </wp:positionV>
          <wp:extent cx="7589520" cy="10725912"/>
          <wp:effectExtent l="0" t="0" r="0" b="0"/>
          <wp:wrapNone/>
          <wp:docPr id="30"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38" behindDoc="0" locked="0" layoutInCell="1" allowOverlap="1" wp14:anchorId="7DE96462" wp14:editId="7DBD0A05">
          <wp:simplePos x="0" y="0"/>
          <wp:positionH relativeFrom="column">
            <wp:posOffset>-909902</wp:posOffset>
          </wp:positionH>
          <wp:positionV relativeFrom="page">
            <wp:posOffset>-264</wp:posOffset>
          </wp:positionV>
          <wp:extent cx="7562088" cy="10698480"/>
          <wp:effectExtent l="0" t="0" r="1270" b="7620"/>
          <wp:wrapNone/>
          <wp:docPr id="3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7F" w:rsidRDefault="00D502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pPr>
      <w:pStyle w:val="Header"/>
    </w:pPr>
    <w:r>
      <w:rPr>
        <w:noProof/>
      </w:rPr>
      <w:drawing>
        <wp:anchor distT="0" distB="0" distL="114300" distR="114300" simplePos="0" relativeHeight="251670528" behindDoc="0" locked="0" layoutInCell="1" allowOverlap="1" wp14:anchorId="7B600AA4" wp14:editId="2E852167">
          <wp:simplePos x="0" y="0"/>
          <wp:positionH relativeFrom="column">
            <wp:posOffset>-932815</wp:posOffset>
          </wp:positionH>
          <wp:positionV relativeFrom="page">
            <wp:posOffset>-3546</wp:posOffset>
          </wp:positionV>
          <wp:extent cx="7591245" cy="740985"/>
          <wp:effectExtent l="0" t="0" r="0" b="2540"/>
          <wp:wrapNone/>
          <wp:docPr id="33"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pPr>
      <w:pStyle w:val="Header"/>
    </w:pPr>
    <w:r>
      <w:rPr>
        <w:noProof/>
      </w:rPr>
      <w:drawing>
        <wp:anchor distT="0" distB="0" distL="114300" distR="114300" simplePos="0" relativeHeight="251668480" behindDoc="0" locked="0" layoutInCell="1" allowOverlap="1" wp14:anchorId="71D4BB3E" wp14:editId="09202AD2">
          <wp:simplePos x="0" y="0"/>
          <wp:positionH relativeFrom="column">
            <wp:posOffset>-931849</wp:posOffset>
          </wp:positionH>
          <wp:positionV relativeFrom="page">
            <wp:posOffset>0</wp:posOffset>
          </wp:positionV>
          <wp:extent cx="7591245" cy="740985"/>
          <wp:effectExtent l="0" t="0" r="0" b="2540"/>
          <wp:wrapNone/>
          <wp:docPr id="3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rsidP="005306A2">
    <w:pPr>
      <w:pStyle w:val="Header"/>
    </w:pPr>
    <w:r>
      <w:rPr>
        <w:noProof/>
      </w:rPr>
      <w:drawing>
        <wp:anchor distT="0" distB="0" distL="114300" distR="114300" simplePos="0" relativeHeight="251679744" behindDoc="0" locked="0" layoutInCell="1" allowOverlap="1" wp14:anchorId="482245C6" wp14:editId="65DB9AF6">
          <wp:simplePos x="0" y="0"/>
          <wp:positionH relativeFrom="column">
            <wp:posOffset>-931849</wp:posOffset>
          </wp:positionH>
          <wp:positionV relativeFrom="page">
            <wp:posOffset>0</wp:posOffset>
          </wp:positionV>
          <wp:extent cx="7591245" cy="740985"/>
          <wp:effectExtent l="0" t="0" r="0" b="2540"/>
          <wp:wrapNone/>
          <wp:docPr id="3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pPr>
      <w:pStyle w:val="Header"/>
    </w:pPr>
    <w:r>
      <w:rPr>
        <w:noProof/>
      </w:rPr>
      <w:drawing>
        <wp:anchor distT="0" distB="0" distL="114300" distR="114300" simplePos="0" relativeHeight="251674624" behindDoc="0" locked="0" layoutInCell="1" allowOverlap="1" wp14:anchorId="34D4CDFF" wp14:editId="62EF886D">
          <wp:simplePos x="0" y="0"/>
          <wp:positionH relativeFrom="column">
            <wp:posOffset>-931849</wp:posOffset>
          </wp:positionH>
          <wp:positionV relativeFrom="page">
            <wp:posOffset>0</wp:posOffset>
          </wp:positionV>
          <wp:extent cx="7591245" cy="740985"/>
          <wp:effectExtent l="0" t="0" r="0" b="2540"/>
          <wp:wrapNone/>
          <wp:docPr id="3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pPr>
      <w:pStyle w:val="Header"/>
    </w:pPr>
    <w:r>
      <w:rPr>
        <w:noProof/>
      </w:rPr>
      <w:drawing>
        <wp:anchor distT="0" distB="0" distL="114300" distR="114300" simplePos="0" relativeHeight="251665407" behindDoc="0" locked="0" layoutInCell="1" allowOverlap="1" wp14:anchorId="79F162FB" wp14:editId="3C6F21F5">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3" behindDoc="1" locked="0" layoutInCell="1" allowOverlap="1" wp14:anchorId="0E7687B4" wp14:editId="7440B3BE">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17" w:rsidRDefault="00006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752B"/>
    <w:multiLevelType w:val="multilevel"/>
    <w:tmpl w:val="EC1A6A6E"/>
    <w:lvl w:ilvl="0">
      <w:start w:val="1"/>
      <w:numFmt w:val="decimal"/>
      <w:lvlText w:val="%1."/>
      <w:lvlJc w:val="left"/>
      <w:pPr>
        <w:tabs>
          <w:tab w:val="num" w:pos="794"/>
        </w:tabs>
        <w:ind w:left="794" w:hanging="794"/>
      </w:pPr>
      <w:rPr>
        <w:rFonts w:ascii="Calibri" w:hAnsi="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
    <w:nsid w:val="1F6104D4"/>
    <w:multiLevelType w:val="hybridMultilevel"/>
    <w:tmpl w:val="D0F84D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46" w:hanging="360"/>
      </w:pPr>
      <w:rPr>
        <w:rFonts w:ascii="Courier New" w:hAnsi="Courier New" w:cs="Courier New" w:hint="default"/>
      </w:rPr>
    </w:lvl>
    <w:lvl w:ilvl="2" w:tplc="0C090005" w:tentative="1">
      <w:start w:val="1"/>
      <w:numFmt w:val="bullet"/>
      <w:lvlText w:val=""/>
      <w:lvlJc w:val="left"/>
      <w:pPr>
        <w:ind w:left="1366" w:hanging="360"/>
      </w:pPr>
      <w:rPr>
        <w:rFonts w:ascii="Wingdings" w:hAnsi="Wingdings" w:hint="default"/>
      </w:rPr>
    </w:lvl>
    <w:lvl w:ilvl="3" w:tplc="0C090001" w:tentative="1">
      <w:start w:val="1"/>
      <w:numFmt w:val="bullet"/>
      <w:lvlText w:val=""/>
      <w:lvlJc w:val="left"/>
      <w:pPr>
        <w:ind w:left="2086" w:hanging="360"/>
      </w:pPr>
      <w:rPr>
        <w:rFonts w:ascii="Symbol" w:hAnsi="Symbol" w:hint="default"/>
      </w:rPr>
    </w:lvl>
    <w:lvl w:ilvl="4" w:tplc="0C090003" w:tentative="1">
      <w:start w:val="1"/>
      <w:numFmt w:val="bullet"/>
      <w:lvlText w:val="o"/>
      <w:lvlJc w:val="left"/>
      <w:pPr>
        <w:ind w:left="2806" w:hanging="360"/>
      </w:pPr>
      <w:rPr>
        <w:rFonts w:ascii="Courier New" w:hAnsi="Courier New" w:cs="Courier New" w:hint="default"/>
      </w:rPr>
    </w:lvl>
    <w:lvl w:ilvl="5" w:tplc="0C090005" w:tentative="1">
      <w:start w:val="1"/>
      <w:numFmt w:val="bullet"/>
      <w:lvlText w:val=""/>
      <w:lvlJc w:val="left"/>
      <w:pPr>
        <w:ind w:left="3526" w:hanging="360"/>
      </w:pPr>
      <w:rPr>
        <w:rFonts w:ascii="Wingdings" w:hAnsi="Wingdings" w:hint="default"/>
      </w:rPr>
    </w:lvl>
    <w:lvl w:ilvl="6" w:tplc="0C090001" w:tentative="1">
      <w:start w:val="1"/>
      <w:numFmt w:val="bullet"/>
      <w:lvlText w:val=""/>
      <w:lvlJc w:val="left"/>
      <w:pPr>
        <w:ind w:left="4246" w:hanging="360"/>
      </w:pPr>
      <w:rPr>
        <w:rFonts w:ascii="Symbol" w:hAnsi="Symbol" w:hint="default"/>
      </w:rPr>
    </w:lvl>
    <w:lvl w:ilvl="7" w:tplc="0C090003" w:tentative="1">
      <w:start w:val="1"/>
      <w:numFmt w:val="bullet"/>
      <w:lvlText w:val="o"/>
      <w:lvlJc w:val="left"/>
      <w:pPr>
        <w:ind w:left="4966" w:hanging="360"/>
      </w:pPr>
      <w:rPr>
        <w:rFonts w:ascii="Courier New" w:hAnsi="Courier New" w:cs="Courier New" w:hint="default"/>
      </w:rPr>
    </w:lvl>
    <w:lvl w:ilvl="8" w:tplc="0C090005" w:tentative="1">
      <w:start w:val="1"/>
      <w:numFmt w:val="bullet"/>
      <w:lvlText w:val=""/>
      <w:lvlJc w:val="left"/>
      <w:pPr>
        <w:ind w:left="5686" w:hanging="360"/>
      </w:pPr>
      <w:rPr>
        <w:rFonts w:ascii="Wingdings" w:hAnsi="Wingdings" w:hint="default"/>
      </w:rPr>
    </w:lvl>
  </w:abstractNum>
  <w:abstractNum w:abstractNumId="2">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45012F8"/>
    <w:multiLevelType w:val="hybridMultilevel"/>
    <w:tmpl w:val="D1483D34"/>
    <w:lvl w:ilvl="0" w:tplc="0C090001">
      <w:start w:val="1"/>
      <w:numFmt w:val="bullet"/>
      <w:lvlText w:val=""/>
      <w:lvlJc w:val="left"/>
      <w:pPr>
        <w:ind w:left="1514" w:hanging="360"/>
      </w:pPr>
      <w:rPr>
        <w:rFonts w:ascii="Symbol" w:hAnsi="Symbol" w:hint="default"/>
      </w:rPr>
    </w:lvl>
    <w:lvl w:ilvl="1" w:tplc="ACCA4AF6">
      <w:numFmt w:val="bullet"/>
      <w:lvlText w:val="-"/>
      <w:lvlJc w:val="left"/>
      <w:pPr>
        <w:ind w:left="2234" w:hanging="360"/>
      </w:pPr>
      <w:rPr>
        <w:rFonts w:ascii="Calibri" w:eastAsia="Times New Roman" w:hAnsi="Calibri" w:cs="Calibri"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
    <w:nsid w:val="34D642D3"/>
    <w:multiLevelType w:val="hybridMultilevel"/>
    <w:tmpl w:val="53D0A49C"/>
    <w:lvl w:ilvl="0" w:tplc="0C090001">
      <w:start w:val="1"/>
      <w:numFmt w:val="bullet"/>
      <w:lvlText w:val=""/>
      <w:lvlJc w:val="left"/>
      <w:pPr>
        <w:ind w:left="1514" w:hanging="360"/>
      </w:pPr>
      <w:rPr>
        <w:rFonts w:ascii="Symbol" w:hAnsi="Symbol" w:hint="default"/>
      </w:rPr>
    </w:lvl>
    <w:lvl w:ilvl="1" w:tplc="0C090003">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5">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nsid w:val="61AF543D"/>
    <w:multiLevelType w:val="hybridMultilevel"/>
    <w:tmpl w:val="E7788898"/>
    <w:lvl w:ilvl="0" w:tplc="0C09000F">
      <w:start w:val="1"/>
      <w:numFmt w:val="decimal"/>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8">
    <w:nsid w:val="621914C3"/>
    <w:multiLevelType w:val="hybridMultilevel"/>
    <w:tmpl w:val="785AA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7656CA"/>
    <w:multiLevelType w:val="hybridMultilevel"/>
    <w:tmpl w:val="8E889E7C"/>
    <w:lvl w:ilvl="0" w:tplc="0C090017">
      <w:start w:val="1"/>
      <w:numFmt w:val="lowerLetter"/>
      <w:lvlText w:val="%1)"/>
      <w:lvlJc w:val="left"/>
      <w:pPr>
        <w:ind w:left="1514" w:hanging="360"/>
      </w:pPr>
    </w:lvl>
    <w:lvl w:ilvl="1" w:tplc="ACCA4AF6">
      <w:numFmt w:val="bullet"/>
      <w:lvlText w:val="-"/>
      <w:lvlJc w:val="left"/>
      <w:pPr>
        <w:ind w:left="2234" w:hanging="360"/>
      </w:pPr>
      <w:rPr>
        <w:rFonts w:ascii="Calibri" w:eastAsia="Times New Roman" w:hAnsi="Calibri" w:cs="Calibri" w:hint="default"/>
      </w:r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6"/>
  </w:num>
  <w:num w:numId="2">
    <w:abstractNumId w:val="6"/>
  </w:num>
  <w:num w:numId="3">
    <w:abstractNumId w:val="6"/>
  </w:num>
  <w:num w:numId="4">
    <w:abstractNumId w:val="11"/>
  </w:num>
  <w:num w:numId="5">
    <w:abstractNumId w:val="2"/>
  </w:num>
  <w:num w:numId="6">
    <w:abstractNumId w:val="5"/>
  </w:num>
  <w:num w:numId="7">
    <w:abstractNumId w:val="10"/>
  </w:num>
  <w:num w:numId="8">
    <w:abstractNumId w:val="0"/>
  </w:num>
  <w:num w:numId="9">
    <w:abstractNumId w:val="4"/>
  </w:num>
  <w:num w:numId="10">
    <w:abstractNumId w:val="9"/>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73"/>
    <w:rsid w:val="00006417"/>
    <w:rsid w:val="00012F6F"/>
    <w:rsid w:val="00014213"/>
    <w:rsid w:val="00014B55"/>
    <w:rsid w:val="00020E3E"/>
    <w:rsid w:val="00023BF3"/>
    <w:rsid w:val="00026811"/>
    <w:rsid w:val="0004185E"/>
    <w:rsid w:val="00056988"/>
    <w:rsid w:val="00062F84"/>
    <w:rsid w:val="00075E6C"/>
    <w:rsid w:val="00081C12"/>
    <w:rsid w:val="000B29AD"/>
    <w:rsid w:val="000C6372"/>
    <w:rsid w:val="000E392D"/>
    <w:rsid w:val="000E3D05"/>
    <w:rsid w:val="000F4288"/>
    <w:rsid w:val="000F7165"/>
    <w:rsid w:val="00102379"/>
    <w:rsid w:val="00103722"/>
    <w:rsid w:val="001065D6"/>
    <w:rsid w:val="001068D5"/>
    <w:rsid w:val="00121252"/>
    <w:rsid w:val="00124609"/>
    <w:rsid w:val="001254CE"/>
    <w:rsid w:val="001422CC"/>
    <w:rsid w:val="001617B6"/>
    <w:rsid w:val="00165E66"/>
    <w:rsid w:val="00196143"/>
    <w:rsid w:val="001A24FC"/>
    <w:rsid w:val="001C7BAE"/>
    <w:rsid w:val="001E31FA"/>
    <w:rsid w:val="001E64F6"/>
    <w:rsid w:val="001E7AEB"/>
    <w:rsid w:val="00204B82"/>
    <w:rsid w:val="00222BEB"/>
    <w:rsid w:val="00225E60"/>
    <w:rsid w:val="0023202C"/>
    <w:rsid w:val="00245043"/>
    <w:rsid w:val="002523EA"/>
    <w:rsid w:val="002551AA"/>
    <w:rsid w:val="00284FA2"/>
    <w:rsid w:val="00292D36"/>
    <w:rsid w:val="00297281"/>
    <w:rsid w:val="002B03F1"/>
    <w:rsid w:val="002B5E2B"/>
    <w:rsid w:val="002B6DAA"/>
    <w:rsid w:val="002D711A"/>
    <w:rsid w:val="002D7336"/>
    <w:rsid w:val="002E3396"/>
    <w:rsid w:val="002F2953"/>
    <w:rsid w:val="0031149C"/>
    <w:rsid w:val="00342208"/>
    <w:rsid w:val="0036778F"/>
    <w:rsid w:val="003805F1"/>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359FE"/>
    <w:rsid w:val="00453750"/>
    <w:rsid w:val="00456941"/>
    <w:rsid w:val="004702EA"/>
    <w:rsid w:val="00476DED"/>
    <w:rsid w:val="0048259C"/>
    <w:rsid w:val="00482D02"/>
    <w:rsid w:val="00490369"/>
    <w:rsid w:val="004A7519"/>
    <w:rsid w:val="004B10B5"/>
    <w:rsid w:val="004D01AC"/>
    <w:rsid w:val="004D3518"/>
    <w:rsid w:val="004D62D6"/>
    <w:rsid w:val="004D73A0"/>
    <w:rsid w:val="004F3F4E"/>
    <w:rsid w:val="00510167"/>
    <w:rsid w:val="005306A2"/>
    <w:rsid w:val="0053416C"/>
    <w:rsid w:val="00541C2F"/>
    <w:rsid w:val="00563527"/>
    <w:rsid w:val="0058124E"/>
    <w:rsid w:val="005875A3"/>
    <w:rsid w:val="005A3416"/>
    <w:rsid w:val="005B27FE"/>
    <w:rsid w:val="005B76DF"/>
    <w:rsid w:val="005B79CB"/>
    <w:rsid w:val="005E4C16"/>
    <w:rsid w:val="005F61DF"/>
    <w:rsid w:val="0060163A"/>
    <w:rsid w:val="006023F9"/>
    <w:rsid w:val="00610559"/>
    <w:rsid w:val="00614076"/>
    <w:rsid w:val="00632F2E"/>
    <w:rsid w:val="006332F6"/>
    <w:rsid w:val="006413F2"/>
    <w:rsid w:val="006534B2"/>
    <w:rsid w:val="0065615D"/>
    <w:rsid w:val="00657011"/>
    <w:rsid w:val="006650B5"/>
    <w:rsid w:val="006651B1"/>
    <w:rsid w:val="00665778"/>
    <w:rsid w:val="00676E5F"/>
    <w:rsid w:val="006810CD"/>
    <w:rsid w:val="00684BE2"/>
    <w:rsid w:val="006A3309"/>
    <w:rsid w:val="006A5B34"/>
    <w:rsid w:val="006C77A9"/>
    <w:rsid w:val="006D4720"/>
    <w:rsid w:val="006E6CDF"/>
    <w:rsid w:val="006E7E6B"/>
    <w:rsid w:val="006F37F2"/>
    <w:rsid w:val="006F6693"/>
    <w:rsid w:val="006F7DA0"/>
    <w:rsid w:val="00707FE8"/>
    <w:rsid w:val="00714AAE"/>
    <w:rsid w:val="00724962"/>
    <w:rsid w:val="00724A0F"/>
    <w:rsid w:val="00726D2F"/>
    <w:rsid w:val="00736732"/>
    <w:rsid w:val="00746426"/>
    <w:rsid w:val="00750BF9"/>
    <w:rsid w:val="00750CBE"/>
    <w:rsid w:val="007650D2"/>
    <w:rsid w:val="00766B5A"/>
    <w:rsid w:val="007770A5"/>
    <w:rsid w:val="007834F2"/>
    <w:rsid w:val="00791020"/>
    <w:rsid w:val="00796464"/>
    <w:rsid w:val="007A04D2"/>
    <w:rsid w:val="007A5F82"/>
    <w:rsid w:val="007C105F"/>
    <w:rsid w:val="007D5F9E"/>
    <w:rsid w:val="007F1A4C"/>
    <w:rsid w:val="007F723F"/>
    <w:rsid w:val="008022C3"/>
    <w:rsid w:val="008041E6"/>
    <w:rsid w:val="008065D2"/>
    <w:rsid w:val="0082194C"/>
    <w:rsid w:val="008222FF"/>
    <w:rsid w:val="008241FF"/>
    <w:rsid w:val="008411E9"/>
    <w:rsid w:val="00841617"/>
    <w:rsid w:val="0084200F"/>
    <w:rsid w:val="00843B2C"/>
    <w:rsid w:val="008668A8"/>
    <w:rsid w:val="00880AC4"/>
    <w:rsid w:val="00897447"/>
    <w:rsid w:val="008A4900"/>
    <w:rsid w:val="008A55FE"/>
    <w:rsid w:val="008B146D"/>
    <w:rsid w:val="008B42AD"/>
    <w:rsid w:val="008B5666"/>
    <w:rsid w:val="008D0281"/>
    <w:rsid w:val="008E2348"/>
    <w:rsid w:val="008F6D45"/>
    <w:rsid w:val="00900556"/>
    <w:rsid w:val="00922944"/>
    <w:rsid w:val="00937A10"/>
    <w:rsid w:val="00966115"/>
    <w:rsid w:val="009834C0"/>
    <w:rsid w:val="00986AAC"/>
    <w:rsid w:val="00995526"/>
    <w:rsid w:val="009A1DA2"/>
    <w:rsid w:val="009A34DB"/>
    <w:rsid w:val="009A3704"/>
    <w:rsid w:val="009A4739"/>
    <w:rsid w:val="009A674F"/>
    <w:rsid w:val="009A6D22"/>
    <w:rsid w:val="009B199C"/>
    <w:rsid w:val="009B61F1"/>
    <w:rsid w:val="009B62E0"/>
    <w:rsid w:val="009C3D88"/>
    <w:rsid w:val="009E3858"/>
    <w:rsid w:val="009E467D"/>
    <w:rsid w:val="009E70DD"/>
    <w:rsid w:val="009F2ED9"/>
    <w:rsid w:val="009F3231"/>
    <w:rsid w:val="009F5C58"/>
    <w:rsid w:val="00A023A0"/>
    <w:rsid w:val="00A1562B"/>
    <w:rsid w:val="00A170F4"/>
    <w:rsid w:val="00A21408"/>
    <w:rsid w:val="00A21CFD"/>
    <w:rsid w:val="00A25B78"/>
    <w:rsid w:val="00A46BA8"/>
    <w:rsid w:val="00A47634"/>
    <w:rsid w:val="00A612FE"/>
    <w:rsid w:val="00AA26B8"/>
    <w:rsid w:val="00AB2B4F"/>
    <w:rsid w:val="00AC0B87"/>
    <w:rsid w:val="00AD7E4E"/>
    <w:rsid w:val="00AF4D58"/>
    <w:rsid w:val="00AF6666"/>
    <w:rsid w:val="00B81B44"/>
    <w:rsid w:val="00B9053B"/>
    <w:rsid w:val="00BB4D98"/>
    <w:rsid w:val="00BB4EBF"/>
    <w:rsid w:val="00BB59E0"/>
    <w:rsid w:val="00BC3422"/>
    <w:rsid w:val="00BC6E19"/>
    <w:rsid w:val="00BF4F96"/>
    <w:rsid w:val="00C015B9"/>
    <w:rsid w:val="00C022F9"/>
    <w:rsid w:val="00C032EA"/>
    <w:rsid w:val="00C06EB5"/>
    <w:rsid w:val="00C1145F"/>
    <w:rsid w:val="00C11CD1"/>
    <w:rsid w:val="00C33AD3"/>
    <w:rsid w:val="00C433C7"/>
    <w:rsid w:val="00C43F06"/>
    <w:rsid w:val="00C51C01"/>
    <w:rsid w:val="00C5477B"/>
    <w:rsid w:val="00C637E1"/>
    <w:rsid w:val="00C67EAC"/>
    <w:rsid w:val="00C70D50"/>
    <w:rsid w:val="00C72252"/>
    <w:rsid w:val="00C907D7"/>
    <w:rsid w:val="00C92338"/>
    <w:rsid w:val="00CB3976"/>
    <w:rsid w:val="00CD0307"/>
    <w:rsid w:val="00CD3D1B"/>
    <w:rsid w:val="00D02663"/>
    <w:rsid w:val="00D0633E"/>
    <w:rsid w:val="00D06A77"/>
    <w:rsid w:val="00D12E74"/>
    <w:rsid w:val="00D2312F"/>
    <w:rsid w:val="00D269C1"/>
    <w:rsid w:val="00D41B2F"/>
    <w:rsid w:val="00D44953"/>
    <w:rsid w:val="00D5027F"/>
    <w:rsid w:val="00D542F3"/>
    <w:rsid w:val="00D54513"/>
    <w:rsid w:val="00D54AAE"/>
    <w:rsid w:val="00D5644B"/>
    <w:rsid w:val="00D56E25"/>
    <w:rsid w:val="00D57E89"/>
    <w:rsid w:val="00D6560D"/>
    <w:rsid w:val="00D65D77"/>
    <w:rsid w:val="00D718D7"/>
    <w:rsid w:val="00D814B7"/>
    <w:rsid w:val="00D90688"/>
    <w:rsid w:val="00DA3AAD"/>
    <w:rsid w:val="00DB312B"/>
    <w:rsid w:val="00DC5654"/>
    <w:rsid w:val="00DC658F"/>
    <w:rsid w:val="00DC674A"/>
    <w:rsid w:val="00DE60CC"/>
    <w:rsid w:val="00E07473"/>
    <w:rsid w:val="00E26B32"/>
    <w:rsid w:val="00E33EA6"/>
    <w:rsid w:val="00E407B6"/>
    <w:rsid w:val="00E41EF1"/>
    <w:rsid w:val="00E42942"/>
    <w:rsid w:val="00E65A0A"/>
    <w:rsid w:val="00E71BDF"/>
    <w:rsid w:val="00E75CCB"/>
    <w:rsid w:val="00E8245B"/>
    <w:rsid w:val="00E82C21"/>
    <w:rsid w:val="00E82F59"/>
    <w:rsid w:val="00E83CA7"/>
    <w:rsid w:val="00E918CF"/>
    <w:rsid w:val="00E92192"/>
    <w:rsid w:val="00E94F58"/>
    <w:rsid w:val="00E95A71"/>
    <w:rsid w:val="00EB7014"/>
    <w:rsid w:val="00EC5CDE"/>
    <w:rsid w:val="00ED487E"/>
    <w:rsid w:val="00EE33A1"/>
    <w:rsid w:val="00EE7A0D"/>
    <w:rsid w:val="00F0222C"/>
    <w:rsid w:val="00F12312"/>
    <w:rsid w:val="00F17CE1"/>
    <w:rsid w:val="00F2115C"/>
    <w:rsid w:val="00F22ABA"/>
    <w:rsid w:val="00F36B12"/>
    <w:rsid w:val="00F44A38"/>
    <w:rsid w:val="00F60F9F"/>
    <w:rsid w:val="00F64F08"/>
    <w:rsid w:val="00F70055"/>
    <w:rsid w:val="00F734F5"/>
    <w:rsid w:val="00F73B5B"/>
    <w:rsid w:val="00F91F5A"/>
    <w:rsid w:val="00F966B1"/>
    <w:rsid w:val="00F97D48"/>
    <w:rsid w:val="00FA0311"/>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9"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lsdException w:name="TOC Heading" w:semiHidden="0" w:uiPriority="39"/>
  </w:latentStyles>
  <w:style w:type="paragraph" w:default="1" w:styleId="Normal">
    <w:name w:val="Normal"/>
    <w:qFormat/>
    <w:rsid w:val="004D73A0"/>
    <w:pPr>
      <w:spacing w:before="160" w:after="100"/>
    </w:pPr>
    <w:rPr>
      <w:spacing w:val="2"/>
    </w:rPr>
  </w:style>
  <w:style w:type="paragraph" w:styleId="Heading1">
    <w:name w:val="heading 1"/>
    <w:next w:val="Normal"/>
    <w:link w:val="Heading1Char"/>
    <w:qFormat/>
    <w:rsid w:val="004D73A0"/>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4D73A0"/>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4D73A0"/>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4D73A0"/>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semiHidden/>
    <w:qFormat/>
    <w:rsid w:val="00062F84"/>
    <w:pPr>
      <w:widowControl w:val="0"/>
      <w:spacing w:before="160" w:after="120" w:line="228" w:lineRule="auto"/>
      <w:ind w:left="794"/>
      <w:outlineLvl w:val="4"/>
    </w:pPr>
    <w:rPr>
      <w:rFonts w:ascii="Calibri" w:eastAsia="Times New Roman" w:hAnsi="Calibri" w:cs="Calibri"/>
      <w:i/>
      <w:iCs w:val="0"/>
      <w:color w:val="404040"/>
      <w:spacing w:val="0"/>
      <w:kern w:val="28"/>
      <w:sz w:val="22"/>
      <w:szCs w:val="22"/>
      <w:lang w:eastAsia="en-US"/>
    </w:rPr>
  </w:style>
  <w:style w:type="paragraph" w:styleId="Heading6">
    <w:name w:val="heading 6"/>
    <w:basedOn w:val="Heading5"/>
    <w:next w:val="Normal"/>
    <w:link w:val="Heading6Char"/>
    <w:semiHidden/>
    <w:qFormat/>
    <w:rsid w:val="00062F84"/>
    <w:pPr>
      <w:outlineLvl w:val="5"/>
    </w:pPr>
    <w:rPr>
      <w:iCs/>
    </w:rPr>
  </w:style>
  <w:style w:type="paragraph" w:styleId="Heading7">
    <w:name w:val="heading 7"/>
    <w:basedOn w:val="Heading6"/>
    <w:next w:val="Normal"/>
    <w:link w:val="Heading7Char"/>
    <w:semiHidden/>
    <w:qFormat/>
    <w:rsid w:val="00062F84"/>
    <w:pPr>
      <w:outlineLvl w:val="6"/>
    </w:pPr>
    <w:rPr>
      <w:i w:val="0"/>
    </w:rPr>
  </w:style>
  <w:style w:type="paragraph" w:styleId="Heading8">
    <w:name w:val="heading 8"/>
    <w:basedOn w:val="Heading7"/>
    <w:next w:val="Normal"/>
    <w:link w:val="Heading8Char"/>
    <w:semiHidden/>
    <w:qFormat/>
    <w:rsid w:val="00062F84"/>
    <w:pPr>
      <w:outlineLvl w:val="7"/>
    </w:pPr>
    <w:rPr>
      <w:b w:val="0"/>
    </w:rPr>
  </w:style>
  <w:style w:type="paragraph" w:styleId="Heading9">
    <w:name w:val="heading 9"/>
    <w:basedOn w:val="Heading8"/>
    <w:next w:val="Normal"/>
    <w:link w:val="Heading9Char"/>
    <w:semiHidden/>
    <w:qFormat/>
    <w:rsid w:val="00062F8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4D73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D73A0"/>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4D73A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4D73A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4D73A0"/>
    <w:pPr>
      <w:tabs>
        <w:tab w:val="right" w:leader="dot" w:pos="9000"/>
      </w:tabs>
      <w:ind w:right="432"/>
    </w:pPr>
    <w:rPr>
      <w:sz w:val="24"/>
      <w:szCs w:val="24"/>
    </w:rPr>
  </w:style>
  <w:style w:type="paragraph" w:styleId="TOC2">
    <w:name w:val="toc 2"/>
    <w:next w:val="Normal"/>
    <w:uiPriority w:val="39"/>
    <w:rsid w:val="004D73A0"/>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4D73A0"/>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4D73A0"/>
    <w:pPr>
      <w:spacing w:after="60" w:line="240" w:lineRule="auto"/>
    </w:pPr>
    <w:rPr>
      <w:sz w:val="16"/>
    </w:rPr>
  </w:style>
  <w:style w:type="paragraph" w:styleId="Index2">
    <w:name w:val="index 2"/>
    <w:basedOn w:val="Normal"/>
    <w:next w:val="Normal"/>
    <w:uiPriority w:val="99"/>
    <w:semiHidden/>
    <w:rsid w:val="004D73A0"/>
    <w:pPr>
      <w:spacing w:after="0" w:line="240" w:lineRule="auto"/>
      <w:ind w:left="216"/>
    </w:pPr>
    <w:rPr>
      <w:sz w:val="16"/>
      <w:szCs w:val="16"/>
    </w:rPr>
  </w:style>
  <w:style w:type="character" w:styleId="Hyperlink">
    <w:name w:val="Hyperlink"/>
    <w:basedOn w:val="DefaultParagraphFont"/>
    <w:uiPriority w:val="99"/>
    <w:rsid w:val="004D73A0"/>
    <w:rPr>
      <w:color w:val="53565A" w:themeColor="hyperlink"/>
      <w:u w:val="none"/>
    </w:rPr>
  </w:style>
  <w:style w:type="character" w:customStyle="1" w:styleId="Heading1Char">
    <w:name w:val="Heading 1 Char"/>
    <w:basedOn w:val="DefaultParagraphFont"/>
    <w:link w:val="Heading1"/>
    <w:rsid w:val="004D73A0"/>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4D73A0"/>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4D73A0"/>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4D73A0"/>
    <w:pPr>
      <w:numPr>
        <w:ilvl w:val="1"/>
      </w:numPr>
    </w:pPr>
  </w:style>
  <w:style w:type="paragraph" w:customStyle="1" w:styleId="Bulletindent">
    <w:name w:val="Bullet indent"/>
    <w:basedOn w:val="Bullet2"/>
    <w:uiPriority w:val="9"/>
    <w:qFormat/>
    <w:rsid w:val="004D73A0"/>
    <w:pPr>
      <w:numPr>
        <w:ilvl w:val="2"/>
      </w:numPr>
    </w:pPr>
  </w:style>
  <w:style w:type="paragraph" w:customStyle="1" w:styleId="Heading1numbered">
    <w:name w:val="Heading 1 numbered"/>
    <w:basedOn w:val="Heading1"/>
    <w:next w:val="NormalIndent"/>
    <w:uiPriority w:val="8"/>
    <w:qFormat/>
    <w:rsid w:val="004D73A0"/>
    <w:pPr>
      <w:numPr>
        <w:ilvl w:val="2"/>
        <w:numId w:val="4"/>
      </w:numPr>
      <w:ind w:left="794" w:hanging="794"/>
    </w:pPr>
  </w:style>
  <w:style w:type="paragraph" w:customStyle="1" w:styleId="Heading2numbered">
    <w:name w:val="Heading 2 numbered"/>
    <w:basedOn w:val="Heading2"/>
    <w:next w:val="NormalIndent"/>
    <w:uiPriority w:val="8"/>
    <w:qFormat/>
    <w:rsid w:val="004D73A0"/>
    <w:pPr>
      <w:numPr>
        <w:ilvl w:val="3"/>
        <w:numId w:val="4"/>
      </w:numPr>
    </w:pPr>
  </w:style>
  <w:style w:type="paragraph" w:customStyle="1" w:styleId="Heading3numbered">
    <w:name w:val="Heading 3 numbered"/>
    <w:basedOn w:val="Heading3"/>
    <w:next w:val="NormalIndent"/>
    <w:uiPriority w:val="8"/>
    <w:qFormat/>
    <w:rsid w:val="004D73A0"/>
    <w:pPr>
      <w:numPr>
        <w:ilvl w:val="4"/>
        <w:numId w:val="4"/>
      </w:numPr>
    </w:pPr>
  </w:style>
  <w:style w:type="character" w:customStyle="1" w:styleId="Heading3Char">
    <w:name w:val="Heading 3 Char"/>
    <w:basedOn w:val="DefaultParagraphFont"/>
    <w:link w:val="Heading3"/>
    <w:rsid w:val="004D73A0"/>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4D73A0"/>
    <w:pPr>
      <w:numPr>
        <w:ilvl w:val="5"/>
        <w:numId w:val="4"/>
      </w:numPr>
    </w:pPr>
  </w:style>
  <w:style w:type="character" w:customStyle="1" w:styleId="Heading4Char">
    <w:name w:val="Heading 4 Char"/>
    <w:basedOn w:val="DefaultParagraphFont"/>
    <w:link w:val="Heading4"/>
    <w:rsid w:val="004D73A0"/>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4D73A0"/>
    <w:pPr>
      <w:spacing w:line="252" w:lineRule="auto"/>
      <w:ind w:left="792"/>
    </w:pPr>
  </w:style>
  <w:style w:type="paragraph" w:customStyle="1" w:styleId="NoteNormal">
    <w:name w:val="Note Normal"/>
    <w:basedOn w:val="Normal"/>
    <w:rsid w:val="004D73A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qFormat/>
    <w:rsid w:val="004D73A0"/>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4D73A0"/>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4D73A0"/>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4D73A0"/>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4D73A0"/>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4D73A0"/>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4D7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3A0"/>
    <w:rPr>
      <w:rFonts w:ascii="Tahoma" w:hAnsi="Tahoma" w:cs="Tahoma"/>
      <w:spacing w:val="2"/>
      <w:sz w:val="16"/>
      <w:szCs w:val="16"/>
    </w:rPr>
  </w:style>
  <w:style w:type="paragraph" w:customStyle="1" w:styleId="Bulletindent2">
    <w:name w:val="Bullet indent 2"/>
    <w:basedOn w:val="Normal"/>
    <w:uiPriority w:val="9"/>
    <w:qFormat/>
    <w:rsid w:val="004D73A0"/>
    <w:pPr>
      <w:numPr>
        <w:ilvl w:val="3"/>
        <w:numId w:val="1"/>
      </w:numPr>
      <w:spacing w:before="100"/>
      <w:contextualSpacing/>
    </w:pPr>
  </w:style>
  <w:style w:type="paragraph" w:styleId="IndexHeading">
    <w:name w:val="index heading"/>
    <w:basedOn w:val="Normal"/>
    <w:next w:val="Index1"/>
    <w:uiPriority w:val="99"/>
    <w:semiHidden/>
    <w:rsid w:val="004D73A0"/>
    <w:rPr>
      <w:rFonts w:asciiTheme="majorHAnsi" w:eastAsiaTheme="majorEastAsia" w:hAnsiTheme="majorHAnsi" w:cstheme="majorBidi"/>
      <w:b/>
      <w:bCs/>
    </w:rPr>
  </w:style>
  <w:style w:type="paragraph" w:styleId="Header">
    <w:name w:val="header"/>
    <w:basedOn w:val="Normal"/>
    <w:link w:val="HeaderChar"/>
    <w:uiPriority w:val="99"/>
    <w:semiHidden/>
    <w:rsid w:val="004D73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73A0"/>
    <w:rPr>
      <w:spacing w:val="2"/>
    </w:rPr>
  </w:style>
  <w:style w:type="paragraph" w:styleId="Footer">
    <w:name w:val="footer"/>
    <w:basedOn w:val="Normal"/>
    <w:link w:val="FooterChar"/>
    <w:uiPriority w:val="24"/>
    <w:rsid w:val="004D73A0"/>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4D73A0"/>
    <w:rPr>
      <w:noProof/>
      <w:spacing w:val="2"/>
      <w:sz w:val="18"/>
      <w:szCs w:val="18"/>
    </w:rPr>
  </w:style>
  <w:style w:type="character" w:styleId="PageNumber">
    <w:name w:val="page number"/>
    <w:uiPriority w:val="49"/>
    <w:semiHidden/>
    <w:rsid w:val="004D73A0"/>
    <w:rPr>
      <w:rFonts w:asciiTheme="minorHAnsi" w:hAnsiTheme="minorHAnsi"/>
      <w:b w:val="0"/>
      <w:color w:val="000000" w:themeColor="text1"/>
    </w:rPr>
  </w:style>
  <w:style w:type="paragraph" w:styleId="TOCHeading">
    <w:name w:val="TOC Heading"/>
    <w:basedOn w:val="Heading1"/>
    <w:next w:val="Normal"/>
    <w:uiPriority w:val="39"/>
    <w:rsid w:val="004D73A0"/>
    <w:pPr>
      <w:spacing w:before="480" w:after="720"/>
      <w:outlineLvl w:val="9"/>
    </w:pPr>
    <w:rPr>
      <w:spacing w:val="2"/>
    </w:rPr>
  </w:style>
  <w:style w:type="paragraph" w:customStyle="1" w:styleId="NormalTight">
    <w:name w:val="Normal Tight"/>
    <w:uiPriority w:val="99"/>
    <w:semiHidden/>
    <w:rsid w:val="004D73A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4D73A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4D73A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4D73A0"/>
    <w:pPr>
      <w:spacing w:before="5800"/>
      <w:ind w:right="1382"/>
    </w:pPr>
  </w:style>
  <w:style w:type="paragraph" w:styleId="TOC4">
    <w:name w:val="toc 4"/>
    <w:basedOn w:val="TOC1"/>
    <w:next w:val="Normal"/>
    <w:uiPriority w:val="39"/>
    <w:rsid w:val="004D73A0"/>
    <w:pPr>
      <w:ind w:left="450" w:hanging="450"/>
    </w:pPr>
    <w:rPr>
      <w:noProof/>
      <w:lang w:eastAsia="en-US"/>
    </w:rPr>
  </w:style>
  <w:style w:type="paragraph" w:styleId="TOC5">
    <w:name w:val="toc 5"/>
    <w:basedOn w:val="TOC2"/>
    <w:next w:val="Normal"/>
    <w:uiPriority w:val="39"/>
    <w:rsid w:val="004D73A0"/>
    <w:pPr>
      <w:ind w:left="1080" w:hanging="634"/>
    </w:pPr>
    <w:rPr>
      <w:lang w:eastAsia="en-US"/>
    </w:rPr>
  </w:style>
  <w:style w:type="paragraph" w:styleId="TOC6">
    <w:name w:val="toc 6"/>
    <w:basedOn w:val="TOC3"/>
    <w:next w:val="Normal"/>
    <w:uiPriority w:val="39"/>
    <w:rsid w:val="004D73A0"/>
    <w:pPr>
      <w:ind w:left="1800" w:hanging="720"/>
    </w:pPr>
    <w:rPr>
      <w:lang w:eastAsia="en-US"/>
    </w:rPr>
  </w:style>
  <w:style w:type="table" w:customStyle="1" w:styleId="DTFtexttable">
    <w:name w:val="DTF text table"/>
    <w:basedOn w:val="TableGrid"/>
    <w:uiPriority w:val="99"/>
    <w:rsid w:val="004D73A0"/>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4D73A0"/>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4D73A0"/>
    <w:pPr>
      <w:spacing w:before="60" w:after="60" w:line="264" w:lineRule="auto"/>
    </w:pPr>
    <w:rPr>
      <w:sz w:val="17"/>
    </w:rPr>
  </w:style>
  <w:style w:type="paragraph" w:customStyle="1" w:styleId="Tabletextright">
    <w:name w:val="Table text right"/>
    <w:basedOn w:val="Tabletext"/>
    <w:uiPriority w:val="5"/>
    <w:qFormat/>
    <w:rsid w:val="004D73A0"/>
    <w:pPr>
      <w:jc w:val="right"/>
    </w:pPr>
  </w:style>
  <w:style w:type="paragraph" w:customStyle="1" w:styleId="Listnumindent2">
    <w:name w:val="List num indent 2"/>
    <w:basedOn w:val="Normal"/>
    <w:uiPriority w:val="9"/>
    <w:qFormat/>
    <w:rsid w:val="004D73A0"/>
    <w:pPr>
      <w:numPr>
        <w:ilvl w:val="7"/>
        <w:numId w:val="4"/>
      </w:numPr>
      <w:spacing w:before="100"/>
      <w:contextualSpacing/>
    </w:pPr>
  </w:style>
  <w:style w:type="paragraph" w:customStyle="1" w:styleId="Listnumindent">
    <w:name w:val="List num indent"/>
    <w:basedOn w:val="Normal"/>
    <w:uiPriority w:val="9"/>
    <w:qFormat/>
    <w:rsid w:val="004D73A0"/>
    <w:pPr>
      <w:numPr>
        <w:ilvl w:val="6"/>
        <w:numId w:val="4"/>
      </w:numPr>
      <w:spacing w:before="100"/>
    </w:pPr>
  </w:style>
  <w:style w:type="paragraph" w:customStyle="1" w:styleId="Listnum">
    <w:name w:val="List num"/>
    <w:basedOn w:val="Normal"/>
    <w:uiPriority w:val="2"/>
    <w:qFormat/>
    <w:rsid w:val="004D73A0"/>
    <w:pPr>
      <w:numPr>
        <w:numId w:val="4"/>
      </w:numPr>
    </w:pPr>
  </w:style>
  <w:style w:type="paragraph" w:customStyle="1" w:styleId="Listnum2">
    <w:name w:val="List num 2"/>
    <w:basedOn w:val="Normal"/>
    <w:uiPriority w:val="2"/>
    <w:qFormat/>
    <w:rsid w:val="004D73A0"/>
    <w:pPr>
      <w:numPr>
        <w:ilvl w:val="1"/>
        <w:numId w:val="4"/>
      </w:numPr>
    </w:pPr>
  </w:style>
  <w:style w:type="paragraph" w:customStyle="1" w:styleId="Tabletextcentred">
    <w:name w:val="Table text centred"/>
    <w:basedOn w:val="Tabletext"/>
    <w:uiPriority w:val="5"/>
    <w:qFormat/>
    <w:rsid w:val="004D73A0"/>
    <w:pPr>
      <w:jc w:val="center"/>
    </w:pPr>
  </w:style>
  <w:style w:type="paragraph" w:customStyle="1" w:styleId="Tableheader">
    <w:name w:val="Table header"/>
    <w:basedOn w:val="Tabletext"/>
    <w:uiPriority w:val="5"/>
    <w:qFormat/>
    <w:rsid w:val="004D73A0"/>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4D73A0"/>
    <w:pPr>
      <w:numPr>
        <w:numId w:val="5"/>
      </w:numPr>
    </w:pPr>
  </w:style>
  <w:style w:type="paragraph" w:customStyle="1" w:styleId="Tabledash">
    <w:name w:val="Table dash"/>
    <w:basedOn w:val="Tablebullet"/>
    <w:uiPriority w:val="6"/>
    <w:rsid w:val="004D73A0"/>
    <w:pPr>
      <w:numPr>
        <w:ilvl w:val="1"/>
      </w:numPr>
    </w:pPr>
  </w:style>
  <w:style w:type="paragraph" w:customStyle="1" w:styleId="Tabletextindent">
    <w:name w:val="Table text indent"/>
    <w:basedOn w:val="Tabletext"/>
    <w:uiPriority w:val="5"/>
    <w:qFormat/>
    <w:rsid w:val="004D73A0"/>
    <w:pPr>
      <w:ind w:left="288"/>
    </w:pPr>
  </w:style>
  <w:style w:type="paragraph" w:styleId="ListParagraph">
    <w:name w:val="List Paragraph"/>
    <w:basedOn w:val="Normal"/>
    <w:uiPriority w:val="34"/>
    <w:semiHidden/>
    <w:qFormat/>
    <w:rsid w:val="004D73A0"/>
    <w:pPr>
      <w:ind w:left="720"/>
      <w:contextualSpacing/>
    </w:pPr>
  </w:style>
  <w:style w:type="paragraph" w:customStyle="1" w:styleId="Numpara">
    <w:name w:val="Num para"/>
    <w:basedOn w:val="ListParagraph"/>
    <w:uiPriority w:val="2"/>
    <w:qFormat/>
    <w:rsid w:val="004D73A0"/>
    <w:pPr>
      <w:numPr>
        <w:numId w:val="7"/>
      </w:numPr>
      <w:tabs>
        <w:tab w:val="left" w:pos="540"/>
      </w:tabs>
      <w:ind w:left="504" w:hanging="504"/>
    </w:pPr>
  </w:style>
  <w:style w:type="paragraph" w:styleId="FootnoteText">
    <w:name w:val="footnote text"/>
    <w:basedOn w:val="Normal"/>
    <w:link w:val="FootnoteTextChar"/>
    <w:uiPriority w:val="99"/>
    <w:semiHidden/>
    <w:rsid w:val="004D73A0"/>
    <w:pPr>
      <w:spacing w:before="0" w:after="0" w:line="240" w:lineRule="auto"/>
    </w:pPr>
    <w:rPr>
      <w:sz w:val="17"/>
    </w:rPr>
  </w:style>
  <w:style w:type="character" w:customStyle="1" w:styleId="FootnoteTextChar">
    <w:name w:val="Footnote Text Char"/>
    <w:basedOn w:val="DefaultParagraphFont"/>
    <w:link w:val="FootnoteText"/>
    <w:uiPriority w:val="99"/>
    <w:semiHidden/>
    <w:rsid w:val="004D73A0"/>
    <w:rPr>
      <w:spacing w:val="2"/>
      <w:sz w:val="17"/>
    </w:rPr>
  </w:style>
  <w:style w:type="character" w:styleId="FootnoteReference">
    <w:name w:val="footnote reference"/>
    <w:basedOn w:val="DefaultParagraphFont"/>
    <w:uiPriority w:val="99"/>
    <w:semiHidden/>
    <w:rsid w:val="004D73A0"/>
    <w:rPr>
      <w:vertAlign w:val="superscript"/>
    </w:rPr>
  </w:style>
  <w:style w:type="table" w:customStyle="1" w:styleId="DTFtexttableindent">
    <w:name w:val="DTF text table indent"/>
    <w:basedOn w:val="DTFtexttable"/>
    <w:uiPriority w:val="99"/>
    <w:rsid w:val="004D73A0"/>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4D73A0"/>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4D73A0"/>
    <w:pPr>
      <w:numPr>
        <w:ilvl w:val="8"/>
        <w:numId w:val="4"/>
      </w:numPr>
      <w:tabs>
        <w:tab w:val="clear" w:pos="540"/>
      </w:tabs>
    </w:pPr>
  </w:style>
  <w:style w:type="paragraph" w:customStyle="1" w:styleId="NoteNormalindent">
    <w:name w:val="Note Normal indent"/>
    <w:basedOn w:val="NoteNormal"/>
    <w:uiPriority w:val="9"/>
    <w:rsid w:val="004D73A0"/>
    <w:pPr>
      <w:ind w:left="792"/>
    </w:pPr>
  </w:style>
  <w:style w:type="paragraph" w:customStyle="1" w:styleId="Tablenum1">
    <w:name w:val="Table num 1"/>
    <w:basedOn w:val="Normal"/>
    <w:uiPriority w:val="6"/>
    <w:rsid w:val="004D73A0"/>
    <w:pPr>
      <w:numPr>
        <w:ilvl w:val="2"/>
        <w:numId w:val="5"/>
      </w:numPr>
      <w:spacing w:before="60" w:after="60"/>
    </w:pPr>
    <w:rPr>
      <w:sz w:val="17"/>
    </w:rPr>
  </w:style>
  <w:style w:type="paragraph" w:customStyle="1" w:styleId="Tablenum2">
    <w:name w:val="Table num 2"/>
    <w:basedOn w:val="Normal"/>
    <w:uiPriority w:val="6"/>
    <w:rsid w:val="004D73A0"/>
    <w:pPr>
      <w:numPr>
        <w:ilvl w:val="3"/>
        <w:numId w:val="5"/>
      </w:numPr>
      <w:spacing w:before="60" w:after="60"/>
    </w:pPr>
    <w:rPr>
      <w:sz w:val="17"/>
    </w:rPr>
  </w:style>
  <w:style w:type="paragraph" w:styleId="Caption">
    <w:name w:val="caption"/>
    <w:basedOn w:val="Normal"/>
    <w:next w:val="Normal"/>
    <w:uiPriority w:val="35"/>
    <w:rsid w:val="004D73A0"/>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4D73A0"/>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4D73A0"/>
    <w:rPr>
      <w:color w:val="808080"/>
    </w:rPr>
  </w:style>
  <w:style w:type="character" w:customStyle="1" w:styleId="Heading5Char">
    <w:name w:val="Heading 5 Char"/>
    <w:basedOn w:val="DefaultParagraphFont"/>
    <w:link w:val="Heading5"/>
    <w:semiHidden/>
    <w:rsid w:val="004D73A0"/>
    <w:rPr>
      <w:rFonts w:ascii="Calibri" w:eastAsia="Times New Roman" w:hAnsi="Calibri" w:cs="Calibri"/>
      <w:b/>
      <w:bCs/>
      <w:i/>
      <w:color w:val="404040"/>
      <w:kern w:val="28"/>
      <w:sz w:val="22"/>
      <w:szCs w:val="22"/>
      <w:lang w:eastAsia="en-US"/>
    </w:rPr>
  </w:style>
  <w:style w:type="character" w:customStyle="1" w:styleId="Heading6Char">
    <w:name w:val="Heading 6 Char"/>
    <w:basedOn w:val="DefaultParagraphFont"/>
    <w:link w:val="Heading6"/>
    <w:semiHidden/>
    <w:rsid w:val="004D73A0"/>
    <w:rPr>
      <w:rFonts w:ascii="Calibri" w:eastAsia="Times New Roman" w:hAnsi="Calibri" w:cs="Calibri"/>
      <w:b/>
      <w:bCs/>
      <w:i/>
      <w:iCs/>
      <w:color w:val="404040"/>
      <w:kern w:val="28"/>
      <w:sz w:val="22"/>
      <w:szCs w:val="22"/>
      <w:lang w:eastAsia="en-US"/>
    </w:rPr>
  </w:style>
  <w:style w:type="character" w:customStyle="1" w:styleId="Heading7Char">
    <w:name w:val="Heading 7 Char"/>
    <w:basedOn w:val="DefaultParagraphFont"/>
    <w:link w:val="Heading7"/>
    <w:semiHidden/>
    <w:rsid w:val="004D73A0"/>
    <w:rPr>
      <w:rFonts w:ascii="Calibri" w:eastAsia="Times New Roman" w:hAnsi="Calibri" w:cs="Calibri"/>
      <w:b/>
      <w:bCs/>
      <w:iCs/>
      <w:color w:val="404040"/>
      <w:kern w:val="28"/>
      <w:sz w:val="22"/>
      <w:szCs w:val="22"/>
      <w:lang w:eastAsia="en-US"/>
    </w:rPr>
  </w:style>
  <w:style w:type="character" w:customStyle="1" w:styleId="Heading8Char">
    <w:name w:val="Heading 8 Char"/>
    <w:basedOn w:val="DefaultParagraphFont"/>
    <w:link w:val="Heading8"/>
    <w:semiHidden/>
    <w:rsid w:val="004D73A0"/>
    <w:rPr>
      <w:rFonts w:ascii="Calibri" w:eastAsia="Times New Roman" w:hAnsi="Calibri" w:cs="Calibri"/>
      <w:bCs/>
      <w:iCs/>
      <w:color w:val="404040"/>
      <w:kern w:val="28"/>
      <w:sz w:val="22"/>
      <w:szCs w:val="22"/>
      <w:lang w:eastAsia="en-US"/>
    </w:rPr>
  </w:style>
  <w:style w:type="character" w:customStyle="1" w:styleId="Heading9Char">
    <w:name w:val="Heading 9 Char"/>
    <w:basedOn w:val="DefaultParagraphFont"/>
    <w:link w:val="Heading9"/>
    <w:semiHidden/>
    <w:rsid w:val="004D73A0"/>
    <w:rPr>
      <w:rFonts w:ascii="Calibri" w:eastAsia="Times New Roman" w:hAnsi="Calibri" w:cs="Calibri"/>
      <w:bCs/>
      <w:iCs/>
      <w:color w:val="404040"/>
      <w:kern w:val="28"/>
      <w:sz w:val="22"/>
      <w:szCs w:val="22"/>
      <w:lang w:eastAsia="en-US"/>
    </w:rPr>
  </w:style>
  <w:style w:type="character" w:styleId="BookTitle">
    <w:name w:val="Book Title"/>
    <w:qFormat/>
    <w:rsid w:val="00062F84"/>
    <w:rPr>
      <w:rFonts w:ascii="Calibri" w:hAnsi="Calibri"/>
      <w:b/>
      <w:bCs/>
      <w:smallCaps/>
      <w:spacing w:val="5"/>
    </w:rPr>
  </w:style>
  <w:style w:type="paragraph" w:customStyle="1" w:styleId="Tablechartdiagramheadingindent">
    <w:name w:val="Table/chart/diagram heading indent"/>
    <w:basedOn w:val="Tablechartdiagramheading"/>
    <w:qFormat/>
    <w:rsid w:val="004D73A0"/>
    <w:pPr>
      <w:keepNext/>
      <w:ind w:left="792"/>
    </w:pPr>
  </w:style>
  <w:style w:type="paragraph" w:customStyle="1" w:styleId="Tabletextbold">
    <w:name w:val="Table text bold"/>
    <w:basedOn w:val="Tabletext"/>
    <w:qFormat/>
    <w:rsid w:val="00F44A38"/>
    <w:pPr>
      <w:spacing w:before="100"/>
    </w:pPr>
    <w:rPr>
      <w:rFonts w:eastAsiaTheme="minorHAnsi"/>
      <w:b/>
      <w:szCs w:val="21"/>
      <w:lang w:eastAsia="en-US"/>
    </w:rPr>
  </w:style>
  <w:style w:type="paragraph" w:customStyle="1" w:styleId="NormalBold">
    <w:name w:val="Normal + Bold"/>
    <w:basedOn w:val="Normal"/>
    <w:rsid w:val="00062F84"/>
    <w:pPr>
      <w:spacing w:before="0" w:after="240" w:line="240" w:lineRule="atLeast"/>
      <w:jc w:val="both"/>
    </w:pPr>
    <w:rPr>
      <w:rFonts w:ascii="Arial" w:eastAsia="Times New Roman" w:hAnsi="Arial" w:cs="Times New Roman"/>
      <w:b/>
      <w:spacing w:val="0"/>
      <w:lang w:eastAsia="en-US"/>
    </w:rPr>
  </w:style>
  <w:style w:type="paragraph" w:customStyle="1" w:styleId="Heading3indent">
    <w:name w:val="Heading 3 indent"/>
    <w:basedOn w:val="Heading3"/>
    <w:qFormat/>
    <w:rsid w:val="00E33EA6"/>
    <w:pPr>
      <w:ind w:left="792"/>
    </w:pPr>
  </w:style>
  <w:style w:type="paragraph" w:customStyle="1" w:styleId="a">
    <w:name w:val="."/>
    <w:basedOn w:val="NormalIndent"/>
    <w:qFormat/>
    <w:rsid w:val="00E33EA6"/>
  </w:style>
  <w:style w:type="paragraph" w:customStyle="1" w:styleId="Tabletextindent2">
    <w:name w:val="Table text indent 2"/>
    <w:basedOn w:val="Tabletextindent"/>
    <w:qFormat/>
    <w:rsid w:val="00E33EA6"/>
    <w:pPr>
      <w:ind w:left="709" w:hanging="421"/>
    </w:pPr>
    <w:rPr>
      <w:rFonts w:eastAsiaTheme="minorHAns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9"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lsdException w:name="TOC Heading" w:semiHidden="0" w:uiPriority="39"/>
  </w:latentStyles>
  <w:style w:type="paragraph" w:default="1" w:styleId="Normal">
    <w:name w:val="Normal"/>
    <w:qFormat/>
    <w:rsid w:val="004D73A0"/>
    <w:pPr>
      <w:spacing w:before="160" w:after="100"/>
    </w:pPr>
    <w:rPr>
      <w:spacing w:val="2"/>
    </w:rPr>
  </w:style>
  <w:style w:type="paragraph" w:styleId="Heading1">
    <w:name w:val="heading 1"/>
    <w:next w:val="Normal"/>
    <w:link w:val="Heading1Char"/>
    <w:qFormat/>
    <w:rsid w:val="004D73A0"/>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4D73A0"/>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4D73A0"/>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4D73A0"/>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semiHidden/>
    <w:qFormat/>
    <w:rsid w:val="00062F84"/>
    <w:pPr>
      <w:widowControl w:val="0"/>
      <w:spacing w:before="160" w:after="120" w:line="228" w:lineRule="auto"/>
      <w:ind w:left="794"/>
      <w:outlineLvl w:val="4"/>
    </w:pPr>
    <w:rPr>
      <w:rFonts w:ascii="Calibri" w:eastAsia="Times New Roman" w:hAnsi="Calibri" w:cs="Calibri"/>
      <w:i/>
      <w:iCs w:val="0"/>
      <w:color w:val="404040"/>
      <w:spacing w:val="0"/>
      <w:kern w:val="28"/>
      <w:sz w:val="22"/>
      <w:szCs w:val="22"/>
      <w:lang w:eastAsia="en-US"/>
    </w:rPr>
  </w:style>
  <w:style w:type="paragraph" w:styleId="Heading6">
    <w:name w:val="heading 6"/>
    <w:basedOn w:val="Heading5"/>
    <w:next w:val="Normal"/>
    <w:link w:val="Heading6Char"/>
    <w:semiHidden/>
    <w:qFormat/>
    <w:rsid w:val="00062F84"/>
    <w:pPr>
      <w:outlineLvl w:val="5"/>
    </w:pPr>
    <w:rPr>
      <w:iCs/>
    </w:rPr>
  </w:style>
  <w:style w:type="paragraph" w:styleId="Heading7">
    <w:name w:val="heading 7"/>
    <w:basedOn w:val="Heading6"/>
    <w:next w:val="Normal"/>
    <w:link w:val="Heading7Char"/>
    <w:semiHidden/>
    <w:qFormat/>
    <w:rsid w:val="00062F84"/>
    <w:pPr>
      <w:outlineLvl w:val="6"/>
    </w:pPr>
    <w:rPr>
      <w:i w:val="0"/>
    </w:rPr>
  </w:style>
  <w:style w:type="paragraph" w:styleId="Heading8">
    <w:name w:val="heading 8"/>
    <w:basedOn w:val="Heading7"/>
    <w:next w:val="Normal"/>
    <w:link w:val="Heading8Char"/>
    <w:semiHidden/>
    <w:qFormat/>
    <w:rsid w:val="00062F84"/>
    <w:pPr>
      <w:outlineLvl w:val="7"/>
    </w:pPr>
    <w:rPr>
      <w:b w:val="0"/>
    </w:rPr>
  </w:style>
  <w:style w:type="paragraph" w:styleId="Heading9">
    <w:name w:val="heading 9"/>
    <w:basedOn w:val="Heading8"/>
    <w:next w:val="Normal"/>
    <w:link w:val="Heading9Char"/>
    <w:semiHidden/>
    <w:qFormat/>
    <w:rsid w:val="00062F8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4D73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D73A0"/>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4D73A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4D73A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4D73A0"/>
    <w:pPr>
      <w:tabs>
        <w:tab w:val="right" w:leader="dot" w:pos="9000"/>
      </w:tabs>
      <w:ind w:right="432"/>
    </w:pPr>
    <w:rPr>
      <w:sz w:val="24"/>
      <w:szCs w:val="24"/>
    </w:rPr>
  </w:style>
  <w:style w:type="paragraph" w:styleId="TOC2">
    <w:name w:val="toc 2"/>
    <w:next w:val="Normal"/>
    <w:uiPriority w:val="39"/>
    <w:rsid w:val="004D73A0"/>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4D73A0"/>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4D73A0"/>
    <w:pPr>
      <w:spacing w:after="60" w:line="240" w:lineRule="auto"/>
    </w:pPr>
    <w:rPr>
      <w:sz w:val="16"/>
    </w:rPr>
  </w:style>
  <w:style w:type="paragraph" w:styleId="Index2">
    <w:name w:val="index 2"/>
    <w:basedOn w:val="Normal"/>
    <w:next w:val="Normal"/>
    <w:uiPriority w:val="99"/>
    <w:semiHidden/>
    <w:rsid w:val="004D73A0"/>
    <w:pPr>
      <w:spacing w:after="0" w:line="240" w:lineRule="auto"/>
      <w:ind w:left="216"/>
    </w:pPr>
    <w:rPr>
      <w:sz w:val="16"/>
      <w:szCs w:val="16"/>
    </w:rPr>
  </w:style>
  <w:style w:type="character" w:styleId="Hyperlink">
    <w:name w:val="Hyperlink"/>
    <w:basedOn w:val="DefaultParagraphFont"/>
    <w:uiPriority w:val="99"/>
    <w:rsid w:val="004D73A0"/>
    <w:rPr>
      <w:color w:val="53565A" w:themeColor="hyperlink"/>
      <w:u w:val="none"/>
    </w:rPr>
  </w:style>
  <w:style w:type="character" w:customStyle="1" w:styleId="Heading1Char">
    <w:name w:val="Heading 1 Char"/>
    <w:basedOn w:val="DefaultParagraphFont"/>
    <w:link w:val="Heading1"/>
    <w:rsid w:val="004D73A0"/>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4D73A0"/>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4D73A0"/>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4D73A0"/>
    <w:pPr>
      <w:numPr>
        <w:ilvl w:val="1"/>
      </w:numPr>
    </w:pPr>
  </w:style>
  <w:style w:type="paragraph" w:customStyle="1" w:styleId="Bulletindent">
    <w:name w:val="Bullet indent"/>
    <w:basedOn w:val="Bullet2"/>
    <w:uiPriority w:val="9"/>
    <w:qFormat/>
    <w:rsid w:val="004D73A0"/>
    <w:pPr>
      <w:numPr>
        <w:ilvl w:val="2"/>
      </w:numPr>
    </w:pPr>
  </w:style>
  <w:style w:type="paragraph" w:customStyle="1" w:styleId="Heading1numbered">
    <w:name w:val="Heading 1 numbered"/>
    <w:basedOn w:val="Heading1"/>
    <w:next w:val="NormalIndent"/>
    <w:uiPriority w:val="8"/>
    <w:qFormat/>
    <w:rsid w:val="004D73A0"/>
    <w:pPr>
      <w:numPr>
        <w:ilvl w:val="2"/>
        <w:numId w:val="4"/>
      </w:numPr>
      <w:ind w:left="794" w:hanging="794"/>
    </w:pPr>
  </w:style>
  <w:style w:type="paragraph" w:customStyle="1" w:styleId="Heading2numbered">
    <w:name w:val="Heading 2 numbered"/>
    <w:basedOn w:val="Heading2"/>
    <w:next w:val="NormalIndent"/>
    <w:uiPriority w:val="8"/>
    <w:qFormat/>
    <w:rsid w:val="004D73A0"/>
    <w:pPr>
      <w:numPr>
        <w:ilvl w:val="3"/>
        <w:numId w:val="4"/>
      </w:numPr>
    </w:pPr>
  </w:style>
  <w:style w:type="paragraph" w:customStyle="1" w:styleId="Heading3numbered">
    <w:name w:val="Heading 3 numbered"/>
    <w:basedOn w:val="Heading3"/>
    <w:next w:val="NormalIndent"/>
    <w:uiPriority w:val="8"/>
    <w:qFormat/>
    <w:rsid w:val="004D73A0"/>
    <w:pPr>
      <w:numPr>
        <w:ilvl w:val="4"/>
        <w:numId w:val="4"/>
      </w:numPr>
    </w:pPr>
  </w:style>
  <w:style w:type="character" w:customStyle="1" w:styleId="Heading3Char">
    <w:name w:val="Heading 3 Char"/>
    <w:basedOn w:val="DefaultParagraphFont"/>
    <w:link w:val="Heading3"/>
    <w:rsid w:val="004D73A0"/>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4D73A0"/>
    <w:pPr>
      <w:numPr>
        <w:ilvl w:val="5"/>
        <w:numId w:val="4"/>
      </w:numPr>
    </w:pPr>
  </w:style>
  <w:style w:type="character" w:customStyle="1" w:styleId="Heading4Char">
    <w:name w:val="Heading 4 Char"/>
    <w:basedOn w:val="DefaultParagraphFont"/>
    <w:link w:val="Heading4"/>
    <w:rsid w:val="004D73A0"/>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4D73A0"/>
    <w:pPr>
      <w:spacing w:line="252" w:lineRule="auto"/>
      <w:ind w:left="792"/>
    </w:pPr>
  </w:style>
  <w:style w:type="paragraph" w:customStyle="1" w:styleId="NoteNormal">
    <w:name w:val="Note Normal"/>
    <w:basedOn w:val="Normal"/>
    <w:rsid w:val="004D73A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qFormat/>
    <w:rsid w:val="004D73A0"/>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4D73A0"/>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4D73A0"/>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4D73A0"/>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4D73A0"/>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4D73A0"/>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4D7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3A0"/>
    <w:rPr>
      <w:rFonts w:ascii="Tahoma" w:hAnsi="Tahoma" w:cs="Tahoma"/>
      <w:spacing w:val="2"/>
      <w:sz w:val="16"/>
      <w:szCs w:val="16"/>
    </w:rPr>
  </w:style>
  <w:style w:type="paragraph" w:customStyle="1" w:styleId="Bulletindent2">
    <w:name w:val="Bullet indent 2"/>
    <w:basedOn w:val="Normal"/>
    <w:uiPriority w:val="9"/>
    <w:qFormat/>
    <w:rsid w:val="004D73A0"/>
    <w:pPr>
      <w:numPr>
        <w:ilvl w:val="3"/>
        <w:numId w:val="1"/>
      </w:numPr>
      <w:spacing w:before="100"/>
      <w:contextualSpacing/>
    </w:pPr>
  </w:style>
  <w:style w:type="paragraph" w:styleId="IndexHeading">
    <w:name w:val="index heading"/>
    <w:basedOn w:val="Normal"/>
    <w:next w:val="Index1"/>
    <w:uiPriority w:val="99"/>
    <w:semiHidden/>
    <w:rsid w:val="004D73A0"/>
    <w:rPr>
      <w:rFonts w:asciiTheme="majorHAnsi" w:eastAsiaTheme="majorEastAsia" w:hAnsiTheme="majorHAnsi" w:cstheme="majorBidi"/>
      <w:b/>
      <w:bCs/>
    </w:rPr>
  </w:style>
  <w:style w:type="paragraph" w:styleId="Header">
    <w:name w:val="header"/>
    <w:basedOn w:val="Normal"/>
    <w:link w:val="HeaderChar"/>
    <w:uiPriority w:val="99"/>
    <w:semiHidden/>
    <w:rsid w:val="004D73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73A0"/>
    <w:rPr>
      <w:spacing w:val="2"/>
    </w:rPr>
  </w:style>
  <w:style w:type="paragraph" w:styleId="Footer">
    <w:name w:val="footer"/>
    <w:basedOn w:val="Normal"/>
    <w:link w:val="FooterChar"/>
    <w:uiPriority w:val="24"/>
    <w:rsid w:val="004D73A0"/>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4D73A0"/>
    <w:rPr>
      <w:noProof/>
      <w:spacing w:val="2"/>
      <w:sz w:val="18"/>
      <w:szCs w:val="18"/>
    </w:rPr>
  </w:style>
  <w:style w:type="character" w:styleId="PageNumber">
    <w:name w:val="page number"/>
    <w:uiPriority w:val="49"/>
    <w:semiHidden/>
    <w:rsid w:val="004D73A0"/>
    <w:rPr>
      <w:rFonts w:asciiTheme="minorHAnsi" w:hAnsiTheme="minorHAnsi"/>
      <w:b w:val="0"/>
      <w:color w:val="000000" w:themeColor="text1"/>
    </w:rPr>
  </w:style>
  <w:style w:type="paragraph" w:styleId="TOCHeading">
    <w:name w:val="TOC Heading"/>
    <w:basedOn w:val="Heading1"/>
    <w:next w:val="Normal"/>
    <w:uiPriority w:val="39"/>
    <w:rsid w:val="004D73A0"/>
    <w:pPr>
      <w:spacing w:before="480" w:after="720"/>
      <w:outlineLvl w:val="9"/>
    </w:pPr>
    <w:rPr>
      <w:spacing w:val="2"/>
    </w:rPr>
  </w:style>
  <w:style w:type="paragraph" w:customStyle="1" w:styleId="NormalTight">
    <w:name w:val="Normal Tight"/>
    <w:uiPriority w:val="99"/>
    <w:semiHidden/>
    <w:rsid w:val="004D73A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4D73A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4D73A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4D73A0"/>
    <w:pPr>
      <w:spacing w:before="5800"/>
      <w:ind w:right="1382"/>
    </w:pPr>
  </w:style>
  <w:style w:type="paragraph" w:styleId="TOC4">
    <w:name w:val="toc 4"/>
    <w:basedOn w:val="TOC1"/>
    <w:next w:val="Normal"/>
    <w:uiPriority w:val="39"/>
    <w:rsid w:val="004D73A0"/>
    <w:pPr>
      <w:ind w:left="450" w:hanging="450"/>
    </w:pPr>
    <w:rPr>
      <w:noProof/>
      <w:lang w:eastAsia="en-US"/>
    </w:rPr>
  </w:style>
  <w:style w:type="paragraph" w:styleId="TOC5">
    <w:name w:val="toc 5"/>
    <w:basedOn w:val="TOC2"/>
    <w:next w:val="Normal"/>
    <w:uiPriority w:val="39"/>
    <w:rsid w:val="004D73A0"/>
    <w:pPr>
      <w:ind w:left="1080" w:hanging="634"/>
    </w:pPr>
    <w:rPr>
      <w:lang w:eastAsia="en-US"/>
    </w:rPr>
  </w:style>
  <w:style w:type="paragraph" w:styleId="TOC6">
    <w:name w:val="toc 6"/>
    <w:basedOn w:val="TOC3"/>
    <w:next w:val="Normal"/>
    <w:uiPriority w:val="39"/>
    <w:rsid w:val="004D73A0"/>
    <w:pPr>
      <w:ind w:left="1800" w:hanging="720"/>
    </w:pPr>
    <w:rPr>
      <w:lang w:eastAsia="en-US"/>
    </w:rPr>
  </w:style>
  <w:style w:type="table" w:customStyle="1" w:styleId="DTFtexttable">
    <w:name w:val="DTF text table"/>
    <w:basedOn w:val="TableGrid"/>
    <w:uiPriority w:val="99"/>
    <w:rsid w:val="004D73A0"/>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4D73A0"/>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4D73A0"/>
    <w:pPr>
      <w:spacing w:before="60" w:after="60" w:line="264" w:lineRule="auto"/>
    </w:pPr>
    <w:rPr>
      <w:sz w:val="17"/>
    </w:rPr>
  </w:style>
  <w:style w:type="paragraph" w:customStyle="1" w:styleId="Tabletextright">
    <w:name w:val="Table text right"/>
    <w:basedOn w:val="Tabletext"/>
    <w:uiPriority w:val="5"/>
    <w:qFormat/>
    <w:rsid w:val="004D73A0"/>
    <w:pPr>
      <w:jc w:val="right"/>
    </w:pPr>
  </w:style>
  <w:style w:type="paragraph" w:customStyle="1" w:styleId="Listnumindent2">
    <w:name w:val="List num indent 2"/>
    <w:basedOn w:val="Normal"/>
    <w:uiPriority w:val="9"/>
    <w:qFormat/>
    <w:rsid w:val="004D73A0"/>
    <w:pPr>
      <w:numPr>
        <w:ilvl w:val="7"/>
        <w:numId w:val="4"/>
      </w:numPr>
      <w:spacing w:before="100"/>
      <w:contextualSpacing/>
    </w:pPr>
  </w:style>
  <w:style w:type="paragraph" w:customStyle="1" w:styleId="Listnumindent">
    <w:name w:val="List num indent"/>
    <w:basedOn w:val="Normal"/>
    <w:uiPriority w:val="9"/>
    <w:qFormat/>
    <w:rsid w:val="004D73A0"/>
    <w:pPr>
      <w:numPr>
        <w:ilvl w:val="6"/>
        <w:numId w:val="4"/>
      </w:numPr>
      <w:spacing w:before="100"/>
    </w:pPr>
  </w:style>
  <w:style w:type="paragraph" w:customStyle="1" w:styleId="Listnum">
    <w:name w:val="List num"/>
    <w:basedOn w:val="Normal"/>
    <w:uiPriority w:val="2"/>
    <w:qFormat/>
    <w:rsid w:val="004D73A0"/>
    <w:pPr>
      <w:numPr>
        <w:numId w:val="4"/>
      </w:numPr>
    </w:pPr>
  </w:style>
  <w:style w:type="paragraph" w:customStyle="1" w:styleId="Listnum2">
    <w:name w:val="List num 2"/>
    <w:basedOn w:val="Normal"/>
    <w:uiPriority w:val="2"/>
    <w:qFormat/>
    <w:rsid w:val="004D73A0"/>
    <w:pPr>
      <w:numPr>
        <w:ilvl w:val="1"/>
        <w:numId w:val="4"/>
      </w:numPr>
    </w:pPr>
  </w:style>
  <w:style w:type="paragraph" w:customStyle="1" w:styleId="Tabletextcentred">
    <w:name w:val="Table text centred"/>
    <w:basedOn w:val="Tabletext"/>
    <w:uiPriority w:val="5"/>
    <w:qFormat/>
    <w:rsid w:val="004D73A0"/>
    <w:pPr>
      <w:jc w:val="center"/>
    </w:pPr>
  </w:style>
  <w:style w:type="paragraph" w:customStyle="1" w:styleId="Tableheader">
    <w:name w:val="Table header"/>
    <w:basedOn w:val="Tabletext"/>
    <w:uiPriority w:val="5"/>
    <w:qFormat/>
    <w:rsid w:val="004D73A0"/>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4D73A0"/>
    <w:pPr>
      <w:numPr>
        <w:numId w:val="5"/>
      </w:numPr>
    </w:pPr>
  </w:style>
  <w:style w:type="paragraph" w:customStyle="1" w:styleId="Tabledash">
    <w:name w:val="Table dash"/>
    <w:basedOn w:val="Tablebullet"/>
    <w:uiPriority w:val="6"/>
    <w:rsid w:val="004D73A0"/>
    <w:pPr>
      <w:numPr>
        <w:ilvl w:val="1"/>
      </w:numPr>
    </w:pPr>
  </w:style>
  <w:style w:type="paragraph" w:customStyle="1" w:styleId="Tabletextindent">
    <w:name w:val="Table text indent"/>
    <w:basedOn w:val="Tabletext"/>
    <w:uiPriority w:val="5"/>
    <w:qFormat/>
    <w:rsid w:val="004D73A0"/>
    <w:pPr>
      <w:ind w:left="288"/>
    </w:pPr>
  </w:style>
  <w:style w:type="paragraph" w:styleId="ListParagraph">
    <w:name w:val="List Paragraph"/>
    <w:basedOn w:val="Normal"/>
    <w:uiPriority w:val="34"/>
    <w:semiHidden/>
    <w:qFormat/>
    <w:rsid w:val="004D73A0"/>
    <w:pPr>
      <w:ind w:left="720"/>
      <w:contextualSpacing/>
    </w:pPr>
  </w:style>
  <w:style w:type="paragraph" w:customStyle="1" w:styleId="Numpara">
    <w:name w:val="Num para"/>
    <w:basedOn w:val="ListParagraph"/>
    <w:uiPriority w:val="2"/>
    <w:qFormat/>
    <w:rsid w:val="004D73A0"/>
    <w:pPr>
      <w:numPr>
        <w:numId w:val="7"/>
      </w:numPr>
      <w:tabs>
        <w:tab w:val="left" w:pos="540"/>
      </w:tabs>
      <w:ind w:left="504" w:hanging="504"/>
    </w:pPr>
  </w:style>
  <w:style w:type="paragraph" w:styleId="FootnoteText">
    <w:name w:val="footnote text"/>
    <w:basedOn w:val="Normal"/>
    <w:link w:val="FootnoteTextChar"/>
    <w:uiPriority w:val="99"/>
    <w:semiHidden/>
    <w:rsid w:val="004D73A0"/>
    <w:pPr>
      <w:spacing w:before="0" w:after="0" w:line="240" w:lineRule="auto"/>
    </w:pPr>
    <w:rPr>
      <w:sz w:val="17"/>
    </w:rPr>
  </w:style>
  <w:style w:type="character" w:customStyle="1" w:styleId="FootnoteTextChar">
    <w:name w:val="Footnote Text Char"/>
    <w:basedOn w:val="DefaultParagraphFont"/>
    <w:link w:val="FootnoteText"/>
    <w:uiPriority w:val="99"/>
    <w:semiHidden/>
    <w:rsid w:val="004D73A0"/>
    <w:rPr>
      <w:spacing w:val="2"/>
      <w:sz w:val="17"/>
    </w:rPr>
  </w:style>
  <w:style w:type="character" w:styleId="FootnoteReference">
    <w:name w:val="footnote reference"/>
    <w:basedOn w:val="DefaultParagraphFont"/>
    <w:uiPriority w:val="99"/>
    <w:semiHidden/>
    <w:rsid w:val="004D73A0"/>
    <w:rPr>
      <w:vertAlign w:val="superscript"/>
    </w:rPr>
  </w:style>
  <w:style w:type="table" w:customStyle="1" w:styleId="DTFtexttableindent">
    <w:name w:val="DTF text table indent"/>
    <w:basedOn w:val="DTFtexttable"/>
    <w:uiPriority w:val="99"/>
    <w:rsid w:val="004D73A0"/>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4D73A0"/>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4D73A0"/>
    <w:pPr>
      <w:numPr>
        <w:ilvl w:val="8"/>
        <w:numId w:val="4"/>
      </w:numPr>
      <w:tabs>
        <w:tab w:val="clear" w:pos="540"/>
      </w:tabs>
    </w:pPr>
  </w:style>
  <w:style w:type="paragraph" w:customStyle="1" w:styleId="NoteNormalindent">
    <w:name w:val="Note Normal indent"/>
    <w:basedOn w:val="NoteNormal"/>
    <w:uiPriority w:val="9"/>
    <w:rsid w:val="004D73A0"/>
    <w:pPr>
      <w:ind w:left="792"/>
    </w:pPr>
  </w:style>
  <w:style w:type="paragraph" w:customStyle="1" w:styleId="Tablenum1">
    <w:name w:val="Table num 1"/>
    <w:basedOn w:val="Normal"/>
    <w:uiPriority w:val="6"/>
    <w:rsid w:val="004D73A0"/>
    <w:pPr>
      <w:numPr>
        <w:ilvl w:val="2"/>
        <w:numId w:val="5"/>
      </w:numPr>
      <w:spacing w:before="60" w:after="60"/>
    </w:pPr>
    <w:rPr>
      <w:sz w:val="17"/>
    </w:rPr>
  </w:style>
  <w:style w:type="paragraph" w:customStyle="1" w:styleId="Tablenum2">
    <w:name w:val="Table num 2"/>
    <w:basedOn w:val="Normal"/>
    <w:uiPriority w:val="6"/>
    <w:rsid w:val="004D73A0"/>
    <w:pPr>
      <w:numPr>
        <w:ilvl w:val="3"/>
        <w:numId w:val="5"/>
      </w:numPr>
      <w:spacing w:before="60" w:after="60"/>
    </w:pPr>
    <w:rPr>
      <w:sz w:val="17"/>
    </w:rPr>
  </w:style>
  <w:style w:type="paragraph" w:styleId="Caption">
    <w:name w:val="caption"/>
    <w:basedOn w:val="Normal"/>
    <w:next w:val="Normal"/>
    <w:uiPriority w:val="35"/>
    <w:rsid w:val="004D73A0"/>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4D73A0"/>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4D73A0"/>
    <w:rPr>
      <w:color w:val="808080"/>
    </w:rPr>
  </w:style>
  <w:style w:type="character" w:customStyle="1" w:styleId="Heading5Char">
    <w:name w:val="Heading 5 Char"/>
    <w:basedOn w:val="DefaultParagraphFont"/>
    <w:link w:val="Heading5"/>
    <w:semiHidden/>
    <w:rsid w:val="004D73A0"/>
    <w:rPr>
      <w:rFonts w:ascii="Calibri" w:eastAsia="Times New Roman" w:hAnsi="Calibri" w:cs="Calibri"/>
      <w:b/>
      <w:bCs/>
      <w:i/>
      <w:color w:val="404040"/>
      <w:kern w:val="28"/>
      <w:sz w:val="22"/>
      <w:szCs w:val="22"/>
      <w:lang w:eastAsia="en-US"/>
    </w:rPr>
  </w:style>
  <w:style w:type="character" w:customStyle="1" w:styleId="Heading6Char">
    <w:name w:val="Heading 6 Char"/>
    <w:basedOn w:val="DefaultParagraphFont"/>
    <w:link w:val="Heading6"/>
    <w:semiHidden/>
    <w:rsid w:val="004D73A0"/>
    <w:rPr>
      <w:rFonts w:ascii="Calibri" w:eastAsia="Times New Roman" w:hAnsi="Calibri" w:cs="Calibri"/>
      <w:b/>
      <w:bCs/>
      <w:i/>
      <w:iCs/>
      <w:color w:val="404040"/>
      <w:kern w:val="28"/>
      <w:sz w:val="22"/>
      <w:szCs w:val="22"/>
      <w:lang w:eastAsia="en-US"/>
    </w:rPr>
  </w:style>
  <w:style w:type="character" w:customStyle="1" w:styleId="Heading7Char">
    <w:name w:val="Heading 7 Char"/>
    <w:basedOn w:val="DefaultParagraphFont"/>
    <w:link w:val="Heading7"/>
    <w:semiHidden/>
    <w:rsid w:val="004D73A0"/>
    <w:rPr>
      <w:rFonts w:ascii="Calibri" w:eastAsia="Times New Roman" w:hAnsi="Calibri" w:cs="Calibri"/>
      <w:b/>
      <w:bCs/>
      <w:iCs/>
      <w:color w:val="404040"/>
      <w:kern w:val="28"/>
      <w:sz w:val="22"/>
      <w:szCs w:val="22"/>
      <w:lang w:eastAsia="en-US"/>
    </w:rPr>
  </w:style>
  <w:style w:type="character" w:customStyle="1" w:styleId="Heading8Char">
    <w:name w:val="Heading 8 Char"/>
    <w:basedOn w:val="DefaultParagraphFont"/>
    <w:link w:val="Heading8"/>
    <w:semiHidden/>
    <w:rsid w:val="004D73A0"/>
    <w:rPr>
      <w:rFonts w:ascii="Calibri" w:eastAsia="Times New Roman" w:hAnsi="Calibri" w:cs="Calibri"/>
      <w:bCs/>
      <w:iCs/>
      <w:color w:val="404040"/>
      <w:kern w:val="28"/>
      <w:sz w:val="22"/>
      <w:szCs w:val="22"/>
      <w:lang w:eastAsia="en-US"/>
    </w:rPr>
  </w:style>
  <w:style w:type="character" w:customStyle="1" w:styleId="Heading9Char">
    <w:name w:val="Heading 9 Char"/>
    <w:basedOn w:val="DefaultParagraphFont"/>
    <w:link w:val="Heading9"/>
    <w:semiHidden/>
    <w:rsid w:val="004D73A0"/>
    <w:rPr>
      <w:rFonts w:ascii="Calibri" w:eastAsia="Times New Roman" w:hAnsi="Calibri" w:cs="Calibri"/>
      <w:bCs/>
      <w:iCs/>
      <w:color w:val="404040"/>
      <w:kern w:val="28"/>
      <w:sz w:val="22"/>
      <w:szCs w:val="22"/>
      <w:lang w:eastAsia="en-US"/>
    </w:rPr>
  </w:style>
  <w:style w:type="character" w:styleId="BookTitle">
    <w:name w:val="Book Title"/>
    <w:qFormat/>
    <w:rsid w:val="00062F84"/>
    <w:rPr>
      <w:rFonts w:ascii="Calibri" w:hAnsi="Calibri"/>
      <w:b/>
      <w:bCs/>
      <w:smallCaps/>
      <w:spacing w:val="5"/>
    </w:rPr>
  </w:style>
  <w:style w:type="paragraph" w:customStyle="1" w:styleId="Tablechartdiagramheadingindent">
    <w:name w:val="Table/chart/diagram heading indent"/>
    <w:basedOn w:val="Tablechartdiagramheading"/>
    <w:qFormat/>
    <w:rsid w:val="004D73A0"/>
    <w:pPr>
      <w:keepNext/>
      <w:ind w:left="792"/>
    </w:pPr>
  </w:style>
  <w:style w:type="paragraph" w:customStyle="1" w:styleId="Tabletextbold">
    <w:name w:val="Table text bold"/>
    <w:basedOn w:val="Tabletext"/>
    <w:qFormat/>
    <w:rsid w:val="00F44A38"/>
    <w:pPr>
      <w:spacing w:before="100"/>
    </w:pPr>
    <w:rPr>
      <w:rFonts w:eastAsiaTheme="minorHAnsi"/>
      <w:b/>
      <w:szCs w:val="21"/>
      <w:lang w:eastAsia="en-US"/>
    </w:rPr>
  </w:style>
  <w:style w:type="paragraph" w:customStyle="1" w:styleId="NormalBold">
    <w:name w:val="Normal + Bold"/>
    <w:basedOn w:val="Normal"/>
    <w:rsid w:val="00062F84"/>
    <w:pPr>
      <w:spacing w:before="0" w:after="240" w:line="240" w:lineRule="atLeast"/>
      <w:jc w:val="both"/>
    </w:pPr>
    <w:rPr>
      <w:rFonts w:ascii="Arial" w:eastAsia="Times New Roman" w:hAnsi="Arial" w:cs="Times New Roman"/>
      <w:b/>
      <w:spacing w:val="0"/>
      <w:lang w:eastAsia="en-US"/>
    </w:rPr>
  </w:style>
  <w:style w:type="paragraph" w:customStyle="1" w:styleId="Heading3indent">
    <w:name w:val="Heading 3 indent"/>
    <w:basedOn w:val="Heading3"/>
    <w:qFormat/>
    <w:rsid w:val="00E33EA6"/>
    <w:pPr>
      <w:ind w:left="792"/>
    </w:pPr>
  </w:style>
  <w:style w:type="paragraph" w:customStyle="1" w:styleId="a">
    <w:name w:val="."/>
    <w:basedOn w:val="NormalIndent"/>
    <w:qFormat/>
    <w:rsid w:val="00E33EA6"/>
  </w:style>
  <w:style w:type="paragraph" w:customStyle="1" w:styleId="Tabletextindent2">
    <w:name w:val="Table text indent 2"/>
    <w:basedOn w:val="Tabletextindent"/>
    <w:qFormat/>
    <w:rsid w:val="00E33EA6"/>
    <w:pPr>
      <w:ind w:left="709" w:hanging="421"/>
    </w:pPr>
    <w:rPr>
      <w:rFonts w:eastAsiaTheme="minorHAns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on@dtf.vic.gov.au" TargetMode="External"/><Relationship Id="rId18" Type="http://schemas.openxmlformats.org/officeDocument/2006/relationships/footer" Target="footer2.xml"/><Relationship Id="rId26" Type="http://schemas.openxmlformats.org/officeDocument/2006/relationships/image" Target="media/image7.emf"/><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header" Target="header6.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0.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footer" Target="footer5.xml"/><Relationship Id="rId32" Type="http://schemas.openxmlformats.org/officeDocument/2006/relationships/hyperlink" Target="http://www.ato.gov.au" TargetMode="External"/><Relationship Id="rId37" Type="http://schemas.openxmlformats.org/officeDocument/2006/relationships/header" Target="header8.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9.emf"/><Relationship Id="rId36"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hyperlink" Target="http://creativecommons.org/licenses/by/3.0/au/" TargetMode="External"/><Relationship Id="rId14" Type="http://schemas.openxmlformats.org/officeDocument/2006/relationships/hyperlink" Target="http://www.dtf.vic.gov.au" TargetMode="External"/><Relationship Id="rId22" Type="http://schemas.openxmlformats.org/officeDocument/2006/relationships/header" Target="header5.xm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Reports.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0FF2-8103-4E67-A0B9-DD413E5F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Reports.dotx</Template>
  <TotalTime>8</TotalTime>
  <Pages>38</Pages>
  <Words>9329</Words>
  <Characters>50381</Characters>
  <Application>Microsoft Office Word</Application>
  <DocSecurity>0</DocSecurity>
  <Lines>1228</Lines>
  <Paragraphs>702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Zachariah Fankhauser</cp:lastModifiedBy>
  <cp:revision>6</cp:revision>
  <cp:lastPrinted>2018-03-19T07:26:00Z</cp:lastPrinted>
  <dcterms:created xsi:type="dcterms:W3CDTF">2018-01-15T07:37:00Z</dcterms:created>
  <dcterms:modified xsi:type="dcterms:W3CDTF">2018-03-19T07:27:00Z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