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32F0F" w14:textId="77777777" w:rsidR="00045296" w:rsidRPr="00F95F7A" w:rsidRDefault="00D54649" w:rsidP="00691C09">
      <w:pPr>
        <w:pStyle w:val="Title"/>
        <w:rPr>
          <w:i/>
          <w:sz w:val="44"/>
          <w:szCs w:val="44"/>
        </w:rPr>
      </w:pPr>
      <w:bookmarkStart w:id="0" w:name="_Toc442780672"/>
      <w:r w:rsidRPr="00F95F7A">
        <w:rPr>
          <w:sz w:val="44"/>
          <w:szCs w:val="44"/>
        </w:rPr>
        <w:t>R</w:t>
      </w:r>
      <w:r w:rsidR="002061AF" w:rsidRPr="00F95F7A">
        <w:rPr>
          <w:sz w:val="44"/>
          <w:szCs w:val="44"/>
        </w:rPr>
        <w:t>eporting of r</w:t>
      </w:r>
      <w:r w:rsidRPr="00F95F7A">
        <w:rPr>
          <w:sz w:val="44"/>
          <w:szCs w:val="44"/>
        </w:rPr>
        <w:t>emuneration</w:t>
      </w:r>
      <w:r w:rsidR="008C08B3" w:rsidRPr="00F95F7A">
        <w:rPr>
          <w:sz w:val="44"/>
          <w:szCs w:val="44"/>
        </w:rPr>
        <w:t xml:space="preserve"> in accordance</w:t>
      </w:r>
      <w:r w:rsidR="002061AF" w:rsidRPr="00F95F7A">
        <w:rPr>
          <w:sz w:val="44"/>
          <w:szCs w:val="44"/>
        </w:rPr>
        <w:t xml:space="preserve"> with AASB 124 </w:t>
      </w:r>
      <w:r w:rsidR="002061AF" w:rsidRPr="00F95F7A">
        <w:rPr>
          <w:i/>
          <w:sz w:val="44"/>
          <w:szCs w:val="44"/>
        </w:rPr>
        <w:t xml:space="preserve">Related Party Disclosures </w:t>
      </w:r>
    </w:p>
    <w:bookmarkEnd w:id="0"/>
    <w:p w14:paraId="5D7136A0" w14:textId="77777777" w:rsidR="00227C39" w:rsidRDefault="00227C39" w:rsidP="00043296"/>
    <w:p w14:paraId="5B4992B5" w14:textId="77777777" w:rsidR="007364B1" w:rsidRPr="00FE04BE" w:rsidRDefault="008C08B3" w:rsidP="00A16748">
      <w:pPr>
        <w:pStyle w:val="Heading2"/>
        <w:rPr>
          <w:sz w:val="26"/>
        </w:rPr>
      </w:pPr>
      <w:r w:rsidRPr="00FE04BE">
        <w:rPr>
          <w:sz w:val="26"/>
        </w:rPr>
        <w:t>Background</w:t>
      </w:r>
    </w:p>
    <w:p w14:paraId="541E2507" w14:textId="53DE29F1" w:rsidR="00114AF4" w:rsidRDefault="00114AF4" w:rsidP="007469AF">
      <w:r w:rsidRPr="00DC7032">
        <w:t xml:space="preserve">AASB 124 </w:t>
      </w:r>
      <w:r w:rsidR="00892963">
        <w:rPr>
          <w:i/>
          <w:iCs/>
        </w:rPr>
        <w:t xml:space="preserve">Related Party Disclosures </w:t>
      </w:r>
      <w:r w:rsidRPr="00DC7032">
        <w:t xml:space="preserve">requires </w:t>
      </w:r>
      <w:r w:rsidR="00CE456E">
        <w:t xml:space="preserve">the </w:t>
      </w:r>
      <w:r w:rsidRPr="00DC7032">
        <w:t>remuneration, including non-monetary benefits</w:t>
      </w:r>
      <w:r w:rsidR="00CE456E">
        <w:t xml:space="preserve"> of Key Management Personnel (KMP) and executive officers </w:t>
      </w:r>
      <w:r w:rsidRPr="00DC7032">
        <w:t xml:space="preserve">to be </w:t>
      </w:r>
      <w:r w:rsidR="005F2B46">
        <w:t xml:space="preserve">disclosed </w:t>
      </w:r>
      <w:r w:rsidR="00CE456E">
        <w:t xml:space="preserve">in the financial statements. To align with the disclosure requirements set out in AASB 124, refer to </w:t>
      </w:r>
      <w:r w:rsidR="00892963" w:rsidRPr="005915A1">
        <w:t xml:space="preserve">FRD 21 </w:t>
      </w:r>
      <w:r w:rsidR="00892963" w:rsidRPr="005915A1">
        <w:rPr>
          <w:i/>
        </w:rPr>
        <w:t xml:space="preserve">Disclosure of </w:t>
      </w:r>
      <w:r w:rsidR="00892963">
        <w:rPr>
          <w:i/>
        </w:rPr>
        <w:t>r</w:t>
      </w:r>
      <w:r w:rsidR="00892963" w:rsidRPr="005915A1">
        <w:rPr>
          <w:i/>
        </w:rPr>
        <w:t xml:space="preserve">esponsible </w:t>
      </w:r>
      <w:r w:rsidR="00892963">
        <w:rPr>
          <w:i/>
        </w:rPr>
        <w:t>p</w:t>
      </w:r>
      <w:r w:rsidR="00892963" w:rsidRPr="005915A1">
        <w:rPr>
          <w:i/>
        </w:rPr>
        <w:t>ersons</w:t>
      </w:r>
      <w:r w:rsidR="00892963">
        <w:rPr>
          <w:i/>
        </w:rPr>
        <w:t xml:space="preserve"> and</w:t>
      </w:r>
      <w:r w:rsidR="00892963" w:rsidRPr="005915A1">
        <w:rPr>
          <w:i/>
        </w:rPr>
        <w:t xml:space="preserve"> </w:t>
      </w:r>
      <w:r w:rsidR="00892963">
        <w:rPr>
          <w:i/>
        </w:rPr>
        <w:t>e</w:t>
      </w:r>
      <w:r w:rsidR="00892963" w:rsidRPr="005915A1">
        <w:rPr>
          <w:i/>
        </w:rPr>
        <w:t xml:space="preserve">xecutive </w:t>
      </w:r>
      <w:r w:rsidR="00892963">
        <w:rPr>
          <w:i/>
        </w:rPr>
        <w:t>o</w:t>
      </w:r>
      <w:r w:rsidR="00892963" w:rsidRPr="005915A1">
        <w:rPr>
          <w:i/>
        </w:rPr>
        <w:t xml:space="preserve">fficers in the </w:t>
      </w:r>
      <w:r w:rsidR="00892963">
        <w:rPr>
          <w:i/>
        </w:rPr>
        <w:t>fi</w:t>
      </w:r>
      <w:r w:rsidR="00892963" w:rsidRPr="005915A1">
        <w:rPr>
          <w:i/>
        </w:rPr>
        <w:t xml:space="preserve">nancial </w:t>
      </w:r>
      <w:r w:rsidR="00892963" w:rsidRPr="005C6F44">
        <w:rPr>
          <w:i/>
        </w:rPr>
        <w:t>report</w:t>
      </w:r>
      <w:r w:rsidR="00CE456E">
        <w:t>.</w:t>
      </w:r>
    </w:p>
    <w:p w14:paraId="237F5609" w14:textId="77777777" w:rsidR="007364B1" w:rsidRPr="00FE04BE" w:rsidRDefault="008C08B3" w:rsidP="00A16748">
      <w:pPr>
        <w:pStyle w:val="Heading2"/>
        <w:rPr>
          <w:sz w:val="26"/>
        </w:rPr>
      </w:pPr>
      <w:r w:rsidRPr="00FE04BE">
        <w:rPr>
          <w:sz w:val="26"/>
        </w:rPr>
        <w:t>Guidance</w:t>
      </w:r>
      <w:r w:rsidR="007364B1" w:rsidRPr="00FE04BE">
        <w:rPr>
          <w:sz w:val="26"/>
        </w:rPr>
        <w:t xml:space="preserve"> </w:t>
      </w:r>
    </w:p>
    <w:p w14:paraId="48264CA1" w14:textId="1E9B206F" w:rsidR="00892963" w:rsidRPr="00892963" w:rsidRDefault="00E91D0C" w:rsidP="007469AF">
      <w:pPr>
        <w:rPr>
          <w:rFonts w:ascii="Arial" w:hAnsi="Arial" w:cs="Arial"/>
        </w:rPr>
      </w:pPr>
      <w:r>
        <w:t xml:space="preserve">Under </w:t>
      </w:r>
      <w:r w:rsidR="0038684C">
        <w:t>FRD 21</w:t>
      </w:r>
      <w:r w:rsidR="007D1F05">
        <w:t xml:space="preserve">, the </w:t>
      </w:r>
      <w:r w:rsidR="0038684C">
        <w:t>definition</w:t>
      </w:r>
      <w:r w:rsidR="007D1F05">
        <w:t xml:space="preserve"> of remuneration</w:t>
      </w:r>
      <w:r w:rsidR="0038684C">
        <w:t xml:space="preserve"> includes all employee benefits (as defined in AASB 119 </w:t>
      </w:r>
      <w:r w:rsidR="0038684C">
        <w:rPr>
          <w:i/>
        </w:rPr>
        <w:t>Employee Benefits</w:t>
      </w:r>
      <w:r w:rsidR="0038684C">
        <w:t xml:space="preserve">). This is all forms </w:t>
      </w:r>
      <w:r>
        <w:t xml:space="preserve">of consideration paid, payable or provided by the entity, or on behalf of the entity, in exchange for services rendered. It also includes </w:t>
      </w:r>
      <w:r w:rsidR="005A3985">
        <w:t>amounts</w:t>
      </w:r>
      <w:r w:rsidR="0007339B">
        <w:t xml:space="preserve"> paid on behalf of </w:t>
      </w:r>
      <w:r w:rsidR="00E84DA8" w:rsidRPr="00DC486B">
        <w:rPr>
          <w:rFonts w:ascii="Arial" w:hAnsi="Arial" w:cs="Arial"/>
        </w:rPr>
        <w:t>a parent of the entity in respect of the entity.</w:t>
      </w:r>
    </w:p>
    <w:p w14:paraId="2D63EF11" w14:textId="4037FF9E" w:rsidR="00B133B9" w:rsidRDefault="00B133B9" w:rsidP="007469AF">
      <w:r w:rsidRPr="00B133B9">
        <w:t>Remunerati</w:t>
      </w:r>
      <w:r w:rsidR="007469AF">
        <w:t xml:space="preserve">on </w:t>
      </w:r>
      <w:r w:rsidRPr="00B133B9">
        <w:t>include</w:t>
      </w:r>
      <w:r w:rsidR="00702812">
        <w:t>s</w:t>
      </w:r>
      <w:r w:rsidRPr="00B133B9">
        <w:t xml:space="preserve"> </w:t>
      </w:r>
      <w:r w:rsidRPr="00B16368">
        <w:rPr>
          <w:b/>
        </w:rPr>
        <w:t>non-monetary benefits</w:t>
      </w:r>
      <w:r w:rsidRPr="00B133B9">
        <w:t xml:space="preserve"> such as </w:t>
      </w:r>
      <w:r w:rsidR="00B077A0">
        <w:t xml:space="preserve">motor vehicles, </w:t>
      </w:r>
      <w:r w:rsidRPr="00B133B9">
        <w:t xml:space="preserve">private health </w:t>
      </w:r>
      <w:r w:rsidR="00147F0A">
        <w:t>care,</w:t>
      </w:r>
      <w:r w:rsidRPr="00B133B9">
        <w:t xml:space="preserve"> </w:t>
      </w:r>
      <w:r w:rsidR="00702812">
        <w:t>relocation</w:t>
      </w:r>
      <w:r w:rsidR="00702812" w:rsidRPr="00B133B9">
        <w:t xml:space="preserve"> </w:t>
      </w:r>
      <w:r w:rsidRPr="00B133B9">
        <w:t>o</w:t>
      </w:r>
      <w:r w:rsidR="00CD46BF">
        <w:t xml:space="preserve">r accommodation allowances and </w:t>
      </w:r>
      <w:r w:rsidRPr="00B133B9">
        <w:t>free or subsidised goods or services, which may require additional data collection.</w:t>
      </w:r>
    </w:p>
    <w:p w14:paraId="7EBB1D5A" w14:textId="37958E01" w:rsidR="0093034B" w:rsidRDefault="004B2A13" w:rsidP="007469AF">
      <w:r>
        <w:t>T</w:t>
      </w:r>
      <w:r w:rsidR="00B16749">
        <w:t xml:space="preserve">he components of </w:t>
      </w:r>
      <w:r w:rsidR="007469AF" w:rsidRPr="00627C53">
        <w:t xml:space="preserve">remuneration </w:t>
      </w:r>
      <w:r>
        <w:t>are</w:t>
      </w:r>
      <w:r w:rsidR="007469AF" w:rsidRPr="00627C53">
        <w:t xml:space="preserve"> </w:t>
      </w:r>
      <w:r>
        <w:t xml:space="preserve">required to be </w:t>
      </w:r>
      <w:r w:rsidR="00B16749">
        <w:t xml:space="preserve">split </w:t>
      </w:r>
      <w:r w:rsidR="00DC6CDB">
        <w:t>in</w:t>
      </w:r>
      <w:r w:rsidR="00B16749">
        <w:t>to</w:t>
      </w:r>
      <w:r w:rsidR="00CD46BF">
        <w:t xml:space="preserve"> five categories </w:t>
      </w:r>
      <w:r w:rsidR="007469AF" w:rsidRPr="00627C53">
        <w:t>based on the nature of the payment</w:t>
      </w:r>
      <w:r w:rsidR="00B16749">
        <w:t>.</w:t>
      </w:r>
      <w:r w:rsidR="00FA0A29">
        <w:t xml:space="preserve"> </w:t>
      </w:r>
    </w:p>
    <w:p w14:paraId="24B918BC" w14:textId="77777777" w:rsidR="0007339B" w:rsidRDefault="002542AD" w:rsidP="007469AF">
      <w:r>
        <w:t xml:space="preserve">The remuneration categories prescribed in </w:t>
      </w:r>
      <w:r w:rsidR="00393394">
        <w:t xml:space="preserve">the </w:t>
      </w:r>
      <w:r w:rsidR="00D54C4B">
        <w:t xml:space="preserve">accounting </w:t>
      </w:r>
      <w:r w:rsidR="00393394">
        <w:t>standard</w:t>
      </w:r>
      <w:r w:rsidR="00B92486">
        <w:t xml:space="preserve"> include</w:t>
      </w:r>
      <w:r w:rsidR="0007339B">
        <w:t>:</w:t>
      </w:r>
    </w:p>
    <w:p w14:paraId="22CABA60" w14:textId="188922C5" w:rsidR="00FA1ABD" w:rsidRPr="00FA1ABD" w:rsidRDefault="0007339B" w:rsidP="00CD4058">
      <w:pPr>
        <w:pStyle w:val="Bullet1"/>
        <w:rPr>
          <w:rFonts w:cstheme="minorHAnsi"/>
          <w:color w:val="000000"/>
          <w:spacing w:val="0"/>
        </w:rPr>
      </w:pPr>
      <w:r w:rsidRPr="00D034C7">
        <w:rPr>
          <w:b/>
        </w:rPr>
        <w:t>Short-term benefi</w:t>
      </w:r>
      <w:r w:rsidR="00812AED" w:rsidRPr="00D034C7">
        <w:rPr>
          <w:b/>
        </w:rPr>
        <w:t>ts:</w:t>
      </w:r>
      <w:r w:rsidRPr="00D034C7">
        <w:rPr>
          <w:b/>
        </w:rPr>
        <w:t xml:space="preserve"> </w:t>
      </w:r>
      <w:r w:rsidR="00D54C4B">
        <w:t>wages, salarie</w:t>
      </w:r>
      <w:r w:rsidR="00787885">
        <w:t>s,</w:t>
      </w:r>
      <w:r w:rsidR="00E36F21">
        <w:t xml:space="preserve"> </w:t>
      </w:r>
      <w:r w:rsidRPr="00D034C7">
        <w:t xml:space="preserve">paid annual leave and paid sick leave, profit-sharing and bonuses (if payable within </w:t>
      </w:r>
      <w:r w:rsidR="00D54C4B">
        <w:t>12</w:t>
      </w:r>
      <w:r w:rsidRPr="00D034C7">
        <w:t xml:space="preserve"> months of the end of the period)</w:t>
      </w:r>
      <w:r w:rsidR="00D034C7" w:rsidRPr="00D034C7">
        <w:t xml:space="preserve"> and non-monetary benefits </w:t>
      </w:r>
      <w:r w:rsidRPr="00D034C7">
        <w:t xml:space="preserve">such as </w:t>
      </w:r>
      <w:r w:rsidR="00D034C7" w:rsidRPr="00D034C7">
        <w:t>car</w:t>
      </w:r>
      <w:r w:rsidR="00D54C4B">
        <w:t xml:space="preserve"> (</w:t>
      </w:r>
      <w:r w:rsidR="00CD46BF">
        <w:t xml:space="preserve">parking, </w:t>
      </w:r>
      <w:r w:rsidR="00D54C4B">
        <w:t>e-tag</w:t>
      </w:r>
      <w:r w:rsidR="00CD46BF">
        <w:t>s and chauffer allowances</w:t>
      </w:r>
      <w:r w:rsidR="00D54C4B">
        <w:t>)</w:t>
      </w:r>
      <w:r w:rsidR="00CD46BF">
        <w:t xml:space="preserve">, </w:t>
      </w:r>
      <w:r w:rsidR="00FA1ABD">
        <w:t xml:space="preserve">medical care, accommodation (housing) or relocation benefits and free or subsidised goods or services. </w:t>
      </w:r>
    </w:p>
    <w:p w14:paraId="6F658A60" w14:textId="77777777" w:rsidR="00CD4058" w:rsidRPr="001977C7" w:rsidRDefault="00CD4058" w:rsidP="00CD4058">
      <w:pPr>
        <w:pStyle w:val="Bullet1"/>
        <w:numPr>
          <w:ilvl w:val="0"/>
          <w:numId w:val="0"/>
        </w:numPr>
        <w:ind w:left="360"/>
        <w:rPr>
          <w:rFonts w:cstheme="minorHAnsi"/>
          <w:color w:val="000000"/>
          <w:spacing w:val="0"/>
        </w:rPr>
      </w:pPr>
    </w:p>
    <w:p w14:paraId="72401AE6" w14:textId="086B5D8F" w:rsidR="00950571" w:rsidRPr="00950571" w:rsidRDefault="0007339B" w:rsidP="00CD4058">
      <w:pPr>
        <w:pStyle w:val="Bullet1"/>
        <w:rPr>
          <w:b/>
        </w:rPr>
      </w:pPr>
      <w:r w:rsidRPr="00950571">
        <w:rPr>
          <w:b/>
        </w:rPr>
        <w:t>Post-employment benefits</w:t>
      </w:r>
      <w:r w:rsidR="00812AED" w:rsidRPr="00950571">
        <w:rPr>
          <w:b/>
        </w:rPr>
        <w:t>:</w:t>
      </w:r>
      <w:r w:rsidRPr="00950571">
        <w:rPr>
          <w:b/>
        </w:rPr>
        <w:t xml:space="preserve"> </w:t>
      </w:r>
      <w:r w:rsidR="00FA1ABD" w:rsidRPr="00950571">
        <w:t xml:space="preserve">pensions, </w:t>
      </w:r>
      <w:r w:rsidRPr="00950571">
        <w:t>post-employment life insurance</w:t>
      </w:r>
      <w:r w:rsidR="00B645F6" w:rsidRPr="00950571">
        <w:t>,</w:t>
      </w:r>
      <w:r w:rsidRPr="00950571">
        <w:t xml:space="preserve"> post-employment </w:t>
      </w:r>
      <w:r w:rsidR="00B645F6" w:rsidRPr="00950571">
        <w:t>health care</w:t>
      </w:r>
      <w:r w:rsidR="00CD46BF" w:rsidRPr="00950571">
        <w:t>,</w:t>
      </w:r>
      <w:r w:rsidR="00393394" w:rsidRPr="00950571">
        <w:t xml:space="preserve"> superannuation entitlements</w:t>
      </w:r>
      <w:r w:rsidR="00CE4DC1" w:rsidRPr="00950571">
        <w:t xml:space="preserve"> </w:t>
      </w:r>
      <w:r w:rsidR="00800C29">
        <w:t>and other retirement benefits</w:t>
      </w:r>
      <w:r w:rsidR="004E7101" w:rsidRPr="00950571">
        <w:t xml:space="preserve">. </w:t>
      </w:r>
      <w:r w:rsidR="00476A80">
        <w:t xml:space="preserve"> </w:t>
      </w:r>
    </w:p>
    <w:p w14:paraId="6343D403" w14:textId="77777777" w:rsidR="00950571" w:rsidRDefault="00950571" w:rsidP="00950571">
      <w:pPr>
        <w:pStyle w:val="Bullet1"/>
        <w:numPr>
          <w:ilvl w:val="0"/>
          <w:numId w:val="0"/>
        </w:numPr>
        <w:ind w:left="360"/>
        <w:rPr>
          <w:b/>
        </w:rPr>
      </w:pPr>
    </w:p>
    <w:p w14:paraId="40964BCF" w14:textId="7BF59CB1" w:rsidR="001640DA" w:rsidRPr="001640DA" w:rsidRDefault="0007339B" w:rsidP="007469AF">
      <w:pPr>
        <w:pStyle w:val="Bullet1"/>
        <w:rPr>
          <w:b/>
        </w:rPr>
      </w:pPr>
      <w:r w:rsidRPr="001640DA">
        <w:rPr>
          <w:b/>
        </w:rPr>
        <w:t>Ot</w:t>
      </w:r>
      <w:r w:rsidR="00E903B9" w:rsidRPr="001640DA">
        <w:rPr>
          <w:b/>
        </w:rPr>
        <w:t>her long-term benefits:</w:t>
      </w:r>
      <w:r w:rsidRPr="001640DA">
        <w:rPr>
          <w:b/>
        </w:rPr>
        <w:t xml:space="preserve"> </w:t>
      </w:r>
      <w:r w:rsidRPr="001640DA">
        <w:t xml:space="preserve">long-service leave or sabbatical leave, jubilee or other long-service benefits, long-term disability benefits </w:t>
      </w:r>
      <w:r w:rsidR="001640DA" w:rsidRPr="001640DA">
        <w:t xml:space="preserve">deferred compensation and profit-sharing and bonuses (not payable wholly within </w:t>
      </w:r>
      <w:r w:rsidR="006853DD">
        <w:t>12</w:t>
      </w:r>
      <w:r w:rsidR="001640DA" w:rsidRPr="001640DA">
        <w:t xml:space="preserve"> months</w:t>
      </w:r>
      <w:r w:rsidR="00C84D25">
        <w:t xml:space="preserve"> </w:t>
      </w:r>
      <w:r w:rsidR="00C84D25" w:rsidRPr="00D034C7">
        <w:t>of the end of the period</w:t>
      </w:r>
      <w:r w:rsidR="001640DA" w:rsidRPr="001640DA">
        <w:t xml:space="preserve">). </w:t>
      </w:r>
    </w:p>
    <w:p w14:paraId="60E708E8" w14:textId="77777777" w:rsidR="001640DA" w:rsidRPr="001640DA" w:rsidRDefault="001640DA" w:rsidP="007469AF">
      <w:pPr>
        <w:pStyle w:val="Bullet1"/>
        <w:numPr>
          <w:ilvl w:val="0"/>
          <w:numId w:val="0"/>
        </w:numPr>
        <w:ind w:left="360"/>
        <w:rPr>
          <w:highlight w:val="yellow"/>
        </w:rPr>
      </w:pPr>
    </w:p>
    <w:p w14:paraId="1A4D9BC7" w14:textId="68A9092E" w:rsidR="00393394" w:rsidRPr="00EB2E6F" w:rsidRDefault="00C123DA" w:rsidP="007469AF">
      <w:pPr>
        <w:pStyle w:val="Bullet1"/>
        <w:rPr>
          <w:b/>
        </w:rPr>
      </w:pPr>
      <w:r w:rsidRPr="00EB2E6F">
        <w:rPr>
          <w:b/>
        </w:rPr>
        <w:t>Termination benefits:</w:t>
      </w:r>
      <w:r w:rsidR="0007339B" w:rsidRPr="00EB2E6F">
        <w:rPr>
          <w:b/>
        </w:rPr>
        <w:t xml:space="preserve"> </w:t>
      </w:r>
      <w:r w:rsidR="00B44252" w:rsidRPr="00EB2E6F">
        <w:t xml:space="preserve">employee benefits provided </w:t>
      </w:r>
      <w:r w:rsidR="00033D30" w:rsidRPr="00EB2E6F">
        <w:t xml:space="preserve">on </w:t>
      </w:r>
      <w:r w:rsidR="00B44252" w:rsidRPr="00EB2E6F">
        <w:t xml:space="preserve">termination of employment as a result of either an entity’s decision to terminate an </w:t>
      </w:r>
      <w:r w:rsidR="00033D30" w:rsidRPr="00EB2E6F">
        <w:t>employee</w:t>
      </w:r>
      <w:r w:rsidR="00B44252" w:rsidRPr="00EB2E6F">
        <w:t xml:space="preserve"> before the normal retirement date</w:t>
      </w:r>
      <w:r w:rsidR="007E5364">
        <w:t>,</w:t>
      </w:r>
      <w:r w:rsidR="00B44252" w:rsidRPr="00EB2E6F">
        <w:t xml:space="preserve"> or an employee’s decision to accept an offer of benefits in exchange for the termination of employment</w:t>
      </w:r>
      <w:r w:rsidR="00D840B6">
        <w:t xml:space="preserve"> (</w:t>
      </w:r>
      <w:r w:rsidR="006853DD">
        <w:t>i.e.</w:t>
      </w:r>
      <w:r w:rsidR="00D840B6">
        <w:t xml:space="preserve"> voluntary departure packages and targeted separation packages)</w:t>
      </w:r>
      <w:r w:rsidR="00B44252" w:rsidRPr="00EB2E6F">
        <w:t xml:space="preserve">. </w:t>
      </w:r>
    </w:p>
    <w:p w14:paraId="2E5DDF8F" w14:textId="77777777" w:rsidR="00033D30" w:rsidRPr="00EB2E6F" w:rsidRDefault="00033D30" w:rsidP="007469AF">
      <w:pPr>
        <w:pStyle w:val="Bullet1"/>
        <w:numPr>
          <w:ilvl w:val="0"/>
          <w:numId w:val="0"/>
        </w:numPr>
        <w:ind w:left="360"/>
        <w:rPr>
          <w:b/>
        </w:rPr>
      </w:pPr>
    </w:p>
    <w:p w14:paraId="6256489D" w14:textId="26A1DD4A" w:rsidR="00033D30" w:rsidRDefault="00B44252" w:rsidP="007469AF">
      <w:pPr>
        <w:pStyle w:val="Bullet1"/>
        <w:rPr>
          <w:b/>
        </w:rPr>
      </w:pPr>
      <w:r w:rsidRPr="00EB2E6F">
        <w:rPr>
          <w:b/>
        </w:rPr>
        <w:t xml:space="preserve">Share-based payment: </w:t>
      </w:r>
      <w:r w:rsidR="00617232" w:rsidRPr="00617232">
        <w:t xml:space="preserve">benefits paid according to </w:t>
      </w:r>
      <w:r w:rsidRPr="00617232">
        <w:t>an</w:t>
      </w:r>
      <w:r w:rsidRPr="00EB2E6F">
        <w:t xml:space="preserve"> agreement between the entity and </w:t>
      </w:r>
      <w:r w:rsidR="00033D30" w:rsidRPr="00EB2E6F">
        <w:t>the employee</w:t>
      </w:r>
      <w:r w:rsidRPr="00EB2E6F">
        <w:t xml:space="preserve"> that entitles </w:t>
      </w:r>
      <w:r w:rsidR="00033D30" w:rsidRPr="00EB2E6F">
        <w:t>them</w:t>
      </w:r>
      <w:r w:rsidRPr="00EB2E6F">
        <w:t xml:space="preserve"> to receive cash or other assets for amounts that are based on the price of shares or share options</w:t>
      </w:r>
      <w:r w:rsidR="00171D0D" w:rsidRPr="00EB2E6F">
        <w:t xml:space="preserve"> provided the specified vesting conditions, if any, are met. </w:t>
      </w:r>
      <w:r w:rsidR="00171D0D" w:rsidRPr="00CD46BF">
        <w:rPr>
          <w:b/>
        </w:rPr>
        <w:t xml:space="preserve">This category is </w:t>
      </w:r>
      <w:r w:rsidR="00B652DF">
        <w:rPr>
          <w:b/>
        </w:rPr>
        <w:t>not</w:t>
      </w:r>
      <w:r w:rsidR="00171D0D" w:rsidRPr="00CD46BF">
        <w:rPr>
          <w:b/>
        </w:rPr>
        <w:t xml:space="preserve"> applicable to </w:t>
      </w:r>
      <w:r w:rsidR="00EB2E6F" w:rsidRPr="00CD46BF">
        <w:rPr>
          <w:b/>
        </w:rPr>
        <w:t>public sector not-for-profit</w:t>
      </w:r>
      <w:r w:rsidR="00171D0D" w:rsidRPr="00CD46BF">
        <w:rPr>
          <w:b/>
        </w:rPr>
        <w:t xml:space="preserve"> entities. </w:t>
      </w:r>
    </w:p>
    <w:p w14:paraId="2549799D" w14:textId="77777777" w:rsidR="00BD011C" w:rsidRDefault="00BD011C" w:rsidP="00A16748">
      <w:pPr>
        <w:pStyle w:val="Heading4"/>
        <w:rPr>
          <w:color w:val="auto"/>
          <w:sz w:val="22"/>
          <w:szCs w:val="22"/>
        </w:rPr>
        <w:sectPr w:rsidR="00BD011C" w:rsidSect="003174A6">
          <w:headerReference w:type="even" r:id="rId9"/>
          <w:headerReference w:type="default" r:id="rId10"/>
          <w:footerReference w:type="even" r:id="rId11"/>
          <w:footerReference w:type="default" r:id="rId12"/>
          <w:headerReference w:type="first" r:id="rId13"/>
          <w:footerReference w:type="first" r:id="rId14"/>
          <w:pgSz w:w="11906" w:h="16838" w:code="9"/>
          <w:pgMar w:top="1985" w:right="1440" w:bottom="1135" w:left="1440" w:header="706" w:footer="461" w:gutter="0"/>
          <w:cols w:space="708"/>
          <w:docGrid w:linePitch="360"/>
        </w:sectPr>
      </w:pPr>
    </w:p>
    <w:p w14:paraId="0ECB4D7C" w14:textId="2214E058" w:rsidR="00C36704" w:rsidRPr="00A323BC" w:rsidRDefault="00932DB3" w:rsidP="00A16748">
      <w:pPr>
        <w:pStyle w:val="Heading4"/>
        <w:rPr>
          <w:color w:val="auto"/>
          <w:sz w:val="22"/>
          <w:szCs w:val="22"/>
        </w:rPr>
      </w:pPr>
      <w:r>
        <w:rPr>
          <w:color w:val="auto"/>
          <w:sz w:val="22"/>
          <w:szCs w:val="22"/>
        </w:rPr>
        <w:lastRenderedPageBreak/>
        <w:t xml:space="preserve">Example </w:t>
      </w:r>
      <w:r w:rsidR="00C36704" w:rsidRPr="00A323BC">
        <w:rPr>
          <w:color w:val="auto"/>
          <w:sz w:val="22"/>
          <w:szCs w:val="22"/>
        </w:rPr>
        <w:t>disclosure in the financial statements</w:t>
      </w:r>
    </w:p>
    <w:p w14:paraId="453305FF" w14:textId="0DBDB2F5" w:rsidR="004D649B" w:rsidRPr="004D649B" w:rsidRDefault="008523BA" w:rsidP="0007339B">
      <w:pPr>
        <w:rPr>
          <w:b/>
          <w:sz w:val="4"/>
          <w:szCs w:val="4"/>
        </w:rPr>
      </w:pPr>
      <w:r>
        <w:t>R</w:t>
      </w:r>
      <w:r w:rsidR="00CD1102" w:rsidRPr="007F411F">
        <w:t>emuneration</w:t>
      </w:r>
      <w:r>
        <w:t xml:space="preserve"> under FRD 21</w:t>
      </w:r>
      <w:r w:rsidR="00CD1102" w:rsidRPr="007F411F">
        <w:t xml:space="preserve"> </w:t>
      </w:r>
      <w:r w:rsidR="00AB5EC7">
        <w:t>is</w:t>
      </w:r>
      <w:r w:rsidR="00CD1102" w:rsidRPr="007F411F">
        <w:t xml:space="preserve"> disaggregated and </w:t>
      </w:r>
      <w:r w:rsidR="00CD1102">
        <w:t>separately disclosed</w:t>
      </w:r>
      <w:r w:rsidR="005B41B3">
        <w:t xml:space="preserve"> according to the nature of the payment</w:t>
      </w:r>
      <w:r>
        <w:t>, consistent with the requirements of AASB 124</w:t>
      </w:r>
      <w:r w:rsidR="00CD1102" w:rsidRPr="007F411F">
        <w:t xml:space="preserve">. The following table </w:t>
      </w:r>
      <w:r w:rsidR="005B41B3">
        <w:t>illustrate</w:t>
      </w:r>
      <w:r w:rsidR="00CD1102" w:rsidRPr="007F411F">
        <w:t xml:space="preserve">s the </w:t>
      </w:r>
      <w:r w:rsidR="005B41B3">
        <w:t xml:space="preserve">proposed note </w:t>
      </w:r>
      <w:r w:rsidR="00CD1102" w:rsidRPr="007F411F">
        <w:t xml:space="preserve">disclosure </w:t>
      </w:r>
      <w:r w:rsidR="00CD1102">
        <w:t xml:space="preserve">in </w:t>
      </w:r>
      <w:r w:rsidR="005B41B3">
        <w:t xml:space="preserve">the </w:t>
      </w:r>
      <w:r w:rsidR="00CD1102">
        <w:t>financi</w:t>
      </w:r>
      <w:r w:rsidR="00CD1102" w:rsidRPr="007F411F">
        <w:t>al statements</w:t>
      </w:r>
      <w:r w:rsidR="00CD1102">
        <w:t xml:space="preserve">: </w:t>
      </w:r>
    </w:p>
    <w:tbl>
      <w:tblPr>
        <w:tblStyle w:val="TableGrid"/>
        <w:tblW w:w="9072" w:type="dxa"/>
        <w:tblInd w:w="57" w:type="dxa"/>
        <w:tblLook w:val="0260" w:firstRow="1" w:lastRow="1" w:firstColumn="0" w:lastColumn="0" w:noHBand="1" w:noVBand="0"/>
      </w:tblPr>
      <w:tblGrid>
        <w:gridCol w:w="4395"/>
        <w:gridCol w:w="2409"/>
        <w:gridCol w:w="2268"/>
      </w:tblGrid>
      <w:tr w:rsidR="00F777B4" w:rsidRPr="004D649B" w14:paraId="17C059D3" w14:textId="77777777" w:rsidTr="00ED7F1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tcPr>
          <w:p w14:paraId="5179D244" w14:textId="77777777" w:rsidR="00F777B4" w:rsidRPr="000A466E" w:rsidRDefault="00F777B4" w:rsidP="003C0B40">
            <w:pPr>
              <w:rPr>
                <w:sz w:val="18"/>
                <w:szCs w:val="18"/>
              </w:rPr>
            </w:pPr>
            <w:r w:rsidRPr="000A466E">
              <w:rPr>
                <w:sz w:val="18"/>
                <w:szCs w:val="18"/>
              </w:rPr>
              <w:t>Remuneration</w:t>
            </w:r>
          </w:p>
        </w:tc>
        <w:tc>
          <w:tcPr>
            <w:cnfStyle w:val="000001000000" w:firstRow="0" w:lastRow="0" w:firstColumn="0" w:lastColumn="0" w:oddVBand="0" w:evenVBand="1" w:oddHBand="0" w:evenHBand="0" w:firstRowFirstColumn="0" w:firstRowLastColumn="0" w:lastRowFirstColumn="0" w:lastRowLastColumn="0"/>
            <w:tcW w:w="2409" w:type="dxa"/>
          </w:tcPr>
          <w:p w14:paraId="4984513F" w14:textId="77777777" w:rsidR="00F777B4" w:rsidRPr="000A466E" w:rsidRDefault="00F777B4" w:rsidP="003C0B40">
            <w:pPr>
              <w:jc w:val="right"/>
              <w:rPr>
                <w:sz w:val="18"/>
                <w:szCs w:val="18"/>
              </w:rPr>
            </w:pPr>
            <w:r w:rsidRPr="000A466E">
              <w:rPr>
                <w:sz w:val="18"/>
                <w:szCs w:val="18"/>
              </w:rPr>
              <w:t>20</w:t>
            </w:r>
            <w:r w:rsidR="000A4D40">
              <w:rPr>
                <w:sz w:val="18"/>
                <w:szCs w:val="18"/>
              </w:rPr>
              <w:t>1</w:t>
            </w:r>
            <w:r w:rsidR="003C0B40">
              <w:rPr>
                <w:sz w:val="18"/>
                <w:szCs w:val="18"/>
              </w:rPr>
              <w:t>Y</w:t>
            </w:r>
          </w:p>
        </w:tc>
        <w:tc>
          <w:tcPr>
            <w:cnfStyle w:val="000010000000" w:firstRow="0" w:lastRow="0" w:firstColumn="0" w:lastColumn="0" w:oddVBand="1" w:evenVBand="0" w:oddHBand="0" w:evenHBand="0" w:firstRowFirstColumn="0" w:firstRowLastColumn="0" w:lastRowFirstColumn="0" w:lastRowLastColumn="0"/>
            <w:tcW w:w="2268" w:type="dxa"/>
          </w:tcPr>
          <w:p w14:paraId="742DAFDB" w14:textId="15EF4F23" w:rsidR="00F777B4" w:rsidRPr="00F308C5" w:rsidRDefault="003C0B40" w:rsidP="00F308C5">
            <w:pPr>
              <w:jc w:val="right"/>
              <w:rPr>
                <w:sz w:val="18"/>
                <w:szCs w:val="18"/>
                <w:vertAlign w:val="superscript"/>
              </w:rPr>
            </w:pPr>
            <w:r>
              <w:rPr>
                <w:sz w:val="18"/>
                <w:szCs w:val="18"/>
              </w:rPr>
              <w:t>201X</w:t>
            </w:r>
          </w:p>
        </w:tc>
      </w:tr>
      <w:tr w:rsidR="00F777B4" w:rsidRPr="004D649B" w14:paraId="6A628339" w14:textId="77777777" w:rsidTr="00ED7F1B">
        <w:tc>
          <w:tcPr>
            <w:cnfStyle w:val="000010000000" w:firstRow="0" w:lastRow="0" w:firstColumn="0" w:lastColumn="0" w:oddVBand="1" w:evenVBand="0" w:oddHBand="0" w:evenHBand="0" w:firstRowFirstColumn="0" w:firstRowLastColumn="0" w:lastRowFirstColumn="0" w:lastRowLastColumn="0"/>
            <w:tcW w:w="4395" w:type="dxa"/>
          </w:tcPr>
          <w:p w14:paraId="4942B178" w14:textId="77777777" w:rsidR="00F777B4" w:rsidRPr="000A466E" w:rsidRDefault="00DA3D15" w:rsidP="003C0B40">
            <w:pPr>
              <w:jc w:val="left"/>
              <w:rPr>
                <w:sz w:val="18"/>
                <w:szCs w:val="18"/>
              </w:rPr>
            </w:pPr>
            <w:r>
              <w:rPr>
                <w:sz w:val="18"/>
                <w:szCs w:val="18"/>
              </w:rPr>
              <w:t>S</w:t>
            </w:r>
            <w:r w:rsidR="00F777B4" w:rsidRPr="000A466E">
              <w:rPr>
                <w:sz w:val="18"/>
                <w:szCs w:val="18"/>
              </w:rPr>
              <w:t>hort-term benefits</w:t>
            </w:r>
          </w:p>
        </w:tc>
        <w:tc>
          <w:tcPr>
            <w:cnfStyle w:val="000001000000" w:firstRow="0" w:lastRow="0" w:firstColumn="0" w:lastColumn="0" w:oddVBand="0" w:evenVBand="1" w:oddHBand="0" w:evenHBand="0" w:firstRowFirstColumn="0" w:firstRowLastColumn="0" w:lastRowFirstColumn="0" w:lastRowLastColumn="0"/>
            <w:tcW w:w="2409" w:type="dxa"/>
            <w:shd w:val="clear" w:color="auto" w:fill="E3EBF4" w:themeFill="accent3" w:themeFillTint="33"/>
          </w:tcPr>
          <w:p w14:paraId="1E9F1CD1" w14:textId="77777777" w:rsidR="00F777B4" w:rsidRPr="000A466E" w:rsidRDefault="00786C98" w:rsidP="00EE1882">
            <w:pPr>
              <w:rPr>
                <w:sz w:val="18"/>
                <w:szCs w:val="18"/>
              </w:rPr>
            </w:pPr>
            <w:r w:rsidRPr="000A466E">
              <w:rPr>
                <w:sz w:val="18"/>
                <w:szCs w:val="18"/>
              </w:rPr>
              <w:t>$</w:t>
            </w:r>
            <w:r w:rsidR="000A4D40">
              <w:rPr>
                <w:sz w:val="18"/>
                <w:szCs w:val="18"/>
              </w:rPr>
              <w:t xml:space="preserve">5 609 </w:t>
            </w:r>
            <w:r w:rsidR="00CF042E" w:rsidRPr="000A466E">
              <w:rPr>
                <w:sz w:val="18"/>
                <w:szCs w:val="18"/>
              </w:rPr>
              <w:t>300</w:t>
            </w:r>
            <w:r w:rsidR="00F777B4" w:rsidRPr="000A466E">
              <w:rPr>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2268" w:type="dxa"/>
          </w:tcPr>
          <w:p w14:paraId="592137B2" w14:textId="77777777" w:rsidR="00F777B4" w:rsidRPr="000A466E" w:rsidRDefault="000A4D40" w:rsidP="0089585D">
            <w:pPr>
              <w:rPr>
                <w:sz w:val="18"/>
                <w:szCs w:val="18"/>
              </w:rPr>
            </w:pPr>
            <w:r>
              <w:rPr>
                <w:sz w:val="18"/>
                <w:szCs w:val="18"/>
              </w:rPr>
              <w:t xml:space="preserve">$4 967 </w:t>
            </w:r>
            <w:r w:rsidR="004B7533">
              <w:rPr>
                <w:sz w:val="18"/>
                <w:szCs w:val="18"/>
              </w:rPr>
              <w:t>250</w:t>
            </w:r>
          </w:p>
        </w:tc>
      </w:tr>
      <w:tr w:rsidR="00F777B4" w:rsidRPr="004D649B" w14:paraId="3DEE4980" w14:textId="77777777" w:rsidTr="00ED7F1B">
        <w:tc>
          <w:tcPr>
            <w:cnfStyle w:val="000010000000" w:firstRow="0" w:lastRow="0" w:firstColumn="0" w:lastColumn="0" w:oddVBand="1" w:evenVBand="0" w:oddHBand="0" w:evenHBand="0" w:firstRowFirstColumn="0" w:firstRowLastColumn="0" w:lastRowFirstColumn="0" w:lastRowLastColumn="0"/>
            <w:tcW w:w="4395" w:type="dxa"/>
          </w:tcPr>
          <w:p w14:paraId="6051208F" w14:textId="77777777" w:rsidR="00F777B4" w:rsidRPr="000A466E" w:rsidRDefault="00F777B4" w:rsidP="003C0B40">
            <w:pPr>
              <w:jc w:val="left"/>
              <w:rPr>
                <w:sz w:val="18"/>
                <w:szCs w:val="18"/>
              </w:rPr>
            </w:pPr>
            <w:r w:rsidRPr="000A466E">
              <w:rPr>
                <w:sz w:val="18"/>
                <w:szCs w:val="18"/>
              </w:rPr>
              <w:t>Post-employment benefits</w:t>
            </w:r>
          </w:p>
        </w:tc>
        <w:tc>
          <w:tcPr>
            <w:cnfStyle w:val="000001000000" w:firstRow="0" w:lastRow="0" w:firstColumn="0" w:lastColumn="0" w:oddVBand="0" w:evenVBand="1" w:oddHBand="0" w:evenHBand="0" w:firstRowFirstColumn="0" w:firstRowLastColumn="0" w:lastRowFirstColumn="0" w:lastRowLastColumn="0"/>
            <w:tcW w:w="2409" w:type="dxa"/>
            <w:shd w:val="clear" w:color="auto" w:fill="E3EBF4" w:themeFill="accent3" w:themeFillTint="33"/>
          </w:tcPr>
          <w:p w14:paraId="235AFBA5" w14:textId="77777777" w:rsidR="00F777B4" w:rsidRPr="000A466E" w:rsidRDefault="00786C98" w:rsidP="0089585D">
            <w:pPr>
              <w:rPr>
                <w:sz w:val="18"/>
                <w:szCs w:val="18"/>
              </w:rPr>
            </w:pPr>
            <w:r w:rsidRPr="000A466E">
              <w:rPr>
                <w:sz w:val="18"/>
                <w:szCs w:val="18"/>
              </w:rPr>
              <w:t>$</w:t>
            </w:r>
            <w:r w:rsidR="00EE1882">
              <w:rPr>
                <w:sz w:val="18"/>
                <w:szCs w:val="18"/>
              </w:rPr>
              <w:t>1</w:t>
            </w:r>
            <w:r w:rsidR="000A4D40">
              <w:rPr>
                <w:sz w:val="18"/>
                <w:szCs w:val="18"/>
              </w:rPr>
              <w:t xml:space="preserve"> 260 </w:t>
            </w:r>
            <w:r w:rsidR="00CF042E" w:rsidRPr="000A466E">
              <w:rPr>
                <w:sz w:val="18"/>
                <w:szCs w:val="18"/>
              </w:rPr>
              <w:t>070</w:t>
            </w:r>
          </w:p>
        </w:tc>
        <w:tc>
          <w:tcPr>
            <w:cnfStyle w:val="000010000000" w:firstRow="0" w:lastRow="0" w:firstColumn="0" w:lastColumn="0" w:oddVBand="1" w:evenVBand="0" w:oddHBand="0" w:evenHBand="0" w:firstRowFirstColumn="0" w:firstRowLastColumn="0" w:lastRowFirstColumn="0" w:lastRowLastColumn="0"/>
            <w:tcW w:w="2268" w:type="dxa"/>
          </w:tcPr>
          <w:p w14:paraId="7474BFC8" w14:textId="77777777" w:rsidR="00F777B4" w:rsidRPr="000A466E" w:rsidRDefault="000A4D40" w:rsidP="0089585D">
            <w:pPr>
              <w:rPr>
                <w:sz w:val="18"/>
                <w:szCs w:val="18"/>
              </w:rPr>
            </w:pPr>
            <w:r>
              <w:rPr>
                <w:sz w:val="18"/>
                <w:szCs w:val="18"/>
              </w:rPr>
              <w:t xml:space="preserve">$1 365 </w:t>
            </w:r>
            <w:r w:rsidR="004B7533">
              <w:rPr>
                <w:sz w:val="18"/>
                <w:szCs w:val="18"/>
              </w:rPr>
              <w:t>708</w:t>
            </w:r>
          </w:p>
        </w:tc>
      </w:tr>
      <w:tr w:rsidR="00F777B4" w:rsidRPr="004D649B" w14:paraId="4F13140D" w14:textId="77777777" w:rsidTr="00ED7F1B">
        <w:tc>
          <w:tcPr>
            <w:cnfStyle w:val="000010000000" w:firstRow="0" w:lastRow="0" w:firstColumn="0" w:lastColumn="0" w:oddVBand="1" w:evenVBand="0" w:oddHBand="0" w:evenHBand="0" w:firstRowFirstColumn="0" w:firstRowLastColumn="0" w:lastRowFirstColumn="0" w:lastRowLastColumn="0"/>
            <w:tcW w:w="4395" w:type="dxa"/>
          </w:tcPr>
          <w:p w14:paraId="7986986D" w14:textId="77777777" w:rsidR="00F777B4" w:rsidRPr="000A466E" w:rsidRDefault="00F777B4" w:rsidP="003C0B40">
            <w:pPr>
              <w:jc w:val="left"/>
              <w:rPr>
                <w:sz w:val="18"/>
                <w:szCs w:val="18"/>
              </w:rPr>
            </w:pPr>
            <w:r w:rsidRPr="000A466E">
              <w:rPr>
                <w:sz w:val="18"/>
                <w:szCs w:val="18"/>
              </w:rPr>
              <w:t>Other long-term benefits</w:t>
            </w:r>
          </w:p>
        </w:tc>
        <w:tc>
          <w:tcPr>
            <w:cnfStyle w:val="000001000000" w:firstRow="0" w:lastRow="0" w:firstColumn="0" w:lastColumn="0" w:oddVBand="0" w:evenVBand="1" w:oddHBand="0" w:evenHBand="0" w:firstRowFirstColumn="0" w:firstRowLastColumn="0" w:lastRowFirstColumn="0" w:lastRowLastColumn="0"/>
            <w:tcW w:w="2409" w:type="dxa"/>
            <w:shd w:val="clear" w:color="auto" w:fill="E3EBF4" w:themeFill="accent3" w:themeFillTint="33"/>
          </w:tcPr>
          <w:p w14:paraId="3B928123" w14:textId="77777777" w:rsidR="00F777B4" w:rsidRPr="000A466E" w:rsidRDefault="003705FC" w:rsidP="0089585D">
            <w:pPr>
              <w:rPr>
                <w:sz w:val="18"/>
                <w:szCs w:val="18"/>
              </w:rPr>
            </w:pPr>
            <w:r>
              <w:rPr>
                <w:sz w:val="18"/>
                <w:szCs w:val="18"/>
              </w:rPr>
              <w:t>$</w:t>
            </w:r>
            <w:r w:rsidR="000A4D40">
              <w:rPr>
                <w:sz w:val="18"/>
                <w:szCs w:val="18"/>
              </w:rPr>
              <w:t xml:space="preserve">1 726 </w:t>
            </w:r>
            <w:r w:rsidR="00EE1882">
              <w:rPr>
                <w:sz w:val="18"/>
                <w:szCs w:val="18"/>
              </w:rPr>
              <w:t>701</w:t>
            </w:r>
          </w:p>
        </w:tc>
        <w:tc>
          <w:tcPr>
            <w:cnfStyle w:val="000010000000" w:firstRow="0" w:lastRow="0" w:firstColumn="0" w:lastColumn="0" w:oddVBand="1" w:evenVBand="0" w:oddHBand="0" w:evenHBand="0" w:firstRowFirstColumn="0" w:firstRowLastColumn="0" w:lastRowFirstColumn="0" w:lastRowLastColumn="0"/>
            <w:tcW w:w="2268" w:type="dxa"/>
          </w:tcPr>
          <w:p w14:paraId="7E70F926" w14:textId="77777777" w:rsidR="00F777B4" w:rsidRPr="000A466E" w:rsidRDefault="000A4D40" w:rsidP="0089585D">
            <w:pPr>
              <w:rPr>
                <w:sz w:val="18"/>
                <w:szCs w:val="18"/>
              </w:rPr>
            </w:pPr>
            <w:r>
              <w:rPr>
                <w:sz w:val="18"/>
                <w:szCs w:val="18"/>
              </w:rPr>
              <w:t xml:space="preserve">$451 </w:t>
            </w:r>
            <w:r w:rsidR="004B7533">
              <w:rPr>
                <w:sz w:val="18"/>
                <w:szCs w:val="18"/>
              </w:rPr>
              <w:t>006</w:t>
            </w:r>
          </w:p>
        </w:tc>
      </w:tr>
      <w:tr w:rsidR="00F777B4" w:rsidRPr="004D649B" w14:paraId="6E8CBD61" w14:textId="77777777" w:rsidTr="00ED7F1B">
        <w:tc>
          <w:tcPr>
            <w:cnfStyle w:val="000010000000" w:firstRow="0" w:lastRow="0" w:firstColumn="0" w:lastColumn="0" w:oddVBand="1" w:evenVBand="0" w:oddHBand="0" w:evenHBand="0" w:firstRowFirstColumn="0" w:firstRowLastColumn="0" w:lastRowFirstColumn="0" w:lastRowLastColumn="0"/>
            <w:tcW w:w="4395" w:type="dxa"/>
            <w:tcBorders>
              <w:bottom w:val="nil"/>
            </w:tcBorders>
          </w:tcPr>
          <w:p w14:paraId="29F50A45" w14:textId="77777777" w:rsidR="00F777B4" w:rsidRPr="000A466E" w:rsidRDefault="008963CA" w:rsidP="003C0B40">
            <w:pPr>
              <w:jc w:val="left"/>
              <w:rPr>
                <w:sz w:val="18"/>
                <w:szCs w:val="18"/>
              </w:rPr>
            </w:pPr>
            <w:r w:rsidRPr="000A466E">
              <w:rPr>
                <w:sz w:val="18"/>
                <w:szCs w:val="18"/>
              </w:rPr>
              <w:t>Termination benefits</w:t>
            </w:r>
          </w:p>
        </w:tc>
        <w:tc>
          <w:tcPr>
            <w:cnfStyle w:val="000001000000" w:firstRow="0" w:lastRow="0" w:firstColumn="0" w:lastColumn="0" w:oddVBand="0" w:evenVBand="1" w:oddHBand="0" w:evenHBand="0" w:firstRowFirstColumn="0" w:firstRowLastColumn="0" w:lastRowFirstColumn="0" w:lastRowLastColumn="0"/>
            <w:tcW w:w="2409" w:type="dxa"/>
            <w:tcBorders>
              <w:bottom w:val="nil"/>
            </w:tcBorders>
            <w:shd w:val="clear" w:color="auto" w:fill="E3EBF4" w:themeFill="accent3" w:themeFillTint="33"/>
          </w:tcPr>
          <w:p w14:paraId="3897C0D9" w14:textId="77777777" w:rsidR="00F777B4" w:rsidRPr="000A466E" w:rsidRDefault="003705FC" w:rsidP="008963CA">
            <w:pPr>
              <w:rPr>
                <w:sz w:val="18"/>
                <w:szCs w:val="18"/>
              </w:rPr>
            </w:pPr>
            <w:r>
              <w:rPr>
                <w:sz w:val="18"/>
                <w:szCs w:val="18"/>
              </w:rPr>
              <w:t>$</w:t>
            </w:r>
            <w:r w:rsidR="000A4D40">
              <w:rPr>
                <w:sz w:val="18"/>
                <w:szCs w:val="18"/>
              </w:rPr>
              <w:t xml:space="preserve">319 </w:t>
            </w:r>
            <w:r w:rsidR="00EE1882">
              <w:rPr>
                <w:sz w:val="18"/>
                <w:szCs w:val="18"/>
              </w:rPr>
              <w:t>780</w:t>
            </w:r>
          </w:p>
        </w:tc>
        <w:tc>
          <w:tcPr>
            <w:cnfStyle w:val="000010000000" w:firstRow="0" w:lastRow="0" w:firstColumn="0" w:lastColumn="0" w:oddVBand="1" w:evenVBand="0" w:oddHBand="0" w:evenHBand="0" w:firstRowFirstColumn="0" w:firstRowLastColumn="0" w:lastRowFirstColumn="0" w:lastRowLastColumn="0"/>
            <w:tcW w:w="2268" w:type="dxa"/>
            <w:tcBorders>
              <w:bottom w:val="nil"/>
            </w:tcBorders>
          </w:tcPr>
          <w:p w14:paraId="30CE1F1F" w14:textId="77777777" w:rsidR="00F777B4" w:rsidRPr="000A466E" w:rsidRDefault="000A4D40" w:rsidP="008963CA">
            <w:pPr>
              <w:rPr>
                <w:sz w:val="18"/>
                <w:szCs w:val="18"/>
              </w:rPr>
            </w:pPr>
            <w:r>
              <w:rPr>
                <w:sz w:val="18"/>
                <w:szCs w:val="18"/>
              </w:rPr>
              <w:t xml:space="preserve">$520 </w:t>
            </w:r>
            <w:r w:rsidR="004B7533">
              <w:rPr>
                <w:sz w:val="18"/>
                <w:szCs w:val="18"/>
              </w:rPr>
              <w:t>000</w:t>
            </w:r>
          </w:p>
        </w:tc>
      </w:tr>
      <w:tr w:rsidR="008963CA" w:rsidRPr="004D649B" w14:paraId="1048A592" w14:textId="77777777" w:rsidTr="00ED7F1B">
        <w:tc>
          <w:tcPr>
            <w:cnfStyle w:val="000010000000" w:firstRow="0" w:lastRow="0" w:firstColumn="0" w:lastColumn="0" w:oddVBand="1" w:evenVBand="0" w:oddHBand="0" w:evenHBand="0" w:firstRowFirstColumn="0" w:firstRowLastColumn="0" w:lastRowFirstColumn="0" w:lastRowLastColumn="0"/>
            <w:tcW w:w="4395" w:type="dxa"/>
            <w:tcBorders>
              <w:bottom w:val="single" w:sz="4" w:space="0" w:color="auto"/>
            </w:tcBorders>
          </w:tcPr>
          <w:p w14:paraId="284A1944" w14:textId="77777777" w:rsidR="008963CA" w:rsidRPr="000A466E" w:rsidRDefault="008963CA" w:rsidP="003C0B40">
            <w:pPr>
              <w:jc w:val="left"/>
              <w:rPr>
                <w:sz w:val="18"/>
                <w:szCs w:val="18"/>
              </w:rPr>
            </w:pPr>
            <w:r w:rsidRPr="000A466E">
              <w:rPr>
                <w:sz w:val="18"/>
                <w:szCs w:val="18"/>
              </w:rPr>
              <w:t>Share-based payment</w:t>
            </w:r>
            <w:r w:rsidR="0028031C" w:rsidRPr="000A466E">
              <w:rPr>
                <w:sz w:val="18"/>
                <w:szCs w:val="18"/>
              </w:rPr>
              <w:t>s</w:t>
            </w:r>
          </w:p>
        </w:tc>
        <w:tc>
          <w:tcPr>
            <w:cnfStyle w:val="000001000000" w:firstRow="0" w:lastRow="0" w:firstColumn="0" w:lastColumn="0" w:oddVBand="0" w:evenVBand="1" w:oddHBand="0" w:evenHBand="0" w:firstRowFirstColumn="0" w:firstRowLastColumn="0" w:lastRowFirstColumn="0" w:lastRowLastColumn="0"/>
            <w:tcW w:w="2409" w:type="dxa"/>
            <w:tcBorders>
              <w:bottom w:val="single" w:sz="4" w:space="0" w:color="auto"/>
            </w:tcBorders>
            <w:shd w:val="clear" w:color="auto" w:fill="E3EBF4" w:themeFill="accent3" w:themeFillTint="33"/>
          </w:tcPr>
          <w:p w14:paraId="3DB81640" w14:textId="77777777" w:rsidR="008963CA" w:rsidRPr="000A466E" w:rsidRDefault="00561135" w:rsidP="008963CA">
            <w:pPr>
              <w:rPr>
                <w:sz w:val="18"/>
                <w:szCs w:val="18"/>
              </w:rPr>
            </w:pPr>
            <w:r>
              <w:rPr>
                <w:sz w:val="18"/>
                <w:szCs w:val="18"/>
              </w:rPr>
              <w:t>n/a</w:t>
            </w:r>
          </w:p>
        </w:tc>
        <w:tc>
          <w:tcPr>
            <w:cnfStyle w:val="000010000000" w:firstRow="0" w:lastRow="0" w:firstColumn="0" w:lastColumn="0" w:oddVBand="1" w:evenVBand="0" w:oddHBand="0" w:evenHBand="0" w:firstRowFirstColumn="0" w:firstRowLastColumn="0" w:lastRowFirstColumn="0" w:lastRowLastColumn="0"/>
            <w:tcW w:w="2268" w:type="dxa"/>
            <w:tcBorders>
              <w:bottom w:val="single" w:sz="4" w:space="0" w:color="auto"/>
            </w:tcBorders>
          </w:tcPr>
          <w:p w14:paraId="5A3A7934" w14:textId="77777777" w:rsidR="008963CA" w:rsidRPr="000A466E" w:rsidRDefault="00561135" w:rsidP="008963CA">
            <w:pPr>
              <w:rPr>
                <w:sz w:val="18"/>
                <w:szCs w:val="18"/>
              </w:rPr>
            </w:pPr>
            <w:r>
              <w:rPr>
                <w:sz w:val="18"/>
                <w:szCs w:val="18"/>
              </w:rPr>
              <w:t>n/a</w:t>
            </w:r>
          </w:p>
        </w:tc>
      </w:tr>
      <w:tr w:rsidR="00F777B4" w14:paraId="5598F9AB" w14:textId="77777777" w:rsidTr="00ED7F1B">
        <w:tc>
          <w:tcPr>
            <w:cnfStyle w:val="000010000000" w:firstRow="0" w:lastRow="0" w:firstColumn="0" w:lastColumn="0" w:oddVBand="1" w:evenVBand="0" w:oddHBand="0" w:evenHBand="0" w:firstRowFirstColumn="0" w:firstRowLastColumn="0" w:lastRowFirstColumn="0" w:lastRowLastColumn="0"/>
            <w:tcW w:w="4395" w:type="dxa"/>
            <w:tcBorders>
              <w:top w:val="single" w:sz="4" w:space="0" w:color="auto"/>
              <w:bottom w:val="single" w:sz="4" w:space="0" w:color="auto"/>
            </w:tcBorders>
          </w:tcPr>
          <w:p w14:paraId="4E04982C" w14:textId="18BBA9EA" w:rsidR="00F777B4" w:rsidRPr="00F308C5" w:rsidRDefault="00F777B4" w:rsidP="003C0B40">
            <w:pPr>
              <w:jc w:val="left"/>
              <w:rPr>
                <w:b/>
                <w:sz w:val="18"/>
                <w:szCs w:val="18"/>
                <w:vertAlign w:val="superscript"/>
              </w:rPr>
            </w:pPr>
            <w:r w:rsidRPr="00561135">
              <w:rPr>
                <w:b/>
                <w:sz w:val="18"/>
                <w:szCs w:val="18"/>
              </w:rPr>
              <w:t>Total</w:t>
            </w:r>
            <w:r w:rsidR="004D649B" w:rsidRPr="00561135">
              <w:rPr>
                <w:b/>
                <w:sz w:val="18"/>
                <w:szCs w:val="18"/>
              </w:rPr>
              <w:t xml:space="preserve"> remuneration</w:t>
            </w:r>
            <w:r w:rsidR="00F308C5">
              <w:rPr>
                <w:b/>
                <w:sz w:val="18"/>
                <w:szCs w:val="18"/>
                <w:vertAlign w:val="superscript"/>
              </w:rPr>
              <w:t>(</w:t>
            </w:r>
            <w:r w:rsidR="00932DB3">
              <w:rPr>
                <w:b/>
                <w:sz w:val="18"/>
                <w:szCs w:val="18"/>
                <w:vertAlign w:val="superscript"/>
              </w:rPr>
              <w:t>a</w:t>
            </w:r>
            <w:r w:rsidR="00F308C5">
              <w:rPr>
                <w:b/>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2409" w:type="dxa"/>
            <w:tcBorders>
              <w:top w:val="single" w:sz="4" w:space="0" w:color="auto"/>
              <w:bottom w:val="single" w:sz="4" w:space="0" w:color="auto"/>
            </w:tcBorders>
            <w:shd w:val="clear" w:color="auto" w:fill="E3EBF4" w:themeFill="accent3" w:themeFillTint="33"/>
          </w:tcPr>
          <w:p w14:paraId="214EAA6D" w14:textId="77777777" w:rsidR="00F777B4" w:rsidRPr="00561135" w:rsidRDefault="00561135" w:rsidP="0089585D">
            <w:pPr>
              <w:rPr>
                <w:b/>
                <w:sz w:val="18"/>
                <w:szCs w:val="18"/>
              </w:rPr>
            </w:pPr>
            <w:r>
              <w:rPr>
                <w:b/>
                <w:sz w:val="18"/>
                <w:szCs w:val="18"/>
              </w:rPr>
              <w:t xml:space="preserve">$8 915 </w:t>
            </w:r>
            <w:r w:rsidR="009B0D3B" w:rsidRPr="00561135">
              <w:rPr>
                <w:b/>
                <w:sz w:val="18"/>
                <w:szCs w:val="18"/>
              </w:rPr>
              <w:t>851</w:t>
            </w:r>
          </w:p>
        </w:tc>
        <w:tc>
          <w:tcPr>
            <w:cnfStyle w:val="000010000000" w:firstRow="0" w:lastRow="0" w:firstColumn="0" w:lastColumn="0" w:oddVBand="1" w:evenVBand="0" w:oddHBand="0" w:evenHBand="0" w:firstRowFirstColumn="0" w:firstRowLastColumn="0" w:lastRowFirstColumn="0" w:lastRowLastColumn="0"/>
            <w:tcW w:w="2268" w:type="dxa"/>
            <w:tcBorders>
              <w:top w:val="single" w:sz="4" w:space="0" w:color="auto"/>
              <w:bottom w:val="single" w:sz="4" w:space="0" w:color="auto"/>
            </w:tcBorders>
          </w:tcPr>
          <w:p w14:paraId="61ECD44A" w14:textId="77777777" w:rsidR="00F777B4" w:rsidRPr="00561135" w:rsidRDefault="00561135" w:rsidP="0089585D">
            <w:pPr>
              <w:rPr>
                <w:b/>
                <w:sz w:val="18"/>
                <w:szCs w:val="18"/>
              </w:rPr>
            </w:pPr>
            <w:r>
              <w:rPr>
                <w:b/>
                <w:sz w:val="18"/>
                <w:szCs w:val="18"/>
              </w:rPr>
              <w:t xml:space="preserve">$7 303 </w:t>
            </w:r>
            <w:r w:rsidR="009B0D3B" w:rsidRPr="00561135">
              <w:rPr>
                <w:b/>
                <w:sz w:val="18"/>
                <w:szCs w:val="18"/>
              </w:rPr>
              <w:t>964</w:t>
            </w:r>
          </w:p>
        </w:tc>
      </w:tr>
      <w:tr w:rsidR="00561135" w14:paraId="0DC20F17" w14:textId="77777777" w:rsidTr="00ED7F1B">
        <w:tc>
          <w:tcPr>
            <w:cnfStyle w:val="000010000000" w:firstRow="0" w:lastRow="0" w:firstColumn="0" w:lastColumn="0" w:oddVBand="1" w:evenVBand="0" w:oddHBand="0" w:evenHBand="0" w:firstRowFirstColumn="0" w:firstRowLastColumn="0" w:lastRowFirstColumn="0" w:lastRowLastColumn="0"/>
            <w:tcW w:w="4395" w:type="dxa"/>
            <w:tcBorders>
              <w:top w:val="single" w:sz="4" w:space="0" w:color="auto"/>
              <w:bottom w:val="single" w:sz="4" w:space="0" w:color="auto"/>
            </w:tcBorders>
          </w:tcPr>
          <w:p w14:paraId="68AEE657" w14:textId="72723253" w:rsidR="00561135" w:rsidRPr="00561135" w:rsidRDefault="00561135" w:rsidP="00BF2929">
            <w:pPr>
              <w:jc w:val="left"/>
              <w:rPr>
                <w:b/>
                <w:sz w:val="18"/>
                <w:szCs w:val="18"/>
              </w:rPr>
            </w:pPr>
            <w:r w:rsidRPr="00561135">
              <w:rPr>
                <w:b/>
                <w:sz w:val="18"/>
                <w:szCs w:val="18"/>
              </w:rPr>
              <w:t>Total number of executives</w:t>
            </w:r>
            <w:r w:rsidR="00BF2929">
              <w:rPr>
                <w:b/>
                <w:sz w:val="18"/>
                <w:szCs w:val="18"/>
                <w:vertAlign w:val="superscript"/>
              </w:rPr>
              <w:t>(</w:t>
            </w:r>
            <w:r w:rsidR="00932DB3">
              <w:rPr>
                <w:b/>
                <w:sz w:val="18"/>
                <w:szCs w:val="18"/>
                <w:vertAlign w:val="superscript"/>
              </w:rPr>
              <w:t>b</w:t>
            </w:r>
            <w:r w:rsidR="00BF2929">
              <w:rPr>
                <w:b/>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2409" w:type="dxa"/>
            <w:tcBorders>
              <w:top w:val="single" w:sz="4" w:space="0" w:color="auto"/>
              <w:bottom w:val="single" w:sz="4" w:space="0" w:color="auto"/>
            </w:tcBorders>
            <w:shd w:val="clear" w:color="auto" w:fill="E3EBF4" w:themeFill="accent3" w:themeFillTint="33"/>
          </w:tcPr>
          <w:p w14:paraId="18C793EA" w14:textId="77777777" w:rsidR="00561135" w:rsidRPr="00561135" w:rsidRDefault="00561135" w:rsidP="0089585D">
            <w:pPr>
              <w:rPr>
                <w:b/>
                <w:sz w:val="18"/>
                <w:szCs w:val="18"/>
                <w:highlight w:val="yellow"/>
              </w:rPr>
            </w:pPr>
            <w:r w:rsidRPr="00561135">
              <w:rPr>
                <w:b/>
                <w:sz w:val="18"/>
                <w:szCs w:val="18"/>
              </w:rPr>
              <w:t>55</w:t>
            </w:r>
          </w:p>
        </w:tc>
        <w:tc>
          <w:tcPr>
            <w:cnfStyle w:val="000010000000" w:firstRow="0" w:lastRow="0" w:firstColumn="0" w:lastColumn="0" w:oddVBand="1" w:evenVBand="0" w:oddHBand="0" w:evenHBand="0" w:firstRowFirstColumn="0" w:firstRowLastColumn="0" w:lastRowFirstColumn="0" w:lastRowLastColumn="0"/>
            <w:tcW w:w="2268" w:type="dxa"/>
            <w:tcBorders>
              <w:top w:val="single" w:sz="4" w:space="0" w:color="auto"/>
              <w:bottom w:val="single" w:sz="4" w:space="0" w:color="auto"/>
            </w:tcBorders>
          </w:tcPr>
          <w:p w14:paraId="3B823899" w14:textId="77777777" w:rsidR="00561135" w:rsidRPr="00561135" w:rsidRDefault="00561135" w:rsidP="0089585D">
            <w:pPr>
              <w:rPr>
                <w:b/>
                <w:sz w:val="18"/>
                <w:szCs w:val="18"/>
                <w:highlight w:val="yellow"/>
              </w:rPr>
            </w:pPr>
            <w:r w:rsidRPr="00561135">
              <w:rPr>
                <w:b/>
                <w:sz w:val="18"/>
                <w:szCs w:val="18"/>
              </w:rPr>
              <w:t>56</w:t>
            </w:r>
          </w:p>
        </w:tc>
      </w:tr>
      <w:tr w:rsidR="00561135" w14:paraId="14FD036E" w14:textId="77777777" w:rsidTr="00ED7F1B">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tcBorders>
              <w:top w:val="single" w:sz="4" w:space="0" w:color="auto"/>
              <w:bottom w:val="single" w:sz="4" w:space="0" w:color="auto"/>
            </w:tcBorders>
          </w:tcPr>
          <w:p w14:paraId="68C9A019" w14:textId="2E107A55" w:rsidR="00561135" w:rsidRPr="00F308C5" w:rsidRDefault="00561135" w:rsidP="00BF2929">
            <w:pPr>
              <w:jc w:val="left"/>
              <w:rPr>
                <w:sz w:val="18"/>
                <w:szCs w:val="18"/>
                <w:vertAlign w:val="superscript"/>
              </w:rPr>
            </w:pPr>
            <w:r w:rsidRPr="00561135">
              <w:rPr>
                <w:sz w:val="18"/>
                <w:szCs w:val="18"/>
              </w:rPr>
              <w:t>Total</w:t>
            </w:r>
            <w:r w:rsidR="002F6E67">
              <w:rPr>
                <w:sz w:val="18"/>
                <w:szCs w:val="18"/>
              </w:rPr>
              <w:t xml:space="preserve"> annualised employee equivalent</w:t>
            </w:r>
            <w:r w:rsidRPr="00561135">
              <w:rPr>
                <w:sz w:val="18"/>
                <w:szCs w:val="18"/>
              </w:rPr>
              <w:t xml:space="preserve"> (AEE)</w:t>
            </w:r>
            <w:r w:rsidR="00F308C5">
              <w:rPr>
                <w:sz w:val="18"/>
                <w:szCs w:val="18"/>
                <w:vertAlign w:val="superscript"/>
              </w:rPr>
              <w:t>(</w:t>
            </w:r>
            <w:r w:rsidR="00932DB3">
              <w:rPr>
                <w:sz w:val="18"/>
                <w:szCs w:val="18"/>
                <w:vertAlign w:val="superscript"/>
              </w:rPr>
              <w:t>c)</w:t>
            </w:r>
          </w:p>
        </w:tc>
        <w:tc>
          <w:tcPr>
            <w:cnfStyle w:val="000001000000" w:firstRow="0" w:lastRow="0" w:firstColumn="0" w:lastColumn="0" w:oddVBand="0" w:evenVBand="1" w:oddHBand="0" w:evenHBand="0" w:firstRowFirstColumn="0" w:firstRowLastColumn="0" w:lastRowFirstColumn="0" w:lastRowLastColumn="0"/>
            <w:tcW w:w="2409" w:type="dxa"/>
            <w:tcBorders>
              <w:top w:val="single" w:sz="4" w:space="0" w:color="auto"/>
              <w:bottom w:val="single" w:sz="4" w:space="0" w:color="auto"/>
            </w:tcBorders>
            <w:shd w:val="clear" w:color="auto" w:fill="E3EBF4" w:themeFill="accent3" w:themeFillTint="33"/>
          </w:tcPr>
          <w:p w14:paraId="1A0FC882" w14:textId="77777777" w:rsidR="00561135" w:rsidRPr="00561135" w:rsidRDefault="00561135" w:rsidP="00561135">
            <w:pPr>
              <w:rPr>
                <w:sz w:val="18"/>
                <w:szCs w:val="18"/>
              </w:rPr>
            </w:pPr>
            <w:r w:rsidRPr="00561135">
              <w:rPr>
                <w:sz w:val="18"/>
                <w:szCs w:val="18"/>
              </w:rPr>
              <w:t>5</w:t>
            </w:r>
            <w:r>
              <w:rPr>
                <w:sz w:val="18"/>
                <w:szCs w:val="18"/>
              </w:rPr>
              <w:t>4</w:t>
            </w:r>
            <w:r w:rsidRPr="00561135">
              <w:rPr>
                <w:sz w:val="18"/>
                <w:szCs w:val="18"/>
              </w:rPr>
              <w:t>.2</w:t>
            </w:r>
          </w:p>
        </w:tc>
        <w:tc>
          <w:tcPr>
            <w:cnfStyle w:val="000010000000" w:firstRow="0" w:lastRow="0" w:firstColumn="0" w:lastColumn="0" w:oddVBand="1" w:evenVBand="0" w:oddHBand="0" w:evenHBand="0" w:firstRowFirstColumn="0" w:firstRowLastColumn="0" w:lastRowFirstColumn="0" w:lastRowLastColumn="0"/>
            <w:tcW w:w="2268" w:type="dxa"/>
            <w:tcBorders>
              <w:top w:val="single" w:sz="4" w:space="0" w:color="auto"/>
              <w:bottom w:val="single" w:sz="4" w:space="0" w:color="auto"/>
            </w:tcBorders>
          </w:tcPr>
          <w:p w14:paraId="6A8BEC81" w14:textId="77777777" w:rsidR="00561135" w:rsidRPr="00561135" w:rsidRDefault="00561135" w:rsidP="0089585D">
            <w:pPr>
              <w:rPr>
                <w:sz w:val="18"/>
                <w:szCs w:val="18"/>
              </w:rPr>
            </w:pPr>
            <w:r w:rsidRPr="00561135">
              <w:rPr>
                <w:sz w:val="18"/>
                <w:szCs w:val="18"/>
              </w:rPr>
              <w:t>51.8</w:t>
            </w:r>
          </w:p>
        </w:tc>
      </w:tr>
    </w:tbl>
    <w:p w14:paraId="0CBC31AE" w14:textId="61227652" w:rsidR="00BF2929" w:rsidRPr="00932DB3" w:rsidRDefault="00932DB3" w:rsidP="00932DB3">
      <w:pPr>
        <w:pStyle w:val="ListParagraph"/>
        <w:numPr>
          <w:ilvl w:val="0"/>
          <w:numId w:val="33"/>
        </w:numPr>
        <w:ind w:left="426"/>
        <w:rPr>
          <w:sz w:val="16"/>
          <w:szCs w:val="16"/>
        </w:rPr>
      </w:pPr>
      <w:r>
        <w:rPr>
          <w:sz w:val="16"/>
          <w:szCs w:val="16"/>
        </w:rPr>
        <w:t xml:space="preserve">Remuneration </w:t>
      </w:r>
      <w:r w:rsidR="00BF2929" w:rsidRPr="00932DB3">
        <w:rPr>
          <w:sz w:val="16"/>
          <w:szCs w:val="16"/>
        </w:rPr>
        <w:t xml:space="preserve">represents the expenses incurred by the entity in the current reporting period for the employee, in accordance with AASB 119 </w:t>
      </w:r>
      <w:r w:rsidR="00BF2929" w:rsidRPr="00932DB3">
        <w:rPr>
          <w:i/>
          <w:iCs/>
          <w:sz w:val="16"/>
          <w:szCs w:val="16"/>
        </w:rPr>
        <w:t>Employee Benefits</w:t>
      </w:r>
      <w:r w:rsidR="00BF2929" w:rsidRPr="00932DB3">
        <w:rPr>
          <w:sz w:val="16"/>
          <w:szCs w:val="16"/>
        </w:rPr>
        <w:t>.</w:t>
      </w:r>
    </w:p>
    <w:p w14:paraId="7935D407" w14:textId="7FA23445" w:rsidR="00F308C5" w:rsidRDefault="00F308C5" w:rsidP="00DB366B">
      <w:pPr>
        <w:pStyle w:val="ListParagraph"/>
        <w:numPr>
          <w:ilvl w:val="0"/>
          <w:numId w:val="33"/>
        </w:numPr>
        <w:ind w:left="426"/>
        <w:rPr>
          <w:sz w:val="16"/>
          <w:szCs w:val="16"/>
        </w:rPr>
      </w:pPr>
      <w:r>
        <w:rPr>
          <w:sz w:val="16"/>
          <w:szCs w:val="16"/>
        </w:rPr>
        <w:t xml:space="preserve">The total number of executive officers includes persons who meet the definition of Key Management Personnel (KMP) under AASB 124 </w:t>
      </w:r>
      <w:r>
        <w:rPr>
          <w:i/>
          <w:sz w:val="16"/>
          <w:szCs w:val="16"/>
        </w:rPr>
        <w:t>Related Party Disclosures</w:t>
      </w:r>
      <w:r>
        <w:rPr>
          <w:sz w:val="16"/>
          <w:szCs w:val="16"/>
        </w:rPr>
        <w:t xml:space="preserve"> and are also reported within the related parties note disclosure.</w:t>
      </w:r>
    </w:p>
    <w:p w14:paraId="2113F76C" w14:textId="77777777" w:rsidR="00F308C5" w:rsidRPr="00F308C5" w:rsidRDefault="00F308C5" w:rsidP="00BF05F5">
      <w:pPr>
        <w:pStyle w:val="ListParagraph"/>
        <w:numPr>
          <w:ilvl w:val="0"/>
          <w:numId w:val="33"/>
        </w:numPr>
        <w:ind w:left="426"/>
        <w:rPr>
          <w:sz w:val="16"/>
          <w:szCs w:val="16"/>
        </w:rPr>
      </w:pPr>
      <w:r>
        <w:rPr>
          <w:sz w:val="16"/>
          <w:szCs w:val="16"/>
        </w:rPr>
        <w:t xml:space="preserve">Annualised employee equivalent is based on the time fraction worked during the reporting period. </w:t>
      </w:r>
      <w:r w:rsidR="00BF05F5" w:rsidRPr="00BF05F5">
        <w:rPr>
          <w:sz w:val="16"/>
          <w:szCs w:val="16"/>
        </w:rPr>
        <w:t xml:space="preserve">This is calculated </w:t>
      </w:r>
      <w:r w:rsidR="00BF05F5">
        <w:rPr>
          <w:sz w:val="16"/>
          <w:szCs w:val="16"/>
        </w:rPr>
        <w:t>as</w:t>
      </w:r>
      <w:r w:rsidR="00BF05F5" w:rsidRPr="00BF05F5">
        <w:rPr>
          <w:sz w:val="16"/>
          <w:szCs w:val="16"/>
        </w:rPr>
        <w:t xml:space="preserve"> the total number of days </w:t>
      </w:r>
      <w:r w:rsidR="00BF05F5">
        <w:rPr>
          <w:sz w:val="16"/>
          <w:szCs w:val="16"/>
        </w:rPr>
        <w:t>the</w:t>
      </w:r>
      <w:r w:rsidR="00BF05F5" w:rsidRPr="00BF05F5">
        <w:rPr>
          <w:sz w:val="16"/>
          <w:szCs w:val="16"/>
        </w:rPr>
        <w:t xml:space="preserve"> employee is engaged to work during the week by the total number of full-time working days per week (this is generally five full working days per week).</w:t>
      </w:r>
    </w:p>
    <w:p w14:paraId="1607ACD9" w14:textId="77777777" w:rsidR="006966B5" w:rsidRPr="00600A48" w:rsidRDefault="006966B5" w:rsidP="006966B5">
      <w:pPr>
        <w:rPr>
          <w:b/>
          <w:sz w:val="19"/>
          <w:szCs w:val="19"/>
        </w:rPr>
      </w:pPr>
      <w:r w:rsidRPr="00600A48">
        <w:rPr>
          <w:b/>
          <w:sz w:val="19"/>
          <w:szCs w:val="19"/>
        </w:rPr>
        <w:t xml:space="preserve">Note: </w:t>
      </w:r>
    </w:p>
    <w:p w14:paraId="697E048B" w14:textId="560FD4AD" w:rsidR="0047064A" w:rsidRPr="0047064A" w:rsidRDefault="00484B9F" w:rsidP="0047064A">
      <w:pPr>
        <w:pStyle w:val="Bullet1"/>
        <w:rPr>
          <w:sz w:val="19"/>
          <w:szCs w:val="19"/>
        </w:rPr>
      </w:pPr>
      <w:r w:rsidRPr="00600A48">
        <w:rPr>
          <w:sz w:val="19"/>
          <w:szCs w:val="19"/>
        </w:rPr>
        <w:t>If a person became a KMP of a reporting entity during the reporting period, no disclosure is required for any remuner</w:t>
      </w:r>
      <w:r w:rsidR="00B65462" w:rsidRPr="00600A48">
        <w:rPr>
          <w:sz w:val="19"/>
          <w:szCs w:val="19"/>
        </w:rPr>
        <w:t>ation paid to that person prior to</w:t>
      </w:r>
      <w:r w:rsidRPr="00600A48">
        <w:rPr>
          <w:sz w:val="19"/>
          <w:szCs w:val="19"/>
        </w:rPr>
        <w:t xml:space="preserve"> that person’s appointment as </w:t>
      </w:r>
      <w:r w:rsidR="00B65462" w:rsidRPr="00600A48">
        <w:rPr>
          <w:sz w:val="19"/>
          <w:szCs w:val="19"/>
        </w:rPr>
        <w:t xml:space="preserve">a </w:t>
      </w:r>
      <w:r w:rsidRPr="00600A48">
        <w:rPr>
          <w:sz w:val="19"/>
          <w:szCs w:val="19"/>
        </w:rPr>
        <w:t xml:space="preserve">KMP. </w:t>
      </w:r>
    </w:p>
    <w:p w14:paraId="7D984CAF" w14:textId="77777777" w:rsidR="007364B1" w:rsidRDefault="00484B9F" w:rsidP="005279D8">
      <w:pPr>
        <w:pStyle w:val="Bullet1"/>
        <w:rPr>
          <w:sz w:val="19"/>
          <w:szCs w:val="19"/>
        </w:rPr>
      </w:pPr>
      <w:r w:rsidRPr="00600A48">
        <w:rPr>
          <w:sz w:val="19"/>
          <w:szCs w:val="19"/>
        </w:rPr>
        <w:t>If a person ceases to be</w:t>
      </w:r>
      <w:r w:rsidR="00B65462" w:rsidRPr="00600A48">
        <w:rPr>
          <w:sz w:val="19"/>
          <w:szCs w:val="19"/>
        </w:rPr>
        <w:t xml:space="preserve"> a KMP during the</w:t>
      </w:r>
      <w:r w:rsidRPr="00600A48">
        <w:rPr>
          <w:sz w:val="19"/>
          <w:szCs w:val="19"/>
        </w:rPr>
        <w:t xml:space="preserve"> reportin</w:t>
      </w:r>
      <w:r w:rsidR="00B65462" w:rsidRPr="00600A48">
        <w:rPr>
          <w:sz w:val="19"/>
          <w:szCs w:val="19"/>
        </w:rPr>
        <w:t xml:space="preserve">g period, the entity is </w:t>
      </w:r>
      <w:r w:rsidR="002A5BD9" w:rsidRPr="00600A48">
        <w:rPr>
          <w:sz w:val="19"/>
          <w:szCs w:val="19"/>
        </w:rPr>
        <w:t xml:space="preserve">only </w:t>
      </w:r>
      <w:r w:rsidR="00B65462" w:rsidRPr="00600A48">
        <w:rPr>
          <w:sz w:val="19"/>
          <w:szCs w:val="19"/>
        </w:rPr>
        <w:t>required</w:t>
      </w:r>
      <w:r w:rsidRPr="00600A48">
        <w:rPr>
          <w:sz w:val="19"/>
          <w:szCs w:val="19"/>
        </w:rPr>
        <w:t xml:space="preserve"> to disclose that person’s compensation for the period</w:t>
      </w:r>
      <w:r w:rsidR="00B65462" w:rsidRPr="00600A48">
        <w:rPr>
          <w:sz w:val="19"/>
          <w:szCs w:val="19"/>
        </w:rPr>
        <w:t xml:space="preserve"> up until the end of their term of employment</w:t>
      </w:r>
      <w:r w:rsidRPr="00600A48">
        <w:rPr>
          <w:sz w:val="19"/>
          <w:szCs w:val="19"/>
        </w:rPr>
        <w:t>.</w:t>
      </w:r>
    </w:p>
    <w:p w14:paraId="6F124809" w14:textId="77777777" w:rsidR="00CD6689" w:rsidRDefault="00CD6689" w:rsidP="00CD6689">
      <w:pPr>
        <w:pStyle w:val="Bullet1"/>
        <w:numPr>
          <w:ilvl w:val="0"/>
          <w:numId w:val="0"/>
        </w:numPr>
        <w:ind w:left="360" w:hanging="360"/>
        <w:rPr>
          <w:sz w:val="19"/>
          <w:szCs w:val="19"/>
        </w:rPr>
      </w:pPr>
    </w:p>
    <w:p w14:paraId="3C5CC8FC" w14:textId="77777777" w:rsidR="00CD6689" w:rsidRDefault="00CD6689" w:rsidP="00CD6689">
      <w:pPr>
        <w:pStyle w:val="Bullet1"/>
        <w:numPr>
          <w:ilvl w:val="0"/>
          <w:numId w:val="0"/>
        </w:numPr>
        <w:ind w:left="360" w:hanging="360"/>
        <w:rPr>
          <w:sz w:val="19"/>
          <w:szCs w:val="19"/>
        </w:rPr>
      </w:pPr>
    </w:p>
    <w:p w14:paraId="0ACE8B6E" w14:textId="77777777" w:rsidR="00CD6689" w:rsidRDefault="00CD6689" w:rsidP="00CD6689">
      <w:pPr>
        <w:pStyle w:val="Bullet1"/>
        <w:numPr>
          <w:ilvl w:val="0"/>
          <w:numId w:val="0"/>
        </w:numPr>
        <w:ind w:left="360" w:hanging="360"/>
        <w:rPr>
          <w:sz w:val="19"/>
          <w:szCs w:val="19"/>
        </w:rPr>
      </w:pPr>
    </w:p>
    <w:p w14:paraId="31F2C987" w14:textId="77777777" w:rsidR="00CD6689" w:rsidRDefault="00CD6689" w:rsidP="00CD6689">
      <w:pPr>
        <w:pStyle w:val="Bullet1"/>
        <w:numPr>
          <w:ilvl w:val="0"/>
          <w:numId w:val="0"/>
        </w:numPr>
        <w:ind w:left="360" w:hanging="360"/>
        <w:rPr>
          <w:sz w:val="19"/>
          <w:szCs w:val="19"/>
        </w:rPr>
      </w:pPr>
    </w:p>
    <w:p w14:paraId="2FC577CB" w14:textId="77777777" w:rsidR="00CD6689" w:rsidRDefault="00CD6689" w:rsidP="00CD6689">
      <w:pPr>
        <w:pStyle w:val="Bullet1"/>
        <w:numPr>
          <w:ilvl w:val="0"/>
          <w:numId w:val="0"/>
        </w:numPr>
        <w:ind w:left="360" w:hanging="360"/>
        <w:rPr>
          <w:sz w:val="19"/>
          <w:szCs w:val="19"/>
        </w:rPr>
      </w:pPr>
    </w:p>
    <w:p w14:paraId="26FD7C49" w14:textId="77777777" w:rsidR="00CD6689" w:rsidRDefault="00CD6689" w:rsidP="00CD6689">
      <w:pPr>
        <w:pStyle w:val="Bullet1"/>
        <w:numPr>
          <w:ilvl w:val="0"/>
          <w:numId w:val="0"/>
        </w:numPr>
        <w:ind w:left="360" w:hanging="360"/>
        <w:rPr>
          <w:sz w:val="19"/>
          <w:szCs w:val="19"/>
        </w:rPr>
      </w:pPr>
    </w:p>
    <w:p w14:paraId="02B651FA" w14:textId="77777777" w:rsidR="00F24047" w:rsidRDefault="00F24047" w:rsidP="00CD6689">
      <w:pPr>
        <w:pStyle w:val="Bullet1"/>
        <w:numPr>
          <w:ilvl w:val="0"/>
          <w:numId w:val="0"/>
        </w:numPr>
        <w:ind w:left="360" w:hanging="360"/>
        <w:rPr>
          <w:sz w:val="19"/>
          <w:szCs w:val="19"/>
        </w:rPr>
      </w:pPr>
    </w:p>
    <w:p w14:paraId="25F478D4" w14:textId="77777777" w:rsidR="00F24047" w:rsidRDefault="00F24047" w:rsidP="00CD6689">
      <w:pPr>
        <w:pStyle w:val="Bullet1"/>
        <w:numPr>
          <w:ilvl w:val="0"/>
          <w:numId w:val="0"/>
        </w:numPr>
        <w:ind w:left="360" w:hanging="360"/>
        <w:rPr>
          <w:sz w:val="19"/>
          <w:szCs w:val="19"/>
        </w:rPr>
      </w:pPr>
    </w:p>
    <w:p w14:paraId="0D1F0DF7" w14:textId="77777777" w:rsidR="00F24047" w:rsidRDefault="00F24047" w:rsidP="00CD6689">
      <w:pPr>
        <w:pStyle w:val="Bullet1"/>
        <w:numPr>
          <w:ilvl w:val="0"/>
          <w:numId w:val="0"/>
        </w:numPr>
        <w:ind w:left="360" w:hanging="360"/>
        <w:rPr>
          <w:sz w:val="19"/>
          <w:szCs w:val="19"/>
        </w:rPr>
      </w:pPr>
    </w:p>
    <w:p w14:paraId="2A26609D" w14:textId="77777777" w:rsidR="00F24047" w:rsidRDefault="00F24047" w:rsidP="00CD6689">
      <w:pPr>
        <w:pStyle w:val="Bullet1"/>
        <w:numPr>
          <w:ilvl w:val="0"/>
          <w:numId w:val="0"/>
        </w:numPr>
        <w:ind w:left="360" w:hanging="360"/>
        <w:rPr>
          <w:sz w:val="19"/>
          <w:szCs w:val="19"/>
        </w:rPr>
      </w:pPr>
    </w:p>
    <w:p w14:paraId="15456283" w14:textId="77777777" w:rsidR="00CD6689" w:rsidRPr="00600A48" w:rsidRDefault="00CD6689" w:rsidP="00CD6689">
      <w:pPr>
        <w:pStyle w:val="Bullet1"/>
        <w:numPr>
          <w:ilvl w:val="0"/>
          <w:numId w:val="0"/>
        </w:numPr>
        <w:ind w:left="360" w:hanging="360"/>
        <w:rPr>
          <w:sz w:val="19"/>
          <w:szCs w:val="19"/>
        </w:rPr>
      </w:pPr>
    </w:p>
    <w:p w14:paraId="1F6B6DC4" w14:textId="555116A1" w:rsidR="000323AB" w:rsidRDefault="00DE4D2C" w:rsidP="00D142EC">
      <w:pPr>
        <w:pStyle w:val="Heading1"/>
      </w:pPr>
      <w:r>
        <w:lastRenderedPageBreak/>
        <w:t xml:space="preserve">Appendix – Frequently Asked Questions </w:t>
      </w:r>
    </w:p>
    <w:p w14:paraId="3375C5DC" w14:textId="77777777" w:rsidR="00A86BD9" w:rsidRDefault="00F0507D" w:rsidP="00E14D93">
      <w:r w:rsidRPr="006C6596">
        <w:t xml:space="preserve">The objective of </w:t>
      </w:r>
      <w:r w:rsidR="00F26623" w:rsidRPr="006C6596">
        <w:t xml:space="preserve">the remuneration disclosure under </w:t>
      </w:r>
      <w:r w:rsidRPr="006C6596">
        <w:t xml:space="preserve">AASB 124 </w:t>
      </w:r>
      <w:r w:rsidRPr="006C6596">
        <w:rPr>
          <w:i/>
        </w:rPr>
        <w:t>Related Party Disclosures</w:t>
      </w:r>
      <w:r w:rsidRPr="006C6596">
        <w:t xml:space="preserve"> is to capture the</w:t>
      </w:r>
      <w:r w:rsidR="00F26623" w:rsidRPr="006C6596">
        <w:t xml:space="preserve"> total remuneration attributable to the entity’s Key Management Personnel (KMP) for the reporting period. </w:t>
      </w:r>
    </w:p>
    <w:p w14:paraId="124F8810" w14:textId="741E5BE4" w:rsidR="006C6596" w:rsidRPr="006C6596" w:rsidRDefault="006C6596" w:rsidP="00E14D93">
      <w:r>
        <w:t xml:space="preserve">As a result, amounts </w:t>
      </w:r>
      <w:r w:rsidR="0008260B">
        <w:t>reported for KMP under AASB 124</w:t>
      </w:r>
      <w:r>
        <w:t xml:space="preserve"> and executive officers under FRD 21, should reflect the expenses recognised in the entity’s Statement of Comprehensive Income (in line with the relevant accounting standards), for services provided by the </w:t>
      </w:r>
      <w:r w:rsidR="0008260B">
        <w:t xml:space="preserve">relevant </w:t>
      </w:r>
      <w:r>
        <w:t>employees</w:t>
      </w:r>
      <w:r w:rsidR="0008260B">
        <w:t>,</w:t>
      </w:r>
      <w:r>
        <w:t xml:space="preserve"> for the reporting period.  </w:t>
      </w:r>
    </w:p>
    <w:p w14:paraId="3A234FB6" w14:textId="607E140E" w:rsidR="0033142D" w:rsidRDefault="00EE175E" w:rsidP="002D5EF7">
      <w:pPr>
        <w:pStyle w:val="Heading3"/>
        <w:numPr>
          <w:ilvl w:val="0"/>
          <w:numId w:val="43"/>
        </w:numPr>
        <w:ind w:left="426" w:hanging="426"/>
      </w:pPr>
      <w:r>
        <w:t>H</w:t>
      </w:r>
      <w:r w:rsidR="00C14C01">
        <w:t>ow do we disclose</w:t>
      </w:r>
      <w:r>
        <w:t xml:space="preserve"> monetary and non-monetary benefits</w:t>
      </w:r>
      <w:r w:rsidR="00026C23">
        <w:t xml:space="preserve"> for executives</w:t>
      </w:r>
      <w:r w:rsidR="0033142D">
        <w:t xml:space="preserve">? </w:t>
      </w:r>
    </w:p>
    <w:p w14:paraId="77B5BA4D" w14:textId="77777777" w:rsidR="0033142D" w:rsidRDefault="0033142D" w:rsidP="0033142D">
      <w:r>
        <w:t>The Total Remuneration Package (TRP) for executives typically includes:</w:t>
      </w:r>
    </w:p>
    <w:p w14:paraId="11B91D3A" w14:textId="22AF679C" w:rsidR="0033142D" w:rsidRPr="002B0D77" w:rsidRDefault="0033142D" w:rsidP="0033142D">
      <w:pPr>
        <w:pStyle w:val="Bullet1"/>
      </w:pPr>
      <w:r w:rsidRPr="002B0D77">
        <w:t xml:space="preserve">salary (including any post-tax contributions </w:t>
      </w:r>
      <w:r w:rsidR="00026C23">
        <w:t xml:space="preserve">or </w:t>
      </w:r>
      <w:r w:rsidRPr="002B0D77">
        <w:t>deductibles);</w:t>
      </w:r>
    </w:p>
    <w:p w14:paraId="05A2FA4A" w14:textId="77777777" w:rsidR="0033142D" w:rsidRPr="002B0D77" w:rsidRDefault="0033142D" w:rsidP="0033142D">
      <w:pPr>
        <w:pStyle w:val="Bullet1"/>
      </w:pPr>
      <w:r w:rsidRPr="002B0D77">
        <w:t>non-</w:t>
      </w:r>
      <w:r>
        <w:t>salary</w:t>
      </w:r>
      <w:r w:rsidRPr="002B0D77">
        <w:t xml:space="preserve"> benefits</w:t>
      </w:r>
      <w:r>
        <w:t xml:space="preserve"> (full cost of any benefits met by the executive)</w:t>
      </w:r>
      <w:r w:rsidRPr="002B0D77">
        <w:t>;</w:t>
      </w:r>
    </w:p>
    <w:p w14:paraId="58688F8B" w14:textId="77777777" w:rsidR="0033142D" w:rsidRPr="002B0D77" w:rsidRDefault="0033142D" w:rsidP="002D5EF7">
      <w:pPr>
        <w:pStyle w:val="Bullet1"/>
        <w:tabs>
          <w:tab w:val="clear" w:pos="360"/>
        </w:tabs>
      </w:pPr>
      <w:r w:rsidRPr="002B0D77">
        <w:t>employer superannuation contributions</w:t>
      </w:r>
      <w:r>
        <w:t xml:space="preserve"> (compulsory employer contributions and pre-tax contributions directed by the executive)</w:t>
      </w:r>
      <w:r w:rsidRPr="002B0D77">
        <w:t>; and</w:t>
      </w:r>
    </w:p>
    <w:p w14:paraId="3E57BD35" w14:textId="77777777" w:rsidR="0033142D" w:rsidRPr="002B0D77" w:rsidRDefault="0033142D" w:rsidP="0033142D">
      <w:pPr>
        <w:pStyle w:val="Bullet1"/>
      </w:pPr>
      <w:r w:rsidRPr="002B0D77">
        <w:t>any applicable fringe benefits tax arising from the provision of employee benefits.</w:t>
      </w:r>
    </w:p>
    <w:p w14:paraId="470281CE" w14:textId="77777777" w:rsidR="0033142D" w:rsidRDefault="0033142D" w:rsidP="0033142D">
      <w:r>
        <w:t>Items that may be salary sacrificed as non-monetary benefits include, but are not limited to:</w:t>
      </w:r>
    </w:p>
    <w:p w14:paraId="463A96B9" w14:textId="77777777" w:rsidR="0033142D" w:rsidRPr="00B302A8" w:rsidRDefault="0033142D" w:rsidP="0033142D">
      <w:pPr>
        <w:pStyle w:val="Bullet1"/>
        <w:rPr>
          <w:rFonts w:eastAsiaTheme="minorEastAsia"/>
        </w:rPr>
      </w:pPr>
      <w:r>
        <w:rPr>
          <w:rFonts w:eastAsiaTheme="minorEastAsia"/>
        </w:rPr>
        <w:t xml:space="preserve">a motor vehicle; </w:t>
      </w:r>
    </w:p>
    <w:p w14:paraId="50B51DB5" w14:textId="280EFEB4" w:rsidR="0033142D" w:rsidRPr="002E15A5" w:rsidRDefault="00026C23" w:rsidP="002E15A5">
      <w:pPr>
        <w:pStyle w:val="Bullet1"/>
        <w:rPr>
          <w:rFonts w:eastAsiaTheme="minorEastAsia"/>
        </w:rPr>
      </w:pPr>
      <w:r>
        <w:rPr>
          <w:rFonts w:eastAsiaTheme="minorEastAsia"/>
        </w:rPr>
        <w:t>accommodation (ho</w:t>
      </w:r>
      <w:r w:rsidR="002E15A5">
        <w:rPr>
          <w:rFonts w:eastAsiaTheme="minorEastAsia"/>
        </w:rPr>
        <w:t xml:space="preserve">using) or relocation benefits; </w:t>
      </w:r>
      <w:r w:rsidRPr="002E15A5">
        <w:rPr>
          <w:rFonts w:eastAsiaTheme="minorEastAsia"/>
        </w:rPr>
        <w:t xml:space="preserve">and </w:t>
      </w:r>
      <w:r w:rsidR="0033142D" w:rsidRPr="002E15A5">
        <w:rPr>
          <w:rFonts w:eastAsiaTheme="minorEastAsia"/>
        </w:rPr>
        <w:t xml:space="preserve"> </w:t>
      </w:r>
    </w:p>
    <w:p w14:paraId="4F41952D" w14:textId="07166646" w:rsidR="0033142D" w:rsidRDefault="0033142D" w:rsidP="0033142D">
      <w:pPr>
        <w:pStyle w:val="Bullet1"/>
        <w:rPr>
          <w:rFonts w:eastAsiaTheme="minorEastAsia"/>
        </w:rPr>
      </w:pPr>
      <w:r>
        <w:rPr>
          <w:rFonts w:eastAsiaTheme="minorEastAsia"/>
        </w:rPr>
        <w:t>additional pre-tax</w:t>
      </w:r>
      <w:r w:rsidR="00C01E03">
        <w:rPr>
          <w:rFonts w:eastAsiaTheme="minorEastAsia"/>
        </w:rPr>
        <w:t xml:space="preserve"> contributions directed by the executive</w:t>
      </w:r>
      <w:r>
        <w:rPr>
          <w:rFonts w:eastAsiaTheme="minorEastAsia"/>
        </w:rPr>
        <w:t xml:space="preserve"> to be made to their super</w:t>
      </w:r>
      <w:r w:rsidR="00CA735C">
        <w:rPr>
          <w:rFonts w:eastAsiaTheme="minorEastAsia"/>
        </w:rPr>
        <w:t xml:space="preserve">annuation </w:t>
      </w:r>
      <w:r>
        <w:rPr>
          <w:rFonts w:eastAsiaTheme="minorEastAsia"/>
        </w:rPr>
        <w:t xml:space="preserve">fund. </w:t>
      </w:r>
    </w:p>
    <w:p w14:paraId="2204B2D2" w14:textId="77777777" w:rsidR="0033142D" w:rsidRDefault="0033142D" w:rsidP="0033142D">
      <w:pPr>
        <w:pStyle w:val="Bullet1"/>
        <w:numPr>
          <w:ilvl w:val="0"/>
          <w:numId w:val="0"/>
        </w:numPr>
        <w:rPr>
          <w:rFonts w:eastAsiaTheme="minorEastAsia"/>
        </w:rPr>
      </w:pPr>
    </w:p>
    <w:p w14:paraId="294CE31B" w14:textId="69FC8D9C" w:rsidR="0033142D" w:rsidRPr="00FD631D" w:rsidRDefault="0033142D" w:rsidP="0033142D">
      <w:pPr>
        <w:pStyle w:val="Bullet1"/>
        <w:numPr>
          <w:ilvl w:val="0"/>
          <w:numId w:val="0"/>
        </w:numPr>
        <w:rPr>
          <w:rFonts w:eastAsiaTheme="minorEastAsia"/>
          <w:b/>
        </w:rPr>
      </w:pPr>
      <w:r w:rsidRPr="00FD631D">
        <w:rPr>
          <w:rFonts w:eastAsiaTheme="minorEastAsia"/>
          <w:b/>
        </w:rPr>
        <w:t>For the purposes of the remuneration disclosure required under AASB 124, all amounts forming a</w:t>
      </w:r>
      <w:r w:rsidR="00055C3A" w:rsidRPr="00FD631D">
        <w:rPr>
          <w:rFonts w:eastAsiaTheme="minorEastAsia"/>
          <w:b/>
        </w:rPr>
        <w:t>n</w:t>
      </w:r>
      <w:r w:rsidRPr="00FD631D">
        <w:rPr>
          <w:rFonts w:eastAsiaTheme="minorEastAsia"/>
          <w:b/>
        </w:rPr>
        <w:t xml:space="preserve"> </w:t>
      </w:r>
      <w:r w:rsidR="00055C3A" w:rsidRPr="00FD631D">
        <w:rPr>
          <w:rFonts w:eastAsiaTheme="minorEastAsia"/>
          <w:b/>
        </w:rPr>
        <w:t>executive’</w:t>
      </w:r>
      <w:r w:rsidRPr="00FD631D">
        <w:rPr>
          <w:rFonts w:eastAsiaTheme="minorEastAsia"/>
          <w:b/>
        </w:rPr>
        <w:t xml:space="preserve">s TRP should be disclosed. </w:t>
      </w:r>
      <w:r w:rsidR="001E1B8C">
        <w:rPr>
          <w:rFonts w:eastAsiaTheme="minorEastAsia"/>
          <w:b/>
        </w:rPr>
        <w:t xml:space="preserve">Note </w:t>
      </w:r>
      <w:r w:rsidR="007C7FD6">
        <w:rPr>
          <w:rFonts w:eastAsiaTheme="minorEastAsia"/>
          <w:b/>
        </w:rPr>
        <w:t xml:space="preserve">that </w:t>
      </w:r>
      <w:r w:rsidR="001E1B8C">
        <w:rPr>
          <w:rFonts w:eastAsiaTheme="minorEastAsia"/>
          <w:b/>
        </w:rPr>
        <w:t xml:space="preserve">for specialist </w:t>
      </w:r>
      <w:r w:rsidR="007C7FD6">
        <w:rPr>
          <w:rFonts w:eastAsiaTheme="minorEastAsia"/>
          <w:b/>
        </w:rPr>
        <w:t>executive officer</w:t>
      </w:r>
      <w:r w:rsidR="00E470E8">
        <w:rPr>
          <w:rFonts w:eastAsiaTheme="minorEastAsia"/>
          <w:b/>
        </w:rPr>
        <w:t>s</w:t>
      </w:r>
      <w:r w:rsidR="007C7FD6">
        <w:rPr>
          <w:rFonts w:eastAsiaTheme="minorEastAsia"/>
          <w:b/>
        </w:rPr>
        <w:t xml:space="preserve"> o</w:t>
      </w:r>
      <w:r w:rsidR="00E470E8">
        <w:rPr>
          <w:rFonts w:eastAsiaTheme="minorEastAsia"/>
          <w:b/>
        </w:rPr>
        <w:t>r</w:t>
      </w:r>
      <w:r w:rsidR="007C7FD6">
        <w:rPr>
          <w:rFonts w:eastAsiaTheme="minorEastAsia"/>
          <w:b/>
        </w:rPr>
        <w:t xml:space="preserve"> equivalent </w:t>
      </w:r>
      <w:r w:rsidR="00E470E8">
        <w:rPr>
          <w:rFonts w:eastAsiaTheme="minorEastAsia"/>
          <w:b/>
        </w:rPr>
        <w:t>executive officer r</w:t>
      </w:r>
      <w:r w:rsidR="001E1B8C">
        <w:rPr>
          <w:rFonts w:eastAsiaTheme="minorEastAsia"/>
          <w:b/>
        </w:rPr>
        <w:t xml:space="preserve">oles, this </w:t>
      </w:r>
      <w:r w:rsidR="007C7FD6">
        <w:rPr>
          <w:rFonts w:eastAsiaTheme="minorEastAsia"/>
          <w:b/>
        </w:rPr>
        <w:t>may include</w:t>
      </w:r>
      <w:r w:rsidR="001E1B8C">
        <w:rPr>
          <w:rFonts w:eastAsiaTheme="minorEastAsia"/>
          <w:b/>
        </w:rPr>
        <w:t xml:space="preserve"> any benefits negotiated as part of their enterprise bargaining agreement (EBA). </w:t>
      </w:r>
    </w:p>
    <w:p w14:paraId="05B13ADC" w14:textId="77777777" w:rsidR="0033142D" w:rsidRDefault="0033142D" w:rsidP="0033142D">
      <w:pPr>
        <w:pStyle w:val="Bullet1"/>
        <w:numPr>
          <w:ilvl w:val="0"/>
          <w:numId w:val="0"/>
        </w:numPr>
        <w:rPr>
          <w:rFonts w:eastAsiaTheme="minorEastAsia"/>
        </w:rPr>
      </w:pPr>
    </w:p>
    <w:p w14:paraId="7B2BB84D" w14:textId="77777777" w:rsidR="0033142D" w:rsidRDefault="0033142D" w:rsidP="0033142D">
      <w:pPr>
        <w:pStyle w:val="Bullet1"/>
        <w:numPr>
          <w:ilvl w:val="0"/>
          <w:numId w:val="0"/>
        </w:numPr>
        <w:rPr>
          <w:rFonts w:eastAsiaTheme="minorEastAsia"/>
        </w:rPr>
      </w:pPr>
      <w:r>
        <w:rPr>
          <w:rFonts w:eastAsiaTheme="minorEastAsia"/>
        </w:rPr>
        <w:t xml:space="preserve">Amounts that should be </w:t>
      </w:r>
      <w:r w:rsidRPr="00A96C71">
        <w:rPr>
          <w:rFonts w:eastAsiaTheme="minorEastAsia"/>
          <w:b/>
        </w:rPr>
        <w:t>excluded</w:t>
      </w:r>
      <w:r>
        <w:rPr>
          <w:rFonts w:eastAsiaTheme="minorEastAsia"/>
        </w:rPr>
        <w:t xml:space="preserve"> from the remuneration disclosure include: </w:t>
      </w:r>
    </w:p>
    <w:p w14:paraId="574A4C85" w14:textId="77777777" w:rsidR="0033142D" w:rsidRDefault="0033142D" w:rsidP="0033142D">
      <w:pPr>
        <w:pStyle w:val="Bullet1"/>
        <w:numPr>
          <w:ilvl w:val="0"/>
          <w:numId w:val="0"/>
        </w:numPr>
        <w:rPr>
          <w:rFonts w:eastAsiaTheme="minorEastAsia"/>
        </w:rPr>
      </w:pPr>
    </w:p>
    <w:p w14:paraId="58666F65" w14:textId="19E25D2F" w:rsidR="0033142D" w:rsidRDefault="0033142D" w:rsidP="0033142D">
      <w:pPr>
        <w:pStyle w:val="Bullet1"/>
        <w:rPr>
          <w:rFonts w:eastAsiaTheme="minorEastAsia"/>
        </w:rPr>
      </w:pPr>
      <w:r>
        <w:rPr>
          <w:rFonts w:eastAsiaTheme="minorEastAsia"/>
        </w:rPr>
        <w:t xml:space="preserve">allowances or benefits incurred in the nature of the </w:t>
      </w:r>
      <w:r w:rsidR="00693756">
        <w:rPr>
          <w:rFonts w:eastAsiaTheme="minorEastAsia"/>
        </w:rPr>
        <w:t>executive</w:t>
      </w:r>
      <w:r>
        <w:rPr>
          <w:rFonts w:eastAsiaTheme="minorEastAsia"/>
        </w:rPr>
        <w:t xml:space="preserve">’s position that assist them to perform their role (i.e. laptop, mobile phone, training/workshops); and </w:t>
      </w:r>
    </w:p>
    <w:p w14:paraId="6CCC50CD" w14:textId="3310AB0A" w:rsidR="0033142D" w:rsidRDefault="0033142D" w:rsidP="0033142D">
      <w:pPr>
        <w:pStyle w:val="Bullet1"/>
        <w:rPr>
          <w:rFonts w:eastAsiaTheme="minorEastAsia"/>
        </w:rPr>
      </w:pPr>
      <w:r>
        <w:rPr>
          <w:rFonts w:eastAsiaTheme="minorEastAsia"/>
        </w:rPr>
        <w:t xml:space="preserve">work-related expenses that are reimbursed to the </w:t>
      </w:r>
      <w:r w:rsidR="00693756">
        <w:rPr>
          <w:rFonts w:eastAsiaTheme="minorEastAsia"/>
        </w:rPr>
        <w:t>executive</w:t>
      </w:r>
      <w:r>
        <w:rPr>
          <w:rFonts w:eastAsiaTheme="minorEastAsia"/>
        </w:rPr>
        <w:t xml:space="preserve"> (i.e. travel, accommodation, meals</w:t>
      </w:r>
      <w:r w:rsidR="00755BB2">
        <w:rPr>
          <w:rFonts w:eastAsiaTheme="minorEastAsia"/>
        </w:rPr>
        <w:t>, professional membership fees</w:t>
      </w:r>
      <w:r>
        <w:rPr>
          <w:rFonts w:eastAsiaTheme="minorEastAsia"/>
        </w:rPr>
        <w:t xml:space="preserve">). </w:t>
      </w:r>
    </w:p>
    <w:p w14:paraId="7544C3E0" w14:textId="736B85BE" w:rsidR="0033142D" w:rsidRDefault="0033142D" w:rsidP="0033142D">
      <w:r w:rsidRPr="00724D3D">
        <w:rPr>
          <w:rFonts w:cs="Calibri"/>
        </w:rPr>
        <w:t>I</w:t>
      </w:r>
      <w:r w:rsidRPr="00724D3D">
        <w:t>n most cases, it should be possible to attribute a dollar value to non-monetary benefits, and entities should make all reasonable efforts to do so. However, where it is not</w:t>
      </w:r>
      <w:r w:rsidR="00A86BD9">
        <w:t xml:space="preserve"> possible to attribute a value </w:t>
      </w:r>
      <w:r w:rsidRPr="00724D3D">
        <w:t xml:space="preserve">entities should provide a qualitative description of the benefit in a footnote to the disclosure table. </w:t>
      </w:r>
    </w:p>
    <w:p w14:paraId="2B24513B" w14:textId="53D25E73" w:rsidR="005968D6" w:rsidRDefault="005968D6" w:rsidP="0033142D">
      <w:r>
        <w:t xml:space="preserve">Refer to the illustrative example below on how to disclose monetary and non-monetary benefits as part of an executive’s Total Remuneration Package. </w:t>
      </w:r>
    </w:p>
    <w:p w14:paraId="38CB5D38" w14:textId="11C54651" w:rsidR="00C14C01" w:rsidRDefault="00C14C01" w:rsidP="002D5EF7">
      <w:pPr>
        <w:pStyle w:val="Heading3"/>
        <w:numPr>
          <w:ilvl w:val="0"/>
          <w:numId w:val="43"/>
        </w:numPr>
        <w:ind w:left="426" w:hanging="426"/>
      </w:pPr>
      <w:r>
        <w:t xml:space="preserve">How do we disclose </w:t>
      </w:r>
      <w:r w:rsidR="000C35AB">
        <w:t xml:space="preserve">employer </w:t>
      </w:r>
      <w:r>
        <w:t xml:space="preserve">superannuation contributions? </w:t>
      </w:r>
    </w:p>
    <w:p w14:paraId="6CC40801" w14:textId="58273C5C" w:rsidR="00C14C01" w:rsidRDefault="00C14C01" w:rsidP="00C14C01">
      <w:pPr>
        <w:rPr>
          <w:i/>
        </w:rPr>
      </w:pPr>
      <w:r>
        <w:t xml:space="preserve">For the remuneration disclosure required under AASB 124, </w:t>
      </w:r>
      <w:r w:rsidR="000C35AB">
        <w:t xml:space="preserve">employer </w:t>
      </w:r>
      <w:r>
        <w:t>superannuation contributions should be categorised as ‘post-employment benefits</w:t>
      </w:r>
      <w:r w:rsidR="00903970">
        <w:t xml:space="preserve">’, in accordance with AASB 119 </w:t>
      </w:r>
      <w:r w:rsidR="00903970">
        <w:rPr>
          <w:i/>
        </w:rPr>
        <w:t xml:space="preserve">Employee Benefits. </w:t>
      </w:r>
    </w:p>
    <w:p w14:paraId="515A5B4E" w14:textId="322F5283" w:rsidR="00E277C4" w:rsidRDefault="00903970" w:rsidP="004D555A">
      <w:r>
        <w:t xml:space="preserve">For </w:t>
      </w:r>
      <w:r w:rsidRPr="00903970">
        <w:rPr>
          <w:b/>
        </w:rPr>
        <w:t>defined contribution plans</w:t>
      </w:r>
      <w:r w:rsidR="00FF13D6">
        <w:rPr>
          <w:b/>
        </w:rPr>
        <w:t xml:space="preserve"> (i.e. accumulation schemes)</w:t>
      </w:r>
      <w:r>
        <w:t xml:space="preserve">, the amount disclosed </w:t>
      </w:r>
      <w:r w:rsidR="00095C3E">
        <w:t xml:space="preserve">should </w:t>
      </w:r>
      <w:r>
        <w:t xml:space="preserve">be based on the total expense recognised under AASB 119, which is the equivalent of the </w:t>
      </w:r>
      <w:r>
        <w:lastRenderedPageBreak/>
        <w:t xml:space="preserve">contributions payable to the plan, for services provided by the executive in the reporting period. </w:t>
      </w:r>
      <w:r w:rsidR="00FF13D6">
        <w:t xml:space="preserve">The </w:t>
      </w:r>
      <w:r w:rsidR="00B652DF">
        <w:t xml:space="preserve">compulsory superannuation </w:t>
      </w:r>
      <w:r w:rsidR="00FF13D6">
        <w:t xml:space="preserve">contribution </w:t>
      </w:r>
      <w:r w:rsidR="00B652DF">
        <w:t xml:space="preserve">rate </w:t>
      </w:r>
      <w:r w:rsidR="00FF13D6">
        <w:t xml:space="preserve">is currently </w:t>
      </w:r>
      <w:r w:rsidR="0043699B">
        <w:t>11</w:t>
      </w:r>
      <w:r w:rsidR="00FF13D6">
        <w:t xml:space="preserve"> per cent</w:t>
      </w:r>
      <w:r w:rsidR="00B652DF">
        <w:t xml:space="preserve"> for the financial reporting period ending 30 June </w:t>
      </w:r>
      <w:r w:rsidR="0043699B">
        <w:t>2024</w:t>
      </w:r>
      <w:r w:rsidR="00FF13D6">
        <w:t xml:space="preserve">. </w:t>
      </w:r>
    </w:p>
    <w:p w14:paraId="151AFCAC" w14:textId="005658F1" w:rsidR="00E277C4" w:rsidRDefault="00903970" w:rsidP="004D555A">
      <w:r w:rsidRPr="00356FBF">
        <w:t xml:space="preserve">For </w:t>
      </w:r>
      <w:r w:rsidRPr="00356FBF">
        <w:rPr>
          <w:b/>
        </w:rPr>
        <w:t>defined benefit plans</w:t>
      </w:r>
      <w:r w:rsidR="00356FBF">
        <w:t xml:space="preserve">, the amount disclosed </w:t>
      </w:r>
      <w:r w:rsidR="00FD4811">
        <w:t>should</w:t>
      </w:r>
      <w:r w:rsidR="00356FBF">
        <w:t xml:space="preserve"> be based on the total expense recognised under AASB 119. Appendix I of the </w:t>
      </w:r>
      <w:r w:rsidR="00356FBF" w:rsidRPr="00A96EBF">
        <w:rPr>
          <w:i/>
        </w:rPr>
        <w:t>Victorian Public Sector Executive Employment Handbook</w:t>
      </w:r>
      <w:r w:rsidR="00356FBF">
        <w:t xml:space="preserve"> provides</w:t>
      </w:r>
      <w:r w:rsidR="00356FBF" w:rsidRPr="00356FBF">
        <w:t xml:space="preserve"> </w:t>
      </w:r>
      <w:r w:rsidR="00356FBF">
        <w:t>employment contribution rates</w:t>
      </w:r>
      <w:r w:rsidR="00356FBF" w:rsidRPr="00356FBF">
        <w:t xml:space="preserve"> </w:t>
      </w:r>
      <w:r w:rsidR="00356FBF">
        <w:t xml:space="preserve">to </w:t>
      </w:r>
      <w:r w:rsidR="0053004A">
        <w:t>calculate</w:t>
      </w:r>
      <w:r w:rsidR="00356FBF">
        <w:t xml:space="preserve"> the cost of superannuation that is deducted from the TRP</w:t>
      </w:r>
      <w:r w:rsidR="0053004A">
        <w:t xml:space="preserve"> </w:t>
      </w:r>
      <w:r w:rsidR="00E277C4">
        <w:t xml:space="preserve">of executives who remain members of the plan. </w:t>
      </w:r>
    </w:p>
    <w:p w14:paraId="1A5CA45E" w14:textId="3900266F" w:rsidR="0017570F" w:rsidRDefault="00356FBF" w:rsidP="004D555A">
      <w:r>
        <w:t>Note h</w:t>
      </w:r>
      <w:r w:rsidR="004D555A" w:rsidRPr="00356FBF">
        <w:t>owever</w:t>
      </w:r>
      <w:r w:rsidR="004D555A" w:rsidRPr="003444C4">
        <w:t xml:space="preserve">, the expense recognised under AASB 119 </w:t>
      </w:r>
      <w:r w:rsidR="00FD4811">
        <w:t>may differ</w:t>
      </w:r>
      <w:r w:rsidR="004D555A" w:rsidRPr="003444C4">
        <w:t xml:space="preserve"> from the contributions payable to the plan</w:t>
      </w:r>
      <w:r w:rsidR="0074327E">
        <w:t>. A</w:t>
      </w:r>
      <w:r w:rsidR="00FD4811">
        <w:t>s</w:t>
      </w:r>
      <w:r w:rsidR="004D555A" w:rsidRPr="003444C4">
        <w:t xml:space="preserve"> the contributions payable do not reflect the benefits provided by the entity in exchange for services provided by the employee, </w:t>
      </w:r>
      <w:r w:rsidR="004D555A" w:rsidRPr="00356FBF">
        <w:t xml:space="preserve">entities </w:t>
      </w:r>
      <w:r w:rsidR="00FD4811">
        <w:t>should</w:t>
      </w:r>
      <w:r w:rsidR="00C22C4A">
        <w:t xml:space="preserve"> include </w:t>
      </w:r>
      <w:r w:rsidR="0017570F">
        <w:t>the following</w:t>
      </w:r>
      <w:r w:rsidR="00C22C4A">
        <w:t xml:space="preserve"> footnote</w:t>
      </w:r>
      <w:r w:rsidR="0017570F">
        <w:t xml:space="preserve">: </w:t>
      </w:r>
    </w:p>
    <w:p w14:paraId="4F0810DD" w14:textId="6A90F27F" w:rsidR="0053004A" w:rsidRPr="00B31F1C" w:rsidRDefault="00C018A1" w:rsidP="00C018A1">
      <w:pPr>
        <w:ind w:left="284" w:right="237"/>
        <w:rPr>
          <w:i/>
        </w:rPr>
      </w:pPr>
      <w:r w:rsidRPr="00B31F1C">
        <w:rPr>
          <w:i/>
        </w:rPr>
        <w:t xml:space="preserve">Employer superannuation contributions disclosed for members of defined benefit plans represents the total expense recognised by the department/agency for the period. The </w:t>
      </w:r>
      <w:r w:rsidR="0017570F" w:rsidRPr="00B31F1C">
        <w:rPr>
          <w:i/>
        </w:rPr>
        <w:t xml:space="preserve">Victorian Government is committed to fully funding the plan for existing members by </w:t>
      </w:r>
      <w:r w:rsidR="00095C3E">
        <w:rPr>
          <w:i/>
        </w:rPr>
        <w:t>2035</w:t>
      </w:r>
      <w:r w:rsidR="0017570F" w:rsidRPr="00B31F1C">
        <w:rPr>
          <w:i/>
        </w:rPr>
        <w:t xml:space="preserve">, </w:t>
      </w:r>
      <w:r w:rsidR="00095C3E">
        <w:rPr>
          <w:i/>
        </w:rPr>
        <w:t>and the contributions to meet this commitment are paid at the Whole of State level and have not been included in this disclosure</w:t>
      </w:r>
      <w:r w:rsidR="0017570F" w:rsidRPr="00B31F1C">
        <w:rPr>
          <w:i/>
        </w:rPr>
        <w:t xml:space="preserve">. </w:t>
      </w:r>
      <w:r w:rsidR="00C22C4A" w:rsidRPr="00B31F1C">
        <w:t xml:space="preserve"> </w:t>
      </w:r>
    </w:p>
    <w:p w14:paraId="301AB30B" w14:textId="09695428" w:rsidR="005968D6" w:rsidRDefault="005968D6" w:rsidP="004D555A">
      <w:r w:rsidRPr="005968D6">
        <w:t xml:space="preserve">Refer to the illustrative example below on how to disclose </w:t>
      </w:r>
      <w:r>
        <w:t>superannuation contributions</w:t>
      </w:r>
      <w:r w:rsidRPr="005968D6">
        <w:t xml:space="preserve"> as part of an executive’s Total Remuneration Package.</w:t>
      </w:r>
    </w:p>
    <w:p w14:paraId="792559E7" w14:textId="7635030E" w:rsidR="005B78B8" w:rsidRPr="008018A3" w:rsidRDefault="00172412" w:rsidP="002D5EF7">
      <w:pPr>
        <w:pStyle w:val="Heading3"/>
        <w:numPr>
          <w:ilvl w:val="0"/>
          <w:numId w:val="43"/>
        </w:numPr>
        <w:ind w:left="426" w:hanging="426"/>
      </w:pPr>
      <w:r w:rsidRPr="008018A3">
        <w:t xml:space="preserve">How do we </w:t>
      </w:r>
      <w:r w:rsidR="00997905" w:rsidRPr="008018A3">
        <w:t>disclose</w:t>
      </w:r>
      <w:r w:rsidRPr="008018A3">
        <w:t xml:space="preserve"> annual leave and long service leave? </w:t>
      </w:r>
    </w:p>
    <w:p w14:paraId="6260D425" w14:textId="7B561D34" w:rsidR="00D40F6E" w:rsidRPr="00D40F6E" w:rsidRDefault="00FC47AB" w:rsidP="0013141E">
      <w:r>
        <w:t xml:space="preserve">For the purposes of the remuneration disclosure, annual leave and long service leave disclosed is the </w:t>
      </w:r>
      <w:r w:rsidR="00B42404">
        <w:t>e</w:t>
      </w:r>
      <w:r w:rsidR="00BA3506">
        <w:t>xecutive</w:t>
      </w:r>
      <w:r w:rsidR="00B42404">
        <w:t xml:space="preserve">’s </w:t>
      </w:r>
      <w:r>
        <w:t xml:space="preserve">entitlement for services </w:t>
      </w:r>
      <w:r w:rsidR="00783A68">
        <w:t>performe</w:t>
      </w:r>
      <w:r>
        <w:t>d during the year</w:t>
      </w:r>
      <w:r w:rsidR="00B053F2">
        <w:t xml:space="preserve">, </w:t>
      </w:r>
      <w:r>
        <w:t>irrespective of amounts paid or previously accrued, to align with AASB 119</w:t>
      </w:r>
      <w:r>
        <w:rPr>
          <w:i/>
        </w:rPr>
        <w:t xml:space="preserve">. </w:t>
      </w:r>
    </w:p>
    <w:p w14:paraId="3EC9F2EE" w14:textId="06F6F63C" w:rsidR="00E50AF1" w:rsidRDefault="00574B41" w:rsidP="00E50AF1">
      <w:pPr>
        <w:pStyle w:val="Heading4"/>
      </w:pPr>
      <w:r>
        <w:t>A</w:t>
      </w:r>
      <w:r w:rsidR="00712DA1">
        <w:t xml:space="preserve">nnual leave </w:t>
      </w:r>
      <w:r>
        <w:t>example</w:t>
      </w:r>
    </w:p>
    <w:p w14:paraId="3BAB349D" w14:textId="47237128" w:rsidR="00E50AF1" w:rsidRDefault="00E50AF1" w:rsidP="00E50AF1">
      <w:r>
        <w:t>Executive A works full-time for the 201X-</w:t>
      </w:r>
      <w:r w:rsidR="00D24C62">
        <w:t>1Y reporting period and is entitled to 4 weeks of annual leave</w:t>
      </w:r>
      <w:r w:rsidR="0049417C">
        <w:t xml:space="preserve"> each year</w:t>
      </w:r>
      <w:r w:rsidR="00D24C62">
        <w:t xml:space="preserve">. </w:t>
      </w:r>
      <w:r>
        <w:t xml:space="preserve">At 30 June 201Y, </w:t>
      </w:r>
      <w:r w:rsidR="0049417C">
        <w:t>s</w:t>
      </w:r>
      <w:r w:rsidR="00405E69">
        <w:t>he</w:t>
      </w:r>
      <w:r>
        <w:t xml:space="preserve"> has taken 2 weeks of annual leave, and has a carried forward leave balance </w:t>
      </w:r>
      <w:r w:rsidR="00FF1A54">
        <w:t xml:space="preserve">from prior years </w:t>
      </w:r>
      <w:r>
        <w:t>of 8 we</w:t>
      </w:r>
      <w:r w:rsidR="00311006">
        <w:t>eks</w:t>
      </w:r>
      <w:r>
        <w:t xml:space="preserve">.  </w:t>
      </w:r>
    </w:p>
    <w:p w14:paraId="30096462" w14:textId="5575E8CD" w:rsidR="00E50AF1" w:rsidRDefault="00E50AF1" w:rsidP="00E50AF1">
      <w:r w:rsidRPr="00FD4F3C">
        <w:t xml:space="preserve">For the remuneration disclosure required under AASB 124 for the 201X-1Y reporting period, the entity </w:t>
      </w:r>
      <w:r w:rsidR="00F7799D">
        <w:t xml:space="preserve">only </w:t>
      </w:r>
      <w:r w:rsidRPr="00FD4F3C">
        <w:t xml:space="preserve">discloses the annual leave entitlement of 4 </w:t>
      </w:r>
      <w:r w:rsidR="00405E69" w:rsidRPr="00FD4F3C">
        <w:t>weeks</w:t>
      </w:r>
      <w:r w:rsidR="007C3C6A" w:rsidRPr="00FD4F3C">
        <w:t xml:space="preserve"> (including any associated leave loading)</w:t>
      </w:r>
      <w:r w:rsidR="00405E69" w:rsidRPr="00FD4F3C">
        <w:t xml:space="preserve"> </w:t>
      </w:r>
      <w:r w:rsidR="000A099B" w:rsidRPr="00FD4F3C">
        <w:t xml:space="preserve">that Executive A </w:t>
      </w:r>
      <w:r w:rsidR="00BB204B" w:rsidRPr="00FD4F3C">
        <w:t>is entitled to</w:t>
      </w:r>
      <w:r w:rsidR="008A6BD3" w:rsidRPr="00FD4F3C">
        <w:t xml:space="preserve"> </w:t>
      </w:r>
      <w:r w:rsidR="00405E69" w:rsidRPr="00FD4F3C">
        <w:t>for services rendered in the current reporting period.</w:t>
      </w:r>
      <w:r w:rsidR="00405E69">
        <w:t xml:space="preserve"> </w:t>
      </w:r>
    </w:p>
    <w:p w14:paraId="7338AD93" w14:textId="1438730D" w:rsidR="00712DA1" w:rsidRDefault="00574B41" w:rsidP="00712DA1">
      <w:pPr>
        <w:pStyle w:val="Heading4"/>
      </w:pPr>
      <w:r>
        <w:t>L</w:t>
      </w:r>
      <w:r w:rsidR="00712DA1">
        <w:t>ong service leave</w:t>
      </w:r>
      <w:r>
        <w:t xml:space="preserve"> example </w:t>
      </w:r>
    </w:p>
    <w:p w14:paraId="7B4A3158" w14:textId="35B8EAC4" w:rsidR="0020362D" w:rsidRPr="001C0A09" w:rsidRDefault="007371A0" w:rsidP="00E50AF1">
      <w:r w:rsidRPr="001C0A09">
        <w:t xml:space="preserve">Executive A has worked full-time for </w:t>
      </w:r>
      <w:r w:rsidR="00886FB8" w:rsidRPr="001C0A09">
        <w:t>one entity</w:t>
      </w:r>
      <w:r w:rsidRPr="001C0A09">
        <w:t xml:space="preserve"> </w:t>
      </w:r>
      <w:r w:rsidR="00BA4C79" w:rsidRPr="001C0A09">
        <w:t xml:space="preserve">for 8 years. </w:t>
      </w:r>
      <w:r w:rsidR="0020362D" w:rsidRPr="001C0A09">
        <w:t>As Executive A has completed more than 7 years of service</w:t>
      </w:r>
      <w:r w:rsidR="00A96299" w:rsidRPr="001C0A09">
        <w:t xml:space="preserve">, </w:t>
      </w:r>
      <w:r w:rsidR="0049417C">
        <w:t>s</w:t>
      </w:r>
      <w:r w:rsidR="00A96299" w:rsidRPr="001C0A09">
        <w:t xml:space="preserve">he has met the vesting period for </w:t>
      </w:r>
      <w:r w:rsidR="0049417C" w:rsidRPr="001C0A09">
        <w:t>h</w:t>
      </w:r>
      <w:r w:rsidR="0049417C">
        <w:t>er</w:t>
      </w:r>
      <w:r w:rsidR="0049417C" w:rsidRPr="001C0A09">
        <w:t xml:space="preserve"> </w:t>
      </w:r>
      <w:r w:rsidR="00A96299" w:rsidRPr="001C0A09">
        <w:t xml:space="preserve">long service leave entitlement to be paid out on termination/resignation. </w:t>
      </w:r>
    </w:p>
    <w:p w14:paraId="3B692F69" w14:textId="03E278FA" w:rsidR="00632214" w:rsidRPr="00632214" w:rsidRDefault="00632214" w:rsidP="00BA4C79">
      <w:r w:rsidRPr="00632214">
        <w:t>In accordance with</w:t>
      </w:r>
      <w:r w:rsidR="00A96299" w:rsidRPr="00632214">
        <w:t xml:space="preserve"> the </w:t>
      </w:r>
      <w:r w:rsidR="0032780B" w:rsidRPr="00632214">
        <w:rPr>
          <w:i/>
        </w:rPr>
        <w:t>Victorian Public Sector</w:t>
      </w:r>
      <w:r w:rsidR="001C387D" w:rsidRPr="00632214">
        <w:rPr>
          <w:i/>
        </w:rPr>
        <w:t xml:space="preserve"> Enterprise Agreement 2016</w:t>
      </w:r>
      <w:r w:rsidRPr="00632214">
        <w:t xml:space="preserve"> and the </w:t>
      </w:r>
      <w:r w:rsidRPr="00632214">
        <w:rPr>
          <w:i/>
        </w:rPr>
        <w:t>Victorian Public Sector Executive Employment Handbook</w:t>
      </w:r>
      <w:r w:rsidR="008529E9" w:rsidRPr="00632214">
        <w:rPr>
          <w:i/>
        </w:rPr>
        <w:t>,</w:t>
      </w:r>
      <w:r w:rsidR="00A96299" w:rsidRPr="00632214">
        <w:t xml:space="preserve"> </w:t>
      </w:r>
      <w:r w:rsidRPr="00632214">
        <w:t>Executive A is entitled to three months paid long service leave every ten years of continuous service in the Victorian Public Sector (i.e. 1.3 weeks per year).</w:t>
      </w:r>
    </w:p>
    <w:p w14:paraId="6CAB2616" w14:textId="5CEC2897" w:rsidR="00BA4C79" w:rsidRDefault="00BA4C79" w:rsidP="00BA4C79">
      <w:r w:rsidRPr="00DD5C03">
        <w:t xml:space="preserve">For the remuneration disclosure required under AASB 124 for the 201X-1Y reporting period, the entity discloses the long service leave entitlement of </w:t>
      </w:r>
      <w:r w:rsidR="00476FE4" w:rsidRPr="00DD5C03">
        <w:t>1.3</w:t>
      </w:r>
      <w:r w:rsidRPr="00DD5C03">
        <w:t xml:space="preserve"> weeks that Executive A is entitled to for services </w:t>
      </w:r>
      <w:r w:rsidR="00783A68" w:rsidRPr="00DD5C03">
        <w:t>performe</w:t>
      </w:r>
      <w:r w:rsidRPr="00DD5C03">
        <w:t>d in the current reporting period.</w:t>
      </w:r>
      <w:r>
        <w:t xml:space="preserve"> </w:t>
      </w:r>
      <w:r w:rsidR="006E421A">
        <w:t xml:space="preserve"> </w:t>
      </w:r>
    </w:p>
    <w:p w14:paraId="64F5A532" w14:textId="77777777" w:rsidR="004245E6" w:rsidRDefault="004245E6" w:rsidP="004245E6">
      <w:r w:rsidRPr="005968D6">
        <w:t xml:space="preserve">Refer to the illustrative example below on how to disclose </w:t>
      </w:r>
      <w:r>
        <w:t>annual leave and long service leave</w:t>
      </w:r>
      <w:r w:rsidRPr="005968D6">
        <w:t xml:space="preserve"> as part of an executive’s Total Remuneration Package.</w:t>
      </w:r>
    </w:p>
    <w:p w14:paraId="5E557417" w14:textId="73048366" w:rsidR="00071EAB" w:rsidRDefault="00071EAB" w:rsidP="00071EAB">
      <w:pPr>
        <w:pStyle w:val="Heading4"/>
      </w:pPr>
      <w:r>
        <w:lastRenderedPageBreak/>
        <w:t xml:space="preserve">Other leave considerations </w:t>
      </w:r>
    </w:p>
    <w:p w14:paraId="66D5E40F" w14:textId="2BD9D1E1" w:rsidR="00032502" w:rsidRPr="00F9183F" w:rsidRDefault="00FE7580" w:rsidP="00E50AF1">
      <w:pPr>
        <w:rPr>
          <w:b/>
        </w:rPr>
      </w:pPr>
      <w:r w:rsidRPr="00FE7580">
        <w:t>N</w:t>
      </w:r>
      <w:r w:rsidR="0020362D" w:rsidRPr="00FE7580">
        <w:t>on</w:t>
      </w:r>
      <w:r w:rsidR="00032502" w:rsidRPr="00FE7580">
        <w:t>-vesting entitlements</w:t>
      </w:r>
      <w:r w:rsidR="00032502" w:rsidRPr="00F9183F">
        <w:t xml:space="preserve"> are when employees are not entitled to payment on termination or resignation</w:t>
      </w:r>
      <w:r w:rsidR="00525017">
        <w:t>,</w:t>
      </w:r>
      <w:r w:rsidR="00032502" w:rsidRPr="00F9183F">
        <w:t xml:space="preserve"> consistent with the requirements of AASB 119 (i.e. when the employee has not met the vesting period for their </w:t>
      </w:r>
      <w:r w:rsidR="001718F9">
        <w:t xml:space="preserve">long service leave </w:t>
      </w:r>
      <w:r w:rsidR="00032502" w:rsidRPr="00F9183F">
        <w:t xml:space="preserve">entitlement to be paid out). </w:t>
      </w:r>
    </w:p>
    <w:p w14:paraId="71232145" w14:textId="151953A1" w:rsidR="00E36CBF" w:rsidRDefault="00032502" w:rsidP="00E50AF1">
      <w:r w:rsidRPr="00F9183F">
        <w:t xml:space="preserve">In accordance with </w:t>
      </w:r>
      <w:r w:rsidR="00525017">
        <w:t>the standard</w:t>
      </w:r>
      <w:r w:rsidRPr="00F9183F">
        <w:t>, a liability for non-vesting leave</w:t>
      </w:r>
      <w:r w:rsidR="00573D31">
        <w:t xml:space="preserve"> </w:t>
      </w:r>
      <w:r w:rsidRPr="00F9183F">
        <w:t xml:space="preserve">is recognised when the entity has assessed that </w:t>
      </w:r>
      <w:r w:rsidR="00511943">
        <w:t>there is a</w:t>
      </w:r>
      <w:r w:rsidRPr="00F9183F">
        <w:t xml:space="preserve"> high </w:t>
      </w:r>
      <w:r w:rsidR="00511943" w:rsidRPr="00F9183F">
        <w:t>probab</w:t>
      </w:r>
      <w:r w:rsidR="00511943">
        <w:t>ility</w:t>
      </w:r>
      <w:r w:rsidR="00511943" w:rsidRPr="00F9183F">
        <w:t xml:space="preserve"> </w:t>
      </w:r>
      <w:r w:rsidRPr="00F9183F">
        <w:t xml:space="preserve">that employees will </w:t>
      </w:r>
      <w:r w:rsidR="00064969">
        <w:t xml:space="preserve">be </w:t>
      </w:r>
      <w:r w:rsidRPr="00F9183F">
        <w:t xml:space="preserve">entitled to their entitlement (i.e. the likelihood that the </w:t>
      </w:r>
      <w:r w:rsidR="00064969">
        <w:t xml:space="preserve">leave entitlement will vest and therefore there is a high probability that the </w:t>
      </w:r>
      <w:r w:rsidRPr="00F9183F">
        <w:t xml:space="preserve">liability will crystalise). </w:t>
      </w:r>
      <w:r w:rsidR="00F9183F">
        <w:t xml:space="preserve">This assessment </w:t>
      </w:r>
      <w:r w:rsidR="00064969">
        <w:t xml:space="preserve">will be </w:t>
      </w:r>
      <w:r w:rsidR="00F9183F">
        <w:t xml:space="preserve">based on </w:t>
      </w:r>
      <w:r w:rsidR="00F9183F" w:rsidRPr="00F9183F">
        <w:t>management’s</w:t>
      </w:r>
      <w:r w:rsidR="00064969">
        <w:t xml:space="preserve"> judgement and dependent on their</w:t>
      </w:r>
      <w:r w:rsidR="00F9183F" w:rsidRPr="00F9183F">
        <w:t xml:space="preserve"> own reasonable expectations and their internal policies</w:t>
      </w:r>
      <w:r w:rsidR="00F9183F">
        <w:t xml:space="preserve">. </w:t>
      </w:r>
    </w:p>
    <w:p w14:paraId="3CBE6DC2" w14:textId="7B560C40" w:rsidR="00056B23" w:rsidRDefault="00F9183F" w:rsidP="00E50AF1">
      <w:r w:rsidRPr="001F650C">
        <w:t>For the purposes</w:t>
      </w:r>
      <w:r w:rsidR="00D24789" w:rsidRPr="001F650C">
        <w:t xml:space="preserve"> of the remuneration disclosure, </w:t>
      </w:r>
      <w:r w:rsidR="001F650C" w:rsidRPr="001F650C">
        <w:t>the methodology for disclosing</w:t>
      </w:r>
      <w:r w:rsidR="00D73C95" w:rsidRPr="001F650C">
        <w:t xml:space="preserve"> non-vesting entitlements should </w:t>
      </w:r>
      <w:r w:rsidR="001F650C" w:rsidRPr="001F650C">
        <w:t>align with how long service leave liabilities are recognised in the employee benefits disclosure</w:t>
      </w:r>
      <w:r w:rsidR="001F650C">
        <w:t xml:space="preserve"> of the entity’s financial statements. </w:t>
      </w:r>
    </w:p>
    <w:p w14:paraId="7A9A2D7C" w14:textId="3E69E668" w:rsidR="00177594" w:rsidRDefault="000E6F93" w:rsidP="00E50AF1">
      <w:r>
        <w:t>In general,</w:t>
      </w:r>
      <w:r w:rsidR="00677903">
        <w:t xml:space="preserve"> Victorian public sector entities do not provide a liability for sick leave</w:t>
      </w:r>
      <w:r w:rsidR="00D60068">
        <w:t xml:space="preserve"> as it is non vesting</w:t>
      </w:r>
      <w:r w:rsidR="00677903">
        <w:t xml:space="preserve">, </w:t>
      </w:r>
      <w:r w:rsidR="00D60068">
        <w:t>so</w:t>
      </w:r>
      <w:r w:rsidR="00677903">
        <w:t xml:space="preserve"> it is recognised when incurred. </w:t>
      </w:r>
    </w:p>
    <w:p w14:paraId="5DF793DD" w14:textId="7A268C40" w:rsidR="002D5EF7" w:rsidRPr="00745C4D" w:rsidRDefault="00B21096" w:rsidP="00971E0C">
      <w:pPr>
        <w:pStyle w:val="Heading3"/>
      </w:pPr>
      <w:r w:rsidRPr="00745C4D">
        <w:t xml:space="preserve">Illustrative example </w:t>
      </w:r>
    </w:p>
    <w:p w14:paraId="3A0F8D02" w14:textId="3A5C89A6" w:rsidR="00971E0C" w:rsidRDefault="00971E0C" w:rsidP="00971E0C">
      <w:pPr>
        <w:pStyle w:val="Heading4"/>
      </w:pPr>
      <w:r>
        <w:t>Example 1</w:t>
      </w:r>
      <w:r w:rsidR="005208E5">
        <w:t xml:space="preserve"> – Where the </w:t>
      </w:r>
      <w:r w:rsidR="005A56EF">
        <w:t>e</w:t>
      </w:r>
      <w:r w:rsidR="005208E5">
        <w:t xml:space="preserve">xecutive has not taken any long service leave </w:t>
      </w:r>
      <w:r w:rsidR="005A56EF">
        <w:t>during</w:t>
      </w:r>
      <w:r w:rsidR="005208E5">
        <w:t xml:space="preserve"> the period</w:t>
      </w:r>
    </w:p>
    <w:p w14:paraId="7DF0651D" w14:textId="349C30D4" w:rsidR="002D5EF7" w:rsidRPr="000A099B" w:rsidRDefault="002D5EF7" w:rsidP="002D5EF7">
      <w:r w:rsidRPr="000A099B">
        <w:t xml:space="preserve">Executive A </w:t>
      </w:r>
      <w:r w:rsidR="008A1D46">
        <w:t>has been</w:t>
      </w:r>
      <w:r w:rsidRPr="000A099B">
        <w:t xml:space="preserve"> employed by </w:t>
      </w:r>
      <w:r>
        <w:t>a department</w:t>
      </w:r>
      <w:r w:rsidRPr="000A099B">
        <w:t xml:space="preserve"> on a full-time basis</w:t>
      </w:r>
      <w:r w:rsidR="008A1D46">
        <w:t xml:space="preserve"> for </w:t>
      </w:r>
      <w:r w:rsidR="00971E0C">
        <w:t xml:space="preserve">10 </w:t>
      </w:r>
      <w:r w:rsidR="008A1D46">
        <w:t>years</w:t>
      </w:r>
      <w:r w:rsidRPr="000A099B">
        <w:t>. Executive A’s tot</w:t>
      </w:r>
      <w:r>
        <w:t xml:space="preserve">al remuneration package is $225 </w:t>
      </w:r>
      <w:r w:rsidRPr="000A099B">
        <w:t xml:space="preserve">000 per year, and </w:t>
      </w:r>
      <w:r>
        <w:t xml:space="preserve">receives </w:t>
      </w:r>
      <w:r w:rsidRPr="000A099B">
        <w:t>her TRP as follows:</w:t>
      </w:r>
    </w:p>
    <w:p w14:paraId="0A6415F4" w14:textId="50DF68CC" w:rsidR="002D5EF7" w:rsidRPr="00092587" w:rsidRDefault="002D5EF7" w:rsidP="002D5EF7">
      <w:pPr>
        <w:pStyle w:val="Bullet1"/>
      </w:pPr>
      <w:r>
        <w:t xml:space="preserve">$175 </w:t>
      </w:r>
      <w:r w:rsidRPr="00092587">
        <w:t xml:space="preserve">000 </w:t>
      </w:r>
      <w:r>
        <w:t xml:space="preserve">as </w:t>
      </w:r>
      <w:r w:rsidRPr="00092587">
        <w:t>salary</w:t>
      </w:r>
      <w:r w:rsidR="001E0514">
        <w:t xml:space="preserve"> </w:t>
      </w:r>
      <w:r w:rsidR="001E0514" w:rsidRPr="00AA1FFD">
        <w:t>(</w:t>
      </w:r>
      <w:r w:rsidR="00DD2F84">
        <w:t xml:space="preserve">includes </w:t>
      </w:r>
      <w:r w:rsidR="001E0514" w:rsidRPr="00AA1FFD">
        <w:t>48 weeks of work plus 4 weeks annual leave entitlement)</w:t>
      </w:r>
      <w:r w:rsidRPr="00AA1FFD">
        <w:t>;</w:t>
      </w:r>
    </w:p>
    <w:p w14:paraId="3CAAF441" w14:textId="5A3689A8" w:rsidR="002D5EF7" w:rsidRPr="00092587" w:rsidRDefault="002D5EF7" w:rsidP="002D5EF7">
      <w:pPr>
        <w:pStyle w:val="Bullet1"/>
      </w:pPr>
      <w:r>
        <w:t>$</w:t>
      </w:r>
      <w:r w:rsidR="00D52B43">
        <w:t>21 375</w:t>
      </w:r>
      <w:r w:rsidRPr="00092587">
        <w:t xml:space="preserve"> of employer superannuation contributions</w:t>
      </w:r>
      <w:r w:rsidRPr="00974843">
        <w:t>;</w:t>
      </w:r>
      <w:r w:rsidRPr="00092587">
        <w:t xml:space="preserve"> </w:t>
      </w:r>
    </w:p>
    <w:p w14:paraId="05692773" w14:textId="77777777" w:rsidR="002D5EF7" w:rsidRPr="00092587" w:rsidRDefault="002D5EF7" w:rsidP="002D5EF7">
      <w:pPr>
        <w:pStyle w:val="Bullet1"/>
      </w:pPr>
      <w:r>
        <w:t xml:space="preserve">$16 </w:t>
      </w:r>
      <w:r w:rsidRPr="00092587">
        <w:t xml:space="preserve">625 for a motor vehicle under the Executive Motor Vehicle Scheme; and </w:t>
      </w:r>
    </w:p>
    <w:p w14:paraId="2E1B2558" w14:textId="37F40064" w:rsidR="002D5EF7" w:rsidRPr="000A099B" w:rsidRDefault="002D5EF7" w:rsidP="00CF2E0D">
      <w:pPr>
        <w:pStyle w:val="Bullet1"/>
        <w:tabs>
          <w:tab w:val="clear" w:pos="360"/>
        </w:tabs>
      </w:pPr>
      <w:r>
        <w:t>$</w:t>
      </w:r>
      <w:r w:rsidR="00F62F40">
        <w:t>1</w:t>
      </w:r>
      <w:r w:rsidR="00D52B43">
        <w:t>2</w:t>
      </w:r>
      <w:r w:rsidR="00F62F40">
        <w:t xml:space="preserve"> </w:t>
      </w:r>
      <w:r w:rsidR="00D52B43">
        <w:t>00</w:t>
      </w:r>
      <w:r w:rsidR="00F62F40" w:rsidRPr="00092587">
        <w:t xml:space="preserve">0 </w:t>
      </w:r>
      <w:r w:rsidRPr="00092587">
        <w:t>additional pr</w:t>
      </w:r>
      <w:r w:rsidR="00213BE3">
        <w:t xml:space="preserve">e-tax contributions made to </w:t>
      </w:r>
      <w:r>
        <w:t>her</w:t>
      </w:r>
      <w:r w:rsidRPr="00092587">
        <w:t xml:space="preserve"> super</w:t>
      </w:r>
      <w:r>
        <w:t>annuation</w:t>
      </w:r>
      <w:r w:rsidRPr="00092587">
        <w:t xml:space="preserve"> fund</w:t>
      </w:r>
      <w:r w:rsidRPr="000A099B">
        <w:t>.</w:t>
      </w:r>
    </w:p>
    <w:p w14:paraId="4CFAEF75" w14:textId="206CC15E" w:rsidR="008A1D46" w:rsidRDefault="00235985" w:rsidP="002D5EF7">
      <w:r>
        <w:t xml:space="preserve">For the </w:t>
      </w:r>
      <w:r w:rsidR="008A1D46">
        <w:t>30 June</w:t>
      </w:r>
      <w:r>
        <w:t xml:space="preserve"> 201Y reporting period</w:t>
      </w:r>
      <w:r w:rsidR="008A1D46">
        <w:t xml:space="preserve">, </w:t>
      </w:r>
      <w:r w:rsidR="00074729">
        <w:t xml:space="preserve">Executive </w:t>
      </w:r>
      <w:r>
        <w:t xml:space="preserve">A has accrued a </w:t>
      </w:r>
      <w:r w:rsidR="008A1D46" w:rsidRPr="001C0A09">
        <w:t xml:space="preserve">long service leave entitlement </w:t>
      </w:r>
      <w:r>
        <w:t xml:space="preserve">of </w:t>
      </w:r>
      <w:r w:rsidR="0043246D">
        <w:t>1.3</w:t>
      </w:r>
      <w:r w:rsidR="008A1D46" w:rsidRPr="001C0A09">
        <w:t xml:space="preserve"> weeks</w:t>
      </w:r>
      <w:r w:rsidR="00494E56">
        <w:t xml:space="preserve"> ($</w:t>
      </w:r>
      <w:r w:rsidR="0043246D">
        <w:t>4 375</w:t>
      </w:r>
      <w:r w:rsidR="00494E56">
        <w:t>)</w:t>
      </w:r>
      <w:r w:rsidR="00706676">
        <w:t>. This</w:t>
      </w:r>
      <w:r w:rsidR="008A1D46">
        <w:t xml:space="preserve"> is calculated as being</w:t>
      </w:r>
      <w:r w:rsidR="00706676">
        <w:t xml:space="preserve"> </w:t>
      </w:r>
      <w:r w:rsidR="00841BCD">
        <w:t>her</w:t>
      </w:r>
      <w:r w:rsidR="00706676">
        <w:t xml:space="preserve"> weekly salary amount of </w:t>
      </w:r>
      <w:r w:rsidR="00494E56">
        <w:t xml:space="preserve">$3 </w:t>
      </w:r>
      <w:r w:rsidR="000D1293">
        <w:t>365 ($175 000 / 52 </w:t>
      </w:r>
      <w:r w:rsidR="00706676">
        <w:t xml:space="preserve">weeks) multiplied by </w:t>
      </w:r>
      <w:r w:rsidR="00841BCD">
        <w:t>her</w:t>
      </w:r>
      <w:r w:rsidR="00706676">
        <w:t xml:space="preserve"> long service l</w:t>
      </w:r>
      <w:r w:rsidR="00494E56">
        <w:t xml:space="preserve">eave entitlement of </w:t>
      </w:r>
      <w:r w:rsidR="0043246D">
        <w:t>1.3</w:t>
      </w:r>
      <w:r w:rsidR="00494E56">
        <w:t xml:space="preserve"> weeks</w:t>
      </w:r>
      <w:r w:rsidR="008A1D46">
        <w:t xml:space="preserve">. </w:t>
      </w:r>
      <w:r w:rsidR="00DB6559">
        <w:t xml:space="preserve">During the year, Executive A </w:t>
      </w:r>
      <w:r>
        <w:t xml:space="preserve">has not taken </w:t>
      </w:r>
      <w:r w:rsidR="00DB6559">
        <w:t>any long service leave.</w:t>
      </w:r>
    </w:p>
    <w:p w14:paraId="62746E25" w14:textId="16F577A2" w:rsidR="002D5EF7" w:rsidRDefault="002D5EF7" w:rsidP="002D5EF7">
      <w:r w:rsidRPr="00092587">
        <w:t>For the remuneration disclosure required under AASB 124 for the 201X-1Y reporting period, the reporting entity discloses Executive A’s TRP of $225,000 which represents all monetary and non-monetary benefits paid</w:t>
      </w:r>
      <w:r>
        <w:t>,</w:t>
      </w:r>
      <w:r w:rsidRPr="00092587">
        <w:t xml:space="preserve"> </w:t>
      </w:r>
      <w:r w:rsidR="006373C5">
        <w:t xml:space="preserve">and </w:t>
      </w:r>
      <w:r w:rsidR="000A03BE">
        <w:t>her</w:t>
      </w:r>
      <w:r w:rsidR="006373C5">
        <w:t xml:space="preserve"> leave entitlements, </w:t>
      </w:r>
      <w:r w:rsidRPr="00092587">
        <w:t xml:space="preserve">as follows: </w:t>
      </w:r>
    </w:p>
    <w:tbl>
      <w:tblPr>
        <w:tblStyle w:val="TableGrid"/>
        <w:tblW w:w="9177" w:type="dxa"/>
        <w:tblInd w:w="57" w:type="dxa"/>
        <w:tblBorders>
          <w:bottom w:val="none" w:sz="0" w:space="0" w:color="auto"/>
        </w:tblBorders>
        <w:tblLook w:val="0260" w:firstRow="1" w:lastRow="1" w:firstColumn="0" w:lastColumn="0" w:noHBand="1" w:noVBand="0"/>
      </w:tblPr>
      <w:tblGrid>
        <w:gridCol w:w="3997"/>
        <w:gridCol w:w="1479"/>
        <w:gridCol w:w="3701"/>
      </w:tblGrid>
      <w:tr w:rsidR="00936D8E" w:rsidRPr="004D649B" w14:paraId="01A16761" w14:textId="129F4A84" w:rsidTr="006E3DA7">
        <w:trPr>
          <w:cnfStyle w:val="100000000000" w:firstRow="1" w:lastRow="0" w:firstColumn="0" w:lastColumn="0" w:oddVBand="0" w:evenVBand="0" w:oddHBand="0"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3997" w:type="dxa"/>
          </w:tcPr>
          <w:p w14:paraId="27B25EBB" w14:textId="578B4618" w:rsidR="00393777" w:rsidRPr="000A466E" w:rsidRDefault="00393777" w:rsidP="008E0A67">
            <w:pPr>
              <w:rPr>
                <w:sz w:val="18"/>
                <w:szCs w:val="18"/>
              </w:rPr>
            </w:pPr>
            <w:r w:rsidRPr="000A466E">
              <w:rPr>
                <w:sz w:val="18"/>
                <w:szCs w:val="18"/>
              </w:rPr>
              <w:t>Remuneration</w:t>
            </w:r>
            <w:r w:rsidR="004E3659">
              <w:rPr>
                <w:sz w:val="18"/>
                <w:szCs w:val="18"/>
              </w:rPr>
              <w:t xml:space="preserve"> </w:t>
            </w:r>
            <w:r>
              <w:rPr>
                <w:sz w:val="18"/>
                <w:szCs w:val="18"/>
              </w:rPr>
              <w:t xml:space="preserve">of Executive A </w:t>
            </w:r>
          </w:p>
        </w:tc>
        <w:tc>
          <w:tcPr>
            <w:cnfStyle w:val="000001000000" w:firstRow="0" w:lastRow="0" w:firstColumn="0" w:lastColumn="0" w:oddVBand="0" w:evenVBand="1" w:oddHBand="0" w:evenHBand="0" w:firstRowFirstColumn="0" w:firstRowLastColumn="0" w:lastRowFirstColumn="0" w:lastRowLastColumn="0"/>
            <w:tcW w:w="1479" w:type="dxa"/>
          </w:tcPr>
          <w:p w14:paraId="00E8E4E2" w14:textId="29252CE5" w:rsidR="00393777" w:rsidRPr="000A466E" w:rsidRDefault="00393777" w:rsidP="008E0A67">
            <w:pPr>
              <w:jc w:val="right"/>
              <w:rPr>
                <w:sz w:val="18"/>
                <w:szCs w:val="18"/>
              </w:rPr>
            </w:pPr>
            <w:r>
              <w:rPr>
                <w:sz w:val="18"/>
                <w:szCs w:val="18"/>
              </w:rPr>
              <w:t>201Y</w:t>
            </w:r>
            <w:r w:rsidR="00A13FDC">
              <w:rPr>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3701" w:type="dxa"/>
          </w:tcPr>
          <w:p w14:paraId="03FA56EA" w14:textId="31AB4422" w:rsidR="00393777" w:rsidRDefault="00747814" w:rsidP="00936D8E">
            <w:pPr>
              <w:ind w:left="84"/>
              <w:rPr>
                <w:sz w:val="18"/>
                <w:szCs w:val="18"/>
              </w:rPr>
            </w:pPr>
            <w:r>
              <w:rPr>
                <w:sz w:val="18"/>
                <w:szCs w:val="18"/>
              </w:rPr>
              <w:t>Note</w:t>
            </w:r>
          </w:p>
        </w:tc>
      </w:tr>
      <w:tr w:rsidR="00936D8E" w:rsidRPr="004D649B" w14:paraId="6F8C8180" w14:textId="35E501E3" w:rsidTr="00936D8E">
        <w:trPr>
          <w:trHeight w:val="823"/>
        </w:trPr>
        <w:tc>
          <w:tcPr>
            <w:cnfStyle w:val="000010000000" w:firstRow="0" w:lastRow="0" w:firstColumn="0" w:lastColumn="0" w:oddVBand="1" w:evenVBand="0" w:oddHBand="0" w:evenHBand="0" w:firstRowFirstColumn="0" w:firstRowLastColumn="0" w:lastRowFirstColumn="0" w:lastRowLastColumn="0"/>
            <w:tcW w:w="3997" w:type="dxa"/>
            <w:shd w:val="clear" w:color="auto" w:fill="auto"/>
          </w:tcPr>
          <w:p w14:paraId="2807AD56" w14:textId="77777777" w:rsidR="00393777" w:rsidRPr="000A466E" w:rsidRDefault="00393777" w:rsidP="008E0A67">
            <w:pPr>
              <w:jc w:val="left"/>
              <w:rPr>
                <w:sz w:val="18"/>
                <w:szCs w:val="18"/>
              </w:rPr>
            </w:pPr>
            <w:r>
              <w:rPr>
                <w:sz w:val="18"/>
                <w:szCs w:val="18"/>
              </w:rPr>
              <w:t>S</w:t>
            </w:r>
            <w:r w:rsidRPr="000A466E">
              <w:rPr>
                <w:sz w:val="18"/>
                <w:szCs w:val="18"/>
              </w:rPr>
              <w:t>hort-term benefits</w:t>
            </w:r>
          </w:p>
        </w:tc>
        <w:tc>
          <w:tcPr>
            <w:cnfStyle w:val="000001000000" w:firstRow="0" w:lastRow="0" w:firstColumn="0" w:lastColumn="0" w:oddVBand="0" w:evenVBand="1" w:oddHBand="0" w:evenHBand="0" w:firstRowFirstColumn="0" w:firstRowLastColumn="0" w:lastRowFirstColumn="0" w:lastRowLastColumn="0"/>
            <w:tcW w:w="1479" w:type="dxa"/>
            <w:shd w:val="clear" w:color="auto" w:fill="E3EBF4" w:themeFill="accent3" w:themeFillTint="33"/>
          </w:tcPr>
          <w:p w14:paraId="49918AF4" w14:textId="575A4F2C" w:rsidR="00393777" w:rsidRPr="000A466E" w:rsidRDefault="008C49D5" w:rsidP="00D52B43">
            <w:pPr>
              <w:rPr>
                <w:sz w:val="18"/>
                <w:szCs w:val="18"/>
              </w:rPr>
            </w:pPr>
            <w:r>
              <w:rPr>
                <w:sz w:val="18"/>
                <w:szCs w:val="18"/>
              </w:rPr>
              <w:t>20</w:t>
            </w:r>
            <w:r w:rsidR="00D52B43">
              <w:rPr>
                <w:sz w:val="18"/>
                <w:szCs w:val="18"/>
              </w:rPr>
              <w:t>3</w:t>
            </w:r>
            <w:r>
              <w:rPr>
                <w:sz w:val="18"/>
                <w:szCs w:val="18"/>
              </w:rPr>
              <w:t xml:space="preserve"> </w:t>
            </w:r>
            <w:r w:rsidR="00D52B43">
              <w:rPr>
                <w:sz w:val="18"/>
                <w:szCs w:val="18"/>
              </w:rPr>
              <w:t>62</w:t>
            </w:r>
            <w:r>
              <w:rPr>
                <w:sz w:val="18"/>
                <w:szCs w:val="18"/>
              </w:rPr>
              <w:t xml:space="preserve">5 </w:t>
            </w:r>
          </w:p>
        </w:tc>
        <w:tc>
          <w:tcPr>
            <w:cnfStyle w:val="000010000000" w:firstRow="0" w:lastRow="0" w:firstColumn="0" w:lastColumn="0" w:oddVBand="1" w:evenVBand="0" w:oddHBand="0" w:evenHBand="0" w:firstRowFirstColumn="0" w:firstRowLastColumn="0" w:lastRowFirstColumn="0" w:lastRowLastColumn="0"/>
            <w:tcW w:w="3701" w:type="dxa"/>
            <w:shd w:val="clear" w:color="auto" w:fill="auto"/>
            <w:vAlign w:val="center"/>
          </w:tcPr>
          <w:p w14:paraId="2D8621C1" w14:textId="758B2948" w:rsidR="00393777" w:rsidRPr="00936D8E" w:rsidRDefault="00393777" w:rsidP="003A0BAD">
            <w:pPr>
              <w:spacing w:before="0" w:after="0"/>
              <w:ind w:left="85"/>
              <w:jc w:val="left"/>
              <w:rPr>
                <w:i/>
                <w:sz w:val="18"/>
                <w:szCs w:val="18"/>
              </w:rPr>
            </w:pPr>
            <w:r w:rsidRPr="00936D8E">
              <w:rPr>
                <w:i/>
                <w:sz w:val="18"/>
                <w:szCs w:val="18"/>
              </w:rPr>
              <w:t>Representing Executive A’s TRP (includin</w:t>
            </w:r>
            <w:r w:rsidR="003A0BAD">
              <w:rPr>
                <w:i/>
                <w:sz w:val="18"/>
                <w:szCs w:val="18"/>
              </w:rPr>
              <w:t xml:space="preserve">g the annual leave entitlement), </w:t>
            </w:r>
            <w:r w:rsidRPr="00936D8E">
              <w:rPr>
                <w:i/>
                <w:sz w:val="18"/>
                <w:szCs w:val="18"/>
              </w:rPr>
              <w:t xml:space="preserve">minus </w:t>
            </w:r>
            <w:r w:rsidR="003A0BAD">
              <w:rPr>
                <w:i/>
                <w:sz w:val="18"/>
                <w:szCs w:val="18"/>
              </w:rPr>
              <w:t>the employer superannuation contribution</w:t>
            </w:r>
          </w:p>
        </w:tc>
      </w:tr>
      <w:tr w:rsidR="00936D8E" w:rsidRPr="004D649B" w14:paraId="73046151" w14:textId="0DC9BD1C" w:rsidTr="00936D8E">
        <w:trPr>
          <w:trHeight w:val="865"/>
        </w:trPr>
        <w:tc>
          <w:tcPr>
            <w:cnfStyle w:val="000010000000" w:firstRow="0" w:lastRow="0" w:firstColumn="0" w:lastColumn="0" w:oddVBand="1" w:evenVBand="0" w:oddHBand="0" w:evenHBand="0" w:firstRowFirstColumn="0" w:firstRowLastColumn="0" w:lastRowFirstColumn="0" w:lastRowLastColumn="0"/>
            <w:tcW w:w="3997" w:type="dxa"/>
            <w:shd w:val="clear" w:color="auto" w:fill="auto"/>
          </w:tcPr>
          <w:p w14:paraId="7C50FF56" w14:textId="77777777" w:rsidR="00393777" w:rsidRPr="000A466E" w:rsidRDefault="00393777" w:rsidP="008E0A67">
            <w:pPr>
              <w:jc w:val="left"/>
              <w:rPr>
                <w:sz w:val="18"/>
                <w:szCs w:val="18"/>
              </w:rPr>
            </w:pPr>
            <w:r w:rsidRPr="000A466E">
              <w:rPr>
                <w:sz w:val="18"/>
                <w:szCs w:val="18"/>
              </w:rPr>
              <w:t>Post-employment benefits</w:t>
            </w:r>
          </w:p>
        </w:tc>
        <w:tc>
          <w:tcPr>
            <w:cnfStyle w:val="000001000000" w:firstRow="0" w:lastRow="0" w:firstColumn="0" w:lastColumn="0" w:oddVBand="0" w:evenVBand="1" w:oddHBand="0" w:evenHBand="0" w:firstRowFirstColumn="0" w:firstRowLastColumn="0" w:lastRowFirstColumn="0" w:lastRowLastColumn="0"/>
            <w:tcW w:w="1479" w:type="dxa"/>
            <w:shd w:val="clear" w:color="auto" w:fill="E3EBF4" w:themeFill="accent3" w:themeFillTint="33"/>
          </w:tcPr>
          <w:p w14:paraId="4A607F67" w14:textId="08BBA2B3" w:rsidR="00393777" w:rsidRPr="000A466E" w:rsidRDefault="00D52B43" w:rsidP="008E0A67">
            <w:pPr>
              <w:rPr>
                <w:sz w:val="18"/>
                <w:szCs w:val="18"/>
              </w:rPr>
            </w:pPr>
            <w:r>
              <w:rPr>
                <w:sz w:val="18"/>
                <w:szCs w:val="18"/>
              </w:rPr>
              <w:t>21 375</w:t>
            </w:r>
          </w:p>
        </w:tc>
        <w:tc>
          <w:tcPr>
            <w:cnfStyle w:val="000010000000" w:firstRow="0" w:lastRow="0" w:firstColumn="0" w:lastColumn="0" w:oddVBand="1" w:evenVBand="0" w:oddHBand="0" w:evenHBand="0" w:firstRowFirstColumn="0" w:firstRowLastColumn="0" w:lastRowFirstColumn="0" w:lastRowLastColumn="0"/>
            <w:tcW w:w="3701" w:type="dxa"/>
            <w:shd w:val="clear" w:color="auto" w:fill="auto"/>
            <w:vAlign w:val="center"/>
          </w:tcPr>
          <w:p w14:paraId="0F68A667" w14:textId="62DA0E10" w:rsidR="00393777" w:rsidRPr="00936D8E" w:rsidRDefault="00393777" w:rsidP="003A0BAD">
            <w:pPr>
              <w:spacing w:before="0" w:after="0"/>
              <w:ind w:left="85"/>
              <w:jc w:val="left"/>
              <w:rPr>
                <w:i/>
                <w:sz w:val="18"/>
                <w:szCs w:val="18"/>
              </w:rPr>
            </w:pPr>
            <w:r w:rsidRPr="00936D8E">
              <w:rPr>
                <w:i/>
                <w:sz w:val="18"/>
                <w:szCs w:val="18"/>
              </w:rPr>
              <w:t xml:space="preserve">Representing </w:t>
            </w:r>
            <w:r w:rsidR="003A0BAD">
              <w:rPr>
                <w:i/>
                <w:sz w:val="18"/>
                <w:szCs w:val="18"/>
              </w:rPr>
              <w:t xml:space="preserve">the </w:t>
            </w:r>
            <w:r w:rsidRPr="00936D8E">
              <w:rPr>
                <w:i/>
                <w:sz w:val="18"/>
                <w:szCs w:val="18"/>
              </w:rPr>
              <w:t xml:space="preserve">employer superannuation </w:t>
            </w:r>
            <w:r w:rsidR="003A0BAD">
              <w:rPr>
                <w:i/>
                <w:sz w:val="18"/>
                <w:szCs w:val="18"/>
              </w:rPr>
              <w:t xml:space="preserve">contribution </w:t>
            </w:r>
            <w:r w:rsidRPr="00936D8E">
              <w:rPr>
                <w:i/>
                <w:sz w:val="18"/>
                <w:szCs w:val="18"/>
              </w:rPr>
              <w:t xml:space="preserve"> </w:t>
            </w:r>
          </w:p>
        </w:tc>
      </w:tr>
      <w:tr w:rsidR="00936D8E" w:rsidRPr="004D649B" w14:paraId="22695D42" w14:textId="3CC47EFB" w:rsidTr="00936D8E">
        <w:trPr>
          <w:trHeight w:val="563"/>
        </w:trPr>
        <w:tc>
          <w:tcPr>
            <w:cnfStyle w:val="000010000000" w:firstRow="0" w:lastRow="0" w:firstColumn="0" w:lastColumn="0" w:oddVBand="1" w:evenVBand="0" w:oddHBand="0" w:evenHBand="0" w:firstRowFirstColumn="0" w:firstRowLastColumn="0" w:lastRowFirstColumn="0" w:lastRowLastColumn="0"/>
            <w:tcW w:w="3997" w:type="dxa"/>
            <w:tcBorders>
              <w:bottom w:val="single" w:sz="4" w:space="0" w:color="auto"/>
            </w:tcBorders>
            <w:shd w:val="clear" w:color="auto" w:fill="auto"/>
          </w:tcPr>
          <w:p w14:paraId="6857AB5B" w14:textId="3F2B609A" w:rsidR="00393777" w:rsidRPr="000A466E" w:rsidRDefault="00393777" w:rsidP="00B21096">
            <w:pPr>
              <w:jc w:val="left"/>
              <w:rPr>
                <w:sz w:val="18"/>
                <w:szCs w:val="18"/>
              </w:rPr>
            </w:pPr>
            <w:r>
              <w:rPr>
                <w:sz w:val="18"/>
                <w:szCs w:val="18"/>
              </w:rPr>
              <w:t xml:space="preserve">Other long-term benefits </w:t>
            </w:r>
          </w:p>
        </w:tc>
        <w:tc>
          <w:tcPr>
            <w:cnfStyle w:val="000001000000" w:firstRow="0" w:lastRow="0" w:firstColumn="0" w:lastColumn="0" w:oddVBand="0" w:evenVBand="1" w:oddHBand="0" w:evenHBand="0" w:firstRowFirstColumn="0" w:firstRowLastColumn="0" w:lastRowFirstColumn="0" w:lastRowLastColumn="0"/>
            <w:tcW w:w="1479" w:type="dxa"/>
            <w:tcBorders>
              <w:bottom w:val="single" w:sz="4" w:space="0" w:color="auto"/>
            </w:tcBorders>
            <w:shd w:val="clear" w:color="auto" w:fill="E3EBF4" w:themeFill="accent3" w:themeFillTint="33"/>
          </w:tcPr>
          <w:p w14:paraId="0655BE12" w14:textId="4D1C4AFA" w:rsidR="00393777" w:rsidRDefault="0043246D" w:rsidP="007742A1">
            <w:pPr>
              <w:rPr>
                <w:noProof/>
                <w:sz w:val="18"/>
                <w:szCs w:val="18"/>
              </w:rPr>
            </w:pPr>
            <w:r>
              <w:rPr>
                <w:noProof/>
                <w:sz w:val="18"/>
                <w:szCs w:val="18"/>
              </w:rPr>
              <w:t>4 375</w:t>
            </w:r>
          </w:p>
        </w:tc>
        <w:tc>
          <w:tcPr>
            <w:cnfStyle w:val="000010000000" w:firstRow="0" w:lastRow="0" w:firstColumn="0" w:lastColumn="0" w:oddVBand="1" w:evenVBand="0" w:oddHBand="0" w:evenHBand="0" w:firstRowFirstColumn="0" w:firstRowLastColumn="0" w:lastRowFirstColumn="0" w:lastRowLastColumn="0"/>
            <w:tcW w:w="3701" w:type="dxa"/>
            <w:shd w:val="clear" w:color="auto" w:fill="auto"/>
            <w:vAlign w:val="center"/>
          </w:tcPr>
          <w:p w14:paraId="59483A8C" w14:textId="6B8A80A5" w:rsidR="00393777" w:rsidRPr="00936D8E" w:rsidRDefault="00393777" w:rsidP="00936D8E">
            <w:pPr>
              <w:spacing w:before="0" w:after="0"/>
              <w:ind w:left="85"/>
              <w:jc w:val="left"/>
              <w:rPr>
                <w:i/>
                <w:sz w:val="18"/>
                <w:szCs w:val="18"/>
              </w:rPr>
            </w:pPr>
            <w:r w:rsidRPr="00936D8E">
              <w:rPr>
                <w:i/>
                <w:sz w:val="18"/>
                <w:szCs w:val="18"/>
              </w:rPr>
              <w:t xml:space="preserve">Representing Executive A’s </w:t>
            </w:r>
            <w:r w:rsidR="003A0BAD">
              <w:rPr>
                <w:i/>
                <w:sz w:val="18"/>
                <w:szCs w:val="18"/>
              </w:rPr>
              <w:t>long service leave entitlement</w:t>
            </w:r>
            <w:r w:rsidR="00010225">
              <w:rPr>
                <w:i/>
                <w:sz w:val="18"/>
                <w:szCs w:val="18"/>
              </w:rPr>
              <w:t xml:space="preserve"> accrued during the period</w:t>
            </w:r>
          </w:p>
        </w:tc>
      </w:tr>
      <w:tr w:rsidR="00936D8E" w14:paraId="7AB72B48" w14:textId="42FB051F" w:rsidTr="00936D8E">
        <w:trPr>
          <w:cnfStyle w:val="010000000000" w:firstRow="0" w:lastRow="1" w:firstColumn="0" w:lastColumn="0" w:oddVBand="0" w:evenVBand="0" w:oddHBand="0"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3997" w:type="dxa"/>
            <w:tcBorders>
              <w:top w:val="single" w:sz="4" w:space="0" w:color="auto"/>
              <w:bottom w:val="single" w:sz="4" w:space="0" w:color="auto"/>
            </w:tcBorders>
            <w:shd w:val="clear" w:color="auto" w:fill="auto"/>
          </w:tcPr>
          <w:p w14:paraId="0A164489" w14:textId="77777777" w:rsidR="00393777" w:rsidRPr="00F308C5" w:rsidRDefault="00393777" w:rsidP="008E0A67">
            <w:pPr>
              <w:jc w:val="left"/>
              <w:rPr>
                <w:b w:val="0"/>
                <w:sz w:val="18"/>
                <w:szCs w:val="18"/>
                <w:vertAlign w:val="superscript"/>
              </w:rPr>
            </w:pPr>
            <w:r w:rsidRPr="00561135">
              <w:rPr>
                <w:sz w:val="18"/>
                <w:szCs w:val="18"/>
              </w:rPr>
              <w:t>Total remuneration</w:t>
            </w:r>
          </w:p>
        </w:tc>
        <w:tc>
          <w:tcPr>
            <w:cnfStyle w:val="000001000000" w:firstRow="0" w:lastRow="0" w:firstColumn="0" w:lastColumn="0" w:oddVBand="0" w:evenVBand="1" w:oddHBand="0" w:evenHBand="0" w:firstRowFirstColumn="0" w:firstRowLastColumn="0" w:lastRowFirstColumn="0" w:lastRowLastColumn="0"/>
            <w:tcW w:w="1479" w:type="dxa"/>
            <w:tcBorders>
              <w:top w:val="single" w:sz="4" w:space="0" w:color="auto"/>
              <w:bottom w:val="single" w:sz="4" w:space="0" w:color="auto"/>
            </w:tcBorders>
            <w:shd w:val="clear" w:color="auto" w:fill="E3EBF4" w:themeFill="accent3" w:themeFillTint="33"/>
          </w:tcPr>
          <w:p w14:paraId="134FE2A9" w14:textId="2ABE0DEB" w:rsidR="00393777" w:rsidRPr="00425B47" w:rsidRDefault="007F29B8" w:rsidP="007742A1">
            <w:pPr>
              <w:rPr>
                <w:sz w:val="18"/>
                <w:szCs w:val="18"/>
              </w:rPr>
            </w:pPr>
            <w:r>
              <w:rPr>
                <w:sz w:val="18"/>
                <w:szCs w:val="18"/>
              </w:rPr>
              <w:t>229 375</w:t>
            </w:r>
          </w:p>
        </w:tc>
        <w:tc>
          <w:tcPr>
            <w:cnfStyle w:val="000010000000" w:firstRow="0" w:lastRow="0" w:firstColumn="0" w:lastColumn="0" w:oddVBand="1" w:evenVBand="0" w:oddHBand="0" w:evenHBand="0" w:firstRowFirstColumn="0" w:firstRowLastColumn="0" w:lastRowFirstColumn="0" w:lastRowLastColumn="0"/>
            <w:tcW w:w="3701" w:type="dxa"/>
            <w:tcBorders>
              <w:top w:val="none" w:sz="0" w:space="0" w:color="auto"/>
              <w:bottom w:val="none" w:sz="0" w:space="0" w:color="auto"/>
            </w:tcBorders>
            <w:shd w:val="clear" w:color="auto" w:fill="auto"/>
          </w:tcPr>
          <w:p w14:paraId="33003E32" w14:textId="77777777" w:rsidR="00393777" w:rsidRPr="00425B47" w:rsidRDefault="00393777" w:rsidP="00425B47">
            <w:pPr>
              <w:rPr>
                <w:sz w:val="18"/>
                <w:szCs w:val="18"/>
              </w:rPr>
            </w:pPr>
          </w:p>
        </w:tc>
      </w:tr>
    </w:tbl>
    <w:p w14:paraId="247E7DD8" w14:textId="77777777" w:rsidR="002D5EF7" w:rsidRDefault="002D5EF7" w:rsidP="002D5EF7">
      <w:r>
        <w:lastRenderedPageBreak/>
        <w:t xml:space="preserve">During the 201X-1Y reporting period, Executive A is provided with a laptop and mobile phone. In addition, she attends a number of business conferences interstate, to which she receives travel, accommodation and meal allowances of $6,000 to cover all costs incurred for the trip. </w:t>
      </w:r>
    </w:p>
    <w:p w14:paraId="23AE8403" w14:textId="77777777" w:rsidR="002D5EF7" w:rsidRDefault="002D5EF7" w:rsidP="002D5EF7">
      <w:r w:rsidRPr="006B3F71">
        <w:t xml:space="preserve">For the remuneration disclosure required under AASB 124 for the 201X-1Y reporting period, the reporting entity excludes these </w:t>
      </w:r>
      <w:r>
        <w:t>benefits and allowances</w:t>
      </w:r>
      <w:r w:rsidRPr="006B3F71">
        <w:t xml:space="preserve"> when disclosing the remuneration for Executive A</w:t>
      </w:r>
      <w:r>
        <w:t xml:space="preserve">. This is because the benefits and allowances are incurred to assist the executive to perform her role, and do not form part of her TRP for the period. </w:t>
      </w:r>
    </w:p>
    <w:p w14:paraId="295E9F2F" w14:textId="65D6DC57" w:rsidR="00623526" w:rsidRDefault="00623526" w:rsidP="00623526">
      <w:pPr>
        <w:pStyle w:val="Heading4"/>
      </w:pPr>
      <w:r>
        <w:t>Example 2</w:t>
      </w:r>
      <w:r w:rsidR="005208E5">
        <w:t xml:space="preserve"> – Where the Executive has taken long service leave during the period </w:t>
      </w:r>
    </w:p>
    <w:p w14:paraId="5CD94CCD" w14:textId="1B10F6EA" w:rsidR="00623526" w:rsidRDefault="00623526" w:rsidP="00623526">
      <w:r w:rsidRPr="000A099B">
        <w:t xml:space="preserve">Executive </w:t>
      </w:r>
      <w:r w:rsidR="00E0077E">
        <w:t>B</w:t>
      </w:r>
      <w:r w:rsidRPr="000A099B">
        <w:t xml:space="preserve"> </w:t>
      </w:r>
      <w:r>
        <w:t>has been</w:t>
      </w:r>
      <w:r w:rsidRPr="000A099B">
        <w:t xml:space="preserve"> employed by </w:t>
      </w:r>
      <w:r>
        <w:t>a department</w:t>
      </w:r>
      <w:r w:rsidRPr="000A099B">
        <w:t xml:space="preserve"> on a full-time basis</w:t>
      </w:r>
      <w:r>
        <w:t xml:space="preserve"> for 10 years</w:t>
      </w:r>
      <w:r w:rsidRPr="000A099B">
        <w:t xml:space="preserve">. Executive </w:t>
      </w:r>
      <w:r w:rsidR="00E0077E">
        <w:t>B</w:t>
      </w:r>
      <w:r w:rsidRPr="000A099B">
        <w:t>’s tot</w:t>
      </w:r>
      <w:r>
        <w:t xml:space="preserve">al remuneration package is $225 </w:t>
      </w:r>
      <w:r w:rsidRPr="000A099B">
        <w:t>000 per year</w:t>
      </w:r>
      <w:r w:rsidR="00E0077E">
        <w:t xml:space="preserve">. </w:t>
      </w:r>
    </w:p>
    <w:p w14:paraId="4C9616EA" w14:textId="7D2B0898" w:rsidR="00905323" w:rsidRDefault="00905323" w:rsidP="00905323">
      <w:r>
        <w:t xml:space="preserve">For the 30 June 201Y reporting period, Executive </w:t>
      </w:r>
      <w:r w:rsidR="00B50826">
        <w:t>B</w:t>
      </w:r>
      <w:r>
        <w:t xml:space="preserve"> has accrued a </w:t>
      </w:r>
      <w:r w:rsidRPr="001C0A09">
        <w:t xml:space="preserve">long service leave entitlement </w:t>
      </w:r>
      <w:r w:rsidR="00D54B01">
        <w:t xml:space="preserve">of </w:t>
      </w:r>
      <w:r>
        <w:t>1.3</w:t>
      </w:r>
      <w:r w:rsidRPr="001C0A09">
        <w:t xml:space="preserve"> weeks</w:t>
      </w:r>
      <w:r>
        <w:t xml:space="preserve"> ($4 375). This is calculated as being h</w:t>
      </w:r>
      <w:r w:rsidR="00B50826">
        <w:t>is</w:t>
      </w:r>
      <w:r>
        <w:t xml:space="preserve"> weekly salary amount of $3 365 ($175 000 / 52</w:t>
      </w:r>
      <w:r w:rsidR="00AA22ED">
        <w:t> </w:t>
      </w:r>
      <w:r>
        <w:t>weeks) multiplied by h</w:t>
      </w:r>
      <w:r w:rsidR="00B50826">
        <w:t>is</w:t>
      </w:r>
      <w:r>
        <w:t xml:space="preserve"> long service leave entitlement of 1.3 weeks. </w:t>
      </w:r>
    </w:p>
    <w:p w14:paraId="354A4896" w14:textId="410BCFAD" w:rsidR="00F3392B" w:rsidRDefault="00F3392B" w:rsidP="00F3392B">
      <w:r>
        <w:t xml:space="preserve">During the year, Executive </w:t>
      </w:r>
      <w:r w:rsidR="00B50826">
        <w:t>B</w:t>
      </w:r>
      <w:r>
        <w:t xml:space="preserve"> has taken 2 weeks of long service leave, calculated as being $6,730 (weekly salary amount of $3 365 multiplied by two weeks of leave taken).</w:t>
      </w:r>
      <w:r w:rsidR="006E3DA7">
        <w:t xml:space="preserve"> The</w:t>
      </w:r>
      <w:r w:rsidR="00941EF4">
        <w:t xml:space="preserve"> long service leave taken during the year has been expensed in prior periods</w:t>
      </w:r>
      <w:r w:rsidR="006E3DA7">
        <w:t xml:space="preserve"> as required by AASB 119</w:t>
      </w:r>
      <w:r w:rsidR="005E4BD9">
        <w:rPr>
          <w:i/>
        </w:rPr>
        <w:t xml:space="preserve"> </w:t>
      </w:r>
      <w:r w:rsidR="00EA0E17">
        <w:t>t</w:t>
      </w:r>
      <w:r w:rsidR="006E3DA7" w:rsidRPr="006E3DA7">
        <w:t xml:space="preserve">herefore, </w:t>
      </w:r>
      <w:r w:rsidR="00EA0E17">
        <w:t xml:space="preserve">it </w:t>
      </w:r>
      <w:r w:rsidR="006E3DA7" w:rsidRPr="006E3DA7">
        <w:t xml:space="preserve">is </w:t>
      </w:r>
      <w:r w:rsidR="00941EF4" w:rsidRPr="006E3DA7">
        <w:t>not included in the</w:t>
      </w:r>
      <w:r w:rsidR="005B1CE1">
        <w:t xml:space="preserve"> </w:t>
      </w:r>
      <w:r w:rsidR="00941EF4" w:rsidRPr="006E3DA7">
        <w:t>disclosure</w:t>
      </w:r>
      <w:r w:rsidR="006E3DA7" w:rsidRPr="006E3DA7">
        <w:t xml:space="preserve"> </w:t>
      </w:r>
      <w:r w:rsidR="005B1CE1">
        <w:t>as</w:t>
      </w:r>
      <w:r w:rsidR="006E3DA7" w:rsidRPr="006E3DA7">
        <w:t xml:space="preserve"> remuneration represents the expenses incurred by the entity in the current reporting period </w:t>
      </w:r>
      <w:r w:rsidR="00EA0E17">
        <w:t>only</w:t>
      </w:r>
      <w:r w:rsidR="006E3DA7">
        <w:rPr>
          <w:i/>
        </w:rPr>
        <w:t xml:space="preserve">. </w:t>
      </w:r>
    </w:p>
    <w:p w14:paraId="426796CC" w14:textId="5AA98337" w:rsidR="00E0077E" w:rsidRPr="000A099B" w:rsidRDefault="00E0077E" w:rsidP="00623526">
      <w:r>
        <w:t xml:space="preserve">Accordingly, Executive B has received </w:t>
      </w:r>
      <w:r w:rsidR="00CF3559">
        <w:t xml:space="preserve">remuneration </w:t>
      </w:r>
      <w:r>
        <w:t xml:space="preserve">as follows: </w:t>
      </w:r>
    </w:p>
    <w:p w14:paraId="17644C5C" w14:textId="681D60FF" w:rsidR="00623526" w:rsidRPr="00092587" w:rsidRDefault="00623526" w:rsidP="00623526">
      <w:pPr>
        <w:pStyle w:val="Bullet1"/>
      </w:pPr>
      <w:r>
        <w:t>$1</w:t>
      </w:r>
      <w:r w:rsidR="00DA3DA1">
        <w:t>68</w:t>
      </w:r>
      <w:r>
        <w:t xml:space="preserve"> </w:t>
      </w:r>
      <w:r w:rsidR="00DA3DA1">
        <w:t>27</w:t>
      </w:r>
      <w:r w:rsidRPr="00092587">
        <w:t xml:space="preserve">0 </w:t>
      </w:r>
      <w:r>
        <w:t xml:space="preserve">as </w:t>
      </w:r>
      <w:r w:rsidRPr="00092587">
        <w:t>salary</w:t>
      </w:r>
      <w:r>
        <w:t xml:space="preserve"> </w:t>
      </w:r>
      <w:r w:rsidRPr="00AA1FFD">
        <w:t>(</w:t>
      </w:r>
      <w:r w:rsidR="00941EF4">
        <w:t xml:space="preserve">calculated as </w:t>
      </w:r>
      <w:r w:rsidRPr="00AA1FFD">
        <w:t>4</w:t>
      </w:r>
      <w:r w:rsidR="00941EF4">
        <w:t>8</w:t>
      </w:r>
      <w:r w:rsidRPr="00AA1FFD">
        <w:t xml:space="preserve"> weeks of work plus 4 weeks annual leave entitlemen</w:t>
      </w:r>
      <w:r w:rsidR="00D13C08">
        <w:t>t</w:t>
      </w:r>
      <w:r w:rsidR="00941EF4">
        <w:t xml:space="preserve">, less </w:t>
      </w:r>
      <w:r w:rsidR="00DA3DA1">
        <w:t>2 weeks of long service leave taken</w:t>
      </w:r>
      <w:r w:rsidRPr="00AA1FFD">
        <w:t>);</w:t>
      </w:r>
    </w:p>
    <w:p w14:paraId="7DD230DF" w14:textId="77777777" w:rsidR="00623526" w:rsidRPr="00092587" w:rsidRDefault="00623526" w:rsidP="00623526">
      <w:pPr>
        <w:pStyle w:val="Bullet1"/>
      </w:pPr>
      <w:r>
        <w:t>$21 375</w:t>
      </w:r>
      <w:r w:rsidRPr="00092587">
        <w:t xml:space="preserve"> of employer superannuation contributions</w:t>
      </w:r>
      <w:r w:rsidRPr="00974843">
        <w:t>;</w:t>
      </w:r>
      <w:r w:rsidRPr="00092587">
        <w:t xml:space="preserve"> </w:t>
      </w:r>
    </w:p>
    <w:p w14:paraId="03A9D7D9" w14:textId="77777777" w:rsidR="00623526" w:rsidRPr="00092587" w:rsidRDefault="00623526" w:rsidP="00623526">
      <w:pPr>
        <w:pStyle w:val="Bullet1"/>
      </w:pPr>
      <w:r>
        <w:t xml:space="preserve">$16 </w:t>
      </w:r>
      <w:r w:rsidRPr="00092587">
        <w:t xml:space="preserve">625 for a motor vehicle under the Executive Motor Vehicle Scheme; and </w:t>
      </w:r>
    </w:p>
    <w:p w14:paraId="25CA4479" w14:textId="77777777" w:rsidR="00623526" w:rsidRPr="000A099B" w:rsidRDefault="00623526" w:rsidP="00623526">
      <w:pPr>
        <w:pStyle w:val="Bullet1"/>
        <w:tabs>
          <w:tab w:val="clear" w:pos="360"/>
        </w:tabs>
      </w:pPr>
      <w:r>
        <w:t>$12 00</w:t>
      </w:r>
      <w:r w:rsidRPr="00092587">
        <w:t>0 additional pr</w:t>
      </w:r>
      <w:r>
        <w:t>e-tax contributions made to her</w:t>
      </w:r>
      <w:r w:rsidRPr="00092587">
        <w:t xml:space="preserve"> super</w:t>
      </w:r>
      <w:r>
        <w:t>annuation</w:t>
      </w:r>
      <w:r w:rsidRPr="00092587">
        <w:t xml:space="preserve"> fund</w:t>
      </w:r>
      <w:r w:rsidRPr="000A099B">
        <w:t>.</w:t>
      </w:r>
    </w:p>
    <w:p w14:paraId="49AC628D" w14:textId="5962F0DB" w:rsidR="00623526" w:rsidRDefault="00623526" w:rsidP="00623526">
      <w:r w:rsidRPr="00092587">
        <w:t xml:space="preserve">For the remuneration disclosure required under AASB 124 for the 201X-1Y reporting period, the reporting entity discloses Executive </w:t>
      </w:r>
      <w:r w:rsidR="00F57E2A">
        <w:t>B</w:t>
      </w:r>
      <w:r w:rsidRPr="00092587">
        <w:t xml:space="preserve">’s </w:t>
      </w:r>
      <w:r w:rsidR="002B7635">
        <w:t>remuneration</w:t>
      </w:r>
      <w:r>
        <w:t xml:space="preserve"> </w:t>
      </w:r>
      <w:r w:rsidRPr="00092587">
        <w:t>as follows</w:t>
      </w:r>
      <w:r w:rsidR="00941EF4">
        <w:t>:</w:t>
      </w:r>
    </w:p>
    <w:tbl>
      <w:tblPr>
        <w:tblStyle w:val="TableGrid"/>
        <w:tblW w:w="9177" w:type="dxa"/>
        <w:tblInd w:w="57" w:type="dxa"/>
        <w:tblBorders>
          <w:bottom w:val="none" w:sz="0" w:space="0" w:color="auto"/>
        </w:tblBorders>
        <w:tblLook w:val="0260" w:firstRow="1" w:lastRow="1" w:firstColumn="0" w:lastColumn="0" w:noHBand="1" w:noVBand="0"/>
      </w:tblPr>
      <w:tblGrid>
        <w:gridCol w:w="3997"/>
        <w:gridCol w:w="1479"/>
        <w:gridCol w:w="3701"/>
      </w:tblGrid>
      <w:tr w:rsidR="00AB1C54" w:rsidRPr="004D649B" w14:paraId="5F9C4CB5" w14:textId="77777777" w:rsidTr="006E3DA7">
        <w:trPr>
          <w:cnfStyle w:val="100000000000" w:firstRow="1" w:lastRow="0" w:firstColumn="0" w:lastColumn="0" w:oddVBand="0" w:evenVBand="0" w:oddHBand="0"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3997" w:type="dxa"/>
          </w:tcPr>
          <w:p w14:paraId="5DEE8977" w14:textId="36108A68" w:rsidR="00AB1C54" w:rsidRPr="000A466E" w:rsidRDefault="00AB1C54" w:rsidP="00D4778E">
            <w:pPr>
              <w:rPr>
                <w:sz w:val="18"/>
                <w:szCs w:val="18"/>
              </w:rPr>
            </w:pPr>
            <w:r w:rsidRPr="000A466E">
              <w:rPr>
                <w:sz w:val="18"/>
                <w:szCs w:val="18"/>
              </w:rPr>
              <w:t>Remuneration</w:t>
            </w:r>
            <w:r>
              <w:rPr>
                <w:sz w:val="18"/>
                <w:szCs w:val="18"/>
              </w:rPr>
              <w:t xml:space="preserve"> of Executive </w:t>
            </w:r>
            <w:r w:rsidR="00D4778E">
              <w:rPr>
                <w:sz w:val="18"/>
                <w:szCs w:val="18"/>
              </w:rPr>
              <w:t>B</w:t>
            </w:r>
            <w:r>
              <w:rPr>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1479" w:type="dxa"/>
          </w:tcPr>
          <w:p w14:paraId="231C8CF3" w14:textId="77777777" w:rsidR="00AB1C54" w:rsidRPr="000A466E" w:rsidRDefault="00AB1C54" w:rsidP="00F80453">
            <w:pPr>
              <w:jc w:val="right"/>
              <w:rPr>
                <w:sz w:val="18"/>
                <w:szCs w:val="18"/>
              </w:rPr>
            </w:pPr>
            <w:r>
              <w:rPr>
                <w:sz w:val="18"/>
                <w:szCs w:val="18"/>
              </w:rPr>
              <w:t>201Y ($)</w:t>
            </w:r>
          </w:p>
        </w:tc>
        <w:tc>
          <w:tcPr>
            <w:cnfStyle w:val="000010000000" w:firstRow="0" w:lastRow="0" w:firstColumn="0" w:lastColumn="0" w:oddVBand="1" w:evenVBand="0" w:oddHBand="0" w:evenHBand="0" w:firstRowFirstColumn="0" w:firstRowLastColumn="0" w:lastRowFirstColumn="0" w:lastRowLastColumn="0"/>
            <w:tcW w:w="3701" w:type="dxa"/>
          </w:tcPr>
          <w:p w14:paraId="1957FD47" w14:textId="43BEF267" w:rsidR="00AB1C54" w:rsidRDefault="00450002" w:rsidP="00F80453">
            <w:pPr>
              <w:ind w:left="84"/>
              <w:rPr>
                <w:sz w:val="18"/>
                <w:szCs w:val="18"/>
              </w:rPr>
            </w:pPr>
            <w:r>
              <w:rPr>
                <w:sz w:val="18"/>
                <w:szCs w:val="18"/>
              </w:rPr>
              <w:t>Note</w:t>
            </w:r>
          </w:p>
        </w:tc>
      </w:tr>
      <w:tr w:rsidR="00AB1C54" w:rsidRPr="004D649B" w14:paraId="7C2C3148" w14:textId="77777777" w:rsidTr="00F80453">
        <w:trPr>
          <w:trHeight w:val="823"/>
        </w:trPr>
        <w:tc>
          <w:tcPr>
            <w:cnfStyle w:val="000010000000" w:firstRow="0" w:lastRow="0" w:firstColumn="0" w:lastColumn="0" w:oddVBand="1" w:evenVBand="0" w:oddHBand="0" w:evenHBand="0" w:firstRowFirstColumn="0" w:firstRowLastColumn="0" w:lastRowFirstColumn="0" w:lastRowLastColumn="0"/>
            <w:tcW w:w="3997" w:type="dxa"/>
            <w:shd w:val="clear" w:color="auto" w:fill="auto"/>
          </w:tcPr>
          <w:p w14:paraId="0A379346" w14:textId="77777777" w:rsidR="00AB1C54" w:rsidRPr="000A466E" w:rsidRDefault="00AB1C54" w:rsidP="00F80453">
            <w:pPr>
              <w:jc w:val="left"/>
              <w:rPr>
                <w:sz w:val="18"/>
                <w:szCs w:val="18"/>
              </w:rPr>
            </w:pPr>
            <w:r>
              <w:rPr>
                <w:sz w:val="18"/>
                <w:szCs w:val="18"/>
              </w:rPr>
              <w:t>S</w:t>
            </w:r>
            <w:r w:rsidRPr="000A466E">
              <w:rPr>
                <w:sz w:val="18"/>
                <w:szCs w:val="18"/>
              </w:rPr>
              <w:t>hort-term benefits</w:t>
            </w:r>
          </w:p>
        </w:tc>
        <w:tc>
          <w:tcPr>
            <w:cnfStyle w:val="000001000000" w:firstRow="0" w:lastRow="0" w:firstColumn="0" w:lastColumn="0" w:oddVBand="0" w:evenVBand="1" w:oddHBand="0" w:evenHBand="0" w:firstRowFirstColumn="0" w:firstRowLastColumn="0" w:lastRowFirstColumn="0" w:lastRowLastColumn="0"/>
            <w:tcW w:w="1479" w:type="dxa"/>
            <w:shd w:val="clear" w:color="auto" w:fill="E3EBF4" w:themeFill="accent3" w:themeFillTint="33"/>
          </w:tcPr>
          <w:p w14:paraId="11199DE7" w14:textId="7B007A6B" w:rsidR="00AB1C54" w:rsidRPr="000A466E" w:rsidRDefault="00A93556" w:rsidP="00F80453">
            <w:pPr>
              <w:rPr>
                <w:sz w:val="18"/>
                <w:szCs w:val="18"/>
              </w:rPr>
            </w:pPr>
            <w:r>
              <w:rPr>
                <w:sz w:val="18"/>
                <w:szCs w:val="18"/>
              </w:rPr>
              <w:t>196 895</w:t>
            </w:r>
            <w:r w:rsidR="003C041E">
              <w:rPr>
                <w:sz w:val="18"/>
                <w:szCs w:val="18"/>
                <w:vertAlign w:val="superscript"/>
              </w:rPr>
              <w:t>(a)</w:t>
            </w:r>
            <w:r w:rsidR="00AB1C54">
              <w:rPr>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3701" w:type="dxa"/>
            <w:shd w:val="clear" w:color="auto" w:fill="auto"/>
            <w:vAlign w:val="center"/>
          </w:tcPr>
          <w:p w14:paraId="3FA9E750" w14:textId="3CD1B5C3" w:rsidR="00B020E2" w:rsidRDefault="00AB1C54" w:rsidP="00886FED">
            <w:pPr>
              <w:spacing w:before="0" w:after="0"/>
              <w:ind w:left="85"/>
              <w:jc w:val="left"/>
              <w:rPr>
                <w:i/>
                <w:sz w:val="18"/>
                <w:szCs w:val="18"/>
              </w:rPr>
            </w:pPr>
            <w:r w:rsidRPr="00936D8E">
              <w:rPr>
                <w:i/>
                <w:sz w:val="18"/>
                <w:szCs w:val="18"/>
              </w:rPr>
              <w:t xml:space="preserve">Representing Executive </w:t>
            </w:r>
            <w:r w:rsidR="006F4FBC">
              <w:rPr>
                <w:i/>
                <w:sz w:val="18"/>
                <w:szCs w:val="18"/>
              </w:rPr>
              <w:t>B</w:t>
            </w:r>
            <w:r w:rsidRPr="00936D8E">
              <w:rPr>
                <w:i/>
                <w:sz w:val="18"/>
                <w:szCs w:val="18"/>
              </w:rPr>
              <w:t>’s TRP (includin</w:t>
            </w:r>
            <w:r>
              <w:rPr>
                <w:i/>
                <w:sz w:val="18"/>
                <w:szCs w:val="18"/>
              </w:rPr>
              <w:t xml:space="preserve">g the annual leave entitlement), </w:t>
            </w:r>
            <w:r w:rsidRPr="00936D8E">
              <w:rPr>
                <w:i/>
                <w:sz w:val="18"/>
                <w:szCs w:val="18"/>
              </w:rPr>
              <w:t>minus</w:t>
            </w:r>
            <w:r w:rsidR="00B020E2">
              <w:rPr>
                <w:i/>
                <w:sz w:val="18"/>
                <w:szCs w:val="18"/>
              </w:rPr>
              <w:t xml:space="preserve">: </w:t>
            </w:r>
          </w:p>
          <w:p w14:paraId="2EBE8F86" w14:textId="2C11C3E2" w:rsidR="00B55335" w:rsidRPr="001D2FE1" w:rsidRDefault="00AB1C54" w:rsidP="00B020E2">
            <w:pPr>
              <w:pStyle w:val="ListParagraph"/>
              <w:numPr>
                <w:ilvl w:val="0"/>
                <w:numId w:val="44"/>
              </w:numPr>
              <w:spacing w:before="0" w:after="0"/>
              <w:ind w:left="421" w:hanging="284"/>
              <w:jc w:val="left"/>
              <w:rPr>
                <w:i/>
                <w:sz w:val="18"/>
                <w:szCs w:val="18"/>
              </w:rPr>
            </w:pPr>
            <w:r w:rsidRPr="001D2FE1">
              <w:rPr>
                <w:i/>
                <w:sz w:val="18"/>
                <w:szCs w:val="18"/>
              </w:rPr>
              <w:t>the employer superannuation contribution</w:t>
            </w:r>
            <w:r w:rsidR="00677F65" w:rsidRPr="001D2FE1">
              <w:rPr>
                <w:i/>
                <w:sz w:val="18"/>
                <w:szCs w:val="18"/>
              </w:rPr>
              <w:t>; and</w:t>
            </w:r>
          </w:p>
          <w:p w14:paraId="1ECB669C" w14:textId="501F3CE4" w:rsidR="00AB1C54" w:rsidRPr="00B020E2" w:rsidRDefault="00987A65" w:rsidP="001D2FE1">
            <w:pPr>
              <w:pStyle w:val="ListParagraph"/>
              <w:numPr>
                <w:ilvl w:val="0"/>
                <w:numId w:val="44"/>
              </w:numPr>
              <w:spacing w:before="0" w:after="0"/>
              <w:ind w:left="421" w:hanging="284"/>
              <w:jc w:val="left"/>
              <w:rPr>
                <w:i/>
                <w:sz w:val="18"/>
                <w:szCs w:val="18"/>
              </w:rPr>
            </w:pPr>
            <w:r>
              <w:rPr>
                <w:i/>
                <w:sz w:val="18"/>
                <w:szCs w:val="18"/>
              </w:rPr>
              <w:t>previously accrued</w:t>
            </w:r>
            <w:r w:rsidRPr="001D2FE1">
              <w:rPr>
                <w:i/>
                <w:sz w:val="18"/>
                <w:szCs w:val="18"/>
              </w:rPr>
              <w:t xml:space="preserve"> </w:t>
            </w:r>
            <w:r w:rsidR="001D2FE1" w:rsidRPr="001D2FE1">
              <w:rPr>
                <w:i/>
                <w:sz w:val="18"/>
                <w:szCs w:val="18"/>
              </w:rPr>
              <w:t>LSL taken</w:t>
            </w:r>
            <w:r w:rsidR="00E219DB" w:rsidRPr="00B020E2">
              <w:rPr>
                <w:i/>
                <w:sz w:val="18"/>
                <w:szCs w:val="18"/>
              </w:rPr>
              <w:t xml:space="preserve"> </w:t>
            </w:r>
            <w:r w:rsidR="001D2FE1">
              <w:rPr>
                <w:i/>
                <w:sz w:val="18"/>
                <w:szCs w:val="18"/>
              </w:rPr>
              <w:t xml:space="preserve">during the period. </w:t>
            </w:r>
          </w:p>
        </w:tc>
      </w:tr>
      <w:tr w:rsidR="00AB1C54" w:rsidRPr="004D649B" w14:paraId="64C36A42" w14:textId="77777777" w:rsidTr="00F80453">
        <w:trPr>
          <w:trHeight w:val="865"/>
        </w:trPr>
        <w:tc>
          <w:tcPr>
            <w:cnfStyle w:val="000010000000" w:firstRow="0" w:lastRow="0" w:firstColumn="0" w:lastColumn="0" w:oddVBand="1" w:evenVBand="0" w:oddHBand="0" w:evenHBand="0" w:firstRowFirstColumn="0" w:firstRowLastColumn="0" w:lastRowFirstColumn="0" w:lastRowLastColumn="0"/>
            <w:tcW w:w="3997" w:type="dxa"/>
            <w:shd w:val="clear" w:color="auto" w:fill="auto"/>
          </w:tcPr>
          <w:p w14:paraId="466B835A" w14:textId="741BD05C" w:rsidR="00AB1C54" w:rsidRPr="000A466E" w:rsidRDefault="00AB1C54" w:rsidP="00F80453">
            <w:pPr>
              <w:jc w:val="left"/>
              <w:rPr>
                <w:sz w:val="18"/>
                <w:szCs w:val="18"/>
              </w:rPr>
            </w:pPr>
            <w:r w:rsidRPr="000A466E">
              <w:rPr>
                <w:sz w:val="18"/>
                <w:szCs w:val="18"/>
              </w:rPr>
              <w:t>Post-employment benefits</w:t>
            </w:r>
          </w:p>
        </w:tc>
        <w:tc>
          <w:tcPr>
            <w:cnfStyle w:val="000001000000" w:firstRow="0" w:lastRow="0" w:firstColumn="0" w:lastColumn="0" w:oddVBand="0" w:evenVBand="1" w:oddHBand="0" w:evenHBand="0" w:firstRowFirstColumn="0" w:firstRowLastColumn="0" w:lastRowFirstColumn="0" w:lastRowLastColumn="0"/>
            <w:tcW w:w="1479" w:type="dxa"/>
            <w:shd w:val="clear" w:color="auto" w:fill="E3EBF4" w:themeFill="accent3" w:themeFillTint="33"/>
          </w:tcPr>
          <w:p w14:paraId="259AF8A0" w14:textId="77777777" w:rsidR="00AB1C54" w:rsidRPr="000A466E" w:rsidRDefault="00AB1C54" w:rsidP="00F80453">
            <w:pPr>
              <w:rPr>
                <w:sz w:val="18"/>
                <w:szCs w:val="18"/>
              </w:rPr>
            </w:pPr>
            <w:r>
              <w:rPr>
                <w:sz w:val="18"/>
                <w:szCs w:val="18"/>
              </w:rPr>
              <w:t>21 375</w:t>
            </w:r>
          </w:p>
        </w:tc>
        <w:tc>
          <w:tcPr>
            <w:cnfStyle w:val="000010000000" w:firstRow="0" w:lastRow="0" w:firstColumn="0" w:lastColumn="0" w:oddVBand="1" w:evenVBand="0" w:oddHBand="0" w:evenHBand="0" w:firstRowFirstColumn="0" w:firstRowLastColumn="0" w:lastRowFirstColumn="0" w:lastRowLastColumn="0"/>
            <w:tcW w:w="3701" w:type="dxa"/>
            <w:shd w:val="clear" w:color="auto" w:fill="auto"/>
            <w:vAlign w:val="center"/>
          </w:tcPr>
          <w:p w14:paraId="4540DF4D" w14:textId="346316F3" w:rsidR="00AB1C54" w:rsidRPr="00936D8E" w:rsidRDefault="00AB1C54" w:rsidP="00F80453">
            <w:pPr>
              <w:spacing w:before="0" w:after="0"/>
              <w:ind w:left="85"/>
              <w:jc w:val="left"/>
              <w:rPr>
                <w:i/>
                <w:sz w:val="18"/>
                <w:szCs w:val="18"/>
              </w:rPr>
            </w:pPr>
            <w:r w:rsidRPr="00936D8E">
              <w:rPr>
                <w:i/>
                <w:sz w:val="18"/>
                <w:szCs w:val="18"/>
              </w:rPr>
              <w:t xml:space="preserve">Representing </w:t>
            </w:r>
            <w:r>
              <w:rPr>
                <w:i/>
                <w:sz w:val="18"/>
                <w:szCs w:val="18"/>
              </w:rPr>
              <w:t xml:space="preserve">the </w:t>
            </w:r>
            <w:r w:rsidRPr="00936D8E">
              <w:rPr>
                <w:i/>
                <w:sz w:val="18"/>
                <w:szCs w:val="18"/>
              </w:rPr>
              <w:t xml:space="preserve">employer superannuation </w:t>
            </w:r>
            <w:r>
              <w:rPr>
                <w:i/>
                <w:sz w:val="18"/>
                <w:szCs w:val="18"/>
              </w:rPr>
              <w:t>contribution</w:t>
            </w:r>
            <w:r w:rsidR="00E532A4">
              <w:rPr>
                <w:i/>
                <w:sz w:val="18"/>
                <w:szCs w:val="18"/>
              </w:rPr>
              <w:t>.</w:t>
            </w:r>
            <w:r>
              <w:rPr>
                <w:i/>
                <w:sz w:val="18"/>
                <w:szCs w:val="18"/>
              </w:rPr>
              <w:t xml:space="preserve"> </w:t>
            </w:r>
            <w:r w:rsidRPr="00936D8E">
              <w:rPr>
                <w:i/>
                <w:sz w:val="18"/>
                <w:szCs w:val="18"/>
              </w:rPr>
              <w:t xml:space="preserve"> </w:t>
            </w:r>
          </w:p>
        </w:tc>
      </w:tr>
      <w:tr w:rsidR="00AB1C54" w:rsidRPr="004D649B" w14:paraId="751FA17B" w14:textId="77777777" w:rsidTr="00F80453">
        <w:trPr>
          <w:trHeight w:val="563"/>
        </w:trPr>
        <w:tc>
          <w:tcPr>
            <w:cnfStyle w:val="000010000000" w:firstRow="0" w:lastRow="0" w:firstColumn="0" w:lastColumn="0" w:oddVBand="1" w:evenVBand="0" w:oddHBand="0" w:evenHBand="0" w:firstRowFirstColumn="0" w:firstRowLastColumn="0" w:lastRowFirstColumn="0" w:lastRowLastColumn="0"/>
            <w:tcW w:w="3997" w:type="dxa"/>
            <w:tcBorders>
              <w:bottom w:val="single" w:sz="4" w:space="0" w:color="auto"/>
            </w:tcBorders>
            <w:shd w:val="clear" w:color="auto" w:fill="auto"/>
          </w:tcPr>
          <w:p w14:paraId="37D04549" w14:textId="77777777" w:rsidR="00AB1C54" w:rsidRPr="000A466E" w:rsidRDefault="00AB1C54" w:rsidP="00F80453">
            <w:pPr>
              <w:jc w:val="left"/>
              <w:rPr>
                <w:sz w:val="18"/>
                <w:szCs w:val="18"/>
              </w:rPr>
            </w:pPr>
            <w:r>
              <w:rPr>
                <w:sz w:val="18"/>
                <w:szCs w:val="18"/>
              </w:rPr>
              <w:t xml:space="preserve">Other long-term benefits </w:t>
            </w:r>
          </w:p>
        </w:tc>
        <w:tc>
          <w:tcPr>
            <w:cnfStyle w:val="000001000000" w:firstRow="0" w:lastRow="0" w:firstColumn="0" w:lastColumn="0" w:oddVBand="0" w:evenVBand="1" w:oddHBand="0" w:evenHBand="0" w:firstRowFirstColumn="0" w:firstRowLastColumn="0" w:lastRowFirstColumn="0" w:lastRowLastColumn="0"/>
            <w:tcW w:w="1479" w:type="dxa"/>
            <w:tcBorders>
              <w:bottom w:val="single" w:sz="4" w:space="0" w:color="auto"/>
            </w:tcBorders>
            <w:shd w:val="clear" w:color="auto" w:fill="E3EBF4" w:themeFill="accent3" w:themeFillTint="33"/>
          </w:tcPr>
          <w:p w14:paraId="4BFEDD28" w14:textId="77777777" w:rsidR="00AB1C54" w:rsidRDefault="00AB1C54" w:rsidP="00F80453">
            <w:pPr>
              <w:rPr>
                <w:noProof/>
                <w:sz w:val="18"/>
                <w:szCs w:val="18"/>
              </w:rPr>
            </w:pPr>
            <w:r>
              <w:rPr>
                <w:noProof/>
                <w:sz w:val="18"/>
                <w:szCs w:val="18"/>
              </w:rPr>
              <w:t>4 375</w:t>
            </w:r>
          </w:p>
        </w:tc>
        <w:tc>
          <w:tcPr>
            <w:cnfStyle w:val="000010000000" w:firstRow="0" w:lastRow="0" w:firstColumn="0" w:lastColumn="0" w:oddVBand="1" w:evenVBand="0" w:oddHBand="0" w:evenHBand="0" w:firstRowFirstColumn="0" w:firstRowLastColumn="0" w:lastRowFirstColumn="0" w:lastRowLastColumn="0"/>
            <w:tcW w:w="3701" w:type="dxa"/>
            <w:shd w:val="clear" w:color="auto" w:fill="auto"/>
            <w:vAlign w:val="center"/>
          </w:tcPr>
          <w:p w14:paraId="0B7726FE" w14:textId="0AB9438B" w:rsidR="00AB1C54" w:rsidRPr="00936D8E" w:rsidRDefault="00AB1C54" w:rsidP="006E3DA7">
            <w:pPr>
              <w:spacing w:before="0" w:after="0"/>
              <w:ind w:left="85"/>
              <w:jc w:val="left"/>
              <w:rPr>
                <w:i/>
                <w:sz w:val="18"/>
                <w:szCs w:val="18"/>
              </w:rPr>
            </w:pPr>
            <w:r w:rsidRPr="00936D8E">
              <w:rPr>
                <w:i/>
                <w:sz w:val="18"/>
                <w:szCs w:val="18"/>
              </w:rPr>
              <w:t xml:space="preserve">Representing Executive </w:t>
            </w:r>
            <w:r w:rsidR="006E3DA7">
              <w:rPr>
                <w:i/>
                <w:sz w:val="18"/>
                <w:szCs w:val="18"/>
              </w:rPr>
              <w:t>B</w:t>
            </w:r>
            <w:r w:rsidRPr="00936D8E">
              <w:rPr>
                <w:i/>
                <w:sz w:val="18"/>
                <w:szCs w:val="18"/>
              </w:rPr>
              <w:t xml:space="preserve">’s </w:t>
            </w:r>
            <w:r>
              <w:rPr>
                <w:i/>
                <w:sz w:val="18"/>
                <w:szCs w:val="18"/>
              </w:rPr>
              <w:t>long service leave entitlement</w:t>
            </w:r>
            <w:r w:rsidR="00D4778E">
              <w:rPr>
                <w:i/>
                <w:sz w:val="18"/>
                <w:szCs w:val="18"/>
              </w:rPr>
              <w:t xml:space="preserve"> accrued during the period</w:t>
            </w:r>
            <w:r w:rsidR="00E532A4">
              <w:rPr>
                <w:i/>
                <w:sz w:val="18"/>
                <w:szCs w:val="18"/>
              </w:rPr>
              <w:t>.</w:t>
            </w:r>
          </w:p>
        </w:tc>
      </w:tr>
      <w:tr w:rsidR="00AB1C54" w14:paraId="7AAF37EF" w14:textId="77777777" w:rsidTr="00F80453">
        <w:trPr>
          <w:cnfStyle w:val="010000000000" w:firstRow="0" w:lastRow="1" w:firstColumn="0" w:lastColumn="0" w:oddVBand="0" w:evenVBand="0" w:oddHBand="0"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3997" w:type="dxa"/>
            <w:tcBorders>
              <w:top w:val="single" w:sz="4" w:space="0" w:color="auto"/>
              <w:bottom w:val="single" w:sz="4" w:space="0" w:color="auto"/>
            </w:tcBorders>
            <w:shd w:val="clear" w:color="auto" w:fill="auto"/>
          </w:tcPr>
          <w:p w14:paraId="5982E943" w14:textId="77777777" w:rsidR="00AB1C54" w:rsidRPr="00F308C5" w:rsidRDefault="00AB1C54" w:rsidP="00F80453">
            <w:pPr>
              <w:jc w:val="left"/>
              <w:rPr>
                <w:b w:val="0"/>
                <w:sz w:val="18"/>
                <w:szCs w:val="18"/>
                <w:vertAlign w:val="superscript"/>
              </w:rPr>
            </w:pPr>
            <w:r w:rsidRPr="00561135">
              <w:rPr>
                <w:sz w:val="18"/>
                <w:szCs w:val="18"/>
              </w:rPr>
              <w:t>Total remuneration</w:t>
            </w:r>
          </w:p>
        </w:tc>
        <w:tc>
          <w:tcPr>
            <w:cnfStyle w:val="000001000000" w:firstRow="0" w:lastRow="0" w:firstColumn="0" w:lastColumn="0" w:oddVBand="0" w:evenVBand="1" w:oddHBand="0" w:evenHBand="0" w:firstRowFirstColumn="0" w:firstRowLastColumn="0" w:lastRowFirstColumn="0" w:lastRowLastColumn="0"/>
            <w:tcW w:w="1479" w:type="dxa"/>
            <w:tcBorders>
              <w:top w:val="single" w:sz="4" w:space="0" w:color="auto"/>
              <w:bottom w:val="single" w:sz="4" w:space="0" w:color="auto"/>
            </w:tcBorders>
            <w:shd w:val="clear" w:color="auto" w:fill="E3EBF4" w:themeFill="accent3" w:themeFillTint="33"/>
          </w:tcPr>
          <w:p w14:paraId="0E3B99AB" w14:textId="40B78759" w:rsidR="00AB1C54" w:rsidRPr="00425B47" w:rsidRDefault="00626573" w:rsidP="00F80453">
            <w:pPr>
              <w:rPr>
                <w:sz w:val="18"/>
                <w:szCs w:val="18"/>
              </w:rPr>
            </w:pPr>
            <w:r>
              <w:rPr>
                <w:sz w:val="18"/>
                <w:szCs w:val="18"/>
              </w:rPr>
              <w:t>222 645</w:t>
            </w:r>
          </w:p>
        </w:tc>
        <w:tc>
          <w:tcPr>
            <w:cnfStyle w:val="000010000000" w:firstRow="0" w:lastRow="0" w:firstColumn="0" w:lastColumn="0" w:oddVBand="1" w:evenVBand="0" w:oddHBand="0" w:evenHBand="0" w:firstRowFirstColumn="0" w:firstRowLastColumn="0" w:lastRowFirstColumn="0" w:lastRowLastColumn="0"/>
            <w:tcW w:w="3701" w:type="dxa"/>
            <w:tcBorders>
              <w:top w:val="none" w:sz="0" w:space="0" w:color="auto"/>
              <w:bottom w:val="none" w:sz="0" w:space="0" w:color="auto"/>
            </w:tcBorders>
            <w:shd w:val="clear" w:color="auto" w:fill="auto"/>
          </w:tcPr>
          <w:p w14:paraId="1F82DEEF" w14:textId="77777777" w:rsidR="00AB1C54" w:rsidRPr="00425B47" w:rsidRDefault="00AB1C54" w:rsidP="00F80453">
            <w:pPr>
              <w:rPr>
                <w:sz w:val="18"/>
                <w:szCs w:val="18"/>
              </w:rPr>
            </w:pPr>
          </w:p>
        </w:tc>
      </w:tr>
    </w:tbl>
    <w:p w14:paraId="5C6544E5" w14:textId="5F8B73F5" w:rsidR="003C041E" w:rsidRDefault="008B2515" w:rsidP="008B2515">
      <w:pPr>
        <w:pStyle w:val="ListParagraph"/>
        <w:numPr>
          <w:ilvl w:val="0"/>
          <w:numId w:val="46"/>
        </w:numPr>
        <w:ind w:left="284" w:hanging="284"/>
        <w:rPr>
          <w:i/>
          <w:sz w:val="16"/>
          <w:szCs w:val="16"/>
        </w:rPr>
      </w:pPr>
      <w:r w:rsidRPr="00282E34">
        <w:rPr>
          <w:i/>
          <w:sz w:val="16"/>
          <w:szCs w:val="16"/>
        </w:rPr>
        <w:t xml:space="preserve">Where the employee has taken a significant amount of long service leave in the period which results in a material difference in their short-term benefits </w:t>
      </w:r>
      <w:r w:rsidR="006329F4">
        <w:rPr>
          <w:i/>
          <w:sz w:val="16"/>
          <w:szCs w:val="16"/>
        </w:rPr>
        <w:t>from the prior year</w:t>
      </w:r>
      <w:r w:rsidRPr="00282E34">
        <w:rPr>
          <w:i/>
          <w:sz w:val="16"/>
          <w:szCs w:val="16"/>
        </w:rPr>
        <w:t xml:space="preserve">, it is recommended entities include a footnote to demonstrate that the variance is a result of leave taken during the period. </w:t>
      </w:r>
    </w:p>
    <w:p w14:paraId="1D16BCBF" w14:textId="77777777" w:rsidR="00D13C08" w:rsidRDefault="00D13C08" w:rsidP="00D13C08">
      <w:pPr>
        <w:rPr>
          <w:i/>
          <w:sz w:val="16"/>
          <w:szCs w:val="16"/>
        </w:rPr>
      </w:pPr>
    </w:p>
    <w:p w14:paraId="5188A309" w14:textId="4400EFFB" w:rsidR="00C14C01" w:rsidRDefault="00C14C01" w:rsidP="00CF2E0D">
      <w:pPr>
        <w:pStyle w:val="Heading3"/>
        <w:numPr>
          <w:ilvl w:val="0"/>
          <w:numId w:val="43"/>
        </w:numPr>
        <w:ind w:left="426" w:hanging="426"/>
      </w:pPr>
      <w:r>
        <w:lastRenderedPageBreak/>
        <w:t xml:space="preserve">How do we disclose temporary/relieving arrangements (i.e. higher duties)? </w:t>
      </w:r>
    </w:p>
    <w:p w14:paraId="01E3749A" w14:textId="2DD21D8E" w:rsidR="00C14C01" w:rsidRDefault="00E07C71" w:rsidP="00C14C01">
      <w:r w:rsidRPr="002D188E">
        <w:rPr>
          <w:b/>
        </w:rPr>
        <w:t xml:space="preserve">For the purposes of </w:t>
      </w:r>
      <w:r w:rsidR="002D188E">
        <w:rPr>
          <w:b/>
        </w:rPr>
        <w:t xml:space="preserve">reporting remuneration of KMP under </w:t>
      </w:r>
      <w:r w:rsidRPr="002D188E">
        <w:rPr>
          <w:b/>
        </w:rPr>
        <w:t>AASB 124</w:t>
      </w:r>
      <w:r>
        <w:t>, en</w:t>
      </w:r>
      <w:r w:rsidR="00C14C01">
        <w:t>tities will need to apply judgement to determine whether temporary/relieving arrangements of KMPs should be included as part of the remuneration disclosure, based on the specific facts and circumstances of the arrangement. Note that consideration should be made as to how the inclusion of temporary/relieving arrangements will impact on the following year’s comparatives.</w:t>
      </w:r>
    </w:p>
    <w:p w14:paraId="0DFCF3BE" w14:textId="450C3B6E" w:rsidR="00C14C01" w:rsidRDefault="00C14C01" w:rsidP="00C14C01">
      <w:r>
        <w:t xml:space="preserve">As a guide, where the relieving arrangement is temporary, and the substantive KMP remains in their position for the duration of the arrangement (i.e. they are on </w:t>
      </w:r>
      <w:r w:rsidR="0088649B">
        <w:t xml:space="preserve">paid </w:t>
      </w:r>
      <w:r>
        <w:t xml:space="preserve">leave), entities </w:t>
      </w:r>
      <w:r w:rsidR="00085586">
        <w:t xml:space="preserve">should </w:t>
      </w:r>
      <w:r w:rsidR="008750E6">
        <w:t xml:space="preserve">include a footnote to explain that </w:t>
      </w:r>
      <w:r w:rsidR="00085586">
        <w:t>these higher duties expenses have not been included in the remuneration disclosure</w:t>
      </w:r>
      <w:r w:rsidR="008750E6">
        <w:t xml:space="preserve"> as remuneration </w:t>
      </w:r>
      <w:r w:rsidR="000B4377">
        <w:t>of</w:t>
      </w:r>
      <w:r w:rsidR="008750E6">
        <w:t xml:space="preserve"> the substantive KMP has </w:t>
      </w:r>
      <w:r w:rsidR="00085586">
        <w:t xml:space="preserve">already </w:t>
      </w:r>
      <w:r w:rsidR="008750E6">
        <w:t xml:space="preserve">been </w:t>
      </w:r>
      <w:r w:rsidR="00085586">
        <w:t>reported</w:t>
      </w:r>
      <w:r>
        <w:t xml:space="preserve">. </w:t>
      </w:r>
    </w:p>
    <w:p w14:paraId="1D54218A" w14:textId="70C48CFA" w:rsidR="00C14C01" w:rsidRDefault="00C14C01" w:rsidP="00C14C01">
      <w:r>
        <w:t>However, where an employee is acting in a KMP position that is vacant (</w:t>
      </w:r>
      <w:r w:rsidR="002E4F82">
        <w:t xml:space="preserve">i.e. there is no one </w:t>
      </w:r>
      <w:r>
        <w:t xml:space="preserve">appointed in the </w:t>
      </w:r>
      <w:r w:rsidR="002D188E">
        <w:t xml:space="preserve">KMP </w:t>
      </w:r>
      <w:r>
        <w:t>position), entities may assess that the acting employee is undertaking the KMP position substantively, and disclose amounts paid to the acting employee for the term of the arrangement.</w:t>
      </w:r>
      <w:r w:rsidR="0088649B" w:rsidRPr="0088649B">
        <w:t xml:space="preserve"> </w:t>
      </w:r>
      <w:r w:rsidRPr="0088649B">
        <w:t xml:space="preserve">Entities are encouraged to include a footnote to explain any temporary/relieving arrangements that </w:t>
      </w:r>
      <w:r w:rsidR="0088649B">
        <w:t>have been</w:t>
      </w:r>
      <w:r w:rsidR="0088649B" w:rsidRPr="0088649B">
        <w:t xml:space="preserve"> </w:t>
      </w:r>
      <w:r w:rsidRPr="0088649B">
        <w:t>included in the remuneration disclosure.</w:t>
      </w:r>
    </w:p>
    <w:p w14:paraId="14BAEB76" w14:textId="72F0B52C" w:rsidR="0087530A" w:rsidRDefault="0087530A" w:rsidP="00C14C01">
      <w:r w:rsidRPr="002D188E">
        <w:rPr>
          <w:b/>
        </w:rPr>
        <w:t>For the purposes of reporting remuneration of executive</w:t>
      </w:r>
      <w:r w:rsidR="00282C16" w:rsidRPr="002D188E">
        <w:rPr>
          <w:b/>
        </w:rPr>
        <w:t xml:space="preserve"> officers under </w:t>
      </w:r>
      <w:r w:rsidRPr="002D188E">
        <w:rPr>
          <w:b/>
        </w:rPr>
        <w:t>FRD 21</w:t>
      </w:r>
      <w:r>
        <w:t xml:space="preserve">, entities should </w:t>
      </w:r>
      <w:r w:rsidR="00282C16">
        <w:t>include</w:t>
      </w:r>
      <w:r>
        <w:t xml:space="preserve"> higher duties paid to an executive office</w:t>
      </w:r>
      <w:r w:rsidR="007C4ACC">
        <w:t>r</w:t>
      </w:r>
      <w:r>
        <w:t xml:space="preserve"> that acts in the position of the accountable officer (as defined in section 5.1 of FRD 21) during the reporting period. </w:t>
      </w:r>
    </w:p>
    <w:p w14:paraId="61E7C5B0" w14:textId="3145C800" w:rsidR="0087530A" w:rsidRDefault="007C4ACC" w:rsidP="00C14C01">
      <w:r>
        <w:t>Note however, the disclosure of executive officer remuneration should not include any VPS 6 or VPS 7 staff acting on a temporary basis in executive roles, whilst the substantive executive officer is on paid leave or secondment.</w:t>
      </w:r>
    </w:p>
    <w:p w14:paraId="1D48C25C" w14:textId="77777777" w:rsidR="007C4ACC" w:rsidRPr="0088649B" w:rsidRDefault="007C4ACC"/>
    <w:sectPr w:rsidR="007C4ACC" w:rsidRPr="0088649B" w:rsidSect="00F417C3">
      <w:pgSz w:w="11906" w:h="16838" w:code="9"/>
      <w:pgMar w:top="2160" w:right="1440" w:bottom="1350"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6727D" w14:textId="77777777" w:rsidR="005F69DD" w:rsidRDefault="005F69DD" w:rsidP="002D711A">
      <w:pPr>
        <w:spacing w:after="0" w:line="240" w:lineRule="auto"/>
      </w:pPr>
      <w:r>
        <w:separator/>
      </w:r>
    </w:p>
  </w:endnote>
  <w:endnote w:type="continuationSeparator" w:id="0">
    <w:p w14:paraId="01AB4C21" w14:textId="77777777" w:rsidR="005F69DD" w:rsidRDefault="005F69DD"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4FC3F" w14:textId="2EEFEC98" w:rsidR="0009082F" w:rsidRDefault="00F343D1">
    <w:pPr>
      <w:pStyle w:val="Footer"/>
    </w:pPr>
    <w:r>
      <mc:AlternateContent>
        <mc:Choice Requires="wps">
          <w:drawing>
            <wp:anchor distT="0" distB="0" distL="0" distR="0" simplePos="0" relativeHeight="251659776" behindDoc="0" locked="0" layoutInCell="1" allowOverlap="1" wp14:anchorId="45544BAD" wp14:editId="2E333A45">
              <wp:simplePos x="635" y="635"/>
              <wp:positionH relativeFrom="page">
                <wp:align>left</wp:align>
              </wp:positionH>
              <wp:positionV relativeFrom="page">
                <wp:align>bottom</wp:align>
              </wp:positionV>
              <wp:extent cx="443865" cy="443865"/>
              <wp:effectExtent l="0" t="0" r="11430" b="0"/>
              <wp:wrapNone/>
              <wp:docPr id="18595543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5DB" w14:textId="3B422356" w:rsidR="00F343D1" w:rsidRPr="00F343D1" w:rsidRDefault="00F343D1" w:rsidP="00F343D1">
                          <w:pPr>
                            <w:spacing w:after="0"/>
                            <w:rPr>
                              <w:rFonts w:ascii="Calibri" w:eastAsia="Calibri" w:hAnsi="Calibri" w:cs="Calibri"/>
                              <w:noProof/>
                              <w:color w:val="000000"/>
                              <w:sz w:val="22"/>
                              <w:szCs w:val="22"/>
                            </w:rPr>
                          </w:pPr>
                          <w:r w:rsidRPr="00F343D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544BA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3BB15DB" w14:textId="3B422356" w:rsidR="00F343D1" w:rsidRPr="00F343D1" w:rsidRDefault="00F343D1" w:rsidP="00F343D1">
                    <w:pPr>
                      <w:spacing w:after="0"/>
                      <w:rPr>
                        <w:rFonts w:ascii="Calibri" w:eastAsia="Calibri" w:hAnsi="Calibri" w:cs="Calibri"/>
                        <w:noProof/>
                        <w:color w:val="000000"/>
                        <w:sz w:val="22"/>
                        <w:szCs w:val="22"/>
                      </w:rPr>
                    </w:pPr>
                    <w:r w:rsidRPr="00F343D1">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E769A" w14:textId="410E983B" w:rsidR="0009082F" w:rsidRDefault="00F343D1" w:rsidP="004669E3">
    <w:pPr>
      <w:pStyle w:val="Spacer"/>
    </w:pPr>
    <w:r>
      <w:rPr>
        <w:noProof/>
      </w:rPr>
      <mc:AlternateContent>
        <mc:Choice Requires="wps">
          <w:drawing>
            <wp:anchor distT="0" distB="0" distL="0" distR="0" simplePos="0" relativeHeight="251660800" behindDoc="0" locked="0" layoutInCell="1" allowOverlap="1" wp14:anchorId="67F2E42D" wp14:editId="6FB6AECB">
              <wp:simplePos x="914400" y="10196623"/>
              <wp:positionH relativeFrom="page">
                <wp:align>left</wp:align>
              </wp:positionH>
              <wp:positionV relativeFrom="page">
                <wp:align>bottom</wp:align>
              </wp:positionV>
              <wp:extent cx="443865" cy="443865"/>
              <wp:effectExtent l="0" t="0" r="11430" b="0"/>
              <wp:wrapNone/>
              <wp:docPr id="3871078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72C41" w14:textId="528995A0" w:rsidR="00F343D1" w:rsidRPr="00F343D1" w:rsidRDefault="00F343D1" w:rsidP="00F343D1">
                          <w:pPr>
                            <w:spacing w:after="0"/>
                            <w:rPr>
                              <w:rFonts w:ascii="Calibri" w:eastAsia="Calibri" w:hAnsi="Calibri" w:cs="Calibri"/>
                              <w:noProof/>
                              <w:color w:val="000000"/>
                              <w:sz w:val="22"/>
                              <w:szCs w:val="22"/>
                            </w:rPr>
                          </w:pPr>
                          <w:r w:rsidRPr="00F343D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F2E42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0972C41" w14:textId="528995A0" w:rsidR="00F343D1" w:rsidRPr="00F343D1" w:rsidRDefault="00F343D1" w:rsidP="00F343D1">
                    <w:pPr>
                      <w:spacing w:after="0"/>
                      <w:rPr>
                        <w:rFonts w:ascii="Calibri" w:eastAsia="Calibri" w:hAnsi="Calibri" w:cs="Calibri"/>
                        <w:noProof/>
                        <w:color w:val="000000"/>
                        <w:sz w:val="22"/>
                        <w:szCs w:val="22"/>
                      </w:rPr>
                    </w:pPr>
                    <w:r w:rsidRPr="00F343D1">
                      <w:rPr>
                        <w:rFonts w:ascii="Calibri" w:eastAsia="Calibri" w:hAnsi="Calibri" w:cs="Calibri"/>
                        <w:noProof/>
                        <w:color w:val="000000"/>
                        <w:sz w:val="22"/>
                        <w:szCs w:val="22"/>
                      </w:rPr>
                      <w:t>OFFICIAL</w:t>
                    </w:r>
                  </w:p>
                </w:txbxContent>
              </v:textbox>
              <w10:wrap anchorx="page" anchory="page"/>
            </v:shape>
          </w:pict>
        </mc:Fallback>
      </mc:AlternateContent>
    </w:r>
  </w:p>
  <w:p w14:paraId="4008A306" w14:textId="5F0014E7" w:rsidR="0009082F" w:rsidRPr="00C022F9" w:rsidRDefault="0009082F" w:rsidP="0041689E">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002577">
      <w:rPr>
        <w:b/>
        <w:color w:val="0063A6" w:themeColor="accent1"/>
      </w:rPr>
      <w:t>Reporting of remuneration in accordance with AASB 124 Related Party Disclosures</w:t>
    </w:r>
    <w:r w:rsidRPr="00C022F9">
      <w:rPr>
        <w:b/>
        <w:color w:val="0063A6" w:themeColor="accent1"/>
      </w:rPr>
      <w:fldChar w:fldCharType="end"/>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sidR="00EF5466">
      <w:rPr>
        <w:rStyle w:val="PageNumber"/>
      </w:rPr>
      <w:t>7</w:t>
    </w:r>
    <w:r w:rsidRPr="00DE60C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2D55" w14:textId="13D1C98C" w:rsidR="0009082F" w:rsidRDefault="00F343D1">
    <w:pPr>
      <w:pStyle w:val="Footer"/>
    </w:pPr>
    <w:r>
      <mc:AlternateContent>
        <mc:Choice Requires="wps">
          <w:drawing>
            <wp:anchor distT="0" distB="0" distL="0" distR="0" simplePos="0" relativeHeight="251658752" behindDoc="0" locked="0" layoutInCell="1" allowOverlap="1" wp14:anchorId="722DC251" wp14:editId="44EC5168">
              <wp:simplePos x="635" y="635"/>
              <wp:positionH relativeFrom="page">
                <wp:align>left</wp:align>
              </wp:positionH>
              <wp:positionV relativeFrom="page">
                <wp:align>bottom</wp:align>
              </wp:positionV>
              <wp:extent cx="443865" cy="443865"/>
              <wp:effectExtent l="0" t="0" r="11430" b="0"/>
              <wp:wrapNone/>
              <wp:docPr id="1557957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35493" w14:textId="6AC0677D" w:rsidR="00F343D1" w:rsidRPr="00F343D1" w:rsidRDefault="00F343D1" w:rsidP="00F343D1">
                          <w:pPr>
                            <w:spacing w:after="0"/>
                            <w:rPr>
                              <w:rFonts w:ascii="Calibri" w:eastAsia="Calibri" w:hAnsi="Calibri" w:cs="Calibri"/>
                              <w:noProof/>
                              <w:color w:val="000000"/>
                              <w:sz w:val="22"/>
                              <w:szCs w:val="22"/>
                            </w:rPr>
                          </w:pPr>
                          <w:r w:rsidRPr="00F343D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2DC251"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0B35493" w14:textId="6AC0677D" w:rsidR="00F343D1" w:rsidRPr="00F343D1" w:rsidRDefault="00F343D1" w:rsidP="00F343D1">
                    <w:pPr>
                      <w:spacing w:after="0"/>
                      <w:rPr>
                        <w:rFonts w:ascii="Calibri" w:eastAsia="Calibri" w:hAnsi="Calibri" w:cs="Calibri"/>
                        <w:noProof/>
                        <w:color w:val="000000"/>
                        <w:sz w:val="22"/>
                        <w:szCs w:val="22"/>
                      </w:rPr>
                    </w:pPr>
                    <w:r w:rsidRPr="00F343D1">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D17C0" w14:textId="77777777" w:rsidR="005F69DD" w:rsidRDefault="005F69DD" w:rsidP="002D711A">
      <w:pPr>
        <w:spacing w:after="0" w:line="240" w:lineRule="auto"/>
      </w:pPr>
      <w:r>
        <w:separator/>
      </w:r>
    </w:p>
  </w:footnote>
  <w:footnote w:type="continuationSeparator" w:id="0">
    <w:p w14:paraId="77E26FEC" w14:textId="77777777" w:rsidR="005F69DD" w:rsidRDefault="005F69DD"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F058E" w14:textId="77777777" w:rsidR="0009082F" w:rsidRDefault="0009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E6C9" w14:textId="35D05B33" w:rsidR="0009082F" w:rsidRPr="0041689E" w:rsidRDefault="0009082F">
    <w:pPr>
      <w:pStyle w:val="Header"/>
    </w:pPr>
    <w:r>
      <w:rPr>
        <w:noProof/>
      </w:rPr>
      <w:drawing>
        <wp:anchor distT="0" distB="0" distL="114300" distR="114300" simplePos="0" relativeHeight="251657728" behindDoc="0" locked="0" layoutInCell="1" allowOverlap="1" wp14:anchorId="2ADD5249" wp14:editId="07AA7558">
          <wp:simplePos x="0" y="0"/>
          <wp:positionH relativeFrom="column">
            <wp:posOffset>-319405</wp:posOffset>
          </wp:positionH>
          <wp:positionV relativeFrom="page">
            <wp:posOffset>299085</wp:posOffset>
          </wp:positionV>
          <wp:extent cx="1380490" cy="4114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316454A3" wp14:editId="710FB65F">
          <wp:simplePos x="0" y="0"/>
          <wp:positionH relativeFrom="column">
            <wp:posOffset>-914400</wp:posOffset>
          </wp:positionH>
          <wp:positionV relativeFrom="page">
            <wp:posOffset>125095</wp:posOffset>
          </wp:positionV>
          <wp:extent cx="7589520" cy="740410"/>
          <wp:effectExtent l="0" t="0" r="0" b="2540"/>
          <wp:wrapNone/>
          <wp:docPr id="4"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F9A2" w14:textId="77777777" w:rsidR="0009082F" w:rsidRDefault="0009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51A1"/>
    <w:multiLevelType w:val="hybridMultilevel"/>
    <w:tmpl w:val="9EEE96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C5C19B0"/>
    <w:multiLevelType w:val="hybridMultilevel"/>
    <w:tmpl w:val="7916D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D13A93"/>
    <w:multiLevelType w:val="hybridMultilevel"/>
    <w:tmpl w:val="A25E7D76"/>
    <w:lvl w:ilvl="0" w:tplc="29F028E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A0321E"/>
    <w:multiLevelType w:val="hybridMultilevel"/>
    <w:tmpl w:val="F30A8D1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0151C8"/>
    <w:multiLevelType w:val="multilevel"/>
    <w:tmpl w:val="118EF4AC"/>
    <w:lvl w:ilvl="0">
      <w:start w:val="1"/>
      <w:numFmt w:val="decimal"/>
      <w:lvlText w:val="%1."/>
      <w:lvlJc w:val="left"/>
      <w:pPr>
        <w:tabs>
          <w:tab w:val="num" w:pos="646"/>
        </w:tabs>
        <w:ind w:left="646" w:hanging="504"/>
      </w:pPr>
      <w:rPr>
        <w:b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08"/>
        </w:tabs>
        <w:ind w:left="1008" w:hanging="504"/>
      </w:pPr>
      <w:rPr>
        <w:rFonts w:hint="default"/>
      </w:rPr>
    </w:lvl>
    <w:lvl w:ilvl="2">
      <w:start w:val="1"/>
      <w:numFmt w:val="lowerRoman"/>
      <w:lvlText w:val="(%3)"/>
      <w:lvlJc w:val="right"/>
      <w:pPr>
        <w:tabs>
          <w:tab w:val="num" w:pos="1512"/>
        </w:tabs>
        <w:ind w:left="1512" w:hanging="504"/>
      </w:pPr>
      <w:rPr>
        <w:rFonts w:hint="default"/>
      </w:rPr>
    </w:lvl>
    <w:lvl w:ilvl="3">
      <w:start w:val="1"/>
      <w:numFmt w:val="decimal"/>
      <w:lvlText w:val="%4."/>
      <w:lvlJc w:val="left"/>
      <w:pPr>
        <w:tabs>
          <w:tab w:val="num" w:pos="2582"/>
        </w:tabs>
        <w:ind w:left="2016" w:hanging="504"/>
      </w:pPr>
      <w:rPr>
        <w:rFonts w:hint="default"/>
      </w:rPr>
    </w:lvl>
    <w:lvl w:ilvl="4">
      <w:start w:val="1"/>
      <w:numFmt w:val="lowerLetter"/>
      <w:lvlText w:val="%5."/>
      <w:lvlJc w:val="left"/>
      <w:pPr>
        <w:tabs>
          <w:tab w:val="num" w:pos="3086"/>
        </w:tabs>
        <w:ind w:left="2520" w:hanging="504"/>
      </w:pPr>
      <w:rPr>
        <w:rFonts w:hint="default"/>
      </w:rPr>
    </w:lvl>
    <w:lvl w:ilvl="5">
      <w:start w:val="1"/>
      <w:numFmt w:val="lowerRoman"/>
      <w:lvlText w:val="%6."/>
      <w:lvlJc w:val="right"/>
      <w:pPr>
        <w:tabs>
          <w:tab w:val="num" w:pos="3590"/>
        </w:tabs>
        <w:ind w:left="3024" w:hanging="504"/>
      </w:pPr>
      <w:rPr>
        <w:rFonts w:hint="default"/>
      </w:rPr>
    </w:lvl>
    <w:lvl w:ilvl="6">
      <w:start w:val="1"/>
      <w:numFmt w:val="decimal"/>
      <w:lvlText w:val="%7."/>
      <w:lvlJc w:val="left"/>
      <w:pPr>
        <w:tabs>
          <w:tab w:val="num" w:pos="4094"/>
        </w:tabs>
        <w:ind w:left="3528" w:hanging="504"/>
      </w:pPr>
      <w:rPr>
        <w:rFonts w:hint="default"/>
      </w:rPr>
    </w:lvl>
    <w:lvl w:ilvl="7">
      <w:start w:val="1"/>
      <w:numFmt w:val="lowerLetter"/>
      <w:lvlText w:val="%8."/>
      <w:lvlJc w:val="left"/>
      <w:pPr>
        <w:tabs>
          <w:tab w:val="num" w:pos="4598"/>
        </w:tabs>
        <w:ind w:left="4032" w:hanging="504"/>
      </w:pPr>
      <w:rPr>
        <w:rFonts w:hint="default"/>
      </w:rPr>
    </w:lvl>
    <w:lvl w:ilvl="8">
      <w:start w:val="1"/>
      <w:numFmt w:val="lowerRoman"/>
      <w:lvlText w:val="%9."/>
      <w:lvlJc w:val="right"/>
      <w:pPr>
        <w:tabs>
          <w:tab w:val="num" w:pos="5102"/>
        </w:tabs>
        <w:ind w:left="4536" w:hanging="504"/>
      </w:pPr>
      <w:rPr>
        <w:rFonts w:hint="default"/>
      </w:rPr>
    </w:lvl>
  </w:abstractNum>
  <w:abstractNum w:abstractNumId="7" w15:restartNumberingAfterBreak="0">
    <w:nsid w:val="2DD27ACF"/>
    <w:multiLevelType w:val="hybridMultilevel"/>
    <w:tmpl w:val="8AFA2128"/>
    <w:lvl w:ilvl="0" w:tplc="0C090001">
      <w:start w:val="1"/>
      <w:numFmt w:val="bullet"/>
      <w:lvlText w:val=""/>
      <w:lvlJc w:val="left"/>
      <w:pPr>
        <w:ind w:left="720" w:hanging="360"/>
      </w:pPr>
      <w:rPr>
        <w:rFonts w:ascii="Symbol" w:hAnsi="Symbol" w:hint="default"/>
        <w:b w:val="0"/>
      </w:rPr>
    </w:lvl>
    <w:lvl w:ilvl="1" w:tplc="7BDADDE2">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C57E3D"/>
    <w:multiLevelType w:val="hybridMultilevel"/>
    <w:tmpl w:val="CE1A6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FE5001"/>
    <w:multiLevelType w:val="hybridMultilevel"/>
    <w:tmpl w:val="B464DC7A"/>
    <w:lvl w:ilvl="0" w:tplc="675489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6B0D0D"/>
    <w:multiLevelType w:val="hybridMultilevel"/>
    <w:tmpl w:val="DAB27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2F63E0"/>
    <w:multiLevelType w:val="hybridMultilevel"/>
    <w:tmpl w:val="9E08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61384E"/>
    <w:multiLevelType w:val="hybridMultilevel"/>
    <w:tmpl w:val="8BF6F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4" w15:restartNumberingAfterBreak="0">
    <w:nsid w:val="4F356C23"/>
    <w:multiLevelType w:val="hybridMultilevel"/>
    <w:tmpl w:val="B7D28FB4"/>
    <w:lvl w:ilvl="0" w:tplc="0C090001">
      <w:start w:val="1"/>
      <w:numFmt w:val="bullet"/>
      <w:lvlText w:val=""/>
      <w:lvlJc w:val="left"/>
      <w:pPr>
        <w:ind w:left="805" w:hanging="360"/>
      </w:pPr>
      <w:rPr>
        <w:rFonts w:ascii="Symbol" w:hAnsi="Symbol" w:hint="default"/>
      </w:rPr>
    </w:lvl>
    <w:lvl w:ilvl="1" w:tplc="0C090003" w:tentative="1">
      <w:start w:val="1"/>
      <w:numFmt w:val="bullet"/>
      <w:lvlText w:val="o"/>
      <w:lvlJc w:val="left"/>
      <w:pPr>
        <w:ind w:left="1525" w:hanging="360"/>
      </w:pPr>
      <w:rPr>
        <w:rFonts w:ascii="Courier New" w:hAnsi="Courier New" w:cs="Courier New" w:hint="default"/>
      </w:rPr>
    </w:lvl>
    <w:lvl w:ilvl="2" w:tplc="0C090005" w:tentative="1">
      <w:start w:val="1"/>
      <w:numFmt w:val="bullet"/>
      <w:lvlText w:val=""/>
      <w:lvlJc w:val="left"/>
      <w:pPr>
        <w:ind w:left="2245" w:hanging="360"/>
      </w:pPr>
      <w:rPr>
        <w:rFonts w:ascii="Wingdings" w:hAnsi="Wingdings" w:hint="default"/>
      </w:rPr>
    </w:lvl>
    <w:lvl w:ilvl="3" w:tplc="0C090001" w:tentative="1">
      <w:start w:val="1"/>
      <w:numFmt w:val="bullet"/>
      <w:lvlText w:val=""/>
      <w:lvlJc w:val="left"/>
      <w:pPr>
        <w:ind w:left="2965" w:hanging="360"/>
      </w:pPr>
      <w:rPr>
        <w:rFonts w:ascii="Symbol" w:hAnsi="Symbol" w:hint="default"/>
      </w:rPr>
    </w:lvl>
    <w:lvl w:ilvl="4" w:tplc="0C090003" w:tentative="1">
      <w:start w:val="1"/>
      <w:numFmt w:val="bullet"/>
      <w:lvlText w:val="o"/>
      <w:lvlJc w:val="left"/>
      <w:pPr>
        <w:ind w:left="3685" w:hanging="360"/>
      </w:pPr>
      <w:rPr>
        <w:rFonts w:ascii="Courier New" w:hAnsi="Courier New" w:cs="Courier New" w:hint="default"/>
      </w:rPr>
    </w:lvl>
    <w:lvl w:ilvl="5" w:tplc="0C090005" w:tentative="1">
      <w:start w:val="1"/>
      <w:numFmt w:val="bullet"/>
      <w:lvlText w:val=""/>
      <w:lvlJc w:val="left"/>
      <w:pPr>
        <w:ind w:left="4405" w:hanging="360"/>
      </w:pPr>
      <w:rPr>
        <w:rFonts w:ascii="Wingdings" w:hAnsi="Wingdings" w:hint="default"/>
      </w:rPr>
    </w:lvl>
    <w:lvl w:ilvl="6" w:tplc="0C090001" w:tentative="1">
      <w:start w:val="1"/>
      <w:numFmt w:val="bullet"/>
      <w:lvlText w:val=""/>
      <w:lvlJc w:val="left"/>
      <w:pPr>
        <w:ind w:left="5125" w:hanging="360"/>
      </w:pPr>
      <w:rPr>
        <w:rFonts w:ascii="Symbol" w:hAnsi="Symbol" w:hint="default"/>
      </w:rPr>
    </w:lvl>
    <w:lvl w:ilvl="7" w:tplc="0C090003" w:tentative="1">
      <w:start w:val="1"/>
      <w:numFmt w:val="bullet"/>
      <w:lvlText w:val="o"/>
      <w:lvlJc w:val="left"/>
      <w:pPr>
        <w:ind w:left="5845" w:hanging="360"/>
      </w:pPr>
      <w:rPr>
        <w:rFonts w:ascii="Courier New" w:hAnsi="Courier New" w:cs="Courier New" w:hint="default"/>
      </w:rPr>
    </w:lvl>
    <w:lvl w:ilvl="8" w:tplc="0C090005" w:tentative="1">
      <w:start w:val="1"/>
      <w:numFmt w:val="bullet"/>
      <w:lvlText w:val=""/>
      <w:lvlJc w:val="left"/>
      <w:pPr>
        <w:ind w:left="6565" w:hanging="360"/>
      </w:pPr>
      <w:rPr>
        <w:rFonts w:ascii="Wingdings" w:hAnsi="Wingdings" w:hint="default"/>
      </w:rPr>
    </w:lvl>
  </w:abstractNum>
  <w:abstractNum w:abstractNumId="15" w15:restartNumberingAfterBreak="0">
    <w:nsid w:val="56FB1A53"/>
    <w:multiLevelType w:val="multilevel"/>
    <w:tmpl w:val="1ACA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326DC"/>
    <w:multiLevelType w:val="hybridMultilevel"/>
    <w:tmpl w:val="55B8EF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FD36FA6"/>
    <w:multiLevelType w:val="hybridMultilevel"/>
    <w:tmpl w:val="AD2E31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EA605F"/>
    <w:multiLevelType w:val="hybridMultilevel"/>
    <w:tmpl w:val="BD6C4FFA"/>
    <w:lvl w:ilvl="0" w:tplc="49C21D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9C3142"/>
    <w:multiLevelType w:val="hybridMultilevel"/>
    <w:tmpl w:val="1A963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46606F"/>
    <w:multiLevelType w:val="hybridMultilevel"/>
    <w:tmpl w:val="8D8EE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A769D4"/>
    <w:multiLevelType w:val="hybridMultilevel"/>
    <w:tmpl w:val="6F00B7FA"/>
    <w:lvl w:ilvl="0" w:tplc="0C090001">
      <w:start w:val="1"/>
      <w:numFmt w:val="bullet"/>
      <w:lvlText w:val=""/>
      <w:lvlJc w:val="left"/>
      <w:pPr>
        <w:tabs>
          <w:tab w:val="num" w:pos="873"/>
        </w:tabs>
        <w:ind w:left="873" w:hanging="360"/>
      </w:pPr>
      <w:rPr>
        <w:rFonts w:ascii="Symbol" w:hAnsi="Symbol" w:hint="default"/>
      </w:rPr>
    </w:lvl>
    <w:lvl w:ilvl="1" w:tplc="0C090003" w:tentative="1">
      <w:start w:val="1"/>
      <w:numFmt w:val="bullet"/>
      <w:lvlText w:val="o"/>
      <w:lvlJc w:val="left"/>
      <w:pPr>
        <w:tabs>
          <w:tab w:val="num" w:pos="1593"/>
        </w:tabs>
        <w:ind w:left="1593" w:hanging="360"/>
      </w:pPr>
      <w:rPr>
        <w:rFonts w:ascii="Courier New" w:hAnsi="Courier New" w:cs="Courier New" w:hint="default"/>
      </w:rPr>
    </w:lvl>
    <w:lvl w:ilvl="2" w:tplc="0C090005" w:tentative="1">
      <w:start w:val="1"/>
      <w:numFmt w:val="bullet"/>
      <w:lvlText w:val=""/>
      <w:lvlJc w:val="left"/>
      <w:pPr>
        <w:tabs>
          <w:tab w:val="num" w:pos="2313"/>
        </w:tabs>
        <w:ind w:left="2313" w:hanging="360"/>
      </w:pPr>
      <w:rPr>
        <w:rFonts w:ascii="Wingdings" w:hAnsi="Wingdings" w:hint="default"/>
      </w:rPr>
    </w:lvl>
    <w:lvl w:ilvl="3" w:tplc="0C090001" w:tentative="1">
      <w:start w:val="1"/>
      <w:numFmt w:val="bullet"/>
      <w:lvlText w:val=""/>
      <w:lvlJc w:val="left"/>
      <w:pPr>
        <w:tabs>
          <w:tab w:val="num" w:pos="3033"/>
        </w:tabs>
        <w:ind w:left="3033" w:hanging="360"/>
      </w:pPr>
      <w:rPr>
        <w:rFonts w:ascii="Symbol" w:hAnsi="Symbol" w:hint="default"/>
      </w:rPr>
    </w:lvl>
    <w:lvl w:ilvl="4" w:tplc="0C090003" w:tentative="1">
      <w:start w:val="1"/>
      <w:numFmt w:val="bullet"/>
      <w:lvlText w:val="o"/>
      <w:lvlJc w:val="left"/>
      <w:pPr>
        <w:tabs>
          <w:tab w:val="num" w:pos="3753"/>
        </w:tabs>
        <w:ind w:left="3753" w:hanging="360"/>
      </w:pPr>
      <w:rPr>
        <w:rFonts w:ascii="Courier New" w:hAnsi="Courier New" w:cs="Courier New" w:hint="default"/>
      </w:rPr>
    </w:lvl>
    <w:lvl w:ilvl="5" w:tplc="0C090005" w:tentative="1">
      <w:start w:val="1"/>
      <w:numFmt w:val="bullet"/>
      <w:lvlText w:val=""/>
      <w:lvlJc w:val="left"/>
      <w:pPr>
        <w:tabs>
          <w:tab w:val="num" w:pos="4473"/>
        </w:tabs>
        <w:ind w:left="4473" w:hanging="360"/>
      </w:pPr>
      <w:rPr>
        <w:rFonts w:ascii="Wingdings" w:hAnsi="Wingdings" w:hint="default"/>
      </w:rPr>
    </w:lvl>
    <w:lvl w:ilvl="6" w:tplc="0C090001" w:tentative="1">
      <w:start w:val="1"/>
      <w:numFmt w:val="bullet"/>
      <w:lvlText w:val=""/>
      <w:lvlJc w:val="left"/>
      <w:pPr>
        <w:tabs>
          <w:tab w:val="num" w:pos="5193"/>
        </w:tabs>
        <w:ind w:left="5193" w:hanging="360"/>
      </w:pPr>
      <w:rPr>
        <w:rFonts w:ascii="Symbol" w:hAnsi="Symbol" w:hint="default"/>
      </w:rPr>
    </w:lvl>
    <w:lvl w:ilvl="7" w:tplc="0C090003" w:tentative="1">
      <w:start w:val="1"/>
      <w:numFmt w:val="bullet"/>
      <w:lvlText w:val="o"/>
      <w:lvlJc w:val="left"/>
      <w:pPr>
        <w:tabs>
          <w:tab w:val="num" w:pos="5913"/>
        </w:tabs>
        <w:ind w:left="5913" w:hanging="360"/>
      </w:pPr>
      <w:rPr>
        <w:rFonts w:ascii="Courier New" w:hAnsi="Courier New" w:cs="Courier New" w:hint="default"/>
      </w:rPr>
    </w:lvl>
    <w:lvl w:ilvl="8" w:tplc="0C090005" w:tentative="1">
      <w:start w:val="1"/>
      <w:numFmt w:val="bullet"/>
      <w:lvlText w:val=""/>
      <w:lvlJc w:val="left"/>
      <w:pPr>
        <w:tabs>
          <w:tab w:val="num" w:pos="6633"/>
        </w:tabs>
        <w:ind w:left="6633" w:hanging="360"/>
      </w:pPr>
      <w:rPr>
        <w:rFonts w:ascii="Wingdings" w:hAnsi="Wingdings" w:hint="default"/>
      </w:rPr>
    </w:lvl>
  </w:abstractNum>
  <w:abstractNum w:abstractNumId="22"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864057012">
    <w:abstractNumId w:val="13"/>
  </w:num>
  <w:num w:numId="2" w16cid:durableId="942229033">
    <w:abstractNumId w:val="13"/>
  </w:num>
  <w:num w:numId="3" w16cid:durableId="854807015">
    <w:abstractNumId w:val="13"/>
  </w:num>
  <w:num w:numId="4" w16cid:durableId="1916088048">
    <w:abstractNumId w:val="24"/>
  </w:num>
  <w:num w:numId="5" w16cid:durableId="413093102">
    <w:abstractNumId w:val="13"/>
  </w:num>
  <w:num w:numId="6" w16cid:durableId="25061654">
    <w:abstractNumId w:val="13"/>
  </w:num>
  <w:num w:numId="7" w16cid:durableId="2078628819">
    <w:abstractNumId w:val="13"/>
  </w:num>
  <w:num w:numId="8" w16cid:durableId="1370496295">
    <w:abstractNumId w:val="13"/>
  </w:num>
  <w:num w:numId="9" w16cid:durableId="21908350">
    <w:abstractNumId w:val="24"/>
  </w:num>
  <w:num w:numId="10" w16cid:durableId="190534524">
    <w:abstractNumId w:val="24"/>
  </w:num>
  <w:num w:numId="11" w16cid:durableId="1763408275">
    <w:abstractNumId w:val="24"/>
  </w:num>
  <w:num w:numId="12" w16cid:durableId="466583369">
    <w:abstractNumId w:val="24"/>
  </w:num>
  <w:num w:numId="13" w16cid:durableId="417948453">
    <w:abstractNumId w:val="24"/>
  </w:num>
  <w:num w:numId="14" w16cid:durableId="670790195">
    <w:abstractNumId w:val="24"/>
  </w:num>
  <w:num w:numId="15" w16cid:durableId="47342383">
    <w:abstractNumId w:val="24"/>
  </w:num>
  <w:num w:numId="16" w16cid:durableId="672300616">
    <w:abstractNumId w:val="24"/>
  </w:num>
  <w:num w:numId="17" w16cid:durableId="1506214301">
    <w:abstractNumId w:val="5"/>
  </w:num>
  <w:num w:numId="18" w16cid:durableId="1046029840">
    <w:abstractNumId w:val="5"/>
  </w:num>
  <w:num w:numId="19" w16cid:durableId="611978589">
    <w:abstractNumId w:val="23"/>
  </w:num>
  <w:num w:numId="20" w16cid:durableId="477386677">
    <w:abstractNumId w:val="22"/>
  </w:num>
  <w:num w:numId="21" w16cid:durableId="902522567">
    <w:abstractNumId w:val="1"/>
  </w:num>
  <w:num w:numId="22" w16cid:durableId="895169013">
    <w:abstractNumId w:val="1"/>
  </w:num>
  <w:num w:numId="23" w16cid:durableId="1026718048">
    <w:abstractNumId w:val="1"/>
  </w:num>
  <w:num w:numId="24" w16cid:durableId="522473191">
    <w:abstractNumId w:val="23"/>
  </w:num>
  <w:num w:numId="25" w16cid:durableId="577641578">
    <w:abstractNumId w:val="24"/>
  </w:num>
  <w:num w:numId="26" w16cid:durableId="181013375">
    <w:abstractNumId w:val="5"/>
  </w:num>
  <w:num w:numId="27" w16cid:durableId="1133711856">
    <w:abstractNumId w:val="5"/>
  </w:num>
  <w:num w:numId="28" w16cid:durableId="730423983">
    <w:abstractNumId w:val="7"/>
  </w:num>
  <w:num w:numId="29" w16cid:durableId="183790653">
    <w:abstractNumId w:val="11"/>
  </w:num>
  <w:num w:numId="30" w16cid:durableId="1039743747">
    <w:abstractNumId w:val="16"/>
  </w:num>
  <w:num w:numId="31" w16cid:durableId="632442595">
    <w:abstractNumId w:val="8"/>
  </w:num>
  <w:num w:numId="32" w16cid:durableId="657265626">
    <w:abstractNumId w:val="6"/>
  </w:num>
  <w:num w:numId="33" w16cid:durableId="191846282">
    <w:abstractNumId w:val="9"/>
  </w:num>
  <w:num w:numId="34" w16cid:durableId="652637637">
    <w:abstractNumId w:val="2"/>
  </w:num>
  <w:num w:numId="35" w16cid:durableId="1899437450">
    <w:abstractNumId w:val="3"/>
  </w:num>
  <w:num w:numId="36" w16cid:durableId="1989095408">
    <w:abstractNumId w:val="12"/>
  </w:num>
  <w:num w:numId="37" w16cid:durableId="782262017">
    <w:abstractNumId w:val="15"/>
  </w:num>
  <w:num w:numId="38" w16cid:durableId="1563326496">
    <w:abstractNumId w:val="4"/>
  </w:num>
  <w:num w:numId="39" w16cid:durableId="1291400922">
    <w:abstractNumId w:val="21"/>
  </w:num>
  <w:num w:numId="40" w16cid:durableId="667442987">
    <w:abstractNumId w:val="20"/>
  </w:num>
  <w:num w:numId="41" w16cid:durableId="349334653">
    <w:abstractNumId w:val="10"/>
  </w:num>
  <w:num w:numId="42" w16cid:durableId="148521223">
    <w:abstractNumId w:val="19"/>
  </w:num>
  <w:num w:numId="43" w16cid:durableId="699864908">
    <w:abstractNumId w:val="17"/>
  </w:num>
  <w:num w:numId="44" w16cid:durableId="1877425730">
    <w:abstractNumId w:val="14"/>
  </w:num>
  <w:num w:numId="45" w16cid:durableId="964311607">
    <w:abstractNumId w:val="18"/>
  </w:num>
  <w:num w:numId="46" w16cid:durableId="918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649"/>
    <w:rsid w:val="00000A5B"/>
    <w:rsid w:val="00002577"/>
    <w:rsid w:val="00003370"/>
    <w:rsid w:val="000069B1"/>
    <w:rsid w:val="00006B26"/>
    <w:rsid w:val="0000722B"/>
    <w:rsid w:val="00010225"/>
    <w:rsid w:val="0001276A"/>
    <w:rsid w:val="00012F6F"/>
    <w:rsid w:val="00014213"/>
    <w:rsid w:val="00014B55"/>
    <w:rsid w:val="00015346"/>
    <w:rsid w:val="00016904"/>
    <w:rsid w:val="00017049"/>
    <w:rsid w:val="00017075"/>
    <w:rsid w:val="00017ED2"/>
    <w:rsid w:val="00020E3E"/>
    <w:rsid w:val="00023BF3"/>
    <w:rsid w:val="0002405B"/>
    <w:rsid w:val="00026811"/>
    <w:rsid w:val="00026C23"/>
    <w:rsid w:val="00026C48"/>
    <w:rsid w:val="00030472"/>
    <w:rsid w:val="000306B4"/>
    <w:rsid w:val="00030A2E"/>
    <w:rsid w:val="000323AB"/>
    <w:rsid w:val="00032502"/>
    <w:rsid w:val="00032874"/>
    <w:rsid w:val="00033D30"/>
    <w:rsid w:val="0004096E"/>
    <w:rsid w:val="00041B0B"/>
    <w:rsid w:val="00041D35"/>
    <w:rsid w:val="00043296"/>
    <w:rsid w:val="0004335C"/>
    <w:rsid w:val="0004356D"/>
    <w:rsid w:val="00044630"/>
    <w:rsid w:val="00044B9F"/>
    <w:rsid w:val="00045296"/>
    <w:rsid w:val="000463AF"/>
    <w:rsid w:val="00047B5A"/>
    <w:rsid w:val="00052AC0"/>
    <w:rsid w:val="00052B7A"/>
    <w:rsid w:val="0005343E"/>
    <w:rsid w:val="00055C3A"/>
    <w:rsid w:val="0005621B"/>
    <w:rsid w:val="00056B23"/>
    <w:rsid w:val="00060F8A"/>
    <w:rsid w:val="0006290B"/>
    <w:rsid w:val="00064969"/>
    <w:rsid w:val="00065A99"/>
    <w:rsid w:val="00066134"/>
    <w:rsid w:val="00071EAB"/>
    <w:rsid w:val="0007339B"/>
    <w:rsid w:val="000741CD"/>
    <w:rsid w:val="00074729"/>
    <w:rsid w:val="00075E6C"/>
    <w:rsid w:val="00076953"/>
    <w:rsid w:val="0007709E"/>
    <w:rsid w:val="0008260B"/>
    <w:rsid w:val="000826CB"/>
    <w:rsid w:val="0008275A"/>
    <w:rsid w:val="00085586"/>
    <w:rsid w:val="00085BBD"/>
    <w:rsid w:val="00086493"/>
    <w:rsid w:val="00086ED7"/>
    <w:rsid w:val="0009082F"/>
    <w:rsid w:val="00091A1C"/>
    <w:rsid w:val="00092587"/>
    <w:rsid w:val="00093842"/>
    <w:rsid w:val="000939AE"/>
    <w:rsid w:val="0009476A"/>
    <w:rsid w:val="00095C3E"/>
    <w:rsid w:val="00095C4E"/>
    <w:rsid w:val="00095CCB"/>
    <w:rsid w:val="00097C04"/>
    <w:rsid w:val="000A0216"/>
    <w:rsid w:val="000A03BE"/>
    <w:rsid w:val="000A099B"/>
    <w:rsid w:val="000A1A4F"/>
    <w:rsid w:val="000A279A"/>
    <w:rsid w:val="000A466E"/>
    <w:rsid w:val="000A4D40"/>
    <w:rsid w:val="000A6230"/>
    <w:rsid w:val="000A7E5C"/>
    <w:rsid w:val="000B03D0"/>
    <w:rsid w:val="000B1904"/>
    <w:rsid w:val="000B29AD"/>
    <w:rsid w:val="000B4224"/>
    <w:rsid w:val="000B4377"/>
    <w:rsid w:val="000B4803"/>
    <w:rsid w:val="000B61A2"/>
    <w:rsid w:val="000B6723"/>
    <w:rsid w:val="000C35AB"/>
    <w:rsid w:val="000C584B"/>
    <w:rsid w:val="000C6109"/>
    <w:rsid w:val="000C6372"/>
    <w:rsid w:val="000D1293"/>
    <w:rsid w:val="000D3995"/>
    <w:rsid w:val="000D3B5E"/>
    <w:rsid w:val="000D593F"/>
    <w:rsid w:val="000D5A4F"/>
    <w:rsid w:val="000D5B6F"/>
    <w:rsid w:val="000E00FA"/>
    <w:rsid w:val="000E0AC8"/>
    <w:rsid w:val="000E392D"/>
    <w:rsid w:val="000E3EB4"/>
    <w:rsid w:val="000E4F65"/>
    <w:rsid w:val="000E6F93"/>
    <w:rsid w:val="000F1653"/>
    <w:rsid w:val="000F34E3"/>
    <w:rsid w:val="000F36DE"/>
    <w:rsid w:val="000F4288"/>
    <w:rsid w:val="000F6A22"/>
    <w:rsid w:val="000F6BDC"/>
    <w:rsid w:val="000F6E31"/>
    <w:rsid w:val="000F7165"/>
    <w:rsid w:val="000F752F"/>
    <w:rsid w:val="000F7870"/>
    <w:rsid w:val="000F78F9"/>
    <w:rsid w:val="0010017A"/>
    <w:rsid w:val="001002CF"/>
    <w:rsid w:val="001007DD"/>
    <w:rsid w:val="00101FCF"/>
    <w:rsid w:val="00102379"/>
    <w:rsid w:val="00102C61"/>
    <w:rsid w:val="00103EC9"/>
    <w:rsid w:val="00104AD6"/>
    <w:rsid w:val="00105796"/>
    <w:rsid w:val="00106544"/>
    <w:rsid w:val="001065D6"/>
    <w:rsid w:val="00107FE7"/>
    <w:rsid w:val="00110641"/>
    <w:rsid w:val="001107F7"/>
    <w:rsid w:val="00112481"/>
    <w:rsid w:val="00112505"/>
    <w:rsid w:val="00114AF4"/>
    <w:rsid w:val="0011535F"/>
    <w:rsid w:val="00116BB1"/>
    <w:rsid w:val="00120029"/>
    <w:rsid w:val="001201D5"/>
    <w:rsid w:val="00121252"/>
    <w:rsid w:val="00122825"/>
    <w:rsid w:val="00124509"/>
    <w:rsid w:val="00124609"/>
    <w:rsid w:val="001254CE"/>
    <w:rsid w:val="00126AF9"/>
    <w:rsid w:val="00126FEE"/>
    <w:rsid w:val="0013141E"/>
    <w:rsid w:val="00131DCD"/>
    <w:rsid w:val="00134CEA"/>
    <w:rsid w:val="00135916"/>
    <w:rsid w:val="0013714F"/>
    <w:rsid w:val="00140BB3"/>
    <w:rsid w:val="001422CC"/>
    <w:rsid w:val="00146567"/>
    <w:rsid w:val="001478E0"/>
    <w:rsid w:val="00147ECE"/>
    <w:rsid w:val="00147F0A"/>
    <w:rsid w:val="00151693"/>
    <w:rsid w:val="00152DAD"/>
    <w:rsid w:val="00152ECC"/>
    <w:rsid w:val="00154900"/>
    <w:rsid w:val="00157DE4"/>
    <w:rsid w:val="001617B6"/>
    <w:rsid w:val="001640DA"/>
    <w:rsid w:val="00165666"/>
    <w:rsid w:val="00165E66"/>
    <w:rsid w:val="00170258"/>
    <w:rsid w:val="00170EE3"/>
    <w:rsid w:val="001718F9"/>
    <w:rsid w:val="00171D0D"/>
    <w:rsid w:val="00172412"/>
    <w:rsid w:val="00173D44"/>
    <w:rsid w:val="0017570F"/>
    <w:rsid w:val="00175BAC"/>
    <w:rsid w:val="00177594"/>
    <w:rsid w:val="00180DFF"/>
    <w:rsid w:val="001827D9"/>
    <w:rsid w:val="00182F04"/>
    <w:rsid w:val="00183CE1"/>
    <w:rsid w:val="001846BC"/>
    <w:rsid w:val="001862EA"/>
    <w:rsid w:val="00191671"/>
    <w:rsid w:val="001932E2"/>
    <w:rsid w:val="001953BC"/>
    <w:rsid w:val="001959E6"/>
    <w:rsid w:val="00196681"/>
    <w:rsid w:val="00196D99"/>
    <w:rsid w:val="001977C7"/>
    <w:rsid w:val="001A02FA"/>
    <w:rsid w:val="001A1E43"/>
    <w:rsid w:val="001A3DD1"/>
    <w:rsid w:val="001B69EB"/>
    <w:rsid w:val="001B7577"/>
    <w:rsid w:val="001C0A09"/>
    <w:rsid w:val="001C24D7"/>
    <w:rsid w:val="001C301D"/>
    <w:rsid w:val="001C387D"/>
    <w:rsid w:val="001C5447"/>
    <w:rsid w:val="001C60A0"/>
    <w:rsid w:val="001C76B0"/>
    <w:rsid w:val="001C7BAE"/>
    <w:rsid w:val="001C7C86"/>
    <w:rsid w:val="001D194C"/>
    <w:rsid w:val="001D1C67"/>
    <w:rsid w:val="001D2656"/>
    <w:rsid w:val="001D2FE1"/>
    <w:rsid w:val="001D307F"/>
    <w:rsid w:val="001D717E"/>
    <w:rsid w:val="001E0514"/>
    <w:rsid w:val="001E1B8C"/>
    <w:rsid w:val="001E31FA"/>
    <w:rsid w:val="001E538B"/>
    <w:rsid w:val="001E53B4"/>
    <w:rsid w:val="001E64F6"/>
    <w:rsid w:val="001E6F47"/>
    <w:rsid w:val="001E7229"/>
    <w:rsid w:val="001E7562"/>
    <w:rsid w:val="001F05C7"/>
    <w:rsid w:val="001F23F9"/>
    <w:rsid w:val="001F28E9"/>
    <w:rsid w:val="001F31D2"/>
    <w:rsid w:val="001F334D"/>
    <w:rsid w:val="001F3A84"/>
    <w:rsid w:val="001F4970"/>
    <w:rsid w:val="001F4B6F"/>
    <w:rsid w:val="001F4CB4"/>
    <w:rsid w:val="001F650C"/>
    <w:rsid w:val="001F740C"/>
    <w:rsid w:val="001F7E13"/>
    <w:rsid w:val="00200BB3"/>
    <w:rsid w:val="0020362D"/>
    <w:rsid w:val="00203C15"/>
    <w:rsid w:val="00204E13"/>
    <w:rsid w:val="002061AF"/>
    <w:rsid w:val="0020649F"/>
    <w:rsid w:val="00206C1B"/>
    <w:rsid w:val="00207240"/>
    <w:rsid w:val="0021116C"/>
    <w:rsid w:val="0021187F"/>
    <w:rsid w:val="00213BE3"/>
    <w:rsid w:val="002148E1"/>
    <w:rsid w:val="00214CBC"/>
    <w:rsid w:val="002159B4"/>
    <w:rsid w:val="00215D4C"/>
    <w:rsid w:val="00220076"/>
    <w:rsid w:val="002225BB"/>
    <w:rsid w:val="00222BEB"/>
    <w:rsid w:val="002248CD"/>
    <w:rsid w:val="00225E60"/>
    <w:rsid w:val="00226FC5"/>
    <w:rsid w:val="00227292"/>
    <w:rsid w:val="00227C39"/>
    <w:rsid w:val="0023202C"/>
    <w:rsid w:val="002349AF"/>
    <w:rsid w:val="00235985"/>
    <w:rsid w:val="00236203"/>
    <w:rsid w:val="00236DFD"/>
    <w:rsid w:val="00240201"/>
    <w:rsid w:val="0024364F"/>
    <w:rsid w:val="00244AE1"/>
    <w:rsid w:val="00245043"/>
    <w:rsid w:val="002460FC"/>
    <w:rsid w:val="00247D20"/>
    <w:rsid w:val="0025025C"/>
    <w:rsid w:val="00251B91"/>
    <w:rsid w:val="002536CF"/>
    <w:rsid w:val="002542AD"/>
    <w:rsid w:val="00255796"/>
    <w:rsid w:val="00257760"/>
    <w:rsid w:val="00260C39"/>
    <w:rsid w:val="0026486D"/>
    <w:rsid w:val="00264FF0"/>
    <w:rsid w:val="00265E60"/>
    <w:rsid w:val="002710A5"/>
    <w:rsid w:val="0027541A"/>
    <w:rsid w:val="0027683F"/>
    <w:rsid w:val="0028031C"/>
    <w:rsid w:val="00280571"/>
    <w:rsid w:val="002814FD"/>
    <w:rsid w:val="00281537"/>
    <w:rsid w:val="00282C16"/>
    <w:rsid w:val="00282E34"/>
    <w:rsid w:val="002830D8"/>
    <w:rsid w:val="00285198"/>
    <w:rsid w:val="002858C7"/>
    <w:rsid w:val="00290B8C"/>
    <w:rsid w:val="00290CF5"/>
    <w:rsid w:val="00291E1C"/>
    <w:rsid w:val="00291E52"/>
    <w:rsid w:val="00292D36"/>
    <w:rsid w:val="00294192"/>
    <w:rsid w:val="00296EF5"/>
    <w:rsid w:val="00297281"/>
    <w:rsid w:val="002A1AAE"/>
    <w:rsid w:val="002A1F00"/>
    <w:rsid w:val="002A397C"/>
    <w:rsid w:val="002A5A66"/>
    <w:rsid w:val="002A5BD9"/>
    <w:rsid w:val="002A5CA8"/>
    <w:rsid w:val="002A64D0"/>
    <w:rsid w:val="002A66FA"/>
    <w:rsid w:val="002A677C"/>
    <w:rsid w:val="002A6C79"/>
    <w:rsid w:val="002A6F7F"/>
    <w:rsid w:val="002A7B1E"/>
    <w:rsid w:val="002B0D77"/>
    <w:rsid w:val="002B22DE"/>
    <w:rsid w:val="002B7635"/>
    <w:rsid w:val="002C1162"/>
    <w:rsid w:val="002C1A1F"/>
    <w:rsid w:val="002C1FA1"/>
    <w:rsid w:val="002C3156"/>
    <w:rsid w:val="002C54E0"/>
    <w:rsid w:val="002C5D6E"/>
    <w:rsid w:val="002D1664"/>
    <w:rsid w:val="002D188E"/>
    <w:rsid w:val="002D569F"/>
    <w:rsid w:val="002D5EF7"/>
    <w:rsid w:val="002D5F02"/>
    <w:rsid w:val="002D711A"/>
    <w:rsid w:val="002D7336"/>
    <w:rsid w:val="002E15A5"/>
    <w:rsid w:val="002E2F1A"/>
    <w:rsid w:val="002E3396"/>
    <w:rsid w:val="002E3557"/>
    <w:rsid w:val="002E4F82"/>
    <w:rsid w:val="002E5F10"/>
    <w:rsid w:val="002E6DEC"/>
    <w:rsid w:val="002E71F0"/>
    <w:rsid w:val="002E730E"/>
    <w:rsid w:val="002F1998"/>
    <w:rsid w:val="002F42AC"/>
    <w:rsid w:val="002F5E44"/>
    <w:rsid w:val="002F6E67"/>
    <w:rsid w:val="002F7215"/>
    <w:rsid w:val="002F7956"/>
    <w:rsid w:val="0030620D"/>
    <w:rsid w:val="00311006"/>
    <w:rsid w:val="0031149C"/>
    <w:rsid w:val="003174A6"/>
    <w:rsid w:val="00321F3D"/>
    <w:rsid w:val="0032362E"/>
    <w:rsid w:val="00323653"/>
    <w:rsid w:val="003237D0"/>
    <w:rsid w:val="0032780B"/>
    <w:rsid w:val="003301F8"/>
    <w:rsid w:val="00330C8D"/>
    <w:rsid w:val="0033142D"/>
    <w:rsid w:val="00335965"/>
    <w:rsid w:val="00335B97"/>
    <w:rsid w:val="00336292"/>
    <w:rsid w:val="003376F4"/>
    <w:rsid w:val="0034031E"/>
    <w:rsid w:val="003444C4"/>
    <w:rsid w:val="0034568F"/>
    <w:rsid w:val="00346715"/>
    <w:rsid w:val="00347E9B"/>
    <w:rsid w:val="00351B50"/>
    <w:rsid w:val="00356178"/>
    <w:rsid w:val="00356FBF"/>
    <w:rsid w:val="003574AF"/>
    <w:rsid w:val="00364AEA"/>
    <w:rsid w:val="0036557E"/>
    <w:rsid w:val="00365918"/>
    <w:rsid w:val="0036672C"/>
    <w:rsid w:val="003705FC"/>
    <w:rsid w:val="00382295"/>
    <w:rsid w:val="00384136"/>
    <w:rsid w:val="00385DED"/>
    <w:rsid w:val="003861C1"/>
    <w:rsid w:val="0038684C"/>
    <w:rsid w:val="0038771C"/>
    <w:rsid w:val="003925DD"/>
    <w:rsid w:val="00392A8F"/>
    <w:rsid w:val="00393394"/>
    <w:rsid w:val="0039362D"/>
    <w:rsid w:val="00393777"/>
    <w:rsid w:val="0039405B"/>
    <w:rsid w:val="00394164"/>
    <w:rsid w:val="0039473F"/>
    <w:rsid w:val="00395052"/>
    <w:rsid w:val="00397BCD"/>
    <w:rsid w:val="00397E99"/>
    <w:rsid w:val="003A0BAD"/>
    <w:rsid w:val="003A0BC9"/>
    <w:rsid w:val="003A1C92"/>
    <w:rsid w:val="003A541A"/>
    <w:rsid w:val="003A569E"/>
    <w:rsid w:val="003A594F"/>
    <w:rsid w:val="003A5BC9"/>
    <w:rsid w:val="003A6923"/>
    <w:rsid w:val="003A7380"/>
    <w:rsid w:val="003B0EED"/>
    <w:rsid w:val="003B3102"/>
    <w:rsid w:val="003C041E"/>
    <w:rsid w:val="003C0B40"/>
    <w:rsid w:val="003C2C67"/>
    <w:rsid w:val="003C2EA2"/>
    <w:rsid w:val="003C5587"/>
    <w:rsid w:val="003C5BA4"/>
    <w:rsid w:val="003C785E"/>
    <w:rsid w:val="003D2A74"/>
    <w:rsid w:val="003D2AAA"/>
    <w:rsid w:val="003D3C75"/>
    <w:rsid w:val="003D3F50"/>
    <w:rsid w:val="003D40D6"/>
    <w:rsid w:val="003D4298"/>
    <w:rsid w:val="003D5C32"/>
    <w:rsid w:val="003D600B"/>
    <w:rsid w:val="003E0EDA"/>
    <w:rsid w:val="003E2596"/>
    <w:rsid w:val="003E370F"/>
    <w:rsid w:val="003E372B"/>
    <w:rsid w:val="003E3C0D"/>
    <w:rsid w:val="003E3E26"/>
    <w:rsid w:val="003E4397"/>
    <w:rsid w:val="003E4F73"/>
    <w:rsid w:val="003E631D"/>
    <w:rsid w:val="003F1295"/>
    <w:rsid w:val="003F22AC"/>
    <w:rsid w:val="003F48FB"/>
    <w:rsid w:val="003F5505"/>
    <w:rsid w:val="003F57F0"/>
    <w:rsid w:val="003F76FC"/>
    <w:rsid w:val="003F7ED8"/>
    <w:rsid w:val="004002EB"/>
    <w:rsid w:val="004006FC"/>
    <w:rsid w:val="00403568"/>
    <w:rsid w:val="004041AC"/>
    <w:rsid w:val="0040445B"/>
    <w:rsid w:val="0040529E"/>
    <w:rsid w:val="00405C57"/>
    <w:rsid w:val="00405E69"/>
    <w:rsid w:val="00407A97"/>
    <w:rsid w:val="004162A3"/>
    <w:rsid w:val="0041689E"/>
    <w:rsid w:val="0042007D"/>
    <w:rsid w:val="00422BB5"/>
    <w:rsid w:val="004236C8"/>
    <w:rsid w:val="0042433F"/>
    <w:rsid w:val="004245E6"/>
    <w:rsid w:val="00425B47"/>
    <w:rsid w:val="00425BB1"/>
    <w:rsid w:val="00427681"/>
    <w:rsid w:val="00432336"/>
    <w:rsid w:val="004323BB"/>
    <w:rsid w:val="0043246D"/>
    <w:rsid w:val="00432970"/>
    <w:rsid w:val="00433DB7"/>
    <w:rsid w:val="00434F9D"/>
    <w:rsid w:val="0043699B"/>
    <w:rsid w:val="00442135"/>
    <w:rsid w:val="00443048"/>
    <w:rsid w:val="0044700A"/>
    <w:rsid w:val="0044791A"/>
    <w:rsid w:val="00450002"/>
    <w:rsid w:val="0045037F"/>
    <w:rsid w:val="00451168"/>
    <w:rsid w:val="00453750"/>
    <w:rsid w:val="00453C7C"/>
    <w:rsid w:val="00456941"/>
    <w:rsid w:val="00457ED0"/>
    <w:rsid w:val="00461213"/>
    <w:rsid w:val="00461938"/>
    <w:rsid w:val="0046209F"/>
    <w:rsid w:val="00462753"/>
    <w:rsid w:val="004640DF"/>
    <w:rsid w:val="0046457D"/>
    <w:rsid w:val="00464D3E"/>
    <w:rsid w:val="00465DDB"/>
    <w:rsid w:val="00465EAE"/>
    <w:rsid w:val="004669E3"/>
    <w:rsid w:val="00466C4D"/>
    <w:rsid w:val="004670CF"/>
    <w:rsid w:val="004702EA"/>
    <w:rsid w:val="0047064A"/>
    <w:rsid w:val="0047097D"/>
    <w:rsid w:val="00471519"/>
    <w:rsid w:val="00471582"/>
    <w:rsid w:val="00472DFB"/>
    <w:rsid w:val="004736EE"/>
    <w:rsid w:val="00474768"/>
    <w:rsid w:val="00476156"/>
    <w:rsid w:val="00476A80"/>
    <w:rsid w:val="00476B23"/>
    <w:rsid w:val="00476FE4"/>
    <w:rsid w:val="00480112"/>
    <w:rsid w:val="00481A83"/>
    <w:rsid w:val="004827D6"/>
    <w:rsid w:val="00482D02"/>
    <w:rsid w:val="00484B9F"/>
    <w:rsid w:val="004866DA"/>
    <w:rsid w:val="00487720"/>
    <w:rsid w:val="00490596"/>
    <w:rsid w:val="0049417C"/>
    <w:rsid w:val="00494C89"/>
    <w:rsid w:val="00494E56"/>
    <w:rsid w:val="0049502E"/>
    <w:rsid w:val="00495644"/>
    <w:rsid w:val="004A0ED5"/>
    <w:rsid w:val="004A14E0"/>
    <w:rsid w:val="004A14FF"/>
    <w:rsid w:val="004A2FA2"/>
    <w:rsid w:val="004A3CD2"/>
    <w:rsid w:val="004A3E3D"/>
    <w:rsid w:val="004A415B"/>
    <w:rsid w:val="004A7519"/>
    <w:rsid w:val="004B0656"/>
    <w:rsid w:val="004B1274"/>
    <w:rsid w:val="004B2A13"/>
    <w:rsid w:val="004B41CA"/>
    <w:rsid w:val="004B4CB4"/>
    <w:rsid w:val="004B5066"/>
    <w:rsid w:val="004B7177"/>
    <w:rsid w:val="004B7533"/>
    <w:rsid w:val="004B77C6"/>
    <w:rsid w:val="004C09A8"/>
    <w:rsid w:val="004C208B"/>
    <w:rsid w:val="004C3AE4"/>
    <w:rsid w:val="004C42AC"/>
    <w:rsid w:val="004C7AFD"/>
    <w:rsid w:val="004D2966"/>
    <w:rsid w:val="004D3342"/>
    <w:rsid w:val="004D3518"/>
    <w:rsid w:val="004D464D"/>
    <w:rsid w:val="004D54F3"/>
    <w:rsid w:val="004D555A"/>
    <w:rsid w:val="004D62D6"/>
    <w:rsid w:val="004D649B"/>
    <w:rsid w:val="004D6D4B"/>
    <w:rsid w:val="004D7E6F"/>
    <w:rsid w:val="004E0515"/>
    <w:rsid w:val="004E0F36"/>
    <w:rsid w:val="004E1788"/>
    <w:rsid w:val="004E2DDA"/>
    <w:rsid w:val="004E3659"/>
    <w:rsid w:val="004E3DA4"/>
    <w:rsid w:val="004E4B0E"/>
    <w:rsid w:val="004E7101"/>
    <w:rsid w:val="004E7D8D"/>
    <w:rsid w:val="004E7F76"/>
    <w:rsid w:val="004F38A9"/>
    <w:rsid w:val="004F4AF1"/>
    <w:rsid w:val="004F5F73"/>
    <w:rsid w:val="004F7FD3"/>
    <w:rsid w:val="00500F92"/>
    <w:rsid w:val="0050603B"/>
    <w:rsid w:val="00510270"/>
    <w:rsid w:val="00511943"/>
    <w:rsid w:val="00513121"/>
    <w:rsid w:val="005145E0"/>
    <w:rsid w:val="00517E95"/>
    <w:rsid w:val="005208E5"/>
    <w:rsid w:val="00520ACB"/>
    <w:rsid w:val="00525017"/>
    <w:rsid w:val="00526EBF"/>
    <w:rsid w:val="005279D8"/>
    <w:rsid w:val="0053004A"/>
    <w:rsid w:val="0053106C"/>
    <w:rsid w:val="00532D45"/>
    <w:rsid w:val="0053416C"/>
    <w:rsid w:val="0053465D"/>
    <w:rsid w:val="00534FAB"/>
    <w:rsid w:val="0053612E"/>
    <w:rsid w:val="00537630"/>
    <w:rsid w:val="00541C2F"/>
    <w:rsid w:val="005421BD"/>
    <w:rsid w:val="00542616"/>
    <w:rsid w:val="00544A64"/>
    <w:rsid w:val="005462CF"/>
    <w:rsid w:val="00547109"/>
    <w:rsid w:val="005479CC"/>
    <w:rsid w:val="00547FBA"/>
    <w:rsid w:val="00552591"/>
    <w:rsid w:val="00552976"/>
    <w:rsid w:val="005575B6"/>
    <w:rsid w:val="00561135"/>
    <w:rsid w:val="005623E3"/>
    <w:rsid w:val="005632A9"/>
    <w:rsid w:val="00563527"/>
    <w:rsid w:val="005651B1"/>
    <w:rsid w:val="00566212"/>
    <w:rsid w:val="00566A86"/>
    <w:rsid w:val="00567F53"/>
    <w:rsid w:val="00572D74"/>
    <w:rsid w:val="00573D31"/>
    <w:rsid w:val="00574B41"/>
    <w:rsid w:val="00575875"/>
    <w:rsid w:val="00575A6D"/>
    <w:rsid w:val="005801C5"/>
    <w:rsid w:val="00580A59"/>
    <w:rsid w:val="0058124E"/>
    <w:rsid w:val="00584301"/>
    <w:rsid w:val="00584E1B"/>
    <w:rsid w:val="005875A3"/>
    <w:rsid w:val="005915A1"/>
    <w:rsid w:val="00593597"/>
    <w:rsid w:val="00593E20"/>
    <w:rsid w:val="005943B2"/>
    <w:rsid w:val="00594FDA"/>
    <w:rsid w:val="00595EC9"/>
    <w:rsid w:val="00596766"/>
    <w:rsid w:val="005968D6"/>
    <w:rsid w:val="005A00DC"/>
    <w:rsid w:val="005A3416"/>
    <w:rsid w:val="005A3985"/>
    <w:rsid w:val="005A556A"/>
    <w:rsid w:val="005A56EF"/>
    <w:rsid w:val="005B1CE1"/>
    <w:rsid w:val="005B27FE"/>
    <w:rsid w:val="005B41B3"/>
    <w:rsid w:val="005B6BC0"/>
    <w:rsid w:val="005B78B8"/>
    <w:rsid w:val="005B7BED"/>
    <w:rsid w:val="005B7F5B"/>
    <w:rsid w:val="005C21D3"/>
    <w:rsid w:val="005C31AD"/>
    <w:rsid w:val="005C3E6D"/>
    <w:rsid w:val="005C40F9"/>
    <w:rsid w:val="005C4F50"/>
    <w:rsid w:val="005C6F44"/>
    <w:rsid w:val="005D0AEE"/>
    <w:rsid w:val="005D1C1C"/>
    <w:rsid w:val="005D2745"/>
    <w:rsid w:val="005D2792"/>
    <w:rsid w:val="005D61CB"/>
    <w:rsid w:val="005D6220"/>
    <w:rsid w:val="005D7208"/>
    <w:rsid w:val="005D757B"/>
    <w:rsid w:val="005E3A60"/>
    <w:rsid w:val="005E416C"/>
    <w:rsid w:val="005E45A1"/>
    <w:rsid w:val="005E4BD9"/>
    <w:rsid w:val="005F0A16"/>
    <w:rsid w:val="005F2B46"/>
    <w:rsid w:val="005F331D"/>
    <w:rsid w:val="005F52C6"/>
    <w:rsid w:val="005F61DF"/>
    <w:rsid w:val="005F69DD"/>
    <w:rsid w:val="00600A48"/>
    <w:rsid w:val="00601FDC"/>
    <w:rsid w:val="006023F9"/>
    <w:rsid w:val="00602E6B"/>
    <w:rsid w:val="00603AE8"/>
    <w:rsid w:val="0060561C"/>
    <w:rsid w:val="00605AD3"/>
    <w:rsid w:val="00605F58"/>
    <w:rsid w:val="00606EA8"/>
    <w:rsid w:val="00607F1F"/>
    <w:rsid w:val="00610559"/>
    <w:rsid w:val="0061141F"/>
    <w:rsid w:val="00611B3D"/>
    <w:rsid w:val="006127E3"/>
    <w:rsid w:val="00614528"/>
    <w:rsid w:val="00616854"/>
    <w:rsid w:val="006170C5"/>
    <w:rsid w:val="00617232"/>
    <w:rsid w:val="00622A4B"/>
    <w:rsid w:val="00623526"/>
    <w:rsid w:val="006237CF"/>
    <w:rsid w:val="00623909"/>
    <w:rsid w:val="00624E79"/>
    <w:rsid w:val="00626573"/>
    <w:rsid w:val="00627C53"/>
    <w:rsid w:val="00632214"/>
    <w:rsid w:val="006329F4"/>
    <w:rsid w:val="006330AD"/>
    <w:rsid w:val="006332F6"/>
    <w:rsid w:val="00633B09"/>
    <w:rsid w:val="00635259"/>
    <w:rsid w:val="006361E7"/>
    <w:rsid w:val="006373C5"/>
    <w:rsid w:val="00641CDE"/>
    <w:rsid w:val="006421D7"/>
    <w:rsid w:val="006464FF"/>
    <w:rsid w:val="0064738D"/>
    <w:rsid w:val="00652625"/>
    <w:rsid w:val="006534B2"/>
    <w:rsid w:val="0065615D"/>
    <w:rsid w:val="006561FD"/>
    <w:rsid w:val="00656396"/>
    <w:rsid w:val="00657011"/>
    <w:rsid w:val="0065787D"/>
    <w:rsid w:val="00660A1F"/>
    <w:rsid w:val="00660C24"/>
    <w:rsid w:val="006650B5"/>
    <w:rsid w:val="006651B1"/>
    <w:rsid w:val="00665778"/>
    <w:rsid w:val="00672BF1"/>
    <w:rsid w:val="006738C4"/>
    <w:rsid w:val="00675B3D"/>
    <w:rsid w:val="00677903"/>
    <w:rsid w:val="00677F65"/>
    <w:rsid w:val="00681028"/>
    <w:rsid w:val="00681528"/>
    <w:rsid w:val="006850A0"/>
    <w:rsid w:val="006853DD"/>
    <w:rsid w:val="00685BCD"/>
    <w:rsid w:val="00685E3F"/>
    <w:rsid w:val="00686E90"/>
    <w:rsid w:val="0069086C"/>
    <w:rsid w:val="00691C09"/>
    <w:rsid w:val="0069233A"/>
    <w:rsid w:val="00693756"/>
    <w:rsid w:val="006966B5"/>
    <w:rsid w:val="00697379"/>
    <w:rsid w:val="00697C2E"/>
    <w:rsid w:val="006A044E"/>
    <w:rsid w:val="006A07FC"/>
    <w:rsid w:val="006A0CFE"/>
    <w:rsid w:val="006A1F6C"/>
    <w:rsid w:val="006A5B34"/>
    <w:rsid w:val="006A5F5B"/>
    <w:rsid w:val="006A5FA9"/>
    <w:rsid w:val="006A61AE"/>
    <w:rsid w:val="006A77FB"/>
    <w:rsid w:val="006A7F25"/>
    <w:rsid w:val="006B042C"/>
    <w:rsid w:val="006B06AF"/>
    <w:rsid w:val="006B1831"/>
    <w:rsid w:val="006B37CF"/>
    <w:rsid w:val="006B3F71"/>
    <w:rsid w:val="006B42FD"/>
    <w:rsid w:val="006C5F3A"/>
    <w:rsid w:val="006C6596"/>
    <w:rsid w:val="006C7618"/>
    <w:rsid w:val="006C77A9"/>
    <w:rsid w:val="006D0085"/>
    <w:rsid w:val="006D014C"/>
    <w:rsid w:val="006D066A"/>
    <w:rsid w:val="006D12EE"/>
    <w:rsid w:val="006D260D"/>
    <w:rsid w:val="006D271D"/>
    <w:rsid w:val="006D552B"/>
    <w:rsid w:val="006D55CA"/>
    <w:rsid w:val="006D567D"/>
    <w:rsid w:val="006D5F2F"/>
    <w:rsid w:val="006E23A4"/>
    <w:rsid w:val="006E3DA7"/>
    <w:rsid w:val="006E421A"/>
    <w:rsid w:val="006E67F2"/>
    <w:rsid w:val="006E6D66"/>
    <w:rsid w:val="006E72E6"/>
    <w:rsid w:val="006F05D3"/>
    <w:rsid w:val="006F1937"/>
    <w:rsid w:val="006F2C29"/>
    <w:rsid w:val="006F3288"/>
    <w:rsid w:val="006F4FBC"/>
    <w:rsid w:val="006F586E"/>
    <w:rsid w:val="006F6693"/>
    <w:rsid w:val="006F6EF1"/>
    <w:rsid w:val="006F7EF1"/>
    <w:rsid w:val="00700620"/>
    <w:rsid w:val="00702812"/>
    <w:rsid w:val="00705C77"/>
    <w:rsid w:val="00705D7D"/>
    <w:rsid w:val="00705E3F"/>
    <w:rsid w:val="00706676"/>
    <w:rsid w:val="00707FE8"/>
    <w:rsid w:val="00712DA1"/>
    <w:rsid w:val="00716B80"/>
    <w:rsid w:val="007227FF"/>
    <w:rsid w:val="00723C4D"/>
    <w:rsid w:val="00724962"/>
    <w:rsid w:val="00724A0F"/>
    <w:rsid w:val="00724D3D"/>
    <w:rsid w:val="00725A6D"/>
    <w:rsid w:val="0073072C"/>
    <w:rsid w:val="00731DA7"/>
    <w:rsid w:val="007320B4"/>
    <w:rsid w:val="00732162"/>
    <w:rsid w:val="007336C6"/>
    <w:rsid w:val="00735443"/>
    <w:rsid w:val="0073598F"/>
    <w:rsid w:val="007364B1"/>
    <w:rsid w:val="00736732"/>
    <w:rsid w:val="007371A0"/>
    <w:rsid w:val="00737FC3"/>
    <w:rsid w:val="00740F04"/>
    <w:rsid w:val="0074327E"/>
    <w:rsid w:val="00745C4D"/>
    <w:rsid w:val="007469AF"/>
    <w:rsid w:val="00747814"/>
    <w:rsid w:val="0075032F"/>
    <w:rsid w:val="00750CBE"/>
    <w:rsid w:val="0075136A"/>
    <w:rsid w:val="007519CC"/>
    <w:rsid w:val="00753566"/>
    <w:rsid w:val="00754704"/>
    <w:rsid w:val="00754FC8"/>
    <w:rsid w:val="00755BB2"/>
    <w:rsid w:val="0076429F"/>
    <w:rsid w:val="00764FC7"/>
    <w:rsid w:val="00766688"/>
    <w:rsid w:val="00766B5A"/>
    <w:rsid w:val="00770BF5"/>
    <w:rsid w:val="00771977"/>
    <w:rsid w:val="007741AF"/>
    <w:rsid w:val="007742A1"/>
    <w:rsid w:val="007834F2"/>
    <w:rsid w:val="007839CB"/>
    <w:rsid w:val="00783A68"/>
    <w:rsid w:val="007848D4"/>
    <w:rsid w:val="00786C98"/>
    <w:rsid w:val="00787885"/>
    <w:rsid w:val="00791020"/>
    <w:rsid w:val="00793E30"/>
    <w:rsid w:val="00795122"/>
    <w:rsid w:val="007958C6"/>
    <w:rsid w:val="00795EF5"/>
    <w:rsid w:val="007A5608"/>
    <w:rsid w:val="007A5F82"/>
    <w:rsid w:val="007A6888"/>
    <w:rsid w:val="007A700E"/>
    <w:rsid w:val="007B3744"/>
    <w:rsid w:val="007B411F"/>
    <w:rsid w:val="007B75A4"/>
    <w:rsid w:val="007C201B"/>
    <w:rsid w:val="007C3C6A"/>
    <w:rsid w:val="007C415E"/>
    <w:rsid w:val="007C4ACC"/>
    <w:rsid w:val="007C5525"/>
    <w:rsid w:val="007C5B6C"/>
    <w:rsid w:val="007C7FD6"/>
    <w:rsid w:val="007D1F05"/>
    <w:rsid w:val="007D3D3D"/>
    <w:rsid w:val="007D4131"/>
    <w:rsid w:val="007D5A17"/>
    <w:rsid w:val="007E0383"/>
    <w:rsid w:val="007E06B3"/>
    <w:rsid w:val="007E0F3A"/>
    <w:rsid w:val="007E241C"/>
    <w:rsid w:val="007E2862"/>
    <w:rsid w:val="007E2F01"/>
    <w:rsid w:val="007E473F"/>
    <w:rsid w:val="007E5364"/>
    <w:rsid w:val="007E564D"/>
    <w:rsid w:val="007F1A4C"/>
    <w:rsid w:val="007F1B4D"/>
    <w:rsid w:val="007F25A3"/>
    <w:rsid w:val="007F29B8"/>
    <w:rsid w:val="007F411F"/>
    <w:rsid w:val="00800C29"/>
    <w:rsid w:val="00801623"/>
    <w:rsid w:val="008018A3"/>
    <w:rsid w:val="008022C3"/>
    <w:rsid w:val="008036F6"/>
    <w:rsid w:val="008041E6"/>
    <w:rsid w:val="00805659"/>
    <w:rsid w:val="008065D2"/>
    <w:rsid w:val="00806891"/>
    <w:rsid w:val="00806A4B"/>
    <w:rsid w:val="00810382"/>
    <w:rsid w:val="00812AED"/>
    <w:rsid w:val="00814252"/>
    <w:rsid w:val="008142DF"/>
    <w:rsid w:val="00814B75"/>
    <w:rsid w:val="0081502A"/>
    <w:rsid w:val="008150DF"/>
    <w:rsid w:val="008218F3"/>
    <w:rsid w:val="0082194C"/>
    <w:rsid w:val="008220C4"/>
    <w:rsid w:val="008222FF"/>
    <w:rsid w:val="00822847"/>
    <w:rsid w:val="008228F0"/>
    <w:rsid w:val="008241FF"/>
    <w:rsid w:val="0082492A"/>
    <w:rsid w:val="00825092"/>
    <w:rsid w:val="0082517E"/>
    <w:rsid w:val="00825AB7"/>
    <w:rsid w:val="00826393"/>
    <w:rsid w:val="008311BF"/>
    <w:rsid w:val="008367E5"/>
    <w:rsid w:val="0083713A"/>
    <w:rsid w:val="008411E9"/>
    <w:rsid w:val="00841BCD"/>
    <w:rsid w:val="0084200F"/>
    <w:rsid w:val="00843B2C"/>
    <w:rsid w:val="0084468D"/>
    <w:rsid w:val="00844FFF"/>
    <w:rsid w:val="00846758"/>
    <w:rsid w:val="008467C9"/>
    <w:rsid w:val="0084711C"/>
    <w:rsid w:val="008471C4"/>
    <w:rsid w:val="0084726F"/>
    <w:rsid w:val="008523BA"/>
    <w:rsid w:val="008529E9"/>
    <w:rsid w:val="00853003"/>
    <w:rsid w:val="0085433C"/>
    <w:rsid w:val="00863F4B"/>
    <w:rsid w:val="00864C39"/>
    <w:rsid w:val="0087099D"/>
    <w:rsid w:val="00871CC8"/>
    <w:rsid w:val="00872A74"/>
    <w:rsid w:val="0087338E"/>
    <w:rsid w:val="008737AB"/>
    <w:rsid w:val="00874835"/>
    <w:rsid w:val="008750E6"/>
    <w:rsid w:val="0087530A"/>
    <w:rsid w:val="00876612"/>
    <w:rsid w:val="00883CA0"/>
    <w:rsid w:val="00883E10"/>
    <w:rsid w:val="008848DA"/>
    <w:rsid w:val="00884CDC"/>
    <w:rsid w:val="00885A6C"/>
    <w:rsid w:val="0088649B"/>
    <w:rsid w:val="00886FA0"/>
    <w:rsid w:val="00886FB8"/>
    <w:rsid w:val="00886FED"/>
    <w:rsid w:val="00887300"/>
    <w:rsid w:val="00891244"/>
    <w:rsid w:val="00891DFC"/>
    <w:rsid w:val="00892963"/>
    <w:rsid w:val="00892DED"/>
    <w:rsid w:val="008934D2"/>
    <w:rsid w:val="00894BC2"/>
    <w:rsid w:val="0089585D"/>
    <w:rsid w:val="008963CA"/>
    <w:rsid w:val="008965C1"/>
    <w:rsid w:val="008A0785"/>
    <w:rsid w:val="008A0867"/>
    <w:rsid w:val="008A0D55"/>
    <w:rsid w:val="008A1D46"/>
    <w:rsid w:val="008A2DAF"/>
    <w:rsid w:val="008A4900"/>
    <w:rsid w:val="008A6BD3"/>
    <w:rsid w:val="008A70AF"/>
    <w:rsid w:val="008A729E"/>
    <w:rsid w:val="008B0F71"/>
    <w:rsid w:val="008B1D17"/>
    <w:rsid w:val="008B1E71"/>
    <w:rsid w:val="008B2515"/>
    <w:rsid w:val="008B311F"/>
    <w:rsid w:val="008B43CF"/>
    <w:rsid w:val="008B74DE"/>
    <w:rsid w:val="008C08B3"/>
    <w:rsid w:val="008C10E1"/>
    <w:rsid w:val="008C49D5"/>
    <w:rsid w:val="008C5C7D"/>
    <w:rsid w:val="008D0281"/>
    <w:rsid w:val="008D0715"/>
    <w:rsid w:val="008D28A6"/>
    <w:rsid w:val="008D3587"/>
    <w:rsid w:val="008D478A"/>
    <w:rsid w:val="008D7682"/>
    <w:rsid w:val="008D76E9"/>
    <w:rsid w:val="008E18B8"/>
    <w:rsid w:val="008E1B5D"/>
    <w:rsid w:val="008E21C9"/>
    <w:rsid w:val="008E2852"/>
    <w:rsid w:val="008E3C4E"/>
    <w:rsid w:val="008E469C"/>
    <w:rsid w:val="008E4C7F"/>
    <w:rsid w:val="008E5D03"/>
    <w:rsid w:val="008F03B4"/>
    <w:rsid w:val="008F0ABA"/>
    <w:rsid w:val="008F1285"/>
    <w:rsid w:val="008F2615"/>
    <w:rsid w:val="008F2D5D"/>
    <w:rsid w:val="008F5D01"/>
    <w:rsid w:val="008F6870"/>
    <w:rsid w:val="008F6D45"/>
    <w:rsid w:val="008F7E12"/>
    <w:rsid w:val="00900219"/>
    <w:rsid w:val="009019F0"/>
    <w:rsid w:val="00903970"/>
    <w:rsid w:val="00904186"/>
    <w:rsid w:val="00904B31"/>
    <w:rsid w:val="00905039"/>
    <w:rsid w:val="00905323"/>
    <w:rsid w:val="0090635F"/>
    <w:rsid w:val="00910341"/>
    <w:rsid w:val="00910EE7"/>
    <w:rsid w:val="00916D97"/>
    <w:rsid w:val="00917254"/>
    <w:rsid w:val="00917F00"/>
    <w:rsid w:val="00920B9B"/>
    <w:rsid w:val="0092113A"/>
    <w:rsid w:val="009218B8"/>
    <w:rsid w:val="00926D43"/>
    <w:rsid w:val="0093034B"/>
    <w:rsid w:val="009328BB"/>
    <w:rsid w:val="00932DB3"/>
    <w:rsid w:val="00936D8E"/>
    <w:rsid w:val="00941E0D"/>
    <w:rsid w:val="00941EF4"/>
    <w:rsid w:val="009447DF"/>
    <w:rsid w:val="00946691"/>
    <w:rsid w:val="00950571"/>
    <w:rsid w:val="00951537"/>
    <w:rsid w:val="0095249D"/>
    <w:rsid w:val="0095306F"/>
    <w:rsid w:val="00953626"/>
    <w:rsid w:val="00953B7F"/>
    <w:rsid w:val="009560A2"/>
    <w:rsid w:val="009569A3"/>
    <w:rsid w:val="0095715E"/>
    <w:rsid w:val="00963970"/>
    <w:rsid w:val="00963F9F"/>
    <w:rsid w:val="00964EF8"/>
    <w:rsid w:val="009668D4"/>
    <w:rsid w:val="0097081C"/>
    <w:rsid w:val="0097109A"/>
    <w:rsid w:val="00971E0C"/>
    <w:rsid w:val="009739C4"/>
    <w:rsid w:val="00974843"/>
    <w:rsid w:val="00974B6A"/>
    <w:rsid w:val="00975207"/>
    <w:rsid w:val="0097778D"/>
    <w:rsid w:val="00980AEB"/>
    <w:rsid w:val="009834C0"/>
    <w:rsid w:val="00983A96"/>
    <w:rsid w:val="00983BCE"/>
    <w:rsid w:val="00984C95"/>
    <w:rsid w:val="00985848"/>
    <w:rsid w:val="009861B2"/>
    <w:rsid w:val="00986AAC"/>
    <w:rsid w:val="00987A65"/>
    <w:rsid w:val="00991FC7"/>
    <w:rsid w:val="00995B5A"/>
    <w:rsid w:val="0099744C"/>
    <w:rsid w:val="00997905"/>
    <w:rsid w:val="009A0EDC"/>
    <w:rsid w:val="009A1DA2"/>
    <w:rsid w:val="009A1E65"/>
    <w:rsid w:val="009A274E"/>
    <w:rsid w:val="009A33E7"/>
    <w:rsid w:val="009A3704"/>
    <w:rsid w:val="009A3E1C"/>
    <w:rsid w:val="009A429E"/>
    <w:rsid w:val="009A4739"/>
    <w:rsid w:val="009A4A91"/>
    <w:rsid w:val="009A674F"/>
    <w:rsid w:val="009A6D86"/>
    <w:rsid w:val="009B0D3B"/>
    <w:rsid w:val="009B1968"/>
    <w:rsid w:val="009B199C"/>
    <w:rsid w:val="009B54C8"/>
    <w:rsid w:val="009B57A5"/>
    <w:rsid w:val="009B61F1"/>
    <w:rsid w:val="009B62E0"/>
    <w:rsid w:val="009C0350"/>
    <w:rsid w:val="009C2C25"/>
    <w:rsid w:val="009C38A2"/>
    <w:rsid w:val="009C3D88"/>
    <w:rsid w:val="009C4F89"/>
    <w:rsid w:val="009D2011"/>
    <w:rsid w:val="009D2AC2"/>
    <w:rsid w:val="009D4CD9"/>
    <w:rsid w:val="009D52A7"/>
    <w:rsid w:val="009D55E3"/>
    <w:rsid w:val="009E3858"/>
    <w:rsid w:val="009E3FF4"/>
    <w:rsid w:val="009E70DD"/>
    <w:rsid w:val="009F1D73"/>
    <w:rsid w:val="009F2ED9"/>
    <w:rsid w:val="009F3231"/>
    <w:rsid w:val="009F3E7E"/>
    <w:rsid w:val="009F4AEE"/>
    <w:rsid w:val="009F4E77"/>
    <w:rsid w:val="009F5C58"/>
    <w:rsid w:val="009F6915"/>
    <w:rsid w:val="00A00586"/>
    <w:rsid w:val="00A01446"/>
    <w:rsid w:val="00A023A0"/>
    <w:rsid w:val="00A02F2D"/>
    <w:rsid w:val="00A070B1"/>
    <w:rsid w:val="00A131B1"/>
    <w:rsid w:val="00A13579"/>
    <w:rsid w:val="00A13FDC"/>
    <w:rsid w:val="00A1557A"/>
    <w:rsid w:val="00A1562B"/>
    <w:rsid w:val="00A16748"/>
    <w:rsid w:val="00A16CDD"/>
    <w:rsid w:val="00A16D9E"/>
    <w:rsid w:val="00A170F4"/>
    <w:rsid w:val="00A17DC0"/>
    <w:rsid w:val="00A20CE6"/>
    <w:rsid w:val="00A20F78"/>
    <w:rsid w:val="00A22306"/>
    <w:rsid w:val="00A22635"/>
    <w:rsid w:val="00A2492E"/>
    <w:rsid w:val="00A24E7C"/>
    <w:rsid w:val="00A2559E"/>
    <w:rsid w:val="00A25FD9"/>
    <w:rsid w:val="00A30C52"/>
    <w:rsid w:val="00A323BC"/>
    <w:rsid w:val="00A339DE"/>
    <w:rsid w:val="00A35761"/>
    <w:rsid w:val="00A35E44"/>
    <w:rsid w:val="00A401F0"/>
    <w:rsid w:val="00A42F7E"/>
    <w:rsid w:val="00A45CE7"/>
    <w:rsid w:val="00A45ED0"/>
    <w:rsid w:val="00A466C8"/>
    <w:rsid w:val="00A46BA8"/>
    <w:rsid w:val="00A47634"/>
    <w:rsid w:val="00A516B9"/>
    <w:rsid w:val="00A51C47"/>
    <w:rsid w:val="00A524BA"/>
    <w:rsid w:val="00A526EA"/>
    <w:rsid w:val="00A52FF3"/>
    <w:rsid w:val="00A53C78"/>
    <w:rsid w:val="00A542CF"/>
    <w:rsid w:val="00A54AC8"/>
    <w:rsid w:val="00A556BF"/>
    <w:rsid w:val="00A612FE"/>
    <w:rsid w:val="00A616C3"/>
    <w:rsid w:val="00A62C7C"/>
    <w:rsid w:val="00A672C8"/>
    <w:rsid w:val="00A70213"/>
    <w:rsid w:val="00A70D1F"/>
    <w:rsid w:val="00A7155D"/>
    <w:rsid w:val="00A72970"/>
    <w:rsid w:val="00A77332"/>
    <w:rsid w:val="00A804A2"/>
    <w:rsid w:val="00A84408"/>
    <w:rsid w:val="00A86479"/>
    <w:rsid w:val="00A86BD9"/>
    <w:rsid w:val="00A91DE1"/>
    <w:rsid w:val="00A92AB0"/>
    <w:rsid w:val="00A93556"/>
    <w:rsid w:val="00A94485"/>
    <w:rsid w:val="00A9484C"/>
    <w:rsid w:val="00A955D2"/>
    <w:rsid w:val="00A96299"/>
    <w:rsid w:val="00A96C71"/>
    <w:rsid w:val="00A96EBF"/>
    <w:rsid w:val="00AA1FFD"/>
    <w:rsid w:val="00AA22ED"/>
    <w:rsid w:val="00AA26B8"/>
    <w:rsid w:val="00AA3B25"/>
    <w:rsid w:val="00AA5EC6"/>
    <w:rsid w:val="00AA6FB5"/>
    <w:rsid w:val="00AB1C54"/>
    <w:rsid w:val="00AB316B"/>
    <w:rsid w:val="00AB3FE2"/>
    <w:rsid w:val="00AB59B4"/>
    <w:rsid w:val="00AB5EC7"/>
    <w:rsid w:val="00AB62CC"/>
    <w:rsid w:val="00AC0612"/>
    <w:rsid w:val="00AC429C"/>
    <w:rsid w:val="00AC74D0"/>
    <w:rsid w:val="00AC7CBC"/>
    <w:rsid w:val="00AD00A8"/>
    <w:rsid w:val="00AD0417"/>
    <w:rsid w:val="00AD11DA"/>
    <w:rsid w:val="00AD13B6"/>
    <w:rsid w:val="00AD259A"/>
    <w:rsid w:val="00AD3322"/>
    <w:rsid w:val="00AD3B8A"/>
    <w:rsid w:val="00AD4D4B"/>
    <w:rsid w:val="00AD50B1"/>
    <w:rsid w:val="00AD72B3"/>
    <w:rsid w:val="00AD773C"/>
    <w:rsid w:val="00AD7E4E"/>
    <w:rsid w:val="00AE2206"/>
    <w:rsid w:val="00AE38A7"/>
    <w:rsid w:val="00AE432F"/>
    <w:rsid w:val="00AE43BB"/>
    <w:rsid w:val="00AF34DE"/>
    <w:rsid w:val="00AF35E6"/>
    <w:rsid w:val="00AF3A7F"/>
    <w:rsid w:val="00AF4086"/>
    <w:rsid w:val="00AF4D58"/>
    <w:rsid w:val="00AF530C"/>
    <w:rsid w:val="00AF656E"/>
    <w:rsid w:val="00AF6666"/>
    <w:rsid w:val="00AF78A6"/>
    <w:rsid w:val="00B00FEB"/>
    <w:rsid w:val="00B020E2"/>
    <w:rsid w:val="00B04B6C"/>
    <w:rsid w:val="00B04F6D"/>
    <w:rsid w:val="00B053F2"/>
    <w:rsid w:val="00B0554C"/>
    <w:rsid w:val="00B077A0"/>
    <w:rsid w:val="00B10154"/>
    <w:rsid w:val="00B133B9"/>
    <w:rsid w:val="00B14C73"/>
    <w:rsid w:val="00B155DB"/>
    <w:rsid w:val="00B16368"/>
    <w:rsid w:val="00B16749"/>
    <w:rsid w:val="00B16BF5"/>
    <w:rsid w:val="00B17273"/>
    <w:rsid w:val="00B174E8"/>
    <w:rsid w:val="00B20745"/>
    <w:rsid w:val="00B21096"/>
    <w:rsid w:val="00B2178D"/>
    <w:rsid w:val="00B22289"/>
    <w:rsid w:val="00B2377A"/>
    <w:rsid w:val="00B23851"/>
    <w:rsid w:val="00B24E74"/>
    <w:rsid w:val="00B256BF"/>
    <w:rsid w:val="00B25748"/>
    <w:rsid w:val="00B25825"/>
    <w:rsid w:val="00B302A8"/>
    <w:rsid w:val="00B31329"/>
    <w:rsid w:val="00B31F1C"/>
    <w:rsid w:val="00B31FF1"/>
    <w:rsid w:val="00B42142"/>
    <w:rsid w:val="00B42404"/>
    <w:rsid w:val="00B42D4C"/>
    <w:rsid w:val="00B44252"/>
    <w:rsid w:val="00B44565"/>
    <w:rsid w:val="00B44733"/>
    <w:rsid w:val="00B44A0B"/>
    <w:rsid w:val="00B455D0"/>
    <w:rsid w:val="00B50826"/>
    <w:rsid w:val="00B51587"/>
    <w:rsid w:val="00B53BEA"/>
    <w:rsid w:val="00B54515"/>
    <w:rsid w:val="00B54530"/>
    <w:rsid w:val="00B55335"/>
    <w:rsid w:val="00B565A1"/>
    <w:rsid w:val="00B568D5"/>
    <w:rsid w:val="00B5795A"/>
    <w:rsid w:val="00B61718"/>
    <w:rsid w:val="00B61CAE"/>
    <w:rsid w:val="00B6252C"/>
    <w:rsid w:val="00B62FB1"/>
    <w:rsid w:val="00B645F6"/>
    <w:rsid w:val="00B64E43"/>
    <w:rsid w:val="00B652DF"/>
    <w:rsid w:val="00B65462"/>
    <w:rsid w:val="00B65841"/>
    <w:rsid w:val="00B66536"/>
    <w:rsid w:val="00B670EF"/>
    <w:rsid w:val="00B7353B"/>
    <w:rsid w:val="00B73A0E"/>
    <w:rsid w:val="00B75562"/>
    <w:rsid w:val="00B7607A"/>
    <w:rsid w:val="00B76A1B"/>
    <w:rsid w:val="00B81866"/>
    <w:rsid w:val="00B81B44"/>
    <w:rsid w:val="00B8297D"/>
    <w:rsid w:val="00B8441A"/>
    <w:rsid w:val="00B8542E"/>
    <w:rsid w:val="00B8657F"/>
    <w:rsid w:val="00B9053B"/>
    <w:rsid w:val="00B9058C"/>
    <w:rsid w:val="00B91904"/>
    <w:rsid w:val="00B92486"/>
    <w:rsid w:val="00B935B8"/>
    <w:rsid w:val="00B95C1B"/>
    <w:rsid w:val="00B96761"/>
    <w:rsid w:val="00B97E93"/>
    <w:rsid w:val="00BA0ABC"/>
    <w:rsid w:val="00BA1357"/>
    <w:rsid w:val="00BA21F0"/>
    <w:rsid w:val="00BA3506"/>
    <w:rsid w:val="00BA3A9F"/>
    <w:rsid w:val="00BA4743"/>
    <w:rsid w:val="00BA4C79"/>
    <w:rsid w:val="00BA5418"/>
    <w:rsid w:val="00BA6ED6"/>
    <w:rsid w:val="00BA7C77"/>
    <w:rsid w:val="00BB1577"/>
    <w:rsid w:val="00BB204B"/>
    <w:rsid w:val="00BB22DC"/>
    <w:rsid w:val="00BB3DD3"/>
    <w:rsid w:val="00BB5343"/>
    <w:rsid w:val="00BB5A9A"/>
    <w:rsid w:val="00BC0025"/>
    <w:rsid w:val="00BC14B2"/>
    <w:rsid w:val="00BC16FA"/>
    <w:rsid w:val="00BC2085"/>
    <w:rsid w:val="00BC3422"/>
    <w:rsid w:val="00BC3F34"/>
    <w:rsid w:val="00BC64F2"/>
    <w:rsid w:val="00BC74A1"/>
    <w:rsid w:val="00BD011C"/>
    <w:rsid w:val="00BD46B9"/>
    <w:rsid w:val="00BD4E85"/>
    <w:rsid w:val="00BD5134"/>
    <w:rsid w:val="00BD6E02"/>
    <w:rsid w:val="00BE0313"/>
    <w:rsid w:val="00BE03CC"/>
    <w:rsid w:val="00BE1E54"/>
    <w:rsid w:val="00BE1F34"/>
    <w:rsid w:val="00BE52BB"/>
    <w:rsid w:val="00BE604F"/>
    <w:rsid w:val="00BF05F5"/>
    <w:rsid w:val="00BF0DF5"/>
    <w:rsid w:val="00BF2536"/>
    <w:rsid w:val="00BF2929"/>
    <w:rsid w:val="00BF5F63"/>
    <w:rsid w:val="00C00288"/>
    <w:rsid w:val="00C00B92"/>
    <w:rsid w:val="00C015B9"/>
    <w:rsid w:val="00C018A1"/>
    <w:rsid w:val="00C01E03"/>
    <w:rsid w:val="00C022F9"/>
    <w:rsid w:val="00C032EA"/>
    <w:rsid w:val="00C054D0"/>
    <w:rsid w:val="00C06153"/>
    <w:rsid w:val="00C06CE0"/>
    <w:rsid w:val="00C06EB5"/>
    <w:rsid w:val="00C075C6"/>
    <w:rsid w:val="00C1145F"/>
    <w:rsid w:val="00C123DA"/>
    <w:rsid w:val="00C1287D"/>
    <w:rsid w:val="00C14C01"/>
    <w:rsid w:val="00C161FE"/>
    <w:rsid w:val="00C223AC"/>
    <w:rsid w:val="00C22C4A"/>
    <w:rsid w:val="00C231E6"/>
    <w:rsid w:val="00C23BEA"/>
    <w:rsid w:val="00C273AB"/>
    <w:rsid w:val="00C277B2"/>
    <w:rsid w:val="00C27824"/>
    <w:rsid w:val="00C307CC"/>
    <w:rsid w:val="00C32304"/>
    <w:rsid w:val="00C32859"/>
    <w:rsid w:val="00C33493"/>
    <w:rsid w:val="00C335DB"/>
    <w:rsid w:val="00C34305"/>
    <w:rsid w:val="00C34F34"/>
    <w:rsid w:val="00C36704"/>
    <w:rsid w:val="00C36FBD"/>
    <w:rsid w:val="00C374DC"/>
    <w:rsid w:val="00C4055E"/>
    <w:rsid w:val="00C43608"/>
    <w:rsid w:val="00C44097"/>
    <w:rsid w:val="00C442A3"/>
    <w:rsid w:val="00C44A47"/>
    <w:rsid w:val="00C469A7"/>
    <w:rsid w:val="00C511F1"/>
    <w:rsid w:val="00C514F8"/>
    <w:rsid w:val="00C52920"/>
    <w:rsid w:val="00C52FC4"/>
    <w:rsid w:val="00C553EE"/>
    <w:rsid w:val="00C554E3"/>
    <w:rsid w:val="00C57FB6"/>
    <w:rsid w:val="00C60C50"/>
    <w:rsid w:val="00C610E2"/>
    <w:rsid w:val="00C61146"/>
    <w:rsid w:val="00C637E1"/>
    <w:rsid w:val="00C64844"/>
    <w:rsid w:val="00C65C36"/>
    <w:rsid w:val="00C66094"/>
    <w:rsid w:val="00C66546"/>
    <w:rsid w:val="00C707DD"/>
    <w:rsid w:val="00C70D50"/>
    <w:rsid w:val="00C71DC3"/>
    <w:rsid w:val="00C72DF4"/>
    <w:rsid w:val="00C76317"/>
    <w:rsid w:val="00C764DA"/>
    <w:rsid w:val="00C7692C"/>
    <w:rsid w:val="00C8243E"/>
    <w:rsid w:val="00C84D25"/>
    <w:rsid w:val="00C85C2C"/>
    <w:rsid w:val="00C86F37"/>
    <w:rsid w:val="00C907D7"/>
    <w:rsid w:val="00C910EA"/>
    <w:rsid w:val="00C92338"/>
    <w:rsid w:val="00C9372B"/>
    <w:rsid w:val="00C959F1"/>
    <w:rsid w:val="00CA32A7"/>
    <w:rsid w:val="00CA4866"/>
    <w:rsid w:val="00CA64A9"/>
    <w:rsid w:val="00CA724C"/>
    <w:rsid w:val="00CA735C"/>
    <w:rsid w:val="00CA7C3A"/>
    <w:rsid w:val="00CB0BF9"/>
    <w:rsid w:val="00CB1A9E"/>
    <w:rsid w:val="00CB24D7"/>
    <w:rsid w:val="00CB255D"/>
    <w:rsid w:val="00CB42D7"/>
    <w:rsid w:val="00CB4C9E"/>
    <w:rsid w:val="00CB4D6A"/>
    <w:rsid w:val="00CB760D"/>
    <w:rsid w:val="00CC07B5"/>
    <w:rsid w:val="00CC11A0"/>
    <w:rsid w:val="00CC2480"/>
    <w:rsid w:val="00CC2DB2"/>
    <w:rsid w:val="00CC38EE"/>
    <w:rsid w:val="00CC3EDE"/>
    <w:rsid w:val="00CC4AA4"/>
    <w:rsid w:val="00CC4AD4"/>
    <w:rsid w:val="00CD0307"/>
    <w:rsid w:val="00CD0384"/>
    <w:rsid w:val="00CD1102"/>
    <w:rsid w:val="00CD3D1B"/>
    <w:rsid w:val="00CD4058"/>
    <w:rsid w:val="00CD46BF"/>
    <w:rsid w:val="00CD46D1"/>
    <w:rsid w:val="00CD601F"/>
    <w:rsid w:val="00CD6689"/>
    <w:rsid w:val="00CD6E03"/>
    <w:rsid w:val="00CD7331"/>
    <w:rsid w:val="00CE175A"/>
    <w:rsid w:val="00CE22DE"/>
    <w:rsid w:val="00CE2DE8"/>
    <w:rsid w:val="00CE456E"/>
    <w:rsid w:val="00CE4DC1"/>
    <w:rsid w:val="00CE5176"/>
    <w:rsid w:val="00CE62B3"/>
    <w:rsid w:val="00CE7EB3"/>
    <w:rsid w:val="00CF042E"/>
    <w:rsid w:val="00CF119C"/>
    <w:rsid w:val="00CF2198"/>
    <w:rsid w:val="00CF2E0D"/>
    <w:rsid w:val="00CF3559"/>
    <w:rsid w:val="00CF3695"/>
    <w:rsid w:val="00CF58E1"/>
    <w:rsid w:val="00CF6BDA"/>
    <w:rsid w:val="00CF7DCA"/>
    <w:rsid w:val="00D034C7"/>
    <w:rsid w:val="00D03ABD"/>
    <w:rsid w:val="00D03C6E"/>
    <w:rsid w:val="00D03F1C"/>
    <w:rsid w:val="00D04CF4"/>
    <w:rsid w:val="00D05DD1"/>
    <w:rsid w:val="00D05FE8"/>
    <w:rsid w:val="00D07045"/>
    <w:rsid w:val="00D07060"/>
    <w:rsid w:val="00D07CBE"/>
    <w:rsid w:val="00D11F88"/>
    <w:rsid w:val="00D13952"/>
    <w:rsid w:val="00D13C08"/>
    <w:rsid w:val="00D142EC"/>
    <w:rsid w:val="00D14E19"/>
    <w:rsid w:val="00D15667"/>
    <w:rsid w:val="00D159D0"/>
    <w:rsid w:val="00D16FBF"/>
    <w:rsid w:val="00D211E9"/>
    <w:rsid w:val="00D2312F"/>
    <w:rsid w:val="00D24789"/>
    <w:rsid w:val="00D24C62"/>
    <w:rsid w:val="00D267EA"/>
    <w:rsid w:val="00D269C1"/>
    <w:rsid w:val="00D312CB"/>
    <w:rsid w:val="00D31B5F"/>
    <w:rsid w:val="00D33023"/>
    <w:rsid w:val="00D35159"/>
    <w:rsid w:val="00D35EA5"/>
    <w:rsid w:val="00D361EC"/>
    <w:rsid w:val="00D36569"/>
    <w:rsid w:val="00D40404"/>
    <w:rsid w:val="00D40D0D"/>
    <w:rsid w:val="00D40F6E"/>
    <w:rsid w:val="00D4164A"/>
    <w:rsid w:val="00D43D67"/>
    <w:rsid w:val="00D44953"/>
    <w:rsid w:val="00D4621F"/>
    <w:rsid w:val="00D4778E"/>
    <w:rsid w:val="00D52863"/>
    <w:rsid w:val="00D52B43"/>
    <w:rsid w:val="00D542F3"/>
    <w:rsid w:val="00D543E5"/>
    <w:rsid w:val="00D54649"/>
    <w:rsid w:val="00D54B01"/>
    <w:rsid w:val="00D54C4B"/>
    <w:rsid w:val="00D55AE3"/>
    <w:rsid w:val="00D55B42"/>
    <w:rsid w:val="00D5628F"/>
    <w:rsid w:val="00D56397"/>
    <w:rsid w:val="00D5644B"/>
    <w:rsid w:val="00D56E25"/>
    <w:rsid w:val="00D56E74"/>
    <w:rsid w:val="00D60068"/>
    <w:rsid w:val="00D60296"/>
    <w:rsid w:val="00D60601"/>
    <w:rsid w:val="00D63C28"/>
    <w:rsid w:val="00D64334"/>
    <w:rsid w:val="00D64999"/>
    <w:rsid w:val="00D6673D"/>
    <w:rsid w:val="00D717CB"/>
    <w:rsid w:val="00D71896"/>
    <w:rsid w:val="00D718D7"/>
    <w:rsid w:val="00D71C50"/>
    <w:rsid w:val="00D73212"/>
    <w:rsid w:val="00D73C95"/>
    <w:rsid w:val="00D74DE2"/>
    <w:rsid w:val="00D7674C"/>
    <w:rsid w:val="00D801D0"/>
    <w:rsid w:val="00D80EEC"/>
    <w:rsid w:val="00D814B7"/>
    <w:rsid w:val="00D83E87"/>
    <w:rsid w:val="00D840B6"/>
    <w:rsid w:val="00D84AEB"/>
    <w:rsid w:val="00D86E81"/>
    <w:rsid w:val="00D904EC"/>
    <w:rsid w:val="00D90688"/>
    <w:rsid w:val="00D9729F"/>
    <w:rsid w:val="00D97DF0"/>
    <w:rsid w:val="00DA3AAD"/>
    <w:rsid w:val="00DA3D15"/>
    <w:rsid w:val="00DA3DA1"/>
    <w:rsid w:val="00DA4C60"/>
    <w:rsid w:val="00DA50E8"/>
    <w:rsid w:val="00DB1F57"/>
    <w:rsid w:val="00DB312B"/>
    <w:rsid w:val="00DB366B"/>
    <w:rsid w:val="00DB3792"/>
    <w:rsid w:val="00DB38AF"/>
    <w:rsid w:val="00DB4B62"/>
    <w:rsid w:val="00DB583A"/>
    <w:rsid w:val="00DB6559"/>
    <w:rsid w:val="00DC113D"/>
    <w:rsid w:val="00DC25D7"/>
    <w:rsid w:val="00DC30BB"/>
    <w:rsid w:val="00DC3B5A"/>
    <w:rsid w:val="00DC42B4"/>
    <w:rsid w:val="00DC4867"/>
    <w:rsid w:val="00DC5654"/>
    <w:rsid w:val="00DC658F"/>
    <w:rsid w:val="00DC6CDB"/>
    <w:rsid w:val="00DC7032"/>
    <w:rsid w:val="00DD1AE1"/>
    <w:rsid w:val="00DD2F84"/>
    <w:rsid w:val="00DD479F"/>
    <w:rsid w:val="00DD5C03"/>
    <w:rsid w:val="00DD74DA"/>
    <w:rsid w:val="00DE0534"/>
    <w:rsid w:val="00DE240A"/>
    <w:rsid w:val="00DE2590"/>
    <w:rsid w:val="00DE4D2C"/>
    <w:rsid w:val="00DE521C"/>
    <w:rsid w:val="00DE60CC"/>
    <w:rsid w:val="00DE72C5"/>
    <w:rsid w:val="00DF1E6B"/>
    <w:rsid w:val="00DF46A5"/>
    <w:rsid w:val="00DF6212"/>
    <w:rsid w:val="00DF676B"/>
    <w:rsid w:val="00DF75E8"/>
    <w:rsid w:val="00E0077E"/>
    <w:rsid w:val="00E0147B"/>
    <w:rsid w:val="00E02CF7"/>
    <w:rsid w:val="00E03B3B"/>
    <w:rsid w:val="00E058FE"/>
    <w:rsid w:val="00E0647C"/>
    <w:rsid w:val="00E06D2A"/>
    <w:rsid w:val="00E07C71"/>
    <w:rsid w:val="00E07E31"/>
    <w:rsid w:val="00E11B96"/>
    <w:rsid w:val="00E141B1"/>
    <w:rsid w:val="00E14D93"/>
    <w:rsid w:val="00E1646A"/>
    <w:rsid w:val="00E21400"/>
    <w:rsid w:val="00E219DB"/>
    <w:rsid w:val="00E26AA4"/>
    <w:rsid w:val="00E26B32"/>
    <w:rsid w:val="00E277C4"/>
    <w:rsid w:val="00E307F5"/>
    <w:rsid w:val="00E31444"/>
    <w:rsid w:val="00E315F8"/>
    <w:rsid w:val="00E32F59"/>
    <w:rsid w:val="00E33E1F"/>
    <w:rsid w:val="00E36CBF"/>
    <w:rsid w:val="00E36F21"/>
    <w:rsid w:val="00E407B6"/>
    <w:rsid w:val="00E41140"/>
    <w:rsid w:val="00E41932"/>
    <w:rsid w:val="00E41B46"/>
    <w:rsid w:val="00E41EF1"/>
    <w:rsid w:val="00E42942"/>
    <w:rsid w:val="00E4303A"/>
    <w:rsid w:val="00E4507F"/>
    <w:rsid w:val="00E45852"/>
    <w:rsid w:val="00E45C0D"/>
    <w:rsid w:val="00E468A6"/>
    <w:rsid w:val="00E4699B"/>
    <w:rsid w:val="00E46FAA"/>
    <w:rsid w:val="00E470E8"/>
    <w:rsid w:val="00E47CC8"/>
    <w:rsid w:val="00E50AF1"/>
    <w:rsid w:val="00E532A4"/>
    <w:rsid w:val="00E5544D"/>
    <w:rsid w:val="00E566E5"/>
    <w:rsid w:val="00E56BCD"/>
    <w:rsid w:val="00E6159C"/>
    <w:rsid w:val="00E65DB0"/>
    <w:rsid w:val="00E66800"/>
    <w:rsid w:val="00E67175"/>
    <w:rsid w:val="00E71BDF"/>
    <w:rsid w:val="00E7351F"/>
    <w:rsid w:val="00E74052"/>
    <w:rsid w:val="00E76AE9"/>
    <w:rsid w:val="00E777A2"/>
    <w:rsid w:val="00E779B6"/>
    <w:rsid w:val="00E80337"/>
    <w:rsid w:val="00E816B9"/>
    <w:rsid w:val="00E827E9"/>
    <w:rsid w:val="00E82E9E"/>
    <w:rsid w:val="00E8359A"/>
    <w:rsid w:val="00E83CA7"/>
    <w:rsid w:val="00E84DA8"/>
    <w:rsid w:val="00E903B9"/>
    <w:rsid w:val="00E90830"/>
    <w:rsid w:val="00E91C6A"/>
    <w:rsid w:val="00E91D0C"/>
    <w:rsid w:val="00E9320A"/>
    <w:rsid w:val="00EA0E17"/>
    <w:rsid w:val="00EA2B61"/>
    <w:rsid w:val="00EA3256"/>
    <w:rsid w:val="00EA3AD6"/>
    <w:rsid w:val="00EA5BF4"/>
    <w:rsid w:val="00EA778F"/>
    <w:rsid w:val="00EA7FF3"/>
    <w:rsid w:val="00EB1242"/>
    <w:rsid w:val="00EB24B1"/>
    <w:rsid w:val="00EB2E6F"/>
    <w:rsid w:val="00EB64CF"/>
    <w:rsid w:val="00EC0167"/>
    <w:rsid w:val="00EC16BB"/>
    <w:rsid w:val="00EC171D"/>
    <w:rsid w:val="00ED1AEF"/>
    <w:rsid w:val="00ED1D77"/>
    <w:rsid w:val="00ED4181"/>
    <w:rsid w:val="00ED4628"/>
    <w:rsid w:val="00ED487E"/>
    <w:rsid w:val="00ED7F1B"/>
    <w:rsid w:val="00EE175E"/>
    <w:rsid w:val="00EE1882"/>
    <w:rsid w:val="00EE3099"/>
    <w:rsid w:val="00EE7A0D"/>
    <w:rsid w:val="00EF0D21"/>
    <w:rsid w:val="00EF5466"/>
    <w:rsid w:val="00EF69B8"/>
    <w:rsid w:val="00EF72FF"/>
    <w:rsid w:val="00F01FE9"/>
    <w:rsid w:val="00F02163"/>
    <w:rsid w:val="00F022B7"/>
    <w:rsid w:val="00F031E6"/>
    <w:rsid w:val="00F0507D"/>
    <w:rsid w:val="00F05245"/>
    <w:rsid w:val="00F05AB3"/>
    <w:rsid w:val="00F05FE4"/>
    <w:rsid w:val="00F0651A"/>
    <w:rsid w:val="00F108DE"/>
    <w:rsid w:val="00F123A2"/>
    <w:rsid w:val="00F1459C"/>
    <w:rsid w:val="00F15AD4"/>
    <w:rsid w:val="00F17596"/>
    <w:rsid w:val="00F17CE1"/>
    <w:rsid w:val="00F202E0"/>
    <w:rsid w:val="00F21019"/>
    <w:rsid w:val="00F2115C"/>
    <w:rsid w:val="00F21A2E"/>
    <w:rsid w:val="00F22ABA"/>
    <w:rsid w:val="00F24047"/>
    <w:rsid w:val="00F24C2C"/>
    <w:rsid w:val="00F253AE"/>
    <w:rsid w:val="00F255DB"/>
    <w:rsid w:val="00F2579B"/>
    <w:rsid w:val="00F261F2"/>
    <w:rsid w:val="00F26623"/>
    <w:rsid w:val="00F26F9B"/>
    <w:rsid w:val="00F308C5"/>
    <w:rsid w:val="00F3192B"/>
    <w:rsid w:val="00F3392B"/>
    <w:rsid w:val="00F343D1"/>
    <w:rsid w:val="00F36878"/>
    <w:rsid w:val="00F36B12"/>
    <w:rsid w:val="00F36CE2"/>
    <w:rsid w:val="00F40A40"/>
    <w:rsid w:val="00F417C3"/>
    <w:rsid w:val="00F43D6D"/>
    <w:rsid w:val="00F45D1D"/>
    <w:rsid w:val="00F46110"/>
    <w:rsid w:val="00F46EC2"/>
    <w:rsid w:val="00F500AB"/>
    <w:rsid w:val="00F5418C"/>
    <w:rsid w:val="00F555BF"/>
    <w:rsid w:val="00F55F8E"/>
    <w:rsid w:val="00F56020"/>
    <w:rsid w:val="00F573D0"/>
    <w:rsid w:val="00F57529"/>
    <w:rsid w:val="00F57E2A"/>
    <w:rsid w:val="00F60F9F"/>
    <w:rsid w:val="00F62F40"/>
    <w:rsid w:val="00F63A94"/>
    <w:rsid w:val="00F64F08"/>
    <w:rsid w:val="00F65C61"/>
    <w:rsid w:val="00F67CEE"/>
    <w:rsid w:val="00F734F5"/>
    <w:rsid w:val="00F7493D"/>
    <w:rsid w:val="00F75230"/>
    <w:rsid w:val="00F77196"/>
    <w:rsid w:val="00F7777A"/>
    <w:rsid w:val="00F777B4"/>
    <w:rsid w:val="00F7799D"/>
    <w:rsid w:val="00F82623"/>
    <w:rsid w:val="00F827E5"/>
    <w:rsid w:val="00F82A1A"/>
    <w:rsid w:val="00F84C5F"/>
    <w:rsid w:val="00F8695D"/>
    <w:rsid w:val="00F9183F"/>
    <w:rsid w:val="00F942A0"/>
    <w:rsid w:val="00F95F7A"/>
    <w:rsid w:val="00F966B1"/>
    <w:rsid w:val="00F9757B"/>
    <w:rsid w:val="00F97D48"/>
    <w:rsid w:val="00FA0311"/>
    <w:rsid w:val="00FA0A29"/>
    <w:rsid w:val="00FA1ABD"/>
    <w:rsid w:val="00FA4604"/>
    <w:rsid w:val="00FA63B2"/>
    <w:rsid w:val="00FA73F3"/>
    <w:rsid w:val="00FA74E1"/>
    <w:rsid w:val="00FA7C47"/>
    <w:rsid w:val="00FB1080"/>
    <w:rsid w:val="00FB3FB4"/>
    <w:rsid w:val="00FC2A9F"/>
    <w:rsid w:val="00FC2F57"/>
    <w:rsid w:val="00FC42E5"/>
    <w:rsid w:val="00FC441E"/>
    <w:rsid w:val="00FC47AB"/>
    <w:rsid w:val="00FC6919"/>
    <w:rsid w:val="00FC72ED"/>
    <w:rsid w:val="00FC791E"/>
    <w:rsid w:val="00FD3A9B"/>
    <w:rsid w:val="00FD43CD"/>
    <w:rsid w:val="00FD4811"/>
    <w:rsid w:val="00FD4F3C"/>
    <w:rsid w:val="00FD550F"/>
    <w:rsid w:val="00FD631D"/>
    <w:rsid w:val="00FD640F"/>
    <w:rsid w:val="00FD6B4C"/>
    <w:rsid w:val="00FD6BE9"/>
    <w:rsid w:val="00FE04BE"/>
    <w:rsid w:val="00FE06A6"/>
    <w:rsid w:val="00FE0769"/>
    <w:rsid w:val="00FE2448"/>
    <w:rsid w:val="00FE3DC1"/>
    <w:rsid w:val="00FE7580"/>
    <w:rsid w:val="00FE7BD4"/>
    <w:rsid w:val="00FF1175"/>
    <w:rsid w:val="00FF121D"/>
    <w:rsid w:val="00FF13D6"/>
    <w:rsid w:val="00FF1878"/>
    <w:rsid w:val="00FF1A54"/>
    <w:rsid w:val="00FF1BA4"/>
    <w:rsid w:val="00FF4E99"/>
    <w:rsid w:val="00FF572A"/>
    <w:rsid w:val="00FF5848"/>
    <w:rsid w:val="00FF5849"/>
    <w:rsid w:val="00FF62F5"/>
    <w:rsid w:val="00FF79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D07012"/>
  <w15:docId w15:val="{052D5899-4EB1-4C5F-BF1E-CCA3F5B2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D1"/>
    <w:pPr>
      <w:spacing w:before="160" w:after="100"/>
    </w:pPr>
    <w:rPr>
      <w:spacing w:val="2"/>
    </w:rPr>
  </w:style>
  <w:style w:type="paragraph" w:styleId="Heading1">
    <w:name w:val="heading 1"/>
    <w:next w:val="Normal"/>
    <w:link w:val="Heading1Char"/>
    <w:qFormat/>
    <w:rsid w:val="00200BB3"/>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EC171D"/>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777A2"/>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rsid w:val="00200BB3"/>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EC171D"/>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1"/>
    <w:qFormat/>
    <w:rsid w:val="00EC171D"/>
    <w:pPr>
      <w:numPr>
        <w:numId w:val="1"/>
      </w:numPr>
      <w:spacing w:before="100" w:after="100" w:line="240" w:lineRule="auto"/>
      <w:contextualSpacing/>
    </w:pPr>
    <w:rPr>
      <w:rFonts w:eastAsia="Times New Roman" w:cs="Calibri"/>
      <w:spacing w:val="2"/>
    </w:rPr>
  </w:style>
  <w:style w:type="paragraph" w:customStyle="1" w:styleId="Bullet2">
    <w:name w:val="Bullet 2"/>
    <w:basedOn w:val="Bullet1"/>
    <w:uiPriority w:val="11"/>
    <w:qFormat/>
    <w:rsid w:val="00EC171D"/>
    <w:pPr>
      <w:numPr>
        <w:ilvl w:val="1"/>
      </w:numPr>
    </w:pPr>
  </w:style>
  <w:style w:type="paragraph" w:customStyle="1" w:styleId="Bulletindent">
    <w:name w:val="Bullet indent"/>
    <w:basedOn w:val="Bullet2"/>
    <w:uiPriority w:val="9"/>
    <w:qFormat/>
    <w:rsid w:val="00EC171D"/>
    <w:pPr>
      <w:numPr>
        <w:ilvl w:val="2"/>
      </w:numPr>
    </w:pPr>
  </w:style>
  <w:style w:type="paragraph" w:customStyle="1" w:styleId="Heading1numbered">
    <w:name w:val="Heading 1 numbered"/>
    <w:basedOn w:val="Heading1"/>
    <w:next w:val="NormalIndent"/>
    <w:uiPriority w:val="8"/>
    <w:qFormat/>
    <w:rsid w:val="00EC171D"/>
    <w:pPr>
      <w:numPr>
        <w:ilvl w:val="2"/>
        <w:numId w:val="25"/>
      </w:numPr>
    </w:pPr>
  </w:style>
  <w:style w:type="paragraph" w:customStyle="1" w:styleId="Heading2numbered">
    <w:name w:val="Heading 2 numbered"/>
    <w:basedOn w:val="Heading2"/>
    <w:next w:val="NormalIndent"/>
    <w:uiPriority w:val="8"/>
    <w:qFormat/>
    <w:rsid w:val="00EC171D"/>
    <w:pPr>
      <w:numPr>
        <w:ilvl w:val="3"/>
        <w:numId w:val="25"/>
      </w:numPr>
    </w:pPr>
  </w:style>
  <w:style w:type="paragraph" w:customStyle="1" w:styleId="Heading3numbered">
    <w:name w:val="Heading 3 numbered"/>
    <w:basedOn w:val="Heading3"/>
    <w:next w:val="NormalIndent"/>
    <w:uiPriority w:val="8"/>
    <w:qFormat/>
    <w:rsid w:val="00EC171D"/>
    <w:pPr>
      <w:numPr>
        <w:ilvl w:val="4"/>
        <w:numId w:val="25"/>
      </w:numPr>
    </w:pPr>
  </w:style>
  <w:style w:type="character" w:customStyle="1" w:styleId="Heading3Char">
    <w:name w:val="Heading 3 Char"/>
    <w:basedOn w:val="DefaultParagraphFont"/>
    <w:link w:val="Heading3"/>
    <w:rsid w:val="00EC171D"/>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EC171D"/>
    <w:pPr>
      <w:numPr>
        <w:ilvl w:val="5"/>
        <w:numId w:val="25"/>
      </w:numPr>
    </w:pPr>
  </w:style>
  <w:style w:type="character" w:customStyle="1" w:styleId="Heading4Char">
    <w:name w:val="Heading 4 Char"/>
    <w:basedOn w:val="DefaultParagraphFont"/>
    <w:link w:val="Heading4"/>
    <w:rsid w:val="00EC171D"/>
    <w:rPr>
      <w:rFonts w:asciiTheme="majorHAnsi" w:eastAsiaTheme="majorEastAsia" w:hAnsiTheme="majorHAnsi" w:cstheme="majorBidi"/>
      <w:b/>
      <w:bCs/>
      <w:iCs/>
      <w:color w:val="53565A"/>
      <w:spacing w:val="2"/>
    </w:rPr>
  </w:style>
  <w:style w:type="paragraph" w:styleId="NormalIndent">
    <w:name w:val="Normal Indent"/>
    <w:basedOn w:val="Normal"/>
    <w:uiPriority w:val="8"/>
    <w:qFormat/>
    <w:rsid w:val="00EC171D"/>
    <w:pPr>
      <w:spacing w:line="252" w:lineRule="auto"/>
      <w:ind w:left="792"/>
    </w:pPr>
  </w:style>
  <w:style w:type="paragraph" w:customStyle="1" w:styleId="NoteNormal">
    <w:name w:val="Note Normal"/>
    <w:basedOn w:val="Normal"/>
    <w:rsid w:val="00EC171D"/>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pacing w:val="0"/>
      <w:sz w:val="10"/>
      <w:szCs w:val="22"/>
    </w:rPr>
  </w:style>
  <w:style w:type="paragraph" w:styleId="Subtitle">
    <w:name w:val="Subtitle"/>
    <w:link w:val="SubtitleChar"/>
    <w:uiPriority w:val="98"/>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1A3DD1"/>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8"/>
    <w:rsid w:val="006738C4"/>
    <w:pPr>
      <w:spacing w:after="0" w:line="440" w:lineRule="exact"/>
    </w:pPr>
    <w:rPr>
      <w:rFonts w:asciiTheme="majorHAnsi" w:eastAsia="Times New Roman" w:hAnsiTheme="majorHAnsi" w:cstheme="majorHAnsi"/>
      <w:color w:val="0063A6" w:themeColor="accent1"/>
      <w:spacing w:val="-2"/>
      <w:sz w:val="22"/>
      <w:szCs w:val="40"/>
      <w:lang w:eastAsia="en-US"/>
    </w:rPr>
  </w:style>
  <w:style w:type="paragraph" w:styleId="Title">
    <w:name w:val="Title"/>
    <w:link w:val="TitleChar"/>
    <w:uiPriority w:val="97"/>
    <w:rsid w:val="00691C09"/>
    <w:pPr>
      <w:spacing w:after="40" w:line="252" w:lineRule="auto"/>
    </w:pPr>
    <w:rPr>
      <w:rFonts w:asciiTheme="majorHAnsi" w:eastAsia="Times New Roman" w:hAnsiTheme="majorHAnsi" w:cstheme="majorHAnsi"/>
      <w:b/>
      <w:color w:val="0063A6" w:themeColor="accent1"/>
      <w:spacing w:val="-2"/>
      <w:sz w:val="52"/>
      <w:szCs w:val="52"/>
    </w:rPr>
  </w:style>
  <w:style w:type="character" w:customStyle="1" w:styleId="TitleChar">
    <w:name w:val="Title Char"/>
    <w:basedOn w:val="DefaultParagraphFont"/>
    <w:link w:val="Title"/>
    <w:uiPriority w:val="97"/>
    <w:rsid w:val="00691C09"/>
    <w:rPr>
      <w:rFonts w:asciiTheme="majorHAnsi" w:eastAsia="Times New Roman" w:hAnsiTheme="majorHAnsi" w:cstheme="majorHAnsi"/>
      <w:b/>
      <w:color w:val="0063A6" w:themeColor="accent1"/>
      <w:spacing w:val="-2"/>
      <w:sz w:val="52"/>
      <w:szCs w:val="5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C171D"/>
    <w:pPr>
      <w:numPr>
        <w:ilvl w:val="3"/>
        <w:numId w:val="1"/>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F417C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F417C3"/>
    <w:rPr>
      <w:noProof/>
      <w:spacing w:val="2"/>
      <w:sz w:val="18"/>
      <w:szCs w:val="18"/>
    </w:rPr>
  </w:style>
  <w:style w:type="character" w:styleId="PageNumber">
    <w:name w:val="page number"/>
    <w:uiPriority w:val="49"/>
    <w:semiHidden/>
    <w:rsid w:val="00F417C3"/>
    <w:rPr>
      <w:b w:val="0"/>
      <w:color w:val="000000" w:themeColor="text1"/>
    </w:rPr>
  </w:style>
  <w:style w:type="paragraph" w:styleId="TOCHeading">
    <w:name w:val="TOC Heading"/>
    <w:basedOn w:val="Heading1"/>
    <w:next w:val="Normal"/>
    <w:uiPriority w:val="39"/>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rsid w:val="00EC171D"/>
    <w:pPr>
      <w:ind w:left="450" w:hanging="450"/>
    </w:pPr>
    <w:rPr>
      <w:noProof/>
      <w:lang w:eastAsia="en-US"/>
    </w:rPr>
  </w:style>
  <w:style w:type="paragraph" w:styleId="TOC5">
    <w:name w:val="toc 5"/>
    <w:basedOn w:val="TOC2"/>
    <w:next w:val="Normal"/>
    <w:uiPriority w:val="39"/>
    <w:rsid w:val="00EC171D"/>
    <w:pPr>
      <w:ind w:left="1080" w:hanging="634"/>
    </w:pPr>
    <w:rPr>
      <w:lang w:eastAsia="en-US"/>
    </w:rPr>
  </w:style>
  <w:style w:type="paragraph" w:styleId="TOC6">
    <w:name w:val="toc 6"/>
    <w:basedOn w:val="TOC3"/>
    <w:next w:val="Normal"/>
    <w:uiPriority w:val="39"/>
    <w:rsid w:val="00EC171D"/>
    <w:pPr>
      <w:ind w:left="1800" w:hanging="720"/>
    </w:pPr>
    <w:rPr>
      <w:lang w:eastAsia="en-US"/>
    </w:rPr>
  </w:style>
  <w:style w:type="table" w:customStyle="1" w:styleId="DTFtexttable">
    <w:name w:val="DTF text table"/>
    <w:basedOn w:val="TableGrid"/>
    <w:uiPriority w:val="99"/>
    <w:rsid w:val="006A5F5B"/>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52625"/>
    <w:pPr>
      <w:spacing w:before="60" w:after="60" w:line="264" w:lineRule="auto"/>
    </w:pPr>
    <w:rPr>
      <w:sz w:val="17"/>
    </w:rPr>
  </w:style>
  <w:style w:type="paragraph" w:customStyle="1" w:styleId="Tabletextright">
    <w:name w:val="Table text right"/>
    <w:basedOn w:val="Tabletext"/>
    <w:uiPriority w:val="5"/>
    <w:qFormat/>
    <w:rsid w:val="00EC171D"/>
    <w:pPr>
      <w:jc w:val="right"/>
    </w:pPr>
  </w:style>
  <w:style w:type="paragraph" w:customStyle="1" w:styleId="Listnumindent2">
    <w:name w:val="List num indent 2"/>
    <w:basedOn w:val="Normal"/>
    <w:uiPriority w:val="9"/>
    <w:qFormat/>
    <w:rsid w:val="00EC171D"/>
    <w:pPr>
      <w:numPr>
        <w:ilvl w:val="7"/>
        <w:numId w:val="25"/>
      </w:numPr>
      <w:spacing w:before="100"/>
      <w:contextualSpacing/>
    </w:pPr>
  </w:style>
  <w:style w:type="paragraph" w:customStyle="1" w:styleId="Listnumindent">
    <w:name w:val="List num indent"/>
    <w:basedOn w:val="Normal"/>
    <w:uiPriority w:val="9"/>
    <w:qFormat/>
    <w:rsid w:val="00EC171D"/>
    <w:pPr>
      <w:numPr>
        <w:ilvl w:val="6"/>
        <w:numId w:val="25"/>
      </w:numPr>
      <w:spacing w:before="100"/>
    </w:pPr>
  </w:style>
  <w:style w:type="paragraph" w:customStyle="1" w:styleId="Listnum">
    <w:name w:val="List num"/>
    <w:basedOn w:val="Normal"/>
    <w:uiPriority w:val="1"/>
    <w:qFormat/>
    <w:rsid w:val="00EC171D"/>
    <w:pPr>
      <w:numPr>
        <w:numId w:val="25"/>
      </w:numPr>
    </w:pPr>
  </w:style>
  <w:style w:type="paragraph" w:customStyle="1" w:styleId="Listnum2">
    <w:name w:val="List num 2"/>
    <w:basedOn w:val="Normal"/>
    <w:uiPriority w:val="1"/>
    <w:qFormat/>
    <w:rsid w:val="00EC171D"/>
    <w:pPr>
      <w:numPr>
        <w:ilvl w:val="1"/>
        <w:numId w:val="25"/>
      </w:numPr>
    </w:pPr>
  </w:style>
  <w:style w:type="paragraph" w:customStyle="1" w:styleId="Tabletextcentred">
    <w:name w:val="Table text centred"/>
    <w:basedOn w:val="Tabletext"/>
    <w:uiPriority w:val="5"/>
    <w:qFormat/>
    <w:rsid w:val="00EC171D"/>
    <w:pPr>
      <w:jc w:val="center"/>
    </w:pPr>
  </w:style>
  <w:style w:type="paragraph" w:customStyle="1" w:styleId="Tableheader">
    <w:name w:val="Table header"/>
    <w:basedOn w:val="Tabletext"/>
    <w:uiPriority w:val="5"/>
    <w:qFormat/>
    <w:rsid w:val="00EC171D"/>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D211E9"/>
    <w:pPr>
      <w:numPr>
        <w:numId w:val="27"/>
      </w:numPr>
    </w:pPr>
  </w:style>
  <w:style w:type="paragraph" w:customStyle="1" w:styleId="Tabledash">
    <w:name w:val="Table dash"/>
    <w:basedOn w:val="Tablebullet"/>
    <w:uiPriority w:val="6"/>
    <w:rsid w:val="00D211E9"/>
    <w:pPr>
      <w:numPr>
        <w:ilvl w:val="1"/>
      </w:numPr>
    </w:pPr>
  </w:style>
  <w:style w:type="paragraph" w:customStyle="1" w:styleId="Tabletextindent">
    <w:name w:val="Table text indent"/>
    <w:basedOn w:val="Tabletext"/>
    <w:uiPriority w:val="5"/>
    <w:qFormat/>
    <w:rsid w:val="00D211E9"/>
    <w:pPr>
      <w:ind w:left="288"/>
    </w:pPr>
  </w:style>
  <w:style w:type="paragraph" w:customStyle="1" w:styleId="Numpara">
    <w:name w:val="Num para"/>
    <w:basedOn w:val="ListParagraph"/>
    <w:uiPriority w:val="2"/>
    <w:qFormat/>
    <w:rsid w:val="00EF0D21"/>
    <w:pPr>
      <w:numPr>
        <w:numId w:val="24"/>
      </w:numPr>
      <w:tabs>
        <w:tab w:val="left" w:pos="540"/>
      </w:tabs>
    </w:pPr>
  </w:style>
  <w:style w:type="paragraph" w:styleId="ListParagraph">
    <w:name w:val="List Paragraph"/>
    <w:basedOn w:val="Normal"/>
    <w:uiPriority w:val="34"/>
    <w:semiHidden/>
    <w:qFormat/>
    <w:rsid w:val="006361E7"/>
    <w:pPr>
      <w:ind w:left="720"/>
      <w:contextualSpacing/>
    </w:pPr>
  </w:style>
  <w:style w:type="paragraph" w:customStyle="1" w:styleId="Tablechartdiagramheading">
    <w:name w:val="Table/chart/diagram heading"/>
    <w:uiPriority w:val="4"/>
    <w:qFormat/>
    <w:rsid w:val="00EF0D21"/>
    <w:pPr>
      <w:tabs>
        <w:tab w:val="left" w:pos="1080"/>
      </w:tabs>
      <w:spacing w:before="160" w:after="100"/>
    </w:pPr>
    <w:rPr>
      <w:b/>
      <w:bCs/>
      <w:color w:val="0063A6" w:themeColor="accent1"/>
      <w:spacing w:val="2"/>
      <w:sz w:val="18"/>
      <w:szCs w:val="18"/>
    </w:rPr>
  </w:style>
  <w:style w:type="paragraph" w:styleId="FootnoteText">
    <w:name w:val="footnote text"/>
    <w:basedOn w:val="Normal"/>
    <w:link w:val="FootnoteTextChar"/>
    <w:uiPriority w:val="99"/>
    <w:semiHidden/>
    <w:rsid w:val="003C2EA2"/>
    <w:pPr>
      <w:spacing w:before="0" w:after="0" w:line="240" w:lineRule="auto"/>
    </w:pPr>
    <w:rPr>
      <w:sz w:val="17"/>
    </w:rPr>
  </w:style>
  <w:style w:type="character" w:customStyle="1" w:styleId="FootnoteTextChar">
    <w:name w:val="Footnote Text Char"/>
    <w:basedOn w:val="DefaultParagraphFont"/>
    <w:link w:val="FootnoteText"/>
    <w:uiPriority w:val="99"/>
    <w:semiHidden/>
    <w:rsid w:val="003C2EA2"/>
    <w:rPr>
      <w:spacing w:val="2"/>
      <w:sz w:val="17"/>
    </w:rPr>
  </w:style>
  <w:style w:type="character" w:styleId="FootnoteReference">
    <w:name w:val="footnote reference"/>
    <w:basedOn w:val="DefaultParagraphFont"/>
    <w:uiPriority w:val="99"/>
    <w:semiHidden/>
    <w:rsid w:val="003C2EA2"/>
    <w:rPr>
      <w:vertAlign w:val="superscript"/>
    </w:rPr>
  </w:style>
  <w:style w:type="table" w:customStyle="1" w:styleId="DTFfinancialtableindent">
    <w:name w:val="DTF financial table indent"/>
    <w:basedOn w:val="DTFfinancialtable"/>
    <w:uiPriority w:val="99"/>
    <w:rsid w:val="00EF0D21"/>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EF0D2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EF0D21"/>
    <w:pPr>
      <w:numPr>
        <w:ilvl w:val="8"/>
        <w:numId w:val="25"/>
      </w:numPr>
      <w:tabs>
        <w:tab w:val="clear" w:pos="540"/>
      </w:tabs>
    </w:pPr>
  </w:style>
  <w:style w:type="paragraph" w:customStyle="1" w:styleId="Tablenum1">
    <w:name w:val="Table num 1"/>
    <w:basedOn w:val="Normal"/>
    <w:uiPriority w:val="6"/>
    <w:rsid w:val="00EF0D21"/>
    <w:pPr>
      <w:numPr>
        <w:ilvl w:val="2"/>
        <w:numId w:val="27"/>
      </w:numPr>
    </w:pPr>
    <w:rPr>
      <w:sz w:val="17"/>
    </w:rPr>
  </w:style>
  <w:style w:type="paragraph" w:customStyle="1" w:styleId="Tablenum2">
    <w:name w:val="Table num 2"/>
    <w:basedOn w:val="Normal"/>
    <w:uiPriority w:val="6"/>
    <w:rsid w:val="00EF0D21"/>
    <w:pPr>
      <w:numPr>
        <w:ilvl w:val="3"/>
        <w:numId w:val="27"/>
      </w:numPr>
    </w:pPr>
    <w:rPr>
      <w:sz w:val="17"/>
    </w:rPr>
  </w:style>
  <w:style w:type="paragraph" w:customStyle="1" w:styleId="NoteNormalindent">
    <w:name w:val="Note Normal indent"/>
    <w:basedOn w:val="NoteNormal"/>
    <w:uiPriority w:val="8"/>
    <w:rsid w:val="00D543E5"/>
    <w:pPr>
      <w:ind w:left="792"/>
    </w:pPr>
  </w:style>
  <w:style w:type="paragraph" w:styleId="Caption">
    <w:name w:val="caption"/>
    <w:basedOn w:val="Normal"/>
    <w:next w:val="Normal"/>
    <w:uiPriority w:val="35"/>
    <w:rsid w:val="00D71896"/>
    <w:pPr>
      <w:spacing w:before="0" w:after="200" w:line="240" w:lineRule="auto"/>
    </w:pPr>
    <w:rPr>
      <w:b/>
      <w:bCs/>
      <w:color w:val="383834" w:themeColor="background2" w:themeShade="40"/>
      <w:sz w:val="18"/>
      <w:szCs w:val="18"/>
    </w:rPr>
  </w:style>
  <w:style w:type="table" w:styleId="LightList">
    <w:name w:val="Light List"/>
    <w:basedOn w:val="TableNormal"/>
    <w:uiPriority w:val="61"/>
    <w:rsid w:val="000F6A22"/>
    <w:pPr>
      <w:spacing w:after="0" w:line="240" w:lineRule="auto"/>
    </w:pPr>
    <w:rPr>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E777A2"/>
    <w:pPr>
      <w:spacing w:after="0" w:line="240" w:lineRule="auto"/>
    </w:pPr>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List-Accent2">
    <w:name w:val="Light List Accent 2"/>
    <w:basedOn w:val="TableNormal"/>
    <w:uiPriority w:val="61"/>
    <w:rsid w:val="00E777A2"/>
    <w:pPr>
      <w:spacing w:after="0" w:line="240" w:lineRule="auto"/>
    </w:pPr>
    <w:tblPr>
      <w:tblStyleRowBandSize w:val="1"/>
      <w:tblStyleColBandSize w:val="1"/>
      <w:tblBorders>
        <w:top w:val="single" w:sz="8" w:space="0" w:color="0F0248" w:themeColor="accent2"/>
        <w:left w:val="single" w:sz="8" w:space="0" w:color="0F0248" w:themeColor="accent2"/>
        <w:bottom w:val="single" w:sz="8" w:space="0" w:color="0F0248" w:themeColor="accent2"/>
        <w:right w:val="single" w:sz="8" w:space="0" w:color="0F0248" w:themeColor="accent2"/>
      </w:tblBorders>
    </w:tblPr>
    <w:tblStylePr w:type="firstRow">
      <w:pPr>
        <w:spacing w:before="0" w:after="0" w:line="240" w:lineRule="auto"/>
      </w:pPr>
      <w:rPr>
        <w:b/>
        <w:bCs/>
        <w:color w:val="FFFFFF" w:themeColor="background1"/>
      </w:rPr>
      <w:tblPr/>
      <w:tcPr>
        <w:shd w:val="clear" w:color="auto" w:fill="0F0248" w:themeFill="accent2"/>
      </w:tcPr>
    </w:tblStylePr>
    <w:tblStylePr w:type="lastRow">
      <w:pPr>
        <w:spacing w:before="0" w:after="0" w:line="240" w:lineRule="auto"/>
      </w:pPr>
      <w:rPr>
        <w:b/>
        <w:bCs/>
      </w:rPr>
      <w:tblPr/>
      <w:tcPr>
        <w:tcBorders>
          <w:top w:val="double" w:sz="6" w:space="0" w:color="0F0248" w:themeColor="accent2"/>
          <w:left w:val="single" w:sz="8" w:space="0" w:color="0F0248" w:themeColor="accent2"/>
          <w:bottom w:val="single" w:sz="8" w:space="0" w:color="0F0248" w:themeColor="accent2"/>
          <w:right w:val="single" w:sz="8" w:space="0" w:color="0F0248" w:themeColor="accent2"/>
        </w:tcBorders>
      </w:tcPr>
    </w:tblStylePr>
    <w:tblStylePr w:type="firstCol">
      <w:rPr>
        <w:b/>
        <w:bCs/>
      </w:rPr>
    </w:tblStylePr>
    <w:tblStylePr w:type="lastCol">
      <w:rPr>
        <w:b/>
        <w:bCs/>
      </w:rPr>
    </w:tblStylePr>
    <w:tblStylePr w:type="band1Vert">
      <w:tblPr/>
      <w:tcPr>
        <w:tcBorders>
          <w:top w:val="single" w:sz="8" w:space="0" w:color="0F0248" w:themeColor="accent2"/>
          <w:left w:val="single" w:sz="8" w:space="0" w:color="0F0248" w:themeColor="accent2"/>
          <w:bottom w:val="single" w:sz="8" w:space="0" w:color="0F0248" w:themeColor="accent2"/>
          <w:right w:val="single" w:sz="8" w:space="0" w:color="0F0248" w:themeColor="accent2"/>
        </w:tcBorders>
      </w:tcPr>
    </w:tblStylePr>
    <w:tblStylePr w:type="band1Horz">
      <w:tblPr/>
      <w:tcPr>
        <w:tcBorders>
          <w:top w:val="single" w:sz="8" w:space="0" w:color="0F0248" w:themeColor="accent2"/>
          <w:left w:val="single" w:sz="8" w:space="0" w:color="0F0248" w:themeColor="accent2"/>
          <w:bottom w:val="single" w:sz="8" w:space="0" w:color="0F0248" w:themeColor="accent2"/>
          <w:right w:val="single" w:sz="8" w:space="0" w:color="0F0248" w:themeColor="accent2"/>
        </w:tcBorders>
      </w:tcPr>
    </w:tblStylePr>
  </w:style>
  <w:style w:type="paragraph" w:customStyle="1" w:styleId="Listnum3">
    <w:name w:val="List num 3"/>
    <w:basedOn w:val="Normal"/>
    <w:rsid w:val="005C6F44"/>
    <w:pPr>
      <w:tabs>
        <w:tab w:val="num" w:pos="1512"/>
      </w:tabs>
      <w:spacing w:before="0" w:after="0" w:line="240" w:lineRule="auto"/>
      <w:ind w:left="1512" w:hanging="504"/>
    </w:pPr>
    <w:rPr>
      <w:rFonts w:eastAsia="Times New Roman" w:cs="Times New Roman"/>
      <w:color w:val="000000" w:themeColor="text1"/>
      <w:lang w:eastAsia="en-US"/>
    </w:rPr>
  </w:style>
  <w:style w:type="paragraph" w:customStyle="1" w:styleId="Default">
    <w:name w:val="Default"/>
    <w:rsid w:val="002E35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3">
    <w:name w:val="Bullet 3"/>
    <w:basedOn w:val="Bullet2"/>
    <w:uiPriority w:val="11"/>
    <w:rsid w:val="00F24C2C"/>
    <w:pPr>
      <w:numPr>
        <w:ilvl w:val="0"/>
        <w:numId w:val="0"/>
      </w:numPr>
      <w:tabs>
        <w:tab w:val="num" w:pos="1644"/>
      </w:tabs>
      <w:spacing w:before="0" w:after="0" w:line="240" w:lineRule="atLeast"/>
      <w:ind w:left="1644" w:hanging="283"/>
      <w:contextualSpacing w:val="0"/>
    </w:pPr>
    <w:rPr>
      <w:rFonts w:ascii="Calibri" w:hAnsi="Calibri"/>
      <w:spacing w:val="0"/>
      <w:szCs w:val="22"/>
    </w:rPr>
  </w:style>
  <w:style w:type="paragraph" w:customStyle="1" w:styleId="CharCharCharChar">
    <w:name w:val="Char Char Char Char"/>
    <w:basedOn w:val="Normal"/>
    <w:rsid w:val="00F24C2C"/>
    <w:pPr>
      <w:spacing w:before="0" w:after="160" w:line="240" w:lineRule="exact"/>
    </w:pPr>
    <w:rPr>
      <w:rFonts w:ascii="Tahoma" w:eastAsia="Times New Roman" w:hAnsi="Tahoma" w:cs="Times New Roman"/>
      <w:spacing w:val="0"/>
      <w:lang w:val="en-US" w:eastAsia="en-US"/>
    </w:rPr>
  </w:style>
  <w:style w:type="character" w:customStyle="1" w:styleId="BodytextChar0">
    <w:name w:val="Body text Char"/>
    <w:link w:val="BodyText1"/>
    <w:locked/>
    <w:rsid w:val="00F24C2C"/>
    <w:rPr>
      <w:rFonts w:ascii="Arial" w:hAnsi="Arial" w:cs="Arial"/>
      <w:color w:val="000000"/>
      <w:kern w:val="28"/>
      <w:sz w:val="22"/>
      <w:szCs w:val="22"/>
      <w:lang w:val="en-US" w:eastAsia="en-US"/>
    </w:rPr>
  </w:style>
  <w:style w:type="paragraph" w:customStyle="1" w:styleId="BodyText1">
    <w:name w:val="Body Text1"/>
    <w:basedOn w:val="Normal"/>
    <w:link w:val="BodytextChar0"/>
    <w:rsid w:val="00F24C2C"/>
    <w:pPr>
      <w:spacing w:before="0" w:after="240" w:line="240" w:lineRule="auto"/>
    </w:pPr>
    <w:rPr>
      <w:rFonts w:ascii="Arial" w:hAnsi="Arial" w:cs="Arial"/>
      <w:color w:val="000000"/>
      <w:spacing w:val="0"/>
      <w:kern w:val="28"/>
      <w:sz w:val="22"/>
      <w:szCs w:val="22"/>
      <w:lang w:val="en-US" w:eastAsia="en-US"/>
    </w:rPr>
  </w:style>
  <w:style w:type="character" w:styleId="CommentReference">
    <w:name w:val="annotation reference"/>
    <w:basedOn w:val="DefaultParagraphFont"/>
    <w:uiPriority w:val="99"/>
    <w:semiHidden/>
    <w:unhideWhenUsed/>
    <w:rsid w:val="00B455D0"/>
    <w:rPr>
      <w:sz w:val="16"/>
      <w:szCs w:val="16"/>
    </w:rPr>
  </w:style>
  <w:style w:type="paragraph" w:styleId="CommentText">
    <w:name w:val="annotation text"/>
    <w:basedOn w:val="Normal"/>
    <w:link w:val="CommentTextChar"/>
    <w:uiPriority w:val="99"/>
    <w:unhideWhenUsed/>
    <w:rsid w:val="00B455D0"/>
    <w:pPr>
      <w:spacing w:line="240" w:lineRule="auto"/>
    </w:pPr>
  </w:style>
  <w:style w:type="character" w:customStyle="1" w:styleId="CommentTextChar">
    <w:name w:val="Comment Text Char"/>
    <w:basedOn w:val="DefaultParagraphFont"/>
    <w:link w:val="CommentText"/>
    <w:uiPriority w:val="99"/>
    <w:rsid w:val="00B455D0"/>
    <w:rPr>
      <w:spacing w:val="2"/>
    </w:rPr>
  </w:style>
  <w:style w:type="paragraph" w:styleId="CommentSubject">
    <w:name w:val="annotation subject"/>
    <w:basedOn w:val="CommentText"/>
    <w:next w:val="CommentText"/>
    <w:link w:val="CommentSubjectChar"/>
    <w:uiPriority w:val="99"/>
    <w:semiHidden/>
    <w:unhideWhenUsed/>
    <w:rsid w:val="00B455D0"/>
    <w:rPr>
      <w:b/>
      <w:bCs/>
    </w:rPr>
  </w:style>
  <w:style w:type="character" w:customStyle="1" w:styleId="CommentSubjectChar">
    <w:name w:val="Comment Subject Char"/>
    <w:basedOn w:val="CommentTextChar"/>
    <w:link w:val="CommentSubject"/>
    <w:uiPriority w:val="99"/>
    <w:semiHidden/>
    <w:rsid w:val="00B455D0"/>
    <w:rPr>
      <w:b/>
      <w:bCs/>
      <w:spacing w:val="2"/>
    </w:rPr>
  </w:style>
  <w:style w:type="paragraph" w:styleId="Revision">
    <w:name w:val="Revision"/>
    <w:hidden/>
    <w:uiPriority w:val="99"/>
    <w:semiHidden/>
    <w:rsid w:val="007336C6"/>
    <w:pPr>
      <w:spacing w:after="0" w:line="240"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17239">
      <w:bodyDiv w:val="1"/>
      <w:marLeft w:val="0"/>
      <w:marRight w:val="0"/>
      <w:marTop w:val="0"/>
      <w:marBottom w:val="0"/>
      <w:divBdr>
        <w:top w:val="none" w:sz="0" w:space="0" w:color="auto"/>
        <w:left w:val="none" w:sz="0" w:space="0" w:color="auto"/>
        <w:bottom w:val="none" w:sz="0" w:space="0" w:color="auto"/>
        <w:right w:val="none" w:sz="0" w:space="0" w:color="auto"/>
      </w:divBdr>
      <w:divsChild>
        <w:div w:id="1447583924">
          <w:marLeft w:val="0"/>
          <w:marRight w:val="0"/>
          <w:marTop w:val="0"/>
          <w:marBottom w:val="0"/>
          <w:divBdr>
            <w:top w:val="none" w:sz="0" w:space="0" w:color="auto"/>
            <w:left w:val="none" w:sz="0" w:space="0" w:color="auto"/>
            <w:bottom w:val="none" w:sz="0" w:space="0" w:color="auto"/>
            <w:right w:val="none" w:sz="0" w:space="0" w:color="auto"/>
          </w:divBdr>
          <w:divsChild>
            <w:div w:id="677194774">
              <w:marLeft w:val="0"/>
              <w:marRight w:val="0"/>
              <w:marTop w:val="0"/>
              <w:marBottom w:val="0"/>
              <w:divBdr>
                <w:top w:val="none" w:sz="0" w:space="0" w:color="auto"/>
                <w:left w:val="none" w:sz="0" w:space="0" w:color="auto"/>
                <w:bottom w:val="none" w:sz="0" w:space="0" w:color="auto"/>
                <w:right w:val="none" w:sz="0" w:space="0" w:color="auto"/>
              </w:divBdr>
              <w:divsChild>
                <w:div w:id="1547791182">
                  <w:marLeft w:val="0"/>
                  <w:marRight w:val="0"/>
                  <w:marTop w:val="0"/>
                  <w:marBottom w:val="0"/>
                  <w:divBdr>
                    <w:top w:val="none" w:sz="0" w:space="0" w:color="auto"/>
                    <w:left w:val="none" w:sz="0" w:space="0" w:color="auto"/>
                    <w:bottom w:val="none" w:sz="0" w:space="0" w:color="auto"/>
                    <w:right w:val="none" w:sz="0" w:space="0" w:color="auto"/>
                  </w:divBdr>
                  <w:divsChild>
                    <w:div w:id="1248230601">
                      <w:marLeft w:val="0"/>
                      <w:marRight w:val="0"/>
                      <w:marTop w:val="0"/>
                      <w:marBottom w:val="0"/>
                      <w:divBdr>
                        <w:top w:val="none" w:sz="0" w:space="0" w:color="auto"/>
                        <w:left w:val="none" w:sz="0" w:space="0" w:color="auto"/>
                        <w:bottom w:val="none" w:sz="0" w:space="0" w:color="auto"/>
                        <w:right w:val="none" w:sz="0" w:space="0" w:color="auto"/>
                      </w:divBdr>
                      <w:divsChild>
                        <w:div w:id="695161410">
                          <w:marLeft w:val="0"/>
                          <w:marRight w:val="0"/>
                          <w:marTop w:val="45"/>
                          <w:marBottom w:val="0"/>
                          <w:divBdr>
                            <w:top w:val="none" w:sz="0" w:space="0" w:color="auto"/>
                            <w:left w:val="none" w:sz="0" w:space="0" w:color="auto"/>
                            <w:bottom w:val="none" w:sz="0" w:space="0" w:color="auto"/>
                            <w:right w:val="none" w:sz="0" w:space="0" w:color="auto"/>
                          </w:divBdr>
                          <w:divsChild>
                            <w:div w:id="1230649165">
                              <w:marLeft w:val="0"/>
                              <w:marRight w:val="0"/>
                              <w:marTop w:val="0"/>
                              <w:marBottom w:val="0"/>
                              <w:divBdr>
                                <w:top w:val="none" w:sz="0" w:space="0" w:color="auto"/>
                                <w:left w:val="none" w:sz="0" w:space="0" w:color="auto"/>
                                <w:bottom w:val="none" w:sz="0" w:space="0" w:color="auto"/>
                                <w:right w:val="none" w:sz="0" w:space="0" w:color="auto"/>
                              </w:divBdr>
                              <w:divsChild>
                                <w:div w:id="215630744">
                                  <w:marLeft w:val="2070"/>
                                  <w:marRight w:val="3810"/>
                                  <w:marTop w:val="0"/>
                                  <w:marBottom w:val="0"/>
                                  <w:divBdr>
                                    <w:top w:val="none" w:sz="0" w:space="0" w:color="auto"/>
                                    <w:left w:val="none" w:sz="0" w:space="0" w:color="auto"/>
                                    <w:bottom w:val="none" w:sz="0" w:space="0" w:color="auto"/>
                                    <w:right w:val="none" w:sz="0" w:space="0" w:color="auto"/>
                                  </w:divBdr>
                                  <w:divsChild>
                                    <w:div w:id="1847748245">
                                      <w:marLeft w:val="0"/>
                                      <w:marRight w:val="0"/>
                                      <w:marTop w:val="0"/>
                                      <w:marBottom w:val="0"/>
                                      <w:divBdr>
                                        <w:top w:val="none" w:sz="0" w:space="0" w:color="auto"/>
                                        <w:left w:val="none" w:sz="0" w:space="0" w:color="auto"/>
                                        <w:bottom w:val="none" w:sz="0" w:space="0" w:color="auto"/>
                                        <w:right w:val="none" w:sz="0" w:space="0" w:color="auto"/>
                                      </w:divBdr>
                                      <w:divsChild>
                                        <w:div w:id="1366522081">
                                          <w:marLeft w:val="0"/>
                                          <w:marRight w:val="0"/>
                                          <w:marTop w:val="0"/>
                                          <w:marBottom w:val="0"/>
                                          <w:divBdr>
                                            <w:top w:val="none" w:sz="0" w:space="0" w:color="auto"/>
                                            <w:left w:val="none" w:sz="0" w:space="0" w:color="auto"/>
                                            <w:bottom w:val="none" w:sz="0" w:space="0" w:color="auto"/>
                                            <w:right w:val="none" w:sz="0" w:space="0" w:color="auto"/>
                                          </w:divBdr>
                                          <w:divsChild>
                                            <w:div w:id="872763360">
                                              <w:marLeft w:val="0"/>
                                              <w:marRight w:val="0"/>
                                              <w:marTop w:val="0"/>
                                              <w:marBottom w:val="0"/>
                                              <w:divBdr>
                                                <w:top w:val="none" w:sz="0" w:space="0" w:color="auto"/>
                                                <w:left w:val="none" w:sz="0" w:space="0" w:color="auto"/>
                                                <w:bottom w:val="none" w:sz="0" w:space="0" w:color="auto"/>
                                                <w:right w:val="none" w:sz="0" w:space="0" w:color="auto"/>
                                              </w:divBdr>
                                              <w:divsChild>
                                                <w:div w:id="1238174395">
                                                  <w:marLeft w:val="0"/>
                                                  <w:marRight w:val="0"/>
                                                  <w:marTop w:val="90"/>
                                                  <w:marBottom w:val="0"/>
                                                  <w:divBdr>
                                                    <w:top w:val="none" w:sz="0" w:space="0" w:color="auto"/>
                                                    <w:left w:val="none" w:sz="0" w:space="0" w:color="auto"/>
                                                    <w:bottom w:val="none" w:sz="0" w:space="0" w:color="auto"/>
                                                    <w:right w:val="none" w:sz="0" w:space="0" w:color="auto"/>
                                                  </w:divBdr>
                                                  <w:divsChild>
                                                    <w:div w:id="1671978603">
                                                      <w:marLeft w:val="0"/>
                                                      <w:marRight w:val="0"/>
                                                      <w:marTop w:val="0"/>
                                                      <w:marBottom w:val="0"/>
                                                      <w:divBdr>
                                                        <w:top w:val="none" w:sz="0" w:space="0" w:color="auto"/>
                                                        <w:left w:val="none" w:sz="0" w:space="0" w:color="auto"/>
                                                        <w:bottom w:val="none" w:sz="0" w:space="0" w:color="auto"/>
                                                        <w:right w:val="none" w:sz="0" w:space="0" w:color="auto"/>
                                                      </w:divBdr>
                                                      <w:divsChild>
                                                        <w:div w:id="1994404820">
                                                          <w:marLeft w:val="0"/>
                                                          <w:marRight w:val="0"/>
                                                          <w:marTop w:val="0"/>
                                                          <w:marBottom w:val="0"/>
                                                          <w:divBdr>
                                                            <w:top w:val="none" w:sz="0" w:space="0" w:color="auto"/>
                                                            <w:left w:val="none" w:sz="0" w:space="0" w:color="auto"/>
                                                            <w:bottom w:val="none" w:sz="0" w:space="0" w:color="auto"/>
                                                            <w:right w:val="none" w:sz="0" w:space="0" w:color="auto"/>
                                                          </w:divBdr>
                                                          <w:divsChild>
                                                            <w:div w:id="657614725">
                                                              <w:marLeft w:val="0"/>
                                                              <w:marRight w:val="0"/>
                                                              <w:marTop w:val="0"/>
                                                              <w:marBottom w:val="390"/>
                                                              <w:divBdr>
                                                                <w:top w:val="none" w:sz="0" w:space="0" w:color="auto"/>
                                                                <w:left w:val="none" w:sz="0" w:space="0" w:color="auto"/>
                                                                <w:bottom w:val="none" w:sz="0" w:space="0" w:color="auto"/>
                                                                <w:right w:val="none" w:sz="0" w:space="0" w:color="auto"/>
                                                              </w:divBdr>
                                                              <w:divsChild>
                                                                <w:div w:id="513492424">
                                                                  <w:marLeft w:val="0"/>
                                                                  <w:marRight w:val="0"/>
                                                                  <w:marTop w:val="0"/>
                                                                  <w:marBottom w:val="0"/>
                                                                  <w:divBdr>
                                                                    <w:top w:val="none" w:sz="0" w:space="0" w:color="auto"/>
                                                                    <w:left w:val="none" w:sz="0" w:space="0" w:color="auto"/>
                                                                    <w:bottom w:val="none" w:sz="0" w:space="0" w:color="auto"/>
                                                                    <w:right w:val="none" w:sz="0" w:space="0" w:color="auto"/>
                                                                  </w:divBdr>
                                                                  <w:divsChild>
                                                                    <w:div w:id="2008244505">
                                                                      <w:marLeft w:val="0"/>
                                                                      <w:marRight w:val="0"/>
                                                                      <w:marTop w:val="0"/>
                                                                      <w:marBottom w:val="0"/>
                                                                      <w:divBdr>
                                                                        <w:top w:val="none" w:sz="0" w:space="0" w:color="auto"/>
                                                                        <w:left w:val="none" w:sz="0" w:space="0" w:color="auto"/>
                                                                        <w:bottom w:val="none" w:sz="0" w:space="0" w:color="auto"/>
                                                                        <w:right w:val="none" w:sz="0" w:space="0" w:color="auto"/>
                                                                      </w:divBdr>
                                                                      <w:divsChild>
                                                                        <w:div w:id="808058930">
                                                                          <w:marLeft w:val="0"/>
                                                                          <w:marRight w:val="0"/>
                                                                          <w:marTop w:val="0"/>
                                                                          <w:marBottom w:val="0"/>
                                                                          <w:divBdr>
                                                                            <w:top w:val="none" w:sz="0" w:space="0" w:color="auto"/>
                                                                            <w:left w:val="none" w:sz="0" w:space="0" w:color="auto"/>
                                                                            <w:bottom w:val="none" w:sz="0" w:space="0" w:color="auto"/>
                                                                            <w:right w:val="none" w:sz="0" w:space="0" w:color="auto"/>
                                                                          </w:divBdr>
                                                                          <w:divsChild>
                                                                            <w:div w:id="209908">
                                                                              <w:marLeft w:val="0"/>
                                                                              <w:marRight w:val="0"/>
                                                                              <w:marTop w:val="0"/>
                                                                              <w:marBottom w:val="0"/>
                                                                              <w:divBdr>
                                                                                <w:top w:val="none" w:sz="0" w:space="0" w:color="auto"/>
                                                                                <w:left w:val="none" w:sz="0" w:space="0" w:color="auto"/>
                                                                                <w:bottom w:val="none" w:sz="0" w:space="0" w:color="auto"/>
                                                                                <w:right w:val="none" w:sz="0" w:space="0" w:color="auto"/>
                                                                              </w:divBdr>
                                                                              <w:divsChild>
                                                                                <w:div w:id="684137517">
                                                                                  <w:marLeft w:val="0"/>
                                                                                  <w:marRight w:val="0"/>
                                                                                  <w:marTop w:val="0"/>
                                                                                  <w:marBottom w:val="0"/>
                                                                                  <w:divBdr>
                                                                                    <w:top w:val="none" w:sz="0" w:space="0" w:color="auto"/>
                                                                                    <w:left w:val="none" w:sz="0" w:space="0" w:color="auto"/>
                                                                                    <w:bottom w:val="none" w:sz="0" w:space="0" w:color="auto"/>
                                                                                    <w:right w:val="none" w:sz="0" w:space="0" w:color="auto"/>
                                                                                  </w:divBdr>
                                                                                  <w:divsChild>
                                                                                    <w:div w:id="1626741483">
                                                                                      <w:marLeft w:val="0"/>
                                                                                      <w:marRight w:val="0"/>
                                                                                      <w:marTop w:val="0"/>
                                                                                      <w:marBottom w:val="0"/>
                                                                                      <w:divBdr>
                                                                                        <w:top w:val="none" w:sz="0" w:space="0" w:color="auto"/>
                                                                                        <w:left w:val="none" w:sz="0" w:space="0" w:color="auto"/>
                                                                                        <w:bottom w:val="none" w:sz="0" w:space="0" w:color="auto"/>
                                                                                        <w:right w:val="none" w:sz="0" w:space="0" w:color="auto"/>
                                                                                      </w:divBdr>
                                                                                      <w:divsChild>
                                                                                        <w:div w:id="154536229">
                                                                                          <w:marLeft w:val="0"/>
                                                                                          <w:marRight w:val="0"/>
                                                                                          <w:marTop w:val="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464978433">
                                                                                                  <w:marLeft w:val="0"/>
                                                                                                  <w:marRight w:val="0"/>
                                                                                                  <w:marTop w:val="0"/>
                                                                                                  <w:marBottom w:val="0"/>
                                                                                                  <w:divBdr>
                                                                                                    <w:top w:val="none" w:sz="0" w:space="0" w:color="auto"/>
                                                                                                    <w:left w:val="none" w:sz="0" w:space="0" w:color="auto"/>
                                                                                                    <w:bottom w:val="none" w:sz="0" w:space="0" w:color="auto"/>
                                                                                                    <w:right w:val="none" w:sz="0" w:space="0" w:color="auto"/>
                                                                                                  </w:divBdr>
                                                                                                  <w:divsChild>
                                                                                                    <w:div w:id="230315378">
                                                                                                      <w:marLeft w:val="0"/>
                                                                                                      <w:marRight w:val="0"/>
                                                                                                      <w:marTop w:val="0"/>
                                                                                                      <w:marBottom w:val="0"/>
                                                                                                      <w:divBdr>
                                                                                                        <w:top w:val="none" w:sz="0" w:space="0" w:color="auto"/>
                                                                                                        <w:left w:val="none" w:sz="0" w:space="0" w:color="auto"/>
                                                                                                        <w:bottom w:val="none" w:sz="0" w:space="0" w:color="auto"/>
                                                                                                        <w:right w:val="none" w:sz="0" w:space="0" w:color="auto"/>
                                                                                                      </w:divBdr>
                                                                                                      <w:divsChild>
                                                                                                        <w:div w:id="1811242868">
                                                                                                          <w:marLeft w:val="0"/>
                                                                                                          <w:marRight w:val="0"/>
                                                                                                          <w:marTop w:val="0"/>
                                                                                                          <w:marBottom w:val="0"/>
                                                                                                          <w:divBdr>
                                                                                                            <w:top w:val="none" w:sz="0" w:space="0" w:color="auto"/>
                                                                                                            <w:left w:val="none" w:sz="0" w:space="0" w:color="auto"/>
                                                                                                            <w:bottom w:val="none" w:sz="0" w:space="0" w:color="auto"/>
                                                                                                            <w:right w:val="none" w:sz="0" w:space="0" w:color="auto"/>
                                                                                                          </w:divBdr>
                                                                                                          <w:divsChild>
                                                                                                            <w:div w:id="1566139595">
                                                                                                              <w:marLeft w:val="0"/>
                                                                                                              <w:marRight w:val="0"/>
                                                                                                              <w:marTop w:val="0"/>
                                                                                                              <w:marBottom w:val="0"/>
                                                                                                              <w:divBdr>
                                                                                                                <w:top w:val="none" w:sz="0" w:space="0" w:color="auto"/>
                                                                                                                <w:left w:val="none" w:sz="0" w:space="0" w:color="auto"/>
                                                                                                                <w:bottom w:val="none" w:sz="0" w:space="0" w:color="auto"/>
                                                                                                                <w:right w:val="none" w:sz="0" w:space="0" w:color="auto"/>
                                                                                                              </w:divBdr>
                                                                                                              <w:divsChild>
                                                                                                                <w:div w:id="931623710">
                                                                                                                  <w:marLeft w:val="300"/>
                                                                                                                  <w:marRight w:val="0"/>
                                                                                                                  <w:marTop w:val="0"/>
                                                                                                                  <w:marBottom w:val="0"/>
                                                                                                                  <w:divBdr>
                                                                                                                    <w:top w:val="none" w:sz="0" w:space="0" w:color="auto"/>
                                                                                                                    <w:left w:val="none" w:sz="0" w:space="0" w:color="auto"/>
                                                                                                                    <w:bottom w:val="none" w:sz="0" w:space="0" w:color="auto"/>
                                                                                                                    <w:right w:val="none" w:sz="0" w:space="0" w:color="auto"/>
                                                                                                                  </w:divBdr>
                                                                                                                  <w:divsChild>
                                                                                                                    <w:div w:id="366490065">
                                                                                                                      <w:marLeft w:val="-300"/>
                                                                                                                      <w:marRight w:val="0"/>
                                                                                                                      <w:marTop w:val="0"/>
                                                                                                                      <w:marBottom w:val="0"/>
                                                                                                                      <w:divBdr>
                                                                                                                        <w:top w:val="none" w:sz="0" w:space="0" w:color="auto"/>
                                                                                                                        <w:left w:val="none" w:sz="0" w:space="0" w:color="auto"/>
                                                                                                                        <w:bottom w:val="none" w:sz="0" w:space="0" w:color="auto"/>
                                                                                                                        <w:right w:val="none" w:sz="0" w:space="0" w:color="auto"/>
                                                                                                                      </w:divBdr>
                                                                                                                      <w:divsChild>
                                                                                                                        <w:div w:id="14312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3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851652A-7279-42E8-A688-2E27B01FE343}">
  <ds:schemaRefs>
    <ds:schemaRef ds:uri="http://schemas.openxmlformats.org/officeDocument/2006/bibliography"/>
  </ds:schemaRefs>
</ds:datastoreItem>
</file>

<file path=customXml/itemProps2.xml><?xml version="1.0" encoding="utf-8"?>
<ds:datastoreItem xmlns:ds="http://schemas.openxmlformats.org/officeDocument/2006/customXml" ds:itemID="{A4CD45CD-6327-4BCE-8480-91024E25412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Shareen Singh</dc:creator>
  <cp:lastModifiedBy>Constance Yuan (DTF)</cp:lastModifiedBy>
  <cp:revision>86</cp:revision>
  <cp:lastPrinted>2017-07-24T02:09:00Z</cp:lastPrinted>
  <dcterms:created xsi:type="dcterms:W3CDTF">2017-07-24T01:08:00Z</dcterms:created>
  <dcterms:modified xsi:type="dcterms:W3CDTF">2024-07-30T06:18:00Z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2a7c9214-a981-45fa-b7b1-852e6b0c885d</vt:lpwstr>
  </property>
  <property fmtid="{D5CDD505-2E9C-101B-9397-08002B2CF9AE}" pid="3" name="PSPFClassification">
    <vt:lpwstr>Do Not Mark</vt:lpwstr>
  </property>
  <property fmtid="{D5CDD505-2E9C-101B-9397-08002B2CF9AE}" pid="4" name="ClassificationContentMarkingFooterShapeIds">
    <vt:lpwstr>edb9b6,6ed68c19,1712cbf3</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2024-05-28T05:50:58Z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ae680738-eb75-4401-bfe0-bc41bd6030b1</vt:lpwstr>
  </property>
  <property fmtid="{D5CDD505-2E9C-101B-9397-08002B2CF9AE}" pid="13" name="MSIP_Label_7158ebbd-6c5e-441f-bfc9-4eb8c11e3978_ContentBits">
    <vt:lpwstr>2</vt:lpwstr>
  </property>
</Properties>
</file>