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F5129" w14:textId="18B0AE7C" w:rsidR="007A3FDA" w:rsidRPr="00E25907" w:rsidRDefault="007A3FDA" w:rsidP="00303F53">
      <w:pPr>
        <w:pStyle w:val="Title"/>
        <w:spacing w:line="240" w:lineRule="auto"/>
        <w:rPr>
          <w:i/>
          <w:sz w:val="52"/>
        </w:rPr>
      </w:pPr>
      <w:bookmarkStart w:id="0" w:name="_Toc442780672"/>
      <w:r w:rsidRPr="00E25907">
        <w:rPr>
          <w:sz w:val="52"/>
        </w:rPr>
        <w:t xml:space="preserve">Department of Treasury and Finance </w:t>
      </w:r>
      <w:r w:rsidRPr="00E25907">
        <w:rPr>
          <w:i/>
          <w:sz w:val="52"/>
        </w:rPr>
        <w:t>20</w:t>
      </w:r>
      <w:r w:rsidR="009B2532">
        <w:rPr>
          <w:i/>
          <w:sz w:val="52"/>
        </w:rPr>
        <w:t>20</w:t>
      </w:r>
      <w:r w:rsidRPr="00E25907">
        <w:rPr>
          <w:i/>
          <w:sz w:val="52"/>
        </w:rPr>
        <w:t>–2</w:t>
      </w:r>
      <w:r w:rsidR="009B2532">
        <w:rPr>
          <w:i/>
          <w:sz w:val="52"/>
        </w:rPr>
        <w:t>1</w:t>
      </w:r>
      <w:r w:rsidRPr="00E25907">
        <w:rPr>
          <w:i/>
          <w:sz w:val="52"/>
        </w:rPr>
        <w:t xml:space="preserve"> Annual Report</w:t>
      </w:r>
    </w:p>
    <w:p w14:paraId="45595A6D" w14:textId="34284D78" w:rsidR="007A3FDA" w:rsidRDefault="007A3FDA" w:rsidP="00FB77DA">
      <w:pPr>
        <w:pStyle w:val="Heading3"/>
        <w:tabs>
          <w:tab w:val="right" w:pos="9000"/>
        </w:tabs>
      </w:pPr>
      <w:r w:rsidRPr="00BC0ACB">
        <w:t xml:space="preserve">Details of </w:t>
      </w:r>
      <w:r w:rsidRPr="007A3FDA">
        <w:t>individual</w:t>
      </w:r>
      <w:r w:rsidRPr="00BC0ACB">
        <w:t xml:space="preserve"> consultancies (valued at $10</w:t>
      </w:r>
      <w:r w:rsidR="007F6A65">
        <w:t xml:space="preserve"> </w:t>
      </w:r>
      <w:r w:rsidRPr="00BC0ACB">
        <w:t xml:space="preserve">000 or greater </w:t>
      </w:r>
      <w:r>
        <w:br/>
      </w:r>
      <w:r w:rsidRPr="00BC0ACB">
        <w:t>excluding GST)</w:t>
      </w:r>
    </w:p>
    <w:tbl>
      <w:tblPr>
        <w:tblStyle w:val="DTFtexttable"/>
        <w:tblW w:w="9097" w:type="dxa"/>
        <w:tblLook w:val="0460" w:firstRow="1" w:lastRow="1" w:firstColumn="0" w:lastColumn="0" w:noHBand="0" w:noVBand="1"/>
      </w:tblPr>
      <w:tblGrid>
        <w:gridCol w:w="2429"/>
        <w:gridCol w:w="2578"/>
        <w:gridCol w:w="212"/>
        <w:gridCol w:w="1292"/>
        <w:gridCol w:w="1293"/>
        <w:gridCol w:w="1293"/>
      </w:tblGrid>
      <w:tr w:rsidR="007A3FDA" w:rsidRPr="00E25907" w14:paraId="3EAB73C0" w14:textId="77777777" w:rsidTr="00B7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29" w:type="dxa"/>
            <w:vAlign w:val="bottom"/>
            <w:hideMark/>
          </w:tcPr>
          <w:p w14:paraId="0FEEE659" w14:textId="77777777" w:rsidR="007A3FDA" w:rsidRPr="00E25907" w:rsidRDefault="007A3FDA" w:rsidP="007A3FDA">
            <w:pPr>
              <w:pStyle w:val="Tableheader"/>
              <w:rPr>
                <w:b w:val="0"/>
                <w:bCs/>
                <w:sz w:val="17"/>
              </w:rPr>
            </w:pPr>
            <w:r w:rsidRPr="00E25907">
              <w:rPr>
                <w:bCs/>
                <w:sz w:val="17"/>
              </w:rPr>
              <w:t>Consultant engaged</w:t>
            </w:r>
          </w:p>
        </w:tc>
        <w:tc>
          <w:tcPr>
            <w:tcW w:w="2578" w:type="dxa"/>
            <w:vAlign w:val="bottom"/>
            <w:hideMark/>
          </w:tcPr>
          <w:p w14:paraId="5B079EED" w14:textId="77777777" w:rsidR="007A3FDA" w:rsidRPr="00E25907" w:rsidRDefault="007A3FDA" w:rsidP="007A3FDA">
            <w:pPr>
              <w:pStyle w:val="Tableheader"/>
              <w:rPr>
                <w:b w:val="0"/>
                <w:bCs/>
                <w:sz w:val="17"/>
              </w:rPr>
            </w:pPr>
            <w:r w:rsidRPr="00E25907">
              <w:rPr>
                <w:bCs/>
                <w:sz w:val="17"/>
              </w:rPr>
              <w:t>Purpose of consultancy</w:t>
            </w:r>
          </w:p>
        </w:tc>
        <w:tc>
          <w:tcPr>
            <w:tcW w:w="1504" w:type="dxa"/>
            <w:gridSpan w:val="2"/>
            <w:vAlign w:val="bottom"/>
            <w:hideMark/>
          </w:tcPr>
          <w:p w14:paraId="4E68C596" w14:textId="0A061D95" w:rsidR="007A3FDA" w:rsidRPr="00E25907" w:rsidRDefault="007A3FDA" w:rsidP="007A3FDA">
            <w:pPr>
              <w:pStyle w:val="Tableheader"/>
              <w:jc w:val="right"/>
              <w:rPr>
                <w:b w:val="0"/>
                <w:bCs/>
                <w:sz w:val="17"/>
              </w:rPr>
            </w:pPr>
            <w:r w:rsidRPr="00E25907">
              <w:rPr>
                <w:bCs/>
                <w:sz w:val="17"/>
              </w:rPr>
              <w:t xml:space="preserve">Total approved project fee </w:t>
            </w:r>
            <w:r w:rsidRPr="00E25907">
              <w:rPr>
                <w:bCs/>
                <w:sz w:val="17"/>
              </w:rPr>
              <w:br/>
              <w:t>(excl. GST)</w:t>
            </w:r>
            <w:r w:rsidR="00B7449B">
              <w:rPr>
                <w:bCs/>
                <w:sz w:val="17"/>
              </w:rPr>
              <w:br/>
              <w:t>($)</w:t>
            </w:r>
          </w:p>
        </w:tc>
        <w:tc>
          <w:tcPr>
            <w:tcW w:w="1293" w:type="dxa"/>
            <w:vAlign w:val="bottom"/>
            <w:hideMark/>
          </w:tcPr>
          <w:p w14:paraId="2470DD04" w14:textId="705B142B" w:rsidR="007A3FDA" w:rsidRPr="00E25907" w:rsidRDefault="007A3FDA" w:rsidP="007A3FDA">
            <w:pPr>
              <w:pStyle w:val="Tableheader"/>
              <w:jc w:val="right"/>
              <w:rPr>
                <w:b w:val="0"/>
                <w:bCs/>
                <w:sz w:val="17"/>
              </w:rPr>
            </w:pPr>
            <w:r w:rsidRPr="00E25907">
              <w:rPr>
                <w:bCs/>
                <w:sz w:val="17"/>
              </w:rPr>
              <w:t xml:space="preserve">Expenditure </w:t>
            </w:r>
            <w:r w:rsidRPr="00E25907">
              <w:rPr>
                <w:bCs/>
                <w:sz w:val="17"/>
              </w:rPr>
              <w:br/>
              <w:t>20</w:t>
            </w:r>
            <w:r w:rsidR="008410BD">
              <w:rPr>
                <w:bCs/>
                <w:sz w:val="17"/>
              </w:rPr>
              <w:t>20</w:t>
            </w:r>
            <w:r w:rsidRPr="00E25907">
              <w:rPr>
                <w:bCs/>
                <w:sz w:val="17"/>
              </w:rPr>
              <w:t>–2</w:t>
            </w:r>
            <w:r w:rsidR="008410BD">
              <w:rPr>
                <w:bCs/>
                <w:sz w:val="17"/>
              </w:rPr>
              <w:t>1</w:t>
            </w:r>
            <w:r w:rsidRPr="00E25907">
              <w:rPr>
                <w:bCs/>
                <w:sz w:val="17"/>
              </w:rPr>
              <w:br/>
              <w:t>(excl. GST)</w:t>
            </w:r>
            <w:r w:rsidR="00B7449B">
              <w:rPr>
                <w:bCs/>
                <w:sz w:val="17"/>
              </w:rPr>
              <w:t xml:space="preserve"> </w:t>
            </w:r>
            <w:r w:rsidR="00B7449B">
              <w:rPr>
                <w:bCs/>
                <w:sz w:val="17"/>
              </w:rPr>
              <w:br/>
              <w:t>($)</w:t>
            </w:r>
          </w:p>
        </w:tc>
        <w:tc>
          <w:tcPr>
            <w:tcW w:w="1293" w:type="dxa"/>
            <w:vAlign w:val="bottom"/>
            <w:hideMark/>
          </w:tcPr>
          <w:p w14:paraId="18DBADE9" w14:textId="00E56214" w:rsidR="007A3FDA" w:rsidRPr="00E25907" w:rsidRDefault="007A3FDA" w:rsidP="007A3FDA">
            <w:pPr>
              <w:pStyle w:val="Tableheader"/>
              <w:jc w:val="right"/>
              <w:rPr>
                <w:b w:val="0"/>
                <w:bCs/>
                <w:sz w:val="17"/>
              </w:rPr>
            </w:pPr>
            <w:r w:rsidRPr="00E25907">
              <w:rPr>
                <w:bCs/>
                <w:sz w:val="17"/>
              </w:rPr>
              <w:t xml:space="preserve">Future </w:t>
            </w:r>
            <w:r w:rsidRPr="00E25907">
              <w:rPr>
                <w:bCs/>
                <w:sz w:val="17"/>
              </w:rPr>
              <w:br/>
              <w:t>expenditure</w:t>
            </w:r>
            <w:r w:rsidRPr="00E25907">
              <w:rPr>
                <w:bCs/>
                <w:sz w:val="17"/>
              </w:rPr>
              <w:br/>
              <w:t>(excl. GST)</w:t>
            </w:r>
            <w:r w:rsidR="00B7449B">
              <w:rPr>
                <w:bCs/>
                <w:sz w:val="17"/>
              </w:rPr>
              <w:t xml:space="preserve"> </w:t>
            </w:r>
            <w:r w:rsidR="00B7449B">
              <w:rPr>
                <w:bCs/>
                <w:sz w:val="17"/>
              </w:rPr>
              <w:br/>
              <w:t>($)</w:t>
            </w:r>
          </w:p>
        </w:tc>
      </w:tr>
      <w:tr w:rsidR="008410BD" w:rsidRPr="007A524D" w14:paraId="0FD01367" w14:textId="77777777" w:rsidTr="008410BD">
        <w:tc>
          <w:tcPr>
            <w:tcW w:w="2429" w:type="dxa"/>
          </w:tcPr>
          <w:p w14:paraId="528457C1" w14:textId="3C495EE1" w:rsidR="008410BD" w:rsidRPr="007A3FDA" w:rsidRDefault="008410BD" w:rsidP="008410BD">
            <w:pPr>
              <w:pStyle w:val="Tabletext"/>
            </w:pPr>
            <w:r w:rsidRPr="008410BD">
              <w:t>Ad</w:t>
            </w:r>
            <w:r w:rsidR="00E91A82">
              <w:t xml:space="preserve"> </w:t>
            </w:r>
            <w:r w:rsidR="00E91A82" w:rsidRPr="008410BD">
              <w:t xml:space="preserve">Astra </w:t>
            </w:r>
            <w:r w:rsidRPr="008410BD">
              <w:t>Corporate Advisory Pty Ltd</w:t>
            </w:r>
          </w:p>
        </w:tc>
        <w:tc>
          <w:tcPr>
            <w:tcW w:w="2790" w:type="dxa"/>
            <w:gridSpan w:val="2"/>
          </w:tcPr>
          <w:p w14:paraId="3A275A22" w14:textId="77DC8674" w:rsidR="008410BD" w:rsidRPr="007A3FDA" w:rsidRDefault="008410BD" w:rsidP="008410BD">
            <w:pPr>
              <w:pStyle w:val="Tabletext"/>
            </w:pPr>
            <w:r w:rsidRPr="008410BD">
              <w:t>Commercial and transaction advice (</w:t>
            </w:r>
            <w:r w:rsidR="00A07BAE">
              <w:t>policy</w:t>
            </w:r>
            <w:r w:rsidRPr="008410BD">
              <w:t xml:space="preserve"> reform) </w:t>
            </w:r>
          </w:p>
        </w:tc>
        <w:tc>
          <w:tcPr>
            <w:tcW w:w="1292" w:type="dxa"/>
          </w:tcPr>
          <w:p w14:paraId="12B9AE16" w14:textId="01102380" w:rsidR="008410BD" w:rsidRPr="007A524D" w:rsidRDefault="008410BD" w:rsidP="008410BD">
            <w:pPr>
              <w:pStyle w:val="Tabletextright"/>
            </w:pPr>
            <w:r w:rsidRPr="008410BD">
              <w:t>279</w:t>
            </w:r>
            <w:r>
              <w:rPr>
                <w:rFonts w:eastAsia="Times New Roman"/>
              </w:rPr>
              <w:t xml:space="preserve"> </w:t>
            </w:r>
            <w:r w:rsidRPr="008410BD">
              <w:t>316</w:t>
            </w:r>
          </w:p>
        </w:tc>
        <w:tc>
          <w:tcPr>
            <w:tcW w:w="1293" w:type="dxa"/>
          </w:tcPr>
          <w:p w14:paraId="78582C66" w14:textId="632EA530" w:rsidR="008410BD" w:rsidRPr="007A524D" w:rsidRDefault="008410BD" w:rsidP="008410BD">
            <w:pPr>
              <w:pStyle w:val="Tabletextright"/>
            </w:pPr>
            <w:r w:rsidRPr="008410BD">
              <w:t>279</w:t>
            </w:r>
            <w:r>
              <w:rPr>
                <w:rFonts w:eastAsia="Times New Roman"/>
              </w:rPr>
              <w:t xml:space="preserve"> </w:t>
            </w:r>
            <w:r w:rsidRPr="008410BD">
              <w:t>316</w:t>
            </w:r>
          </w:p>
        </w:tc>
        <w:tc>
          <w:tcPr>
            <w:tcW w:w="1293" w:type="dxa"/>
          </w:tcPr>
          <w:p w14:paraId="69AC3DE9" w14:textId="0F840B6B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2085C783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3C84FE48" w14:textId="57B6B2CE" w:rsidR="008410BD" w:rsidRPr="007A3FDA" w:rsidRDefault="008410BD" w:rsidP="008410BD">
            <w:pPr>
              <w:pStyle w:val="Tabletext"/>
            </w:pPr>
            <w:r w:rsidRPr="008410BD">
              <w:t>AECOM Australia Pty Ltd</w:t>
            </w:r>
          </w:p>
        </w:tc>
        <w:tc>
          <w:tcPr>
            <w:tcW w:w="2790" w:type="dxa"/>
            <w:gridSpan w:val="2"/>
          </w:tcPr>
          <w:p w14:paraId="551BDBE8" w14:textId="0837DBC5" w:rsidR="008410BD" w:rsidRPr="007A3FDA" w:rsidRDefault="008410BD" w:rsidP="008410BD">
            <w:pPr>
              <w:pStyle w:val="Tabletext"/>
            </w:pPr>
            <w:r w:rsidRPr="008410BD">
              <w:t>Commercial and transaction advice (offsite construction industry analysis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28D045A0" w14:textId="05AA3339" w:rsidR="008410BD" w:rsidRPr="007A524D" w:rsidRDefault="008410BD" w:rsidP="008410BD">
            <w:pPr>
              <w:pStyle w:val="Tabletextright"/>
            </w:pPr>
            <w:r w:rsidRPr="008410BD">
              <w:t>130</w:t>
            </w:r>
            <w:r>
              <w:rPr>
                <w:rFonts w:eastAsia="Times New Roman"/>
              </w:rPr>
              <w:t xml:space="preserve"> </w:t>
            </w:r>
            <w:r w:rsidRPr="008410BD">
              <w:t>233</w:t>
            </w:r>
          </w:p>
        </w:tc>
        <w:tc>
          <w:tcPr>
            <w:tcW w:w="1293" w:type="dxa"/>
          </w:tcPr>
          <w:p w14:paraId="590BC5A5" w14:textId="6D7BB538" w:rsidR="008410BD" w:rsidRPr="007A524D" w:rsidRDefault="008410BD" w:rsidP="008410BD">
            <w:pPr>
              <w:pStyle w:val="Tabletextright"/>
            </w:pPr>
            <w:r w:rsidRPr="008410BD">
              <w:t>50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33AA1F76" w14:textId="3DE4294B" w:rsidR="008410BD" w:rsidRPr="007A524D" w:rsidRDefault="008410BD" w:rsidP="008410BD">
            <w:pPr>
              <w:pStyle w:val="Tabletextright"/>
            </w:pPr>
            <w:r w:rsidRPr="008410BD">
              <w:t>80</w:t>
            </w:r>
            <w:r>
              <w:rPr>
                <w:rFonts w:eastAsia="Times New Roman"/>
              </w:rPr>
              <w:t xml:space="preserve"> </w:t>
            </w:r>
            <w:r w:rsidRPr="008410BD">
              <w:t>233</w:t>
            </w:r>
          </w:p>
        </w:tc>
      </w:tr>
      <w:tr w:rsidR="008410BD" w:rsidRPr="007A524D" w14:paraId="32E5F446" w14:textId="77777777" w:rsidTr="008410BD">
        <w:tc>
          <w:tcPr>
            <w:tcW w:w="2429" w:type="dxa"/>
          </w:tcPr>
          <w:p w14:paraId="4743B7AB" w14:textId="7510F723" w:rsidR="008410BD" w:rsidRPr="007A3FDA" w:rsidRDefault="008410BD" w:rsidP="008410BD">
            <w:pPr>
              <w:pStyle w:val="Tabletext"/>
            </w:pPr>
            <w:r w:rsidRPr="008410BD">
              <w:t>AlphaBeta Advisors Pty Ltd</w:t>
            </w:r>
          </w:p>
        </w:tc>
        <w:tc>
          <w:tcPr>
            <w:tcW w:w="2790" w:type="dxa"/>
            <w:gridSpan w:val="2"/>
          </w:tcPr>
          <w:p w14:paraId="0BE9F51D" w14:textId="26E5F234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(in relation to the economic impacts of COVID-19) </w:t>
            </w:r>
          </w:p>
        </w:tc>
        <w:tc>
          <w:tcPr>
            <w:tcW w:w="1292" w:type="dxa"/>
          </w:tcPr>
          <w:p w14:paraId="296D12C8" w14:textId="5E896B5D" w:rsidR="008410BD" w:rsidRPr="007A524D" w:rsidRDefault="008410BD" w:rsidP="008410BD">
            <w:pPr>
              <w:pStyle w:val="Tabletextright"/>
            </w:pPr>
            <w:r w:rsidRPr="008410BD">
              <w:t>120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587653CD" w14:textId="58E8AAA5" w:rsidR="008410BD" w:rsidRPr="007A524D" w:rsidRDefault="008410BD" w:rsidP="008410BD">
            <w:pPr>
              <w:pStyle w:val="Tabletextright"/>
            </w:pPr>
            <w:r w:rsidRPr="008410BD">
              <w:t>105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4E79D4CF" w14:textId="70E7704D" w:rsidR="008410BD" w:rsidRPr="007A524D" w:rsidRDefault="008410BD" w:rsidP="008410BD">
            <w:pPr>
              <w:pStyle w:val="Tabletextright"/>
            </w:pPr>
            <w:r w:rsidRPr="008410BD">
              <w:t>15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</w:tr>
      <w:tr w:rsidR="008410BD" w:rsidRPr="007A524D" w14:paraId="6D97D7B1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3AD8EA8F" w14:textId="79CC3D8B" w:rsidR="008410BD" w:rsidRPr="007A3FDA" w:rsidRDefault="008410BD" w:rsidP="008410BD">
            <w:pPr>
              <w:pStyle w:val="Tabletext"/>
            </w:pPr>
            <w:r w:rsidRPr="008410BD">
              <w:t>AlphaBeta Advisors Pty Ltd</w:t>
            </w:r>
          </w:p>
        </w:tc>
        <w:tc>
          <w:tcPr>
            <w:tcW w:w="2790" w:type="dxa"/>
            <w:gridSpan w:val="2"/>
          </w:tcPr>
          <w:p w14:paraId="2EAB5494" w14:textId="338EDDBC" w:rsidR="008410BD" w:rsidRPr="007A3FDA" w:rsidRDefault="008410BD" w:rsidP="008410BD">
            <w:pPr>
              <w:pStyle w:val="Tabletext"/>
            </w:pPr>
            <w:r w:rsidRPr="008410BD">
              <w:t>General professional advice (foreign direct investment strategy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7DD8896E" w14:textId="6915105C" w:rsidR="008410BD" w:rsidRPr="007A524D" w:rsidRDefault="008410BD" w:rsidP="008410BD">
            <w:pPr>
              <w:pStyle w:val="Tabletextright"/>
            </w:pPr>
            <w:r w:rsidRPr="008410BD">
              <w:t>258</w:t>
            </w:r>
            <w:r>
              <w:rPr>
                <w:rFonts w:eastAsia="Times New Roman"/>
              </w:rPr>
              <w:t xml:space="preserve"> </w:t>
            </w:r>
            <w:r w:rsidRPr="008410BD">
              <w:t>636</w:t>
            </w:r>
          </w:p>
        </w:tc>
        <w:tc>
          <w:tcPr>
            <w:tcW w:w="1293" w:type="dxa"/>
          </w:tcPr>
          <w:p w14:paraId="771D2EBA" w14:textId="68217F79" w:rsidR="008410BD" w:rsidRPr="007A524D" w:rsidRDefault="008410BD" w:rsidP="008410BD">
            <w:pPr>
              <w:pStyle w:val="Tabletextright"/>
            </w:pPr>
            <w:r w:rsidRPr="008410BD">
              <w:t>258</w:t>
            </w:r>
            <w:r>
              <w:rPr>
                <w:rFonts w:eastAsia="Times New Roman"/>
              </w:rPr>
              <w:t xml:space="preserve"> </w:t>
            </w:r>
            <w:r w:rsidRPr="008410BD">
              <w:t>636</w:t>
            </w:r>
          </w:p>
        </w:tc>
        <w:tc>
          <w:tcPr>
            <w:tcW w:w="1293" w:type="dxa"/>
          </w:tcPr>
          <w:p w14:paraId="359699D2" w14:textId="68242DEE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24321AEE" w14:textId="77777777" w:rsidTr="008410BD">
        <w:tc>
          <w:tcPr>
            <w:tcW w:w="2429" w:type="dxa"/>
          </w:tcPr>
          <w:p w14:paraId="753A894C" w14:textId="2B5B26FA" w:rsidR="008410BD" w:rsidRPr="007A3FDA" w:rsidRDefault="008410BD" w:rsidP="008410BD">
            <w:pPr>
              <w:pStyle w:val="Tabletext"/>
            </w:pPr>
            <w:r w:rsidRPr="008410BD">
              <w:t>Arcblue Consulting (Aus) Pty</w:t>
            </w:r>
            <w:r w:rsidR="00C74BD2">
              <w:rPr>
                <w:rFonts w:ascii="Calibri" w:hAnsi="Calibri" w:cs="Calibri"/>
              </w:rPr>
              <w:t> </w:t>
            </w:r>
            <w:r w:rsidRPr="008410BD">
              <w:t>Ltd</w:t>
            </w:r>
          </w:p>
        </w:tc>
        <w:tc>
          <w:tcPr>
            <w:tcW w:w="2790" w:type="dxa"/>
            <w:gridSpan w:val="2"/>
          </w:tcPr>
          <w:p w14:paraId="61B22D4E" w14:textId="6ED19A57" w:rsidR="008410BD" w:rsidRPr="007A3FDA" w:rsidRDefault="008410BD" w:rsidP="008410BD">
            <w:pPr>
              <w:pStyle w:val="Tabletext"/>
            </w:pPr>
            <w:r w:rsidRPr="008410BD">
              <w:t>Best practice category management lifecyle</w:t>
            </w:r>
          </w:p>
        </w:tc>
        <w:tc>
          <w:tcPr>
            <w:tcW w:w="1292" w:type="dxa"/>
          </w:tcPr>
          <w:p w14:paraId="0B80FD8E" w14:textId="234C7E8C" w:rsidR="008410BD" w:rsidRPr="007A524D" w:rsidRDefault="008410BD" w:rsidP="008410BD">
            <w:pPr>
              <w:pStyle w:val="Tabletextright"/>
            </w:pPr>
            <w:r w:rsidRPr="008410BD">
              <w:t>98</w:t>
            </w:r>
            <w:r>
              <w:rPr>
                <w:rFonts w:eastAsia="Times New Roman"/>
              </w:rPr>
              <w:t xml:space="preserve"> </w:t>
            </w:r>
            <w:r w:rsidRPr="008410BD">
              <w:t>519</w:t>
            </w:r>
          </w:p>
        </w:tc>
        <w:tc>
          <w:tcPr>
            <w:tcW w:w="1293" w:type="dxa"/>
          </w:tcPr>
          <w:p w14:paraId="6E8BD97F" w14:textId="489F77C8" w:rsidR="008410BD" w:rsidRPr="007A524D" w:rsidRDefault="008410BD" w:rsidP="008410BD">
            <w:pPr>
              <w:pStyle w:val="Tabletextright"/>
            </w:pPr>
            <w:r w:rsidRPr="008410BD">
              <w:t>28</w:t>
            </w:r>
            <w:r>
              <w:rPr>
                <w:rFonts w:eastAsia="Times New Roman"/>
              </w:rPr>
              <w:t xml:space="preserve"> </w:t>
            </w:r>
            <w:r w:rsidRPr="008410BD">
              <w:t>900</w:t>
            </w:r>
          </w:p>
        </w:tc>
        <w:tc>
          <w:tcPr>
            <w:tcW w:w="1293" w:type="dxa"/>
          </w:tcPr>
          <w:p w14:paraId="0623BDB9" w14:textId="28C312F7" w:rsidR="008410BD" w:rsidRPr="007A524D" w:rsidRDefault="008410BD" w:rsidP="008410BD">
            <w:pPr>
              <w:pStyle w:val="Tabletextright"/>
            </w:pPr>
            <w:r w:rsidRPr="008410BD">
              <w:t>69</w:t>
            </w:r>
            <w:r>
              <w:rPr>
                <w:rFonts w:eastAsia="Times New Roman"/>
              </w:rPr>
              <w:t xml:space="preserve"> </w:t>
            </w:r>
            <w:r w:rsidRPr="008410BD">
              <w:t>619</w:t>
            </w:r>
          </w:p>
        </w:tc>
      </w:tr>
      <w:tr w:rsidR="007B648B" w:rsidRPr="007A524D" w14:paraId="2279B4EE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313FE332" w14:textId="5EBB695E" w:rsidR="007B648B" w:rsidRPr="007A3FDA" w:rsidRDefault="007B648B" w:rsidP="007B648B">
            <w:pPr>
              <w:pStyle w:val="Tabletext"/>
            </w:pPr>
            <w:r w:rsidRPr="008410BD">
              <w:t>Ashurst Australia Pty Ltd</w:t>
            </w:r>
          </w:p>
        </w:tc>
        <w:tc>
          <w:tcPr>
            <w:tcW w:w="2790" w:type="dxa"/>
            <w:gridSpan w:val="2"/>
          </w:tcPr>
          <w:p w14:paraId="7AFBBA9F" w14:textId="56C61A9B" w:rsidR="007B648B" w:rsidRPr="007A3FDA" w:rsidRDefault="007B648B" w:rsidP="007B648B">
            <w:pPr>
              <w:pStyle w:val="Tabletext"/>
            </w:pPr>
            <w:r w:rsidRPr="008410BD">
              <w:t xml:space="preserve">Commercial and transaction advice (Suburban Rail Loop project) </w:t>
            </w:r>
          </w:p>
        </w:tc>
        <w:tc>
          <w:tcPr>
            <w:tcW w:w="1292" w:type="dxa"/>
          </w:tcPr>
          <w:p w14:paraId="26334E37" w14:textId="4AFBE2AA" w:rsidR="007B648B" w:rsidRPr="007A524D" w:rsidRDefault="007B648B" w:rsidP="007B648B">
            <w:pPr>
              <w:pStyle w:val="Tabletextright"/>
            </w:pPr>
            <w:r w:rsidRPr="002C79B0">
              <w:t>1</w:t>
            </w:r>
            <w:r>
              <w:t xml:space="preserve"> </w:t>
            </w:r>
            <w:r w:rsidRPr="002C79B0">
              <w:t>100 000</w:t>
            </w:r>
          </w:p>
        </w:tc>
        <w:tc>
          <w:tcPr>
            <w:tcW w:w="1293" w:type="dxa"/>
          </w:tcPr>
          <w:p w14:paraId="194C4F8D" w14:textId="6104DA77" w:rsidR="007B648B" w:rsidRPr="007A524D" w:rsidRDefault="007B648B" w:rsidP="007B648B">
            <w:pPr>
              <w:pStyle w:val="Tabletextright"/>
            </w:pPr>
            <w:r w:rsidRPr="002C79B0">
              <w:t>160 670</w:t>
            </w:r>
          </w:p>
        </w:tc>
        <w:tc>
          <w:tcPr>
            <w:tcW w:w="1293" w:type="dxa"/>
          </w:tcPr>
          <w:p w14:paraId="1F949736" w14:textId="6DFB3E29" w:rsidR="007B648B" w:rsidRPr="007A524D" w:rsidRDefault="007B648B" w:rsidP="007B648B">
            <w:pPr>
              <w:pStyle w:val="Tabletextright"/>
            </w:pPr>
            <w:r w:rsidRPr="002C79B0">
              <w:t>741 533</w:t>
            </w:r>
          </w:p>
        </w:tc>
      </w:tr>
      <w:tr w:rsidR="008410BD" w:rsidRPr="007A524D" w14:paraId="7D2C5F2B" w14:textId="77777777" w:rsidTr="008410BD">
        <w:tc>
          <w:tcPr>
            <w:tcW w:w="2429" w:type="dxa"/>
          </w:tcPr>
          <w:p w14:paraId="321EDEC9" w14:textId="71BC54EC" w:rsidR="008410BD" w:rsidRPr="007A3FDA" w:rsidRDefault="008410BD" w:rsidP="008410BD">
            <w:pPr>
              <w:pStyle w:val="Tabletext"/>
            </w:pPr>
            <w:r w:rsidRPr="008410BD">
              <w:t>Atticusnow Pty Ltd</w:t>
            </w:r>
          </w:p>
        </w:tc>
        <w:tc>
          <w:tcPr>
            <w:tcW w:w="2790" w:type="dxa"/>
            <w:gridSpan w:val="2"/>
          </w:tcPr>
          <w:p w14:paraId="65559411" w14:textId="3AB22763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(advisory services to support DTF’s regulatory reform program) </w:t>
            </w:r>
          </w:p>
        </w:tc>
        <w:tc>
          <w:tcPr>
            <w:tcW w:w="1292" w:type="dxa"/>
          </w:tcPr>
          <w:p w14:paraId="1F1E4238" w14:textId="28BDF09D" w:rsidR="008410BD" w:rsidRPr="007A524D" w:rsidRDefault="008410BD" w:rsidP="008410BD">
            <w:pPr>
              <w:pStyle w:val="Tabletextright"/>
            </w:pPr>
            <w:r w:rsidRPr="008410BD">
              <w:t>97</w:t>
            </w:r>
            <w:r>
              <w:rPr>
                <w:rFonts w:eastAsia="Times New Roman"/>
              </w:rPr>
              <w:t xml:space="preserve"> </w:t>
            </w:r>
            <w:r w:rsidRPr="008410BD">
              <w:t>378</w:t>
            </w:r>
          </w:p>
        </w:tc>
        <w:tc>
          <w:tcPr>
            <w:tcW w:w="1293" w:type="dxa"/>
          </w:tcPr>
          <w:p w14:paraId="66DF235A" w14:textId="19C48244" w:rsidR="008410BD" w:rsidRPr="007A524D" w:rsidRDefault="008410BD" w:rsidP="008410BD">
            <w:pPr>
              <w:pStyle w:val="Tabletextright"/>
            </w:pPr>
            <w:r w:rsidRPr="008410BD">
              <w:t>58</w:t>
            </w:r>
            <w:r>
              <w:rPr>
                <w:rFonts w:eastAsia="Times New Roman"/>
              </w:rPr>
              <w:t xml:space="preserve"> </w:t>
            </w:r>
            <w:r w:rsidRPr="008410BD">
              <w:t>427</w:t>
            </w:r>
          </w:p>
        </w:tc>
        <w:tc>
          <w:tcPr>
            <w:tcW w:w="1293" w:type="dxa"/>
          </w:tcPr>
          <w:p w14:paraId="195C18B4" w14:textId="22C62C44" w:rsidR="008410BD" w:rsidRPr="007A524D" w:rsidRDefault="008410BD" w:rsidP="008410BD">
            <w:pPr>
              <w:pStyle w:val="Tabletextright"/>
            </w:pPr>
            <w:r w:rsidRPr="008410BD">
              <w:t>38</w:t>
            </w:r>
            <w:r>
              <w:rPr>
                <w:rFonts w:eastAsia="Times New Roman"/>
              </w:rPr>
              <w:t xml:space="preserve"> </w:t>
            </w:r>
            <w:r w:rsidRPr="008410BD">
              <w:t>951</w:t>
            </w:r>
          </w:p>
        </w:tc>
      </w:tr>
      <w:tr w:rsidR="008410BD" w:rsidRPr="007A524D" w14:paraId="498BE4ED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2A4BF427" w14:textId="279D0412" w:rsidR="008410BD" w:rsidRPr="007A3FDA" w:rsidRDefault="008410BD" w:rsidP="008410BD">
            <w:pPr>
              <w:pStyle w:val="Tabletext"/>
            </w:pPr>
            <w:r w:rsidRPr="008410BD">
              <w:t xml:space="preserve">BDO East Coast Partnership </w:t>
            </w:r>
          </w:p>
        </w:tc>
        <w:tc>
          <w:tcPr>
            <w:tcW w:w="2790" w:type="dxa"/>
            <w:gridSpan w:val="2"/>
          </w:tcPr>
          <w:p w14:paraId="3EE235A3" w14:textId="4DB1F86F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(development of cost time risk and contingency guidelines) </w:t>
            </w:r>
          </w:p>
        </w:tc>
        <w:tc>
          <w:tcPr>
            <w:tcW w:w="1292" w:type="dxa"/>
          </w:tcPr>
          <w:p w14:paraId="07309445" w14:textId="3F94A89E" w:rsidR="008410BD" w:rsidRPr="007A524D" w:rsidRDefault="008410BD" w:rsidP="008410BD">
            <w:pPr>
              <w:pStyle w:val="Tabletextright"/>
            </w:pPr>
            <w:r w:rsidRPr="008410BD">
              <w:t>104</w:t>
            </w:r>
            <w:r>
              <w:rPr>
                <w:rFonts w:eastAsia="Times New Roman"/>
              </w:rPr>
              <w:t xml:space="preserve"> </w:t>
            </w:r>
            <w:r w:rsidRPr="008410BD">
              <w:t>347</w:t>
            </w:r>
          </w:p>
        </w:tc>
        <w:tc>
          <w:tcPr>
            <w:tcW w:w="1293" w:type="dxa"/>
          </w:tcPr>
          <w:p w14:paraId="6DB4DDAD" w14:textId="45159DA0" w:rsidR="008410BD" w:rsidRPr="007A524D" w:rsidRDefault="008410BD" w:rsidP="008410BD">
            <w:pPr>
              <w:pStyle w:val="Tabletextright"/>
            </w:pPr>
            <w:r w:rsidRPr="008410BD">
              <w:t>85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4EA9220B" w14:textId="694CD000" w:rsidR="008410BD" w:rsidRPr="007A524D" w:rsidRDefault="008410BD" w:rsidP="008410BD">
            <w:pPr>
              <w:pStyle w:val="Tabletextright"/>
            </w:pPr>
            <w:r w:rsidRPr="008410BD">
              <w:t>19</w:t>
            </w:r>
            <w:r>
              <w:rPr>
                <w:rFonts w:eastAsia="Times New Roman"/>
              </w:rPr>
              <w:t xml:space="preserve"> </w:t>
            </w:r>
            <w:r w:rsidRPr="008410BD">
              <w:t>347</w:t>
            </w:r>
          </w:p>
        </w:tc>
      </w:tr>
      <w:tr w:rsidR="008410BD" w:rsidRPr="007A524D" w14:paraId="57A64527" w14:textId="77777777" w:rsidTr="008410BD">
        <w:tc>
          <w:tcPr>
            <w:tcW w:w="2429" w:type="dxa"/>
          </w:tcPr>
          <w:p w14:paraId="16DA2547" w14:textId="42D477C7" w:rsidR="008410BD" w:rsidRPr="007A3FDA" w:rsidRDefault="008410BD" w:rsidP="008410BD">
            <w:pPr>
              <w:pStyle w:val="Tabletext"/>
            </w:pPr>
            <w:r w:rsidRPr="008410BD">
              <w:t>Bold HR Australia</w:t>
            </w:r>
          </w:p>
        </w:tc>
        <w:tc>
          <w:tcPr>
            <w:tcW w:w="2790" w:type="dxa"/>
            <w:gridSpan w:val="2"/>
          </w:tcPr>
          <w:p w14:paraId="49D4CBB7" w14:textId="6C03D6B8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(centralised recruitment model) </w:t>
            </w:r>
          </w:p>
        </w:tc>
        <w:tc>
          <w:tcPr>
            <w:tcW w:w="1292" w:type="dxa"/>
          </w:tcPr>
          <w:p w14:paraId="03980ACB" w14:textId="6A515158" w:rsidR="008410BD" w:rsidRPr="007A524D" w:rsidRDefault="008410BD" w:rsidP="008410BD">
            <w:pPr>
              <w:pStyle w:val="Tabletextright"/>
            </w:pPr>
            <w:r w:rsidRPr="008410BD">
              <w:t>153</w:t>
            </w:r>
            <w:r>
              <w:rPr>
                <w:rFonts w:eastAsia="Times New Roman"/>
              </w:rPr>
              <w:t xml:space="preserve"> </w:t>
            </w:r>
            <w:r w:rsidRPr="008410BD">
              <w:t>919</w:t>
            </w:r>
          </w:p>
        </w:tc>
        <w:tc>
          <w:tcPr>
            <w:tcW w:w="1293" w:type="dxa"/>
          </w:tcPr>
          <w:p w14:paraId="7AE2C304" w14:textId="4CAA8A97" w:rsidR="008410BD" w:rsidRPr="007A524D" w:rsidRDefault="008410BD" w:rsidP="008410BD">
            <w:pPr>
              <w:pStyle w:val="Tabletextright"/>
            </w:pPr>
            <w:r w:rsidRPr="008410BD">
              <w:t>153</w:t>
            </w:r>
            <w:r>
              <w:rPr>
                <w:rFonts w:eastAsia="Times New Roman"/>
              </w:rPr>
              <w:t xml:space="preserve"> </w:t>
            </w:r>
            <w:r w:rsidRPr="008410BD">
              <w:t>919</w:t>
            </w:r>
          </w:p>
        </w:tc>
        <w:tc>
          <w:tcPr>
            <w:tcW w:w="1293" w:type="dxa"/>
          </w:tcPr>
          <w:p w14:paraId="68607646" w14:textId="459392BB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5C5E6CBA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20B7CE53" w14:textId="4970DB89" w:rsidR="008410BD" w:rsidRPr="007A3FDA" w:rsidRDefault="008410BD" w:rsidP="008410BD">
            <w:pPr>
              <w:pStyle w:val="Tabletext"/>
            </w:pPr>
            <w:r w:rsidRPr="008410BD">
              <w:t>Boston Consulting Group Limited</w:t>
            </w:r>
          </w:p>
        </w:tc>
        <w:tc>
          <w:tcPr>
            <w:tcW w:w="2790" w:type="dxa"/>
            <w:gridSpan w:val="2"/>
          </w:tcPr>
          <w:p w14:paraId="467301DF" w14:textId="28E82B0E" w:rsidR="008410BD" w:rsidRPr="007A3FDA" w:rsidRDefault="008410BD" w:rsidP="008410BD">
            <w:pPr>
              <w:pStyle w:val="Tabletext"/>
            </w:pPr>
            <w:r w:rsidRPr="008410BD">
              <w:t>General professional advice</w:t>
            </w:r>
            <w:r w:rsidR="00C74BD2">
              <w:t xml:space="preserve"> </w:t>
            </w:r>
            <w:r w:rsidRPr="008410BD">
              <w:t xml:space="preserve">(major project benchmarks) </w:t>
            </w:r>
          </w:p>
        </w:tc>
        <w:tc>
          <w:tcPr>
            <w:tcW w:w="1292" w:type="dxa"/>
          </w:tcPr>
          <w:p w14:paraId="451B98EF" w14:textId="4C8AB01C" w:rsidR="008410BD" w:rsidRPr="007A524D" w:rsidRDefault="008410BD" w:rsidP="008410BD">
            <w:pPr>
              <w:pStyle w:val="Tabletextright"/>
            </w:pPr>
            <w:r w:rsidRPr="008410BD">
              <w:t>300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4EC6E942" w14:textId="7F92F5F0" w:rsidR="008410BD" w:rsidRPr="007A524D" w:rsidRDefault="008410BD" w:rsidP="008410BD">
            <w:pPr>
              <w:pStyle w:val="Tabletextright"/>
            </w:pPr>
            <w:r w:rsidRPr="008410BD">
              <w:t>300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3FEF5A0D" w14:textId="43F1FB3D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7B648B" w:rsidRPr="007A524D" w14:paraId="0B6A9F7F" w14:textId="77777777" w:rsidTr="008410BD">
        <w:tc>
          <w:tcPr>
            <w:tcW w:w="2429" w:type="dxa"/>
          </w:tcPr>
          <w:p w14:paraId="2D7E0AC4" w14:textId="35402129" w:rsidR="007B648B" w:rsidRPr="007A3FDA" w:rsidRDefault="007B648B" w:rsidP="007B648B">
            <w:pPr>
              <w:pStyle w:val="Tabletext"/>
            </w:pPr>
            <w:r w:rsidRPr="008410BD">
              <w:t>CBRE (GCS) Pty Ltd</w:t>
            </w:r>
          </w:p>
        </w:tc>
        <w:tc>
          <w:tcPr>
            <w:tcW w:w="2790" w:type="dxa"/>
            <w:gridSpan w:val="2"/>
          </w:tcPr>
          <w:p w14:paraId="576FC9F5" w14:textId="7526FED8" w:rsidR="007B648B" w:rsidRPr="007A3FDA" w:rsidRDefault="007B648B" w:rsidP="007B648B">
            <w:pPr>
              <w:pStyle w:val="Tabletext"/>
            </w:pPr>
            <w:r w:rsidRPr="008410BD">
              <w:t xml:space="preserve">General professional advice (Phase 2 of the building financial capacity of housing associations) </w:t>
            </w:r>
          </w:p>
        </w:tc>
        <w:tc>
          <w:tcPr>
            <w:tcW w:w="1292" w:type="dxa"/>
          </w:tcPr>
          <w:p w14:paraId="76A3A427" w14:textId="62670485" w:rsidR="007B648B" w:rsidRPr="007A524D" w:rsidRDefault="007B648B" w:rsidP="007B648B">
            <w:pPr>
              <w:pStyle w:val="Tabletextright"/>
            </w:pPr>
            <w:r w:rsidRPr="00FF233E">
              <w:t>271 070</w:t>
            </w:r>
          </w:p>
        </w:tc>
        <w:tc>
          <w:tcPr>
            <w:tcW w:w="1293" w:type="dxa"/>
          </w:tcPr>
          <w:p w14:paraId="7EDD5870" w14:textId="230E1ED9" w:rsidR="007B648B" w:rsidRPr="007A524D" w:rsidRDefault="007B648B" w:rsidP="007B648B">
            <w:pPr>
              <w:pStyle w:val="Tabletextright"/>
            </w:pPr>
            <w:r w:rsidRPr="00FF233E">
              <w:t>216 223</w:t>
            </w:r>
          </w:p>
        </w:tc>
        <w:tc>
          <w:tcPr>
            <w:tcW w:w="1293" w:type="dxa"/>
          </w:tcPr>
          <w:p w14:paraId="0C96ACAA" w14:textId="0889C66A" w:rsidR="007B648B" w:rsidRPr="007A524D" w:rsidRDefault="007B648B" w:rsidP="007B648B">
            <w:pPr>
              <w:pStyle w:val="Tabletextright"/>
            </w:pPr>
            <w:r w:rsidRPr="00FF233E">
              <w:t>54 848</w:t>
            </w:r>
          </w:p>
        </w:tc>
      </w:tr>
      <w:tr w:rsidR="008410BD" w:rsidRPr="007A524D" w14:paraId="0AEDA5D0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14758549" w14:textId="1FFABCAE" w:rsidR="008410BD" w:rsidRPr="007A3FDA" w:rsidRDefault="008410BD" w:rsidP="008410BD">
            <w:pPr>
              <w:pStyle w:val="Tabletext"/>
            </w:pPr>
            <w:r w:rsidRPr="008410BD">
              <w:lastRenderedPageBreak/>
              <w:t>Clayton Utz</w:t>
            </w:r>
          </w:p>
        </w:tc>
        <w:tc>
          <w:tcPr>
            <w:tcW w:w="2790" w:type="dxa"/>
            <w:gridSpan w:val="2"/>
          </w:tcPr>
          <w:p w14:paraId="7B86F332" w14:textId="7125251E" w:rsidR="008410BD" w:rsidRPr="007A3FDA" w:rsidRDefault="008410BD" w:rsidP="008410BD">
            <w:pPr>
              <w:pStyle w:val="Tabletext"/>
            </w:pPr>
            <w:r w:rsidRPr="008410BD">
              <w:t>Commercial and transaction advice (implementation of the Victorian Social Housing Growth</w:t>
            </w:r>
            <w:r w:rsidRPr="008410BD">
              <w:rPr>
                <w:rFonts w:ascii="Calibri" w:hAnsi="Calibri" w:cs="Calibri"/>
              </w:rPr>
              <w:t> </w:t>
            </w:r>
            <w:r w:rsidRPr="008410BD">
              <w:t xml:space="preserve">Fund) </w:t>
            </w:r>
          </w:p>
        </w:tc>
        <w:tc>
          <w:tcPr>
            <w:tcW w:w="1292" w:type="dxa"/>
          </w:tcPr>
          <w:p w14:paraId="032CAF6B" w14:textId="390DDBCC" w:rsidR="008410BD" w:rsidRPr="007A524D" w:rsidRDefault="008410BD" w:rsidP="008410BD">
            <w:pPr>
              <w:pStyle w:val="Tabletextright"/>
            </w:pPr>
            <w:r w:rsidRPr="008410BD">
              <w:t>98</w:t>
            </w:r>
            <w:r>
              <w:rPr>
                <w:rFonts w:eastAsia="Times New Roman"/>
              </w:rPr>
              <w:t xml:space="preserve"> </w:t>
            </w:r>
            <w:r w:rsidRPr="008410BD">
              <w:t>143</w:t>
            </w:r>
          </w:p>
        </w:tc>
        <w:tc>
          <w:tcPr>
            <w:tcW w:w="1293" w:type="dxa"/>
          </w:tcPr>
          <w:p w14:paraId="64523EDC" w14:textId="63B5EA2A" w:rsidR="008410BD" w:rsidRPr="007A524D" w:rsidRDefault="008410BD" w:rsidP="008410BD">
            <w:pPr>
              <w:pStyle w:val="Tabletextright"/>
            </w:pPr>
            <w:r w:rsidRPr="008410BD">
              <w:t>95</w:t>
            </w:r>
            <w:r>
              <w:rPr>
                <w:rFonts w:eastAsia="Times New Roman"/>
              </w:rPr>
              <w:t xml:space="preserve"> </w:t>
            </w:r>
            <w:r w:rsidRPr="008410BD">
              <w:t>919</w:t>
            </w:r>
          </w:p>
        </w:tc>
        <w:tc>
          <w:tcPr>
            <w:tcW w:w="1293" w:type="dxa"/>
          </w:tcPr>
          <w:p w14:paraId="42427775" w14:textId="54E52AEB" w:rsidR="008410BD" w:rsidRPr="007A524D" w:rsidRDefault="008410BD" w:rsidP="008410BD">
            <w:pPr>
              <w:pStyle w:val="Tabletextright"/>
            </w:pPr>
            <w:r w:rsidRPr="008410BD">
              <w:t>2</w:t>
            </w:r>
            <w:r>
              <w:rPr>
                <w:rFonts w:eastAsia="Times New Roman"/>
              </w:rPr>
              <w:t xml:space="preserve"> </w:t>
            </w:r>
            <w:r w:rsidRPr="008410BD">
              <w:t>224</w:t>
            </w:r>
          </w:p>
        </w:tc>
      </w:tr>
      <w:tr w:rsidR="008410BD" w:rsidRPr="007A524D" w14:paraId="7FBFB74A" w14:textId="77777777" w:rsidTr="008410BD">
        <w:tc>
          <w:tcPr>
            <w:tcW w:w="2429" w:type="dxa"/>
          </w:tcPr>
          <w:p w14:paraId="59FEDC07" w14:textId="76AC5528" w:rsidR="008410BD" w:rsidRPr="007A3FDA" w:rsidRDefault="008410BD" w:rsidP="008410BD">
            <w:pPr>
              <w:pStyle w:val="Tabletext"/>
            </w:pPr>
            <w:r w:rsidRPr="008410BD">
              <w:t>Clayton Utz</w:t>
            </w:r>
          </w:p>
        </w:tc>
        <w:tc>
          <w:tcPr>
            <w:tcW w:w="2790" w:type="dxa"/>
            <w:gridSpan w:val="2"/>
          </w:tcPr>
          <w:p w14:paraId="214BCC9D" w14:textId="4AD2FE8B" w:rsidR="008410BD" w:rsidRPr="007A3FDA" w:rsidRDefault="008410BD" w:rsidP="008410BD">
            <w:pPr>
              <w:pStyle w:val="Tabletext"/>
            </w:pPr>
            <w:r w:rsidRPr="008410BD">
              <w:t>Commercial and transaction advice (Phase 1 of the building financial capacity of housing agencies initiative)</w:t>
            </w:r>
          </w:p>
        </w:tc>
        <w:tc>
          <w:tcPr>
            <w:tcW w:w="1292" w:type="dxa"/>
          </w:tcPr>
          <w:p w14:paraId="73F5753B" w14:textId="1301816F" w:rsidR="008410BD" w:rsidRPr="007A524D" w:rsidRDefault="008410BD" w:rsidP="008410BD">
            <w:pPr>
              <w:pStyle w:val="Tabletextright"/>
            </w:pPr>
            <w:r w:rsidRPr="008410BD">
              <w:t>215</w:t>
            </w:r>
            <w:r>
              <w:rPr>
                <w:rFonts w:eastAsia="Times New Roman"/>
              </w:rPr>
              <w:t xml:space="preserve"> </w:t>
            </w:r>
            <w:r w:rsidRPr="008410BD">
              <w:t>482</w:t>
            </w:r>
          </w:p>
        </w:tc>
        <w:tc>
          <w:tcPr>
            <w:tcW w:w="1293" w:type="dxa"/>
          </w:tcPr>
          <w:p w14:paraId="2A9F3C3D" w14:textId="3BCF30ED" w:rsidR="008410BD" w:rsidRPr="007A524D" w:rsidRDefault="008410BD" w:rsidP="008410BD">
            <w:pPr>
              <w:pStyle w:val="Tabletextright"/>
            </w:pPr>
            <w:r w:rsidRPr="008410BD">
              <w:t>209</w:t>
            </w:r>
            <w:r>
              <w:rPr>
                <w:rFonts w:eastAsia="Times New Roman"/>
              </w:rPr>
              <w:t xml:space="preserve"> </w:t>
            </w:r>
            <w:r w:rsidRPr="008410BD">
              <w:t>766</w:t>
            </w:r>
          </w:p>
        </w:tc>
        <w:tc>
          <w:tcPr>
            <w:tcW w:w="1293" w:type="dxa"/>
          </w:tcPr>
          <w:p w14:paraId="39D6C7E7" w14:textId="1694D761" w:rsidR="008410BD" w:rsidRPr="007A524D" w:rsidRDefault="008410BD" w:rsidP="008410BD">
            <w:pPr>
              <w:pStyle w:val="Tabletextright"/>
            </w:pPr>
            <w:r w:rsidRPr="008410BD">
              <w:t>5</w:t>
            </w:r>
            <w:r>
              <w:rPr>
                <w:rFonts w:eastAsia="Times New Roman"/>
              </w:rPr>
              <w:t xml:space="preserve"> </w:t>
            </w:r>
            <w:r w:rsidRPr="008410BD">
              <w:t>717</w:t>
            </w:r>
          </w:p>
        </w:tc>
      </w:tr>
      <w:tr w:rsidR="008410BD" w:rsidRPr="007A524D" w14:paraId="351AFD35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78E791EF" w14:textId="67177190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66D667FF" w14:textId="096C8C8A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(advisory services to deliver a review of business licencing arrangements) </w:t>
            </w:r>
          </w:p>
        </w:tc>
        <w:tc>
          <w:tcPr>
            <w:tcW w:w="1292" w:type="dxa"/>
          </w:tcPr>
          <w:p w14:paraId="4A608A50" w14:textId="24583AD7" w:rsidR="008410BD" w:rsidRPr="007A524D" w:rsidRDefault="008410BD" w:rsidP="008410BD">
            <w:pPr>
              <w:pStyle w:val="Tabletextright"/>
            </w:pPr>
            <w:r w:rsidRPr="008410BD">
              <w:t>427</w:t>
            </w:r>
            <w:r>
              <w:rPr>
                <w:rFonts w:eastAsia="Times New Roman"/>
              </w:rPr>
              <w:t xml:space="preserve"> </w:t>
            </w:r>
            <w:r w:rsidRPr="008410BD">
              <w:t>960</w:t>
            </w:r>
          </w:p>
        </w:tc>
        <w:tc>
          <w:tcPr>
            <w:tcW w:w="1293" w:type="dxa"/>
          </w:tcPr>
          <w:p w14:paraId="74A6EF62" w14:textId="67D60020" w:rsidR="008410BD" w:rsidRPr="007A524D" w:rsidRDefault="008410BD" w:rsidP="008410BD">
            <w:pPr>
              <w:pStyle w:val="Tabletextright"/>
            </w:pPr>
            <w:r w:rsidRPr="008410BD">
              <w:t>162</w:t>
            </w:r>
            <w:r>
              <w:rPr>
                <w:rFonts w:eastAsia="Times New Roman"/>
              </w:rPr>
              <w:t xml:space="preserve"> </w:t>
            </w:r>
            <w:r w:rsidRPr="008410BD">
              <w:t>093</w:t>
            </w:r>
          </w:p>
        </w:tc>
        <w:tc>
          <w:tcPr>
            <w:tcW w:w="1293" w:type="dxa"/>
          </w:tcPr>
          <w:p w14:paraId="433A7804" w14:textId="17CFCA68" w:rsidR="008410BD" w:rsidRPr="007A524D" w:rsidRDefault="008410BD" w:rsidP="008410BD">
            <w:pPr>
              <w:pStyle w:val="Tabletextright"/>
            </w:pPr>
            <w:r w:rsidRPr="008410BD">
              <w:t>265</w:t>
            </w:r>
            <w:r>
              <w:rPr>
                <w:rFonts w:eastAsia="Times New Roman"/>
              </w:rPr>
              <w:t xml:space="preserve"> </w:t>
            </w:r>
            <w:r w:rsidRPr="008410BD">
              <w:t>867</w:t>
            </w:r>
          </w:p>
        </w:tc>
      </w:tr>
      <w:tr w:rsidR="008410BD" w:rsidRPr="007A524D" w14:paraId="135DF589" w14:textId="77777777" w:rsidTr="008410BD">
        <w:tc>
          <w:tcPr>
            <w:tcW w:w="2429" w:type="dxa"/>
          </w:tcPr>
          <w:p w14:paraId="6770A63B" w14:textId="1994B826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67A60650" w14:textId="51111F6A" w:rsidR="008410BD" w:rsidRPr="007A3FDA" w:rsidRDefault="008410BD" w:rsidP="008410BD">
            <w:pPr>
              <w:pStyle w:val="Tabletext"/>
            </w:pPr>
            <w:r w:rsidRPr="008410BD">
              <w:t>General professional advice (</w:t>
            </w:r>
            <w:r w:rsidR="00C74BD2" w:rsidRPr="008410BD">
              <w:t>review international investment strategy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674D25F1" w14:textId="558BE2E3" w:rsidR="008410BD" w:rsidRPr="007A524D" w:rsidRDefault="008410BD" w:rsidP="008410BD">
            <w:pPr>
              <w:pStyle w:val="Tabletextright"/>
            </w:pPr>
            <w:r w:rsidRPr="008410BD">
              <w:t>88</w:t>
            </w:r>
            <w:r>
              <w:rPr>
                <w:rFonts w:eastAsia="Times New Roman"/>
              </w:rPr>
              <w:t xml:space="preserve"> </w:t>
            </w:r>
            <w:r w:rsidRPr="008410BD">
              <w:t>746</w:t>
            </w:r>
          </w:p>
        </w:tc>
        <w:tc>
          <w:tcPr>
            <w:tcW w:w="1293" w:type="dxa"/>
          </w:tcPr>
          <w:p w14:paraId="15B58A8F" w14:textId="728C06D6" w:rsidR="008410BD" w:rsidRPr="007A524D" w:rsidRDefault="008410BD" w:rsidP="008410BD">
            <w:pPr>
              <w:pStyle w:val="Tabletextright"/>
            </w:pPr>
            <w:r w:rsidRPr="008410BD">
              <w:t>88</w:t>
            </w:r>
            <w:r>
              <w:rPr>
                <w:rFonts w:eastAsia="Times New Roman"/>
              </w:rPr>
              <w:t xml:space="preserve"> </w:t>
            </w:r>
            <w:r w:rsidRPr="008410BD">
              <w:t>746</w:t>
            </w:r>
          </w:p>
        </w:tc>
        <w:tc>
          <w:tcPr>
            <w:tcW w:w="1293" w:type="dxa"/>
          </w:tcPr>
          <w:p w14:paraId="70915B06" w14:textId="00EF40EC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39DF21C6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16A14218" w14:textId="759A56E7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43714479" w14:textId="1957123B" w:rsidR="008410BD" w:rsidRPr="007A3FDA" w:rsidRDefault="008410BD" w:rsidP="008410BD">
            <w:pPr>
              <w:pStyle w:val="Tabletext"/>
            </w:pPr>
            <w:r w:rsidRPr="008410BD">
              <w:t>General professional and commercial advice (</w:t>
            </w:r>
            <w:r w:rsidR="00C74BD2" w:rsidRPr="008410BD">
              <w:t>evaluation of the side by side partnership addressing disadvantage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6B5CA0CF" w14:textId="7C24A980" w:rsidR="008410BD" w:rsidRPr="007A524D" w:rsidRDefault="008410BD" w:rsidP="008410BD">
            <w:pPr>
              <w:pStyle w:val="Tabletextright"/>
            </w:pPr>
            <w:r w:rsidRPr="008410BD">
              <w:t>702</w:t>
            </w:r>
            <w:r>
              <w:rPr>
                <w:rFonts w:eastAsia="Times New Roman"/>
              </w:rPr>
              <w:t xml:space="preserve"> </w:t>
            </w:r>
            <w:r w:rsidRPr="008410BD">
              <w:t>818</w:t>
            </w:r>
          </w:p>
        </w:tc>
        <w:tc>
          <w:tcPr>
            <w:tcW w:w="1293" w:type="dxa"/>
          </w:tcPr>
          <w:p w14:paraId="5B9210A5" w14:textId="25877D27" w:rsidR="008410BD" w:rsidRPr="007A524D" w:rsidRDefault="008410BD" w:rsidP="008410BD">
            <w:pPr>
              <w:pStyle w:val="Tabletextright"/>
            </w:pPr>
            <w:r w:rsidRPr="008410BD">
              <w:t>205</w:t>
            </w:r>
            <w:r>
              <w:rPr>
                <w:rFonts w:eastAsia="Times New Roman"/>
              </w:rPr>
              <w:t xml:space="preserve"> </w:t>
            </w:r>
            <w:r w:rsidRPr="008410BD">
              <w:t>909</w:t>
            </w:r>
          </w:p>
        </w:tc>
        <w:tc>
          <w:tcPr>
            <w:tcW w:w="1293" w:type="dxa"/>
          </w:tcPr>
          <w:p w14:paraId="0D957611" w14:textId="59D8F923" w:rsidR="008410BD" w:rsidRPr="007A524D" w:rsidRDefault="008410BD" w:rsidP="008410BD">
            <w:pPr>
              <w:pStyle w:val="Tabletextright"/>
            </w:pPr>
            <w:r w:rsidRPr="008410BD">
              <w:t>496</w:t>
            </w:r>
            <w:r>
              <w:rPr>
                <w:rFonts w:eastAsia="Times New Roman"/>
              </w:rPr>
              <w:t xml:space="preserve"> </w:t>
            </w:r>
            <w:r w:rsidRPr="008410BD">
              <w:t>909</w:t>
            </w:r>
          </w:p>
        </w:tc>
      </w:tr>
      <w:tr w:rsidR="008410BD" w:rsidRPr="007A524D" w14:paraId="07ECE60E" w14:textId="77777777" w:rsidTr="008410BD">
        <w:tc>
          <w:tcPr>
            <w:tcW w:w="2429" w:type="dxa"/>
          </w:tcPr>
          <w:p w14:paraId="401F7A3A" w14:textId="73DAA7DA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12A0DFFC" w14:textId="5C1A14CB" w:rsidR="008410BD" w:rsidRPr="007A3FDA" w:rsidRDefault="008410BD" w:rsidP="008410BD">
            <w:pPr>
              <w:pStyle w:val="Tabletext"/>
            </w:pPr>
            <w:r w:rsidRPr="008410BD">
              <w:t>Commercial and transaction advice (</w:t>
            </w:r>
            <w:r w:rsidR="00C74BD2" w:rsidRPr="008410BD">
              <w:t xml:space="preserve">employee expenses </w:t>
            </w:r>
            <w:r w:rsidRPr="008410BD">
              <w:t xml:space="preserve">and FTE </w:t>
            </w:r>
            <w:r w:rsidR="00C74BD2" w:rsidRPr="008410BD">
              <w:t>analysis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40BD8304" w14:textId="3C6CB710" w:rsidR="008410BD" w:rsidRPr="007A524D" w:rsidRDefault="008410BD" w:rsidP="008410BD">
            <w:pPr>
              <w:pStyle w:val="Tabletextright"/>
            </w:pPr>
            <w:r w:rsidRPr="008410BD">
              <w:t>107</w:t>
            </w:r>
            <w:r>
              <w:rPr>
                <w:rFonts w:eastAsia="Times New Roman"/>
              </w:rPr>
              <w:t xml:space="preserve"> </w:t>
            </w:r>
            <w:r w:rsidRPr="008410BD">
              <w:t>542</w:t>
            </w:r>
          </w:p>
        </w:tc>
        <w:tc>
          <w:tcPr>
            <w:tcW w:w="1293" w:type="dxa"/>
          </w:tcPr>
          <w:p w14:paraId="4157FA55" w14:textId="31B7C66B" w:rsidR="008410BD" w:rsidRPr="007A524D" w:rsidRDefault="008410BD" w:rsidP="008410BD">
            <w:pPr>
              <w:pStyle w:val="Tabletextright"/>
            </w:pPr>
            <w:r w:rsidRPr="008410BD">
              <w:t>25</w:t>
            </w:r>
            <w:r>
              <w:rPr>
                <w:rFonts w:eastAsia="Times New Roman"/>
              </w:rPr>
              <w:t xml:space="preserve"> </w:t>
            </w:r>
            <w:r w:rsidRPr="008410BD">
              <w:t>233</w:t>
            </w:r>
          </w:p>
        </w:tc>
        <w:tc>
          <w:tcPr>
            <w:tcW w:w="1293" w:type="dxa"/>
          </w:tcPr>
          <w:p w14:paraId="672B6C76" w14:textId="7243B608" w:rsidR="008410BD" w:rsidRPr="007A524D" w:rsidRDefault="008410BD" w:rsidP="008410BD">
            <w:pPr>
              <w:pStyle w:val="Tabletextright"/>
            </w:pPr>
            <w:r w:rsidRPr="008410BD">
              <w:t>82</w:t>
            </w:r>
            <w:r>
              <w:rPr>
                <w:rFonts w:eastAsia="Times New Roman"/>
              </w:rPr>
              <w:t xml:space="preserve"> </w:t>
            </w:r>
            <w:r w:rsidRPr="008410BD">
              <w:t>309</w:t>
            </w:r>
          </w:p>
        </w:tc>
      </w:tr>
      <w:tr w:rsidR="008410BD" w:rsidRPr="007A524D" w14:paraId="32E052A8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26424BE1" w14:textId="2AAB55D5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5865B155" w14:textId="2FAC371E" w:rsidR="008410BD" w:rsidRPr="007A3FDA" w:rsidRDefault="008410BD" w:rsidP="008410BD">
            <w:pPr>
              <w:pStyle w:val="Tabletext"/>
            </w:pPr>
            <w:r w:rsidRPr="008410BD">
              <w:t>General professional and commercial advice (</w:t>
            </w:r>
            <w:r w:rsidR="00A07BAE">
              <w:t>policy</w:t>
            </w:r>
            <w:r w:rsidRPr="008410BD">
              <w:t xml:space="preserve"> reform) </w:t>
            </w:r>
          </w:p>
        </w:tc>
        <w:tc>
          <w:tcPr>
            <w:tcW w:w="1292" w:type="dxa"/>
          </w:tcPr>
          <w:p w14:paraId="5050E55E" w14:textId="0476B6B7" w:rsidR="008410BD" w:rsidRPr="007A524D" w:rsidRDefault="008410BD" w:rsidP="008410BD">
            <w:pPr>
              <w:pStyle w:val="Tabletextright"/>
            </w:pPr>
            <w:r w:rsidRPr="008410BD">
              <w:t>974</w:t>
            </w:r>
            <w:r>
              <w:rPr>
                <w:rFonts w:eastAsia="Times New Roman"/>
              </w:rPr>
              <w:t xml:space="preserve"> </w:t>
            </w:r>
            <w:r w:rsidRPr="008410BD">
              <w:t>949</w:t>
            </w:r>
          </w:p>
        </w:tc>
        <w:tc>
          <w:tcPr>
            <w:tcW w:w="1293" w:type="dxa"/>
          </w:tcPr>
          <w:p w14:paraId="4A7C18AC" w14:textId="594C41B4" w:rsidR="008410BD" w:rsidRPr="007A524D" w:rsidRDefault="008410BD" w:rsidP="008410BD">
            <w:pPr>
              <w:pStyle w:val="Tabletextright"/>
            </w:pPr>
            <w:r w:rsidRPr="008410BD">
              <w:t>766</w:t>
            </w:r>
            <w:r>
              <w:rPr>
                <w:rFonts w:eastAsia="Times New Roman"/>
              </w:rPr>
              <w:t xml:space="preserve"> </w:t>
            </w:r>
            <w:r w:rsidRPr="008410BD">
              <w:t>989</w:t>
            </w:r>
          </w:p>
        </w:tc>
        <w:tc>
          <w:tcPr>
            <w:tcW w:w="1293" w:type="dxa"/>
          </w:tcPr>
          <w:p w14:paraId="15CB49F1" w14:textId="5D816B35" w:rsidR="008410BD" w:rsidRPr="007A524D" w:rsidRDefault="008410BD" w:rsidP="008410BD">
            <w:pPr>
              <w:pStyle w:val="Tabletextright"/>
            </w:pPr>
            <w:r w:rsidRPr="008410BD">
              <w:t>207</w:t>
            </w:r>
            <w:r>
              <w:rPr>
                <w:rFonts w:eastAsia="Times New Roman"/>
              </w:rPr>
              <w:t xml:space="preserve"> </w:t>
            </w:r>
            <w:r w:rsidRPr="008410BD">
              <w:t>960</w:t>
            </w:r>
          </w:p>
        </w:tc>
      </w:tr>
      <w:tr w:rsidR="008410BD" w:rsidRPr="007A524D" w14:paraId="0C9E57FB" w14:textId="77777777" w:rsidTr="008410BD">
        <w:tc>
          <w:tcPr>
            <w:tcW w:w="2429" w:type="dxa"/>
          </w:tcPr>
          <w:p w14:paraId="62CFC208" w14:textId="48FAC1C5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5753A64A" w14:textId="56E88386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(reviewing classification and Victoria Police property service) </w:t>
            </w:r>
          </w:p>
        </w:tc>
        <w:tc>
          <w:tcPr>
            <w:tcW w:w="1292" w:type="dxa"/>
          </w:tcPr>
          <w:p w14:paraId="3F1F489D" w14:textId="310A872B" w:rsidR="008410BD" w:rsidRPr="007A524D" w:rsidRDefault="008410BD" w:rsidP="008410BD">
            <w:pPr>
              <w:pStyle w:val="Tabletextright"/>
            </w:pPr>
            <w:r w:rsidRPr="008410BD">
              <w:t>954</w:t>
            </w:r>
            <w:r>
              <w:rPr>
                <w:rFonts w:eastAsia="Times New Roman"/>
              </w:rPr>
              <w:t xml:space="preserve"> </w:t>
            </w:r>
            <w:r w:rsidRPr="008410BD">
              <w:t>545</w:t>
            </w:r>
          </w:p>
        </w:tc>
        <w:tc>
          <w:tcPr>
            <w:tcW w:w="1293" w:type="dxa"/>
          </w:tcPr>
          <w:p w14:paraId="2E317FCF" w14:textId="7BF04E24" w:rsidR="008410BD" w:rsidRPr="007A524D" w:rsidRDefault="008410BD" w:rsidP="008410BD">
            <w:pPr>
              <w:pStyle w:val="Tabletextright"/>
            </w:pPr>
            <w:r w:rsidRPr="008410BD">
              <w:t>692</w:t>
            </w:r>
            <w:r>
              <w:rPr>
                <w:rFonts w:eastAsia="Times New Roman"/>
              </w:rPr>
              <w:t xml:space="preserve"> </w:t>
            </w:r>
            <w:r w:rsidRPr="008410BD">
              <w:t>941</w:t>
            </w:r>
          </w:p>
        </w:tc>
        <w:tc>
          <w:tcPr>
            <w:tcW w:w="1293" w:type="dxa"/>
          </w:tcPr>
          <w:p w14:paraId="3C00FAB2" w14:textId="4CF2ACE5" w:rsidR="008410BD" w:rsidRPr="007A524D" w:rsidRDefault="008410BD" w:rsidP="008410BD">
            <w:pPr>
              <w:pStyle w:val="Tabletextright"/>
            </w:pPr>
            <w:r w:rsidRPr="008410BD">
              <w:t>77</w:t>
            </w:r>
            <w:r>
              <w:rPr>
                <w:rFonts w:eastAsia="Times New Roman"/>
              </w:rPr>
              <w:t xml:space="preserve"> </w:t>
            </w:r>
            <w:r w:rsidRPr="008410BD">
              <w:t>928</w:t>
            </w:r>
          </w:p>
        </w:tc>
      </w:tr>
      <w:tr w:rsidR="008410BD" w:rsidRPr="007A524D" w14:paraId="78A63BC2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31A1FF71" w14:textId="14DFA3BD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2ED161ED" w14:textId="62993544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(review vehicle management and booking system) </w:t>
            </w:r>
          </w:p>
        </w:tc>
        <w:tc>
          <w:tcPr>
            <w:tcW w:w="1292" w:type="dxa"/>
          </w:tcPr>
          <w:p w14:paraId="31A68CB4" w14:textId="2A9D66F8" w:rsidR="008410BD" w:rsidRPr="007A524D" w:rsidRDefault="008410BD" w:rsidP="008410BD">
            <w:pPr>
              <w:pStyle w:val="Tabletextright"/>
            </w:pPr>
            <w:r w:rsidRPr="008410BD">
              <w:t>90</w:t>
            </w:r>
            <w:r>
              <w:rPr>
                <w:rFonts w:eastAsia="Times New Roman"/>
              </w:rPr>
              <w:t xml:space="preserve"> </w:t>
            </w:r>
            <w:r w:rsidRPr="008410BD">
              <w:t>909</w:t>
            </w:r>
          </w:p>
        </w:tc>
        <w:tc>
          <w:tcPr>
            <w:tcW w:w="1293" w:type="dxa"/>
          </w:tcPr>
          <w:p w14:paraId="5D70936E" w14:textId="7383F5D5" w:rsidR="008410BD" w:rsidRPr="007A524D" w:rsidRDefault="008410BD" w:rsidP="008410BD">
            <w:pPr>
              <w:pStyle w:val="Tabletextright"/>
            </w:pPr>
            <w:r w:rsidRPr="008410BD">
              <w:t>90</w:t>
            </w:r>
            <w:r>
              <w:rPr>
                <w:rFonts w:eastAsia="Times New Roman"/>
              </w:rPr>
              <w:t xml:space="preserve"> </w:t>
            </w:r>
            <w:r w:rsidRPr="008410BD">
              <w:t>638</w:t>
            </w:r>
          </w:p>
        </w:tc>
        <w:tc>
          <w:tcPr>
            <w:tcW w:w="1293" w:type="dxa"/>
          </w:tcPr>
          <w:p w14:paraId="42D4CC16" w14:textId="287ADFFF" w:rsidR="008410BD" w:rsidRPr="007A524D" w:rsidRDefault="008410BD" w:rsidP="008410BD">
            <w:pPr>
              <w:pStyle w:val="Tabletextright"/>
            </w:pPr>
            <w:r w:rsidRPr="008410BD">
              <w:t>271</w:t>
            </w:r>
          </w:p>
        </w:tc>
      </w:tr>
      <w:tr w:rsidR="008410BD" w:rsidRPr="007A524D" w14:paraId="0E45910F" w14:textId="77777777" w:rsidTr="008410BD">
        <w:tc>
          <w:tcPr>
            <w:tcW w:w="2429" w:type="dxa"/>
          </w:tcPr>
          <w:p w14:paraId="1C4F8487" w14:textId="0CEFF79B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319BFD0B" w14:textId="697E602C" w:rsidR="008410BD" w:rsidRPr="007A3FDA" w:rsidRDefault="008410BD" w:rsidP="008410BD">
            <w:pPr>
              <w:pStyle w:val="Tabletext"/>
            </w:pPr>
            <w:r w:rsidRPr="008410BD">
              <w:t>Commercial and transaction advice (strategic asset management plan)</w:t>
            </w:r>
            <w:r w:rsidR="00C74BD2">
              <w:t xml:space="preserve"> </w:t>
            </w:r>
          </w:p>
        </w:tc>
        <w:tc>
          <w:tcPr>
            <w:tcW w:w="1292" w:type="dxa"/>
          </w:tcPr>
          <w:p w14:paraId="48476C35" w14:textId="68690A56" w:rsidR="008410BD" w:rsidRPr="007A524D" w:rsidRDefault="008410BD" w:rsidP="008410BD">
            <w:pPr>
              <w:pStyle w:val="Tabletextright"/>
            </w:pPr>
            <w:r w:rsidRPr="008410BD">
              <w:t>100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770F0597" w14:textId="20BE61A2" w:rsidR="008410BD" w:rsidRPr="007A524D" w:rsidRDefault="008410BD" w:rsidP="008410BD">
            <w:pPr>
              <w:pStyle w:val="Tabletextright"/>
            </w:pPr>
            <w:r w:rsidRPr="008410BD">
              <w:t>93</w:t>
            </w:r>
            <w:r>
              <w:rPr>
                <w:rFonts w:eastAsia="Times New Roman"/>
              </w:rPr>
              <w:t xml:space="preserve"> </w:t>
            </w:r>
            <w:r w:rsidRPr="008410BD">
              <w:t>375</w:t>
            </w:r>
          </w:p>
        </w:tc>
        <w:tc>
          <w:tcPr>
            <w:tcW w:w="1293" w:type="dxa"/>
          </w:tcPr>
          <w:p w14:paraId="165677FB" w14:textId="42B435E7" w:rsidR="008410BD" w:rsidRPr="007A524D" w:rsidRDefault="008410BD" w:rsidP="008410BD">
            <w:pPr>
              <w:pStyle w:val="Tabletextright"/>
            </w:pPr>
            <w:r w:rsidRPr="008410BD">
              <w:t>6</w:t>
            </w:r>
            <w:r>
              <w:rPr>
                <w:rFonts w:eastAsia="Times New Roman"/>
              </w:rPr>
              <w:t xml:space="preserve"> </w:t>
            </w:r>
            <w:r w:rsidRPr="008410BD">
              <w:t>625</w:t>
            </w:r>
          </w:p>
        </w:tc>
      </w:tr>
      <w:tr w:rsidR="008410BD" w:rsidRPr="007A524D" w14:paraId="6ABA06DE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1DDA9AC2" w14:textId="1684C5A6" w:rsidR="008410BD" w:rsidRPr="007A3FDA" w:rsidRDefault="008410BD" w:rsidP="008410BD">
            <w:pPr>
              <w:pStyle w:val="Tabletext"/>
            </w:pPr>
            <w:r w:rsidRPr="008410BD">
              <w:t>Deloitte Touche Tohmatsu</w:t>
            </w:r>
          </w:p>
        </w:tc>
        <w:tc>
          <w:tcPr>
            <w:tcW w:w="2790" w:type="dxa"/>
            <w:gridSpan w:val="2"/>
          </w:tcPr>
          <w:p w14:paraId="666FC1B1" w14:textId="0364850C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(Phase 1 of the </w:t>
            </w:r>
            <w:r w:rsidR="00C74BD2" w:rsidRPr="008410BD">
              <w:t>building financial capacity of housing agencies initiative</w:t>
            </w:r>
            <w:r w:rsidRPr="008410BD">
              <w:t>)</w:t>
            </w:r>
          </w:p>
        </w:tc>
        <w:tc>
          <w:tcPr>
            <w:tcW w:w="1292" w:type="dxa"/>
          </w:tcPr>
          <w:p w14:paraId="68668C7F" w14:textId="3A7DFC64" w:rsidR="008410BD" w:rsidRPr="007A524D" w:rsidRDefault="008410BD" w:rsidP="008410BD">
            <w:pPr>
              <w:pStyle w:val="Tabletextright"/>
            </w:pPr>
            <w:r w:rsidRPr="008410BD">
              <w:t>545</w:t>
            </w:r>
            <w:r>
              <w:rPr>
                <w:rFonts w:eastAsia="Times New Roman"/>
              </w:rPr>
              <w:t xml:space="preserve"> </w:t>
            </w:r>
            <w:r w:rsidRPr="008410BD">
              <w:t>455</w:t>
            </w:r>
          </w:p>
        </w:tc>
        <w:tc>
          <w:tcPr>
            <w:tcW w:w="1293" w:type="dxa"/>
          </w:tcPr>
          <w:p w14:paraId="4128E53D" w14:textId="0E484A58" w:rsidR="008410BD" w:rsidRPr="007A524D" w:rsidRDefault="008410BD" w:rsidP="008410BD">
            <w:pPr>
              <w:pStyle w:val="Tabletextright"/>
            </w:pPr>
            <w:r w:rsidRPr="008410BD">
              <w:t>545</w:t>
            </w:r>
            <w:r>
              <w:rPr>
                <w:rFonts w:eastAsia="Times New Roman"/>
              </w:rPr>
              <w:t xml:space="preserve"> </w:t>
            </w:r>
            <w:r w:rsidRPr="008410BD">
              <w:t>455</w:t>
            </w:r>
          </w:p>
        </w:tc>
        <w:tc>
          <w:tcPr>
            <w:tcW w:w="1293" w:type="dxa"/>
          </w:tcPr>
          <w:p w14:paraId="58EF2DB9" w14:textId="0658C66C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7B648B" w:rsidRPr="007A524D" w14:paraId="6A9846F4" w14:textId="77777777" w:rsidTr="008410BD">
        <w:tc>
          <w:tcPr>
            <w:tcW w:w="2429" w:type="dxa"/>
          </w:tcPr>
          <w:p w14:paraId="7DA66BBB" w14:textId="16C0D668" w:rsidR="007B648B" w:rsidRPr="007A3FDA" w:rsidRDefault="007B648B" w:rsidP="007B648B">
            <w:pPr>
              <w:pStyle w:val="Tabletext"/>
            </w:pPr>
            <w:r w:rsidRPr="008410BD">
              <w:t>Ernst &amp; Young</w:t>
            </w:r>
          </w:p>
        </w:tc>
        <w:tc>
          <w:tcPr>
            <w:tcW w:w="2790" w:type="dxa"/>
            <w:gridSpan w:val="2"/>
          </w:tcPr>
          <w:p w14:paraId="747FD326" w14:textId="7EEE1DF5" w:rsidR="007B648B" w:rsidRPr="007A3FDA" w:rsidRDefault="007B648B" w:rsidP="007B648B">
            <w:pPr>
              <w:pStyle w:val="Tabletext"/>
              <w:ind w:right="137"/>
            </w:pPr>
            <w:r w:rsidRPr="008410BD">
              <w:t xml:space="preserve">Framework development and policy research (development and delivery of the Australian Major Project Leadership Academy program for the Office of Projects Victoria) </w:t>
            </w:r>
          </w:p>
        </w:tc>
        <w:tc>
          <w:tcPr>
            <w:tcW w:w="1292" w:type="dxa"/>
          </w:tcPr>
          <w:p w14:paraId="66D4607F" w14:textId="304559B3" w:rsidR="007B648B" w:rsidRPr="007A524D" w:rsidRDefault="007B648B" w:rsidP="007B648B">
            <w:pPr>
              <w:pStyle w:val="Tabletextright"/>
            </w:pPr>
            <w:r w:rsidRPr="00A6243B">
              <w:t>7</w:t>
            </w:r>
            <w:r>
              <w:t xml:space="preserve"> </w:t>
            </w:r>
            <w:r w:rsidRPr="00A6243B">
              <w:t>837 805</w:t>
            </w:r>
          </w:p>
        </w:tc>
        <w:tc>
          <w:tcPr>
            <w:tcW w:w="1293" w:type="dxa"/>
          </w:tcPr>
          <w:p w14:paraId="7C86E68A" w14:textId="23DEED07" w:rsidR="007B648B" w:rsidRPr="007A524D" w:rsidRDefault="007B648B" w:rsidP="007B648B">
            <w:pPr>
              <w:pStyle w:val="Tabletextright"/>
            </w:pPr>
            <w:r w:rsidRPr="00A6243B">
              <w:t>1</w:t>
            </w:r>
            <w:r>
              <w:t xml:space="preserve"> </w:t>
            </w:r>
            <w:r w:rsidRPr="00A6243B">
              <w:t>287 755</w:t>
            </w:r>
          </w:p>
        </w:tc>
        <w:tc>
          <w:tcPr>
            <w:tcW w:w="1293" w:type="dxa"/>
          </w:tcPr>
          <w:p w14:paraId="5E472661" w14:textId="4584B15D" w:rsidR="007B648B" w:rsidRPr="007A524D" w:rsidRDefault="007B648B" w:rsidP="007B648B">
            <w:pPr>
              <w:pStyle w:val="Tabletextright"/>
            </w:pPr>
            <w:r w:rsidRPr="00A6243B">
              <w:t>3</w:t>
            </w:r>
            <w:r>
              <w:t xml:space="preserve"> </w:t>
            </w:r>
            <w:r w:rsidRPr="00A6243B">
              <w:t>971 492</w:t>
            </w:r>
          </w:p>
        </w:tc>
      </w:tr>
      <w:tr w:rsidR="008410BD" w:rsidRPr="007A524D" w14:paraId="12EB9095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6EE6F82C" w14:textId="05791C48" w:rsidR="008410BD" w:rsidRPr="007A3FDA" w:rsidRDefault="008410BD" w:rsidP="008410BD">
            <w:pPr>
              <w:pStyle w:val="Tabletext"/>
            </w:pPr>
            <w:r w:rsidRPr="008410BD">
              <w:lastRenderedPageBreak/>
              <w:t>Ernst &amp; Young</w:t>
            </w:r>
          </w:p>
        </w:tc>
        <w:tc>
          <w:tcPr>
            <w:tcW w:w="2790" w:type="dxa"/>
            <w:gridSpan w:val="2"/>
          </w:tcPr>
          <w:p w14:paraId="2DCBA1A7" w14:textId="19ED05D9" w:rsidR="008410BD" w:rsidRPr="007A3FDA" w:rsidRDefault="008410BD" w:rsidP="008410BD">
            <w:pPr>
              <w:pStyle w:val="Tabletext"/>
            </w:pPr>
            <w:r w:rsidRPr="008410BD">
              <w:t>Commercial and transaction advice (</w:t>
            </w:r>
            <w:r w:rsidR="00C74BD2" w:rsidRPr="008410BD">
              <w:t xml:space="preserve">alternative funding mechanisms to assist </w:t>
            </w:r>
            <w:r w:rsidRPr="008410BD">
              <w:t>small and medium businesses)</w:t>
            </w:r>
            <w:r w:rsidR="00C74BD2">
              <w:t xml:space="preserve"> </w:t>
            </w:r>
          </w:p>
        </w:tc>
        <w:tc>
          <w:tcPr>
            <w:tcW w:w="1292" w:type="dxa"/>
          </w:tcPr>
          <w:p w14:paraId="78054C45" w14:textId="0871A3DD" w:rsidR="008410BD" w:rsidRPr="007A524D" w:rsidRDefault="008410BD" w:rsidP="008410BD">
            <w:pPr>
              <w:pStyle w:val="Tabletextright"/>
            </w:pPr>
            <w:r w:rsidRPr="008410BD">
              <w:t>181</w:t>
            </w:r>
            <w:r>
              <w:rPr>
                <w:rFonts w:eastAsia="Times New Roman"/>
              </w:rPr>
              <w:t xml:space="preserve"> </w:t>
            </w:r>
            <w:r w:rsidRPr="008410BD">
              <w:t>818</w:t>
            </w:r>
          </w:p>
        </w:tc>
        <w:tc>
          <w:tcPr>
            <w:tcW w:w="1293" w:type="dxa"/>
          </w:tcPr>
          <w:p w14:paraId="7E4BF3A4" w14:textId="0AA8126E" w:rsidR="008410BD" w:rsidRPr="007A524D" w:rsidRDefault="008410BD" w:rsidP="008410BD">
            <w:pPr>
              <w:pStyle w:val="Tabletextright"/>
            </w:pPr>
            <w:r w:rsidRPr="008410BD">
              <w:t>181</w:t>
            </w:r>
            <w:r>
              <w:rPr>
                <w:rFonts w:eastAsia="Times New Roman"/>
              </w:rPr>
              <w:t xml:space="preserve"> </w:t>
            </w:r>
            <w:r w:rsidRPr="008410BD">
              <w:t>818</w:t>
            </w:r>
          </w:p>
        </w:tc>
        <w:tc>
          <w:tcPr>
            <w:tcW w:w="1293" w:type="dxa"/>
          </w:tcPr>
          <w:p w14:paraId="42CECF17" w14:textId="6CD7C1D4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573F882A" w14:textId="77777777" w:rsidTr="008410BD">
        <w:tc>
          <w:tcPr>
            <w:tcW w:w="2429" w:type="dxa"/>
          </w:tcPr>
          <w:p w14:paraId="721654D4" w14:textId="2C33C0E0" w:rsidR="008410BD" w:rsidRPr="007A3FDA" w:rsidRDefault="008410BD" w:rsidP="008410BD">
            <w:pPr>
              <w:pStyle w:val="Tabletext"/>
            </w:pPr>
            <w:r w:rsidRPr="008410BD">
              <w:t>Ernst &amp; Young</w:t>
            </w:r>
          </w:p>
        </w:tc>
        <w:tc>
          <w:tcPr>
            <w:tcW w:w="2790" w:type="dxa"/>
            <w:gridSpan w:val="2"/>
          </w:tcPr>
          <w:p w14:paraId="5DC14BC4" w14:textId="587B29B7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(commercial implementation of the Victorian Growth Fund) </w:t>
            </w:r>
          </w:p>
        </w:tc>
        <w:tc>
          <w:tcPr>
            <w:tcW w:w="1292" w:type="dxa"/>
          </w:tcPr>
          <w:p w14:paraId="5B8476B1" w14:textId="07FC313E" w:rsidR="008410BD" w:rsidRPr="007A524D" w:rsidRDefault="008410BD" w:rsidP="008410BD">
            <w:pPr>
              <w:pStyle w:val="Tabletextright"/>
            </w:pPr>
            <w:r w:rsidRPr="008410BD">
              <w:t>300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03CA5200" w14:textId="70F9D03E" w:rsidR="008410BD" w:rsidRPr="007A524D" w:rsidRDefault="008410BD" w:rsidP="008410BD">
            <w:pPr>
              <w:pStyle w:val="Tabletextright"/>
            </w:pPr>
            <w:r w:rsidRPr="008410BD">
              <w:t>270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03B87A7C" w14:textId="3AB6C79F" w:rsidR="008410BD" w:rsidRPr="007A524D" w:rsidRDefault="008410BD" w:rsidP="008410BD">
            <w:pPr>
              <w:pStyle w:val="Tabletextright"/>
            </w:pPr>
            <w:r w:rsidRPr="008410BD">
              <w:t>30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</w:tr>
      <w:tr w:rsidR="008410BD" w:rsidRPr="007A524D" w14:paraId="2358197E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3B579809" w14:textId="1114E439" w:rsidR="008410BD" w:rsidRPr="007A3FDA" w:rsidRDefault="008410BD" w:rsidP="008410BD">
            <w:pPr>
              <w:pStyle w:val="Tabletext"/>
            </w:pPr>
            <w:r w:rsidRPr="008410BD">
              <w:t>Ernst &amp; Young</w:t>
            </w:r>
          </w:p>
        </w:tc>
        <w:tc>
          <w:tcPr>
            <w:tcW w:w="2790" w:type="dxa"/>
            <w:gridSpan w:val="2"/>
          </w:tcPr>
          <w:p w14:paraId="2A7076E0" w14:textId="28105793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(TAFE system </w:t>
            </w:r>
            <w:r w:rsidR="00C74BD2" w:rsidRPr="008410BD">
              <w:t>governance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378D2E8A" w14:textId="0CEAED88" w:rsidR="008410BD" w:rsidRPr="007A524D" w:rsidRDefault="008410BD" w:rsidP="008410BD">
            <w:pPr>
              <w:pStyle w:val="Tabletextright"/>
            </w:pPr>
            <w:r w:rsidRPr="008410BD">
              <w:t>99</w:t>
            </w:r>
            <w:r>
              <w:rPr>
                <w:rFonts w:eastAsia="Times New Roman"/>
              </w:rPr>
              <w:t xml:space="preserve"> </w:t>
            </w:r>
            <w:r w:rsidRPr="008410BD">
              <w:t>856</w:t>
            </w:r>
          </w:p>
        </w:tc>
        <w:tc>
          <w:tcPr>
            <w:tcW w:w="1293" w:type="dxa"/>
          </w:tcPr>
          <w:p w14:paraId="3E3F42B1" w14:textId="2BA72F75" w:rsidR="008410BD" w:rsidRPr="007A524D" w:rsidRDefault="008410BD" w:rsidP="008410BD">
            <w:pPr>
              <w:pStyle w:val="Tabletextright"/>
            </w:pPr>
            <w:r w:rsidRPr="008410BD">
              <w:t>99</w:t>
            </w:r>
            <w:r>
              <w:rPr>
                <w:rFonts w:eastAsia="Times New Roman"/>
              </w:rPr>
              <w:t xml:space="preserve"> </w:t>
            </w:r>
            <w:r w:rsidRPr="008410BD">
              <w:t>856</w:t>
            </w:r>
          </w:p>
        </w:tc>
        <w:tc>
          <w:tcPr>
            <w:tcW w:w="1293" w:type="dxa"/>
          </w:tcPr>
          <w:p w14:paraId="1BEE62FC" w14:textId="47D4660F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2188634A" w14:textId="77777777" w:rsidTr="008410BD">
        <w:tc>
          <w:tcPr>
            <w:tcW w:w="2429" w:type="dxa"/>
          </w:tcPr>
          <w:p w14:paraId="05D6B63E" w14:textId="3A5C1D06" w:rsidR="008410BD" w:rsidRPr="007A3FDA" w:rsidRDefault="008410BD" w:rsidP="008410BD">
            <w:pPr>
              <w:pStyle w:val="Tabletext"/>
            </w:pPr>
            <w:r w:rsidRPr="008410BD">
              <w:t>GHD Pty Ltd</w:t>
            </w:r>
          </w:p>
        </w:tc>
        <w:tc>
          <w:tcPr>
            <w:tcW w:w="2790" w:type="dxa"/>
            <w:gridSpan w:val="2"/>
          </w:tcPr>
          <w:p w14:paraId="191A163B" w14:textId="69DE74E3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(Victorian Digital Asset Strategy (VDAS) </w:t>
            </w:r>
            <w:r w:rsidR="00C74BD2" w:rsidRPr="008410BD">
              <w:t>policy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18D3A7A2" w14:textId="6FB85CF4" w:rsidR="008410BD" w:rsidRPr="007A524D" w:rsidRDefault="008410BD" w:rsidP="008410BD">
            <w:pPr>
              <w:pStyle w:val="Tabletextright"/>
            </w:pPr>
            <w:r w:rsidRPr="008410BD">
              <w:t>259</w:t>
            </w:r>
            <w:r>
              <w:rPr>
                <w:rFonts w:eastAsia="Times New Roman"/>
              </w:rPr>
              <w:t xml:space="preserve"> </w:t>
            </w:r>
            <w:r w:rsidRPr="008410BD">
              <w:t>667</w:t>
            </w:r>
          </w:p>
        </w:tc>
        <w:tc>
          <w:tcPr>
            <w:tcW w:w="1293" w:type="dxa"/>
          </w:tcPr>
          <w:p w14:paraId="0AD2AF4C" w14:textId="0ED2E445" w:rsidR="008410BD" w:rsidRPr="007A524D" w:rsidRDefault="008410BD" w:rsidP="008410BD">
            <w:pPr>
              <w:pStyle w:val="Tabletextright"/>
            </w:pPr>
            <w:r w:rsidRPr="008410BD">
              <w:t>64</w:t>
            </w:r>
            <w:r>
              <w:rPr>
                <w:rFonts w:eastAsia="Times New Roman"/>
              </w:rPr>
              <w:t xml:space="preserve"> </w:t>
            </w:r>
            <w:r w:rsidRPr="008410BD">
              <w:t>916</w:t>
            </w:r>
          </w:p>
        </w:tc>
        <w:tc>
          <w:tcPr>
            <w:tcW w:w="1293" w:type="dxa"/>
          </w:tcPr>
          <w:p w14:paraId="4F9BA7FD" w14:textId="4B8BE6A2" w:rsidR="008410BD" w:rsidRPr="007A524D" w:rsidRDefault="008410BD" w:rsidP="008410BD">
            <w:pPr>
              <w:pStyle w:val="Tabletextright"/>
            </w:pPr>
            <w:r w:rsidRPr="008410BD">
              <w:t>194</w:t>
            </w:r>
            <w:r>
              <w:rPr>
                <w:rFonts w:eastAsia="Times New Roman"/>
              </w:rPr>
              <w:t xml:space="preserve"> </w:t>
            </w:r>
            <w:r w:rsidRPr="008410BD">
              <w:t>751</w:t>
            </w:r>
          </w:p>
        </w:tc>
      </w:tr>
      <w:tr w:rsidR="008410BD" w:rsidRPr="007A524D" w14:paraId="467B015D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0855C136" w14:textId="511BBE33" w:rsidR="008410BD" w:rsidRPr="007A3FDA" w:rsidRDefault="008410BD" w:rsidP="008410BD">
            <w:pPr>
              <w:pStyle w:val="Tabletext"/>
            </w:pPr>
            <w:r w:rsidRPr="008410BD">
              <w:t>Herbert Smith Freehills</w:t>
            </w:r>
          </w:p>
        </w:tc>
        <w:tc>
          <w:tcPr>
            <w:tcW w:w="2790" w:type="dxa"/>
            <w:gridSpan w:val="2"/>
          </w:tcPr>
          <w:p w14:paraId="5CE1F85A" w14:textId="2F0FF9F5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(Phase 2 of the </w:t>
            </w:r>
            <w:r w:rsidR="00C74BD2" w:rsidRPr="008410BD">
              <w:t xml:space="preserve">building financial capacity of housing associations) </w:t>
            </w:r>
          </w:p>
        </w:tc>
        <w:tc>
          <w:tcPr>
            <w:tcW w:w="1292" w:type="dxa"/>
          </w:tcPr>
          <w:p w14:paraId="64017653" w14:textId="6A880236" w:rsidR="008410BD" w:rsidRPr="007A524D" w:rsidRDefault="008410BD" w:rsidP="008410BD">
            <w:pPr>
              <w:pStyle w:val="Tabletextright"/>
            </w:pPr>
            <w:r w:rsidRPr="008410BD">
              <w:t>639</w:t>
            </w:r>
            <w:r>
              <w:rPr>
                <w:rFonts w:eastAsia="Times New Roman"/>
              </w:rPr>
              <w:t xml:space="preserve"> </w:t>
            </w:r>
            <w:r w:rsidRPr="008410BD">
              <w:t>091</w:t>
            </w:r>
          </w:p>
        </w:tc>
        <w:tc>
          <w:tcPr>
            <w:tcW w:w="1293" w:type="dxa"/>
          </w:tcPr>
          <w:p w14:paraId="272541FE" w14:textId="7EC9C707" w:rsidR="008410BD" w:rsidRPr="007A524D" w:rsidRDefault="008410BD" w:rsidP="008410BD">
            <w:pPr>
              <w:pStyle w:val="Tabletextright"/>
            </w:pPr>
            <w:r w:rsidRPr="008410BD">
              <w:t>210</w:t>
            </w:r>
            <w:r>
              <w:rPr>
                <w:rFonts w:eastAsia="Times New Roman"/>
              </w:rPr>
              <w:t xml:space="preserve"> </w:t>
            </w:r>
            <w:r w:rsidRPr="008410BD">
              <w:t>366</w:t>
            </w:r>
          </w:p>
        </w:tc>
        <w:tc>
          <w:tcPr>
            <w:tcW w:w="1293" w:type="dxa"/>
          </w:tcPr>
          <w:p w14:paraId="5B618011" w14:textId="1DE54996" w:rsidR="008410BD" w:rsidRPr="007A524D" w:rsidRDefault="008410BD" w:rsidP="008410BD">
            <w:pPr>
              <w:pStyle w:val="Tabletextright"/>
            </w:pPr>
            <w:r w:rsidRPr="008410BD">
              <w:t>428</w:t>
            </w:r>
            <w:r>
              <w:rPr>
                <w:rFonts w:eastAsia="Times New Roman"/>
              </w:rPr>
              <w:t xml:space="preserve"> </w:t>
            </w:r>
            <w:r w:rsidRPr="008410BD">
              <w:t>725</w:t>
            </w:r>
          </w:p>
        </w:tc>
      </w:tr>
      <w:tr w:rsidR="008410BD" w:rsidRPr="007A524D" w14:paraId="1BF9576C" w14:textId="77777777" w:rsidTr="008410BD">
        <w:tc>
          <w:tcPr>
            <w:tcW w:w="2429" w:type="dxa"/>
          </w:tcPr>
          <w:p w14:paraId="77F029EB" w14:textId="0044C4A8" w:rsidR="008410BD" w:rsidRPr="007A3FDA" w:rsidRDefault="008410BD" w:rsidP="008410BD">
            <w:pPr>
              <w:pStyle w:val="Tabletext"/>
            </w:pPr>
            <w:r w:rsidRPr="008410BD">
              <w:t>Investec Australia Limited</w:t>
            </w:r>
          </w:p>
        </w:tc>
        <w:tc>
          <w:tcPr>
            <w:tcW w:w="2790" w:type="dxa"/>
            <w:gridSpan w:val="2"/>
          </w:tcPr>
          <w:p w14:paraId="5385141B" w14:textId="3DE74100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</w:t>
            </w:r>
            <w:r w:rsidR="00A07BAE">
              <w:t>(policy reform)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336133D7" w14:textId="4BD7C7CA" w:rsidR="008410BD" w:rsidRPr="007A524D" w:rsidRDefault="008410BD" w:rsidP="008410BD">
            <w:pPr>
              <w:pStyle w:val="Tabletextright"/>
            </w:pPr>
            <w:r w:rsidRPr="008410BD">
              <w:t>388</w:t>
            </w:r>
            <w:r>
              <w:rPr>
                <w:rFonts w:eastAsia="Times New Roman"/>
              </w:rPr>
              <w:t xml:space="preserve"> </w:t>
            </w:r>
            <w:r w:rsidRPr="008410BD">
              <w:t>182</w:t>
            </w:r>
          </w:p>
        </w:tc>
        <w:tc>
          <w:tcPr>
            <w:tcW w:w="1293" w:type="dxa"/>
          </w:tcPr>
          <w:p w14:paraId="330E8564" w14:textId="301878AF" w:rsidR="008410BD" w:rsidRPr="007A524D" w:rsidRDefault="008410BD" w:rsidP="008410BD">
            <w:pPr>
              <w:pStyle w:val="Tabletextright"/>
            </w:pPr>
            <w:r w:rsidRPr="008410BD">
              <w:t>50</w:t>
            </w:r>
            <w:r>
              <w:rPr>
                <w:rFonts w:eastAsia="Times New Roman"/>
              </w:rPr>
              <w:t xml:space="preserve"> </w:t>
            </w:r>
            <w:r w:rsidRPr="008410BD">
              <w:t>158</w:t>
            </w:r>
          </w:p>
        </w:tc>
        <w:tc>
          <w:tcPr>
            <w:tcW w:w="1293" w:type="dxa"/>
          </w:tcPr>
          <w:p w14:paraId="4F200F57" w14:textId="35DAA56C" w:rsidR="008410BD" w:rsidRPr="007A524D" w:rsidRDefault="008410BD" w:rsidP="008410BD">
            <w:pPr>
              <w:pStyle w:val="Tabletextright"/>
            </w:pPr>
            <w:r w:rsidRPr="008410BD">
              <w:t>338</w:t>
            </w:r>
            <w:r>
              <w:rPr>
                <w:rFonts w:eastAsia="Times New Roman"/>
              </w:rPr>
              <w:t xml:space="preserve"> </w:t>
            </w:r>
            <w:r w:rsidRPr="008410BD">
              <w:t>024</w:t>
            </w:r>
          </w:p>
        </w:tc>
      </w:tr>
      <w:tr w:rsidR="008410BD" w:rsidRPr="007A524D" w14:paraId="7EB0DB62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479B8368" w14:textId="2008DD87" w:rsidR="008410BD" w:rsidRPr="007A3FDA" w:rsidRDefault="008410BD" w:rsidP="008410BD">
            <w:pPr>
              <w:pStyle w:val="Tabletext"/>
            </w:pPr>
            <w:bookmarkStart w:id="1" w:name="_Hlk50105425"/>
            <w:r w:rsidRPr="008410BD">
              <w:t>King &amp; Wood Mallesons</w:t>
            </w:r>
          </w:p>
        </w:tc>
        <w:tc>
          <w:tcPr>
            <w:tcW w:w="2790" w:type="dxa"/>
            <w:gridSpan w:val="2"/>
          </w:tcPr>
          <w:p w14:paraId="340CF6F6" w14:textId="2A0A79E2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</w:t>
            </w:r>
            <w:r w:rsidR="00A07BAE">
              <w:t>(policy reform)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706B0E76" w14:textId="71E25472" w:rsidR="008410BD" w:rsidRPr="007A524D" w:rsidRDefault="008410BD" w:rsidP="008410BD">
            <w:pPr>
              <w:pStyle w:val="Tabletextright"/>
            </w:pPr>
            <w:r w:rsidRPr="008410BD">
              <w:t>811</w:t>
            </w:r>
            <w:r>
              <w:rPr>
                <w:rFonts w:eastAsia="Times New Roman"/>
              </w:rPr>
              <w:t xml:space="preserve"> </w:t>
            </w:r>
            <w:r w:rsidRPr="008410BD">
              <w:t>485</w:t>
            </w:r>
          </w:p>
        </w:tc>
        <w:tc>
          <w:tcPr>
            <w:tcW w:w="1293" w:type="dxa"/>
          </w:tcPr>
          <w:p w14:paraId="5616AF90" w14:textId="12CE98B8" w:rsidR="008410BD" w:rsidRPr="007A524D" w:rsidRDefault="008410BD" w:rsidP="008410BD">
            <w:pPr>
              <w:pStyle w:val="Tabletextright"/>
            </w:pPr>
            <w:r w:rsidRPr="008410BD">
              <w:t>483</w:t>
            </w:r>
            <w:r>
              <w:rPr>
                <w:rFonts w:eastAsia="Times New Roman"/>
              </w:rPr>
              <w:t xml:space="preserve"> </w:t>
            </w:r>
            <w:r w:rsidRPr="008410BD">
              <w:t>040</w:t>
            </w:r>
          </w:p>
        </w:tc>
        <w:tc>
          <w:tcPr>
            <w:tcW w:w="1293" w:type="dxa"/>
          </w:tcPr>
          <w:p w14:paraId="3F5A1A54" w14:textId="1AC595B3" w:rsidR="008410BD" w:rsidRPr="007A524D" w:rsidRDefault="008410BD" w:rsidP="008410BD">
            <w:pPr>
              <w:pStyle w:val="Tabletextright"/>
            </w:pPr>
            <w:r w:rsidRPr="008410BD">
              <w:t>96</w:t>
            </w:r>
            <w:r>
              <w:rPr>
                <w:rFonts w:eastAsia="Times New Roman"/>
              </w:rPr>
              <w:t xml:space="preserve"> </w:t>
            </w:r>
            <w:r w:rsidRPr="008410BD">
              <w:t>934</w:t>
            </w:r>
          </w:p>
        </w:tc>
      </w:tr>
      <w:bookmarkEnd w:id="1"/>
      <w:tr w:rsidR="008410BD" w:rsidRPr="007A524D" w14:paraId="30611C23" w14:textId="77777777" w:rsidTr="008410BD">
        <w:tc>
          <w:tcPr>
            <w:tcW w:w="2429" w:type="dxa"/>
          </w:tcPr>
          <w:p w14:paraId="61DD3AC2" w14:textId="290CB91D" w:rsidR="008410BD" w:rsidRPr="007A3FDA" w:rsidRDefault="008410BD" w:rsidP="008410BD">
            <w:pPr>
              <w:pStyle w:val="Tabletext"/>
            </w:pPr>
            <w:r w:rsidRPr="008410BD">
              <w:t>King &amp; Wood Mallesons</w:t>
            </w:r>
          </w:p>
        </w:tc>
        <w:tc>
          <w:tcPr>
            <w:tcW w:w="2790" w:type="dxa"/>
            <w:gridSpan w:val="2"/>
          </w:tcPr>
          <w:p w14:paraId="7F23FD90" w14:textId="431313B5" w:rsidR="008410BD" w:rsidRPr="007A3FDA" w:rsidRDefault="008410BD" w:rsidP="008410BD">
            <w:pPr>
              <w:pStyle w:val="Tabletext"/>
            </w:pPr>
            <w:r w:rsidRPr="008410BD">
              <w:t>Commercial and transaction advice (Social Impact Bonds</w:t>
            </w:r>
            <w:r w:rsidR="00C74BD2">
              <w:t xml:space="preserve"> </w:t>
            </w:r>
            <w:r w:rsidRPr="008410BD">
              <w:t xml:space="preserve">Transaction advice) </w:t>
            </w:r>
          </w:p>
        </w:tc>
        <w:tc>
          <w:tcPr>
            <w:tcW w:w="1292" w:type="dxa"/>
          </w:tcPr>
          <w:p w14:paraId="22C37C65" w14:textId="21508278" w:rsidR="008410BD" w:rsidRPr="007A524D" w:rsidRDefault="008410BD" w:rsidP="008410BD">
            <w:pPr>
              <w:pStyle w:val="Tabletextright"/>
            </w:pPr>
            <w:r w:rsidRPr="008410BD">
              <w:t>55</w:t>
            </w:r>
            <w:r>
              <w:rPr>
                <w:rFonts w:eastAsia="Times New Roman"/>
              </w:rPr>
              <w:t xml:space="preserve"> </w:t>
            </w:r>
            <w:r w:rsidRPr="008410BD">
              <w:t>127</w:t>
            </w:r>
          </w:p>
        </w:tc>
        <w:tc>
          <w:tcPr>
            <w:tcW w:w="1293" w:type="dxa"/>
          </w:tcPr>
          <w:p w14:paraId="4087E491" w14:textId="28A9E8C6" w:rsidR="008410BD" w:rsidRPr="007A524D" w:rsidRDefault="008410BD" w:rsidP="008410BD">
            <w:pPr>
              <w:pStyle w:val="Tabletextright"/>
            </w:pPr>
            <w:r w:rsidRPr="008410BD">
              <w:t>55</w:t>
            </w:r>
            <w:r>
              <w:rPr>
                <w:rFonts w:eastAsia="Times New Roman"/>
              </w:rPr>
              <w:t xml:space="preserve"> </w:t>
            </w:r>
            <w:r w:rsidRPr="008410BD">
              <w:t>127</w:t>
            </w:r>
          </w:p>
        </w:tc>
        <w:tc>
          <w:tcPr>
            <w:tcW w:w="1293" w:type="dxa"/>
          </w:tcPr>
          <w:p w14:paraId="38585928" w14:textId="1953A9BB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0BE40300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188144EE" w14:textId="39A32E72" w:rsidR="008410BD" w:rsidRPr="007A3FDA" w:rsidRDefault="008410BD" w:rsidP="008410BD">
            <w:pPr>
              <w:pStyle w:val="Tabletext"/>
            </w:pPr>
            <w:r w:rsidRPr="008410BD">
              <w:t>KPMG</w:t>
            </w:r>
          </w:p>
        </w:tc>
        <w:tc>
          <w:tcPr>
            <w:tcW w:w="2790" w:type="dxa"/>
            <w:gridSpan w:val="2"/>
          </w:tcPr>
          <w:p w14:paraId="323E2C9D" w14:textId="0A02EFD9" w:rsidR="008410BD" w:rsidRPr="007A3FDA" w:rsidRDefault="008410BD" w:rsidP="008410BD">
            <w:pPr>
              <w:pStyle w:val="Tabletext"/>
            </w:pPr>
            <w:r w:rsidRPr="008410BD">
              <w:t xml:space="preserve">General professional advice (impacts of the coronavirus on precinct related </w:t>
            </w:r>
            <w:r w:rsidR="00C74BD2" w:rsidRPr="008410BD">
              <w:t>public private partners</w:t>
            </w:r>
            <w:r w:rsidRPr="008410BD">
              <w:t xml:space="preserve">hips) </w:t>
            </w:r>
          </w:p>
        </w:tc>
        <w:tc>
          <w:tcPr>
            <w:tcW w:w="1292" w:type="dxa"/>
          </w:tcPr>
          <w:p w14:paraId="164247D2" w14:textId="708E76EA" w:rsidR="008410BD" w:rsidRPr="007A524D" w:rsidRDefault="008410BD" w:rsidP="008410BD">
            <w:pPr>
              <w:pStyle w:val="Tabletextright"/>
            </w:pPr>
            <w:r w:rsidRPr="008410BD">
              <w:t>108</w:t>
            </w:r>
            <w:r>
              <w:rPr>
                <w:rFonts w:eastAsia="Times New Roman"/>
              </w:rPr>
              <w:t xml:space="preserve"> </w:t>
            </w:r>
            <w:r w:rsidRPr="008410BD">
              <w:t>152</w:t>
            </w:r>
          </w:p>
        </w:tc>
        <w:tc>
          <w:tcPr>
            <w:tcW w:w="1293" w:type="dxa"/>
          </w:tcPr>
          <w:p w14:paraId="07CA1364" w14:textId="2474E70C" w:rsidR="008410BD" w:rsidRPr="007A524D" w:rsidRDefault="008410BD" w:rsidP="008410BD">
            <w:pPr>
              <w:pStyle w:val="Tabletextright"/>
            </w:pPr>
            <w:r w:rsidRPr="008410BD">
              <w:t>100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6E569D78" w14:textId="33D06A89" w:rsidR="008410BD" w:rsidRPr="007A524D" w:rsidRDefault="008410BD" w:rsidP="008410BD">
            <w:pPr>
              <w:pStyle w:val="Tabletextright"/>
            </w:pPr>
            <w:r w:rsidRPr="008410BD">
              <w:t>8</w:t>
            </w:r>
            <w:r>
              <w:rPr>
                <w:rFonts w:eastAsia="Times New Roman"/>
              </w:rPr>
              <w:t xml:space="preserve"> </w:t>
            </w:r>
            <w:r w:rsidRPr="008410BD">
              <w:t>152</w:t>
            </w:r>
          </w:p>
        </w:tc>
      </w:tr>
      <w:tr w:rsidR="007B648B" w:rsidRPr="007A524D" w14:paraId="656D7F5D" w14:textId="77777777" w:rsidTr="008410BD">
        <w:tc>
          <w:tcPr>
            <w:tcW w:w="2429" w:type="dxa"/>
          </w:tcPr>
          <w:p w14:paraId="4553DAF6" w14:textId="5D93E5EE" w:rsidR="007B648B" w:rsidRPr="007A3FDA" w:rsidRDefault="007B648B" w:rsidP="007B648B">
            <w:pPr>
              <w:pStyle w:val="Tabletext"/>
            </w:pPr>
            <w:r w:rsidRPr="008410BD">
              <w:t>KPMG</w:t>
            </w:r>
          </w:p>
        </w:tc>
        <w:tc>
          <w:tcPr>
            <w:tcW w:w="2790" w:type="dxa"/>
            <w:gridSpan w:val="2"/>
          </w:tcPr>
          <w:p w14:paraId="3D03DF8A" w14:textId="2559EBB6" w:rsidR="007B648B" w:rsidRPr="007A3FDA" w:rsidRDefault="007B648B" w:rsidP="007B648B">
            <w:pPr>
              <w:pStyle w:val="Tabletext"/>
            </w:pPr>
            <w:r w:rsidRPr="008410BD">
              <w:t>Commercial and transaction Advice (baseline savings review).</w:t>
            </w:r>
            <w:r>
              <w:t xml:space="preserve"> </w:t>
            </w:r>
          </w:p>
        </w:tc>
        <w:tc>
          <w:tcPr>
            <w:tcW w:w="1292" w:type="dxa"/>
          </w:tcPr>
          <w:p w14:paraId="58A3989C" w14:textId="65A5AB4E" w:rsidR="007B648B" w:rsidRPr="007A524D" w:rsidRDefault="007B648B" w:rsidP="007B648B">
            <w:pPr>
              <w:pStyle w:val="Tabletextright"/>
            </w:pPr>
            <w:r w:rsidRPr="00DC475B">
              <w:t>272 727</w:t>
            </w:r>
          </w:p>
        </w:tc>
        <w:tc>
          <w:tcPr>
            <w:tcW w:w="1293" w:type="dxa"/>
          </w:tcPr>
          <w:p w14:paraId="17226C98" w14:textId="4B952BF7" w:rsidR="007B648B" w:rsidRPr="007A524D" w:rsidRDefault="007B648B" w:rsidP="007B648B">
            <w:pPr>
              <w:pStyle w:val="Tabletextright"/>
            </w:pPr>
            <w:r w:rsidRPr="00DC475B">
              <w:t>194 027</w:t>
            </w:r>
          </w:p>
        </w:tc>
        <w:tc>
          <w:tcPr>
            <w:tcW w:w="1293" w:type="dxa"/>
          </w:tcPr>
          <w:p w14:paraId="1EACC77B" w14:textId="739D9FAB" w:rsidR="007B648B" w:rsidRPr="007A524D" w:rsidRDefault="007B648B" w:rsidP="007B648B">
            <w:pPr>
              <w:pStyle w:val="Tabletextright"/>
            </w:pPr>
            <w:r w:rsidRPr="00DC475B">
              <w:t>78 700</w:t>
            </w:r>
          </w:p>
        </w:tc>
      </w:tr>
      <w:tr w:rsidR="008410BD" w:rsidRPr="007A524D" w14:paraId="333366C9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34BC1024" w14:textId="359EF97F" w:rsidR="008410BD" w:rsidRPr="007A3FDA" w:rsidRDefault="008410BD" w:rsidP="008410BD">
            <w:pPr>
              <w:pStyle w:val="Tabletext"/>
            </w:pPr>
            <w:r w:rsidRPr="008410BD">
              <w:t>KPMG Financial Services Consulting Pty Ltd</w:t>
            </w:r>
          </w:p>
        </w:tc>
        <w:tc>
          <w:tcPr>
            <w:tcW w:w="2790" w:type="dxa"/>
            <w:gridSpan w:val="2"/>
          </w:tcPr>
          <w:p w14:paraId="2DC40A7F" w14:textId="628D6050" w:rsidR="008410BD" w:rsidRPr="007A3FDA" w:rsidRDefault="008410BD" w:rsidP="008410BD">
            <w:pPr>
              <w:pStyle w:val="Tabletext"/>
            </w:pPr>
            <w:r w:rsidRPr="008410BD">
              <w:t>Commercial and transaction advice (</w:t>
            </w:r>
            <w:r w:rsidR="00C74BD2" w:rsidRPr="008410BD">
              <w:t xml:space="preserve">advisory services </w:t>
            </w:r>
            <w:r w:rsidRPr="008410BD">
              <w:t xml:space="preserve">to assist in finalising and implementing the Government’s expanded shared equity scheme) </w:t>
            </w:r>
          </w:p>
        </w:tc>
        <w:tc>
          <w:tcPr>
            <w:tcW w:w="1292" w:type="dxa"/>
          </w:tcPr>
          <w:p w14:paraId="54D386AC" w14:textId="6FC24744" w:rsidR="008410BD" w:rsidRPr="007A524D" w:rsidRDefault="008410BD" w:rsidP="008410BD">
            <w:pPr>
              <w:pStyle w:val="Tabletextright"/>
            </w:pPr>
            <w:r w:rsidRPr="008410BD">
              <w:t>412</w:t>
            </w:r>
            <w:r>
              <w:rPr>
                <w:rFonts w:eastAsia="Times New Roman"/>
              </w:rPr>
              <w:t xml:space="preserve"> </w:t>
            </w:r>
            <w:r w:rsidRPr="008410BD">
              <w:t>601</w:t>
            </w:r>
          </w:p>
        </w:tc>
        <w:tc>
          <w:tcPr>
            <w:tcW w:w="1293" w:type="dxa"/>
          </w:tcPr>
          <w:p w14:paraId="51E25AD6" w14:textId="0B34EDD3" w:rsidR="008410BD" w:rsidRPr="007A524D" w:rsidRDefault="008410BD" w:rsidP="008410BD">
            <w:pPr>
              <w:pStyle w:val="Tabletextright"/>
            </w:pPr>
            <w:r w:rsidRPr="008410BD">
              <w:t>116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73C3A239" w14:textId="08945D58" w:rsidR="008410BD" w:rsidRPr="007A524D" w:rsidRDefault="008410BD" w:rsidP="008410BD">
            <w:pPr>
              <w:pStyle w:val="Tabletextright"/>
            </w:pPr>
            <w:r w:rsidRPr="008410BD">
              <w:t>14</w:t>
            </w:r>
            <w:r>
              <w:rPr>
                <w:rFonts w:eastAsia="Times New Roman"/>
              </w:rPr>
              <w:t xml:space="preserve"> </w:t>
            </w:r>
            <w:r w:rsidRPr="008410BD">
              <w:t>912</w:t>
            </w:r>
          </w:p>
        </w:tc>
      </w:tr>
      <w:tr w:rsidR="008410BD" w:rsidRPr="007A524D" w14:paraId="0BE8F6DD" w14:textId="77777777" w:rsidTr="008410BD">
        <w:tc>
          <w:tcPr>
            <w:tcW w:w="2429" w:type="dxa"/>
          </w:tcPr>
          <w:p w14:paraId="55FAED15" w14:textId="3ECDBA75" w:rsidR="008410BD" w:rsidRPr="007A3FDA" w:rsidRDefault="008410BD" w:rsidP="008410BD">
            <w:pPr>
              <w:pStyle w:val="Tabletext"/>
            </w:pPr>
            <w:r w:rsidRPr="008410BD">
              <w:t>KPMG Financial Services Consulting Pty Ltd</w:t>
            </w:r>
          </w:p>
        </w:tc>
        <w:tc>
          <w:tcPr>
            <w:tcW w:w="2790" w:type="dxa"/>
            <w:gridSpan w:val="2"/>
          </w:tcPr>
          <w:p w14:paraId="16662416" w14:textId="7EAED881" w:rsidR="008410BD" w:rsidRPr="007A3FDA" w:rsidRDefault="008410BD" w:rsidP="008410BD">
            <w:pPr>
              <w:pStyle w:val="Tabletext"/>
              <w:ind w:right="137"/>
            </w:pPr>
            <w:r w:rsidRPr="008410BD">
              <w:t>Commercial and transaction advice (</w:t>
            </w:r>
            <w:r w:rsidR="00C74BD2" w:rsidRPr="008410BD">
              <w:t>advisory services</w:t>
            </w:r>
            <w:r w:rsidR="00C74BD2">
              <w:t xml:space="preserve"> </w:t>
            </w:r>
            <w:r w:rsidRPr="008410BD">
              <w:t xml:space="preserve">Government participation models in the </w:t>
            </w:r>
            <w:r w:rsidR="00C74BD2" w:rsidRPr="008410BD">
              <w:t xml:space="preserve">advanced aerial mobility </w:t>
            </w:r>
            <w:r w:rsidRPr="008410BD">
              <w:t>sector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67831138" w14:textId="6E1E75EF" w:rsidR="008410BD" w:rsidRPr="007A524D" w:rsidRDefault="008410BD" w:rsidP="008410BD">
            <w:pPr>
              <w:pStyle w:val="Tabletextright"/>
            </w:pPr>
            <w:r w:rsidRPr="008410BD">
              <w:t>279</w:t>
            </w:r>
            <w:r>
              <w:rPr>
                <w:rFonts w:eastAsia="Times New Roman"/>
              </w:rPr>
              <w:t xml:space="preserve"> </w:t>
            </w:r>
            <w:r w:rsidRPr="008410BD">
              <w:t>580</w:t>
            </w:r>
          </w:p>
        </w:tc>
        <w:tc>
          <w:tcPr>
            <w:tcW w:w="1293" w:type="dxa"/>
          </w:tcPr>
          <w:p w14:paraId="2A387826" w14:textId="219F3FBF" w:rsidR="008410BD" w:rsidRPr="007A524D" w:rsidRDefault="008410BD" w:rsidP="008410BD">
            <w:pPr>
              <w:pStyle w:val="Tabletextright"/>
            </w:pPr>
            <w:r w:rsidRPr="008410BD">
              <w:t>279</w:t>
            </w:r>
            <w:r>
              <w:rPr>
                <w:rFonts w:eastAsia="Times New Roman"/>
              </w:rPr>
              <w:t xml:space="preserve"> </w:t>
            </w:r>
            <w:r w:rsidRPr="008410BD">
              <w:t>580</w:t>
            </w:r>
          </w:p>
        </w:tc>
        <w:tc>
          <w:tcPr>
            <w:tcW w:w="1293" w:type="dxa"/>
          </w:tcPr>
          <w:p w14:paraId="5366055F" w14:textId="755D47D8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3F851C71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03533E9A" w14:textId="169A11EC" w:rsidR="008410BD" w:rsidRPr="007A3FDA" w:rsidRDefault="008410BD" w:rsidP="00A671C0">
            <w:pPr>
              <w:pStyle w:val="Tabletext"/>
              <w:keepNext/>
            </w:pPr>
            <w:r w:rsidRPr="008410BD">
              <w:lastRenderedPageBreak/>
              <w:t>KPMG Financial Services Consulting Pty Ltd</w:t>
            </w:r>
          </w:p>
        </w:tc>
        <w:tc>
          <w:tcPr>
            <w:tcW w:w="2790" w:type="dxa"/>
            <w:gridSpan w:val="2"/>
          </w:tcPr>
          <w:p w14:paraId="2B9543E8" w14:textId="6952C3A6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</w:t>
            </w:r>
            <w:r w:rsidR="00C74BD2">
              <w:t>(</w:t>
            </w:r>
            <w:r w:rsidR="00C74BD2" w:rsidRPr="008410BD">
              <w:t>information management architecture strategy and digital roadmap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185AEA56" w14:textId="4BCBE152" w:rsidR="008410BD" w:rsidRPr="007A524D" w:rsidRDefault="008410BD" w:rsidP="008410BD">
            <w:pPr>
              <w:pStyle w:val="Tabletextright"/>
            </w:pPr>
            <w:r w:rsidRPr="008410BD">
              <w:t>230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72DCA18F" w14:textId="678FEF76" w:rsidR="008410BD" w:rsidRPr="007A524D" w:rsidRDefault="008410BD" w:rsidP="008410BD">
            <w:pPr>
              <w:pStyle w:val="Tabletextright"/>
            </w:pPr>
            <w:r w:rsidRPr="008410BD">
              <w:t>147</w:t>
            </w:r>
            <w:r>
              <w:rPr>
                <w:rFonts w:eastAsia="Times New Roman"/>
              </w:rPr>
              <w:t xml:space="preserve"> </w:t>
            </w:r>
            <w:r w:rsidRPr="008410BD">
              <w:t>250</w:t>
            </w:r>
          </w:p>
        </w:tc>
        <w:tc>
          <w:tcPr>
            <w:tcW w:w="1293" w:type="dxa"/>
          </w:tcPr>
          <w:p w14:paraId="152ECD42" w14:textId="17E2788E" w:rsidR="008410BD" w:rsidRPr="007A524D" w:rsidRDefault="008410BD" w:rsidP="008410BD">
            <w:pPr>
              <w:pStyle w:val="Tabletextright"/>
            </w:pPr>
            <w:r w:rsidRPr="008410BD">
              <w:t>5</w:t>
            </w:r>
            <w:r>
              <w:rPr>
                <w:rFonts w:eastAsia="Times New Roman"/>
              </w:rPr>
              <w:t xml:space="preserve"> </w:t>
            </w:r>
            <w:r w:rsidRPr="008410BD">
              <w:t>050</w:t>
            </w:r>
          </w:p>
        </w:tc>
      </w:tr>
      <w:tr w:rsidR="008410BD" w:rsidRPr="007A524D" w14:paraId="69B84C7D" w14:textId="77777777" w:rsidTr="008410BD">
        <w:tc>
          <w:tcPr>
            <w:tcW w:w="2429" w:type="dxa"/>
          </w:tcPr>
          <w:p w14:paraId="70A0EF1E" w14:textId="6637AEA2" w:rsidR="008410BD" w:rsidRPr="007A3FDA" w:rsidRDefault="008410BD" w:rsidP="008410BD">
            <w:pPr>
              <w:pStyle w:val="Tabletext"/>
            </w:pPr>
            <w:r w:rsidRPr="008410BD">
              <w:t>KPMG Financial Services Consulting Pty Ltd</w:t>
            </w:r>
          </w:p>
        </w:tc>
        <w:tc>
          <w:tcPr>
            <w:tcW w:w="2790" w:type="dxa"/>
            <w:gridSpan w:val="2"/>
          </w:tcPr>
          <w:p w14:paraId="69024A75" w14:textId="4D45A002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</w:t>
            </w:r>
            <w:r w:rsidR="00A07BAE">
              <w:t>(policy reform)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17EF4E63" w14:textId="2D320C34" w:rsidR="008410BD" w:rsidRPr="007A524D" w:rsidRDefault="008410BD" w:rsidP="008410BD">
            <w:pPr>
              <w:pStyle w:val="Tabletextright"/>
            </w:pPr>
            <w:r w:rsidRPr="008410BD">
              <w:t>11</w:t>
            </w:r>
            <w:r>
              <w:rPr>
                <w:rFonts w:eastAsia="Times New Roman"/>
              </w:rPr>
              <w:t xml:space="preserve"> </w:t>
            </w:r>
            <w:r w:rsidRPr="008410BD">
              <w:t>979</w:t>
            </w:r>
            <w:r>
              <w:rPr>
                <w:rFonts w:eastAsia="Times New Roman"/>
              </w:rPr>
              <w:t xml:space="preserve"> </w:t>
            </w:r>
            <w:r w:rsidRPr="008410BD">
              <w:t>647</w:t>
            </w:r>
          </w:p>
        </w:tc>
        <w:tc>
          <w:tcPr>
            <w:tcW w:w="1293" w:type="dxa"/>
          </w:tcPr>
          <w:p w14:paraId="529EE44F" w14:textId="740AE587" w:rsidR="008410BD" w:rsidRPr="007A524D" w:rsidRDefault="008410BD" w:rsidP="008410BD">
            <w:pPr>
              <w:pStyle w:val="Tabletextright"/>
            </w:pPr>
            <w:r w:rsidRPr="008410BD">
              <w:t>2</w:t>
            </w:r>
            <w:r>
              <w:rPr>
                <w:rFonts w:eastAsia="Times New Roman"/>
              </w:rPr>
              <w:t xml:space="preserve"> </w:t>
            </w:r>
            <w:r w:rsidRPr="008410BD">
              <w:t>774</w:t>
            </w:r>
            <w:r>
              <w:rPr>
                <w:rFonts w:eastAsia="Times New Roman"/>
              </w:rPr>
              <w:t xml:space="preserve"> </w:t>
            </w:r>
            <w:r w:rsidRPr="008410BD">
              <w:t>912</w:t>
            </w:r>
          </w:p>
        </w:tc>
        <w:tc>
          <w:tcPr>
            <w:tcW w:w="1293" w:type="dxa"/>
          </w:tcPr>
          <w:p w14:paraId="34A99B51" w14:textId="6114720D" w:rsidR="008410BD" w:rsidRPr="007A524D" w:rsidRDefault="008410BD" w:rsidP="008410BD">
            <w:pPr>
              <w:pStyle w:val="Tabletextright"/>
            </w:pPr>
            <w:r w:rsidRPr="008410BD">
              <w:t>9</w:t>
            </w:r>
            <w:r>
              <w:rPr>
                <w:rFonts w:eastAsia="Times New Roman"/>
              </w:rPr>
              <w:t xml:space="preserve"> </w:t>
            </w:r>
            <w:r w:rsidRPr="008410BD">
              <w:t>204</w:t>
            </w:r>
            <w:r>
              <w:rPr>
                <w:rFonts w:eastAsia="Times New Roman"/>
              </w:rPr>
              <w:t xml:space="preserve"> </w:t>
            </w:r>
            <w:r w:rsidRPr="008410BD">
              <w:t>735</w:t>
            </w:r>
          </w:p>
        </w:tc>
      </w:tr>
      <w:tr w:rsidR="008410BD" w:rsidRPr="007A524D" w14:paraId="6BA5451C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5E5B3DFC" w14:textId="13A4DBFE" w:rsidR="008410BD" w:rsidRPr="007A3FDA" w:rsidRDefault="008410BD" w:rsidP="008410BD">
            <w:pPr>
              <w:pStyle w:val="Tabletext"/>
            </w:pPr>
            <w:r w:rsidRPr="008410BD">
              <w:t>LEK Consulting Australia Pty</w:t>
            </w:r>
            <w:r w:rsidR="00C74BD2">
              <w:rPr>
                <w:rFonts w:ascii="Calibri" w:hAnsi="Calibri" w:cs="Calibri"/>
              </w:rPr>
              <w:t> </w:t>
            </w:r>
            <w:r w:rsidRPr="008410BD">
              <w:t>Ltd</w:t>
            </w:r>
          </w:p>
        </w:tc>
        <w:tc>
          <w:tcPr>
            <w:tcW w:w="2790" w:type="dxa"/>
            <w:gridSpan w:val="2"/>
          </w:tcPr>
          <w:p w14:paraId="6D65DFEF" w14:textId="5A451246" w:rsidR="008410BD" w:rsidRPr="007A3FDA" w:rsidRDefault="008410BD" w:rsidP="008410BD">
            <w:pPr>
              <w:pStyle w:val="Tabletext"/>
            </w:pPr>
            <w:r w:rsidRPr="008410BD">
              <w:t>General professional advice (</w:t>
            </w:r>
            <w:r w:rsidR="00C74BD2" w:rsidRPr="008410BD">
              <w:t xml:space="preserve">professional </w:t>
            </w:r>
            <w:r w:rsidRPr="008410BD">
              <w:t xml:space="preserve">advisory services for the development of an </w:t>
            </w:r>
            <w:r w:rsidR="00C74BD2" w:rsidRPr="008410BD">
              <w:t xml:space="preserve">urban air mobility industry </w:t>
            </w:r>
            <w:r w:rsidRPr="008410BD">
              <w:t>policy blueprint</w:t>
            </w:r>
            <w:r>
              <w:t>)</w:t>
            </w:r>
            <w:r w:rsidR="00C74BD2">
              <w:t xml:space="preserve"> </w:t>
            </w:r>
          </w:p>
        </w:tc>
        <w:tc>
          <w:tcPr>
            <w:tcW w:w="1292" w:type="dxa"/>
          </w:tcPr>
          <w:p w14:paraId="784CC989" w14:textId="41157762" w:rsidR="008410BD" w:rsidRPr="007A524D" w:rsidRDefault="008410BD" w:rsidP="008410BD">
            <w:pPr>
              <w:pStyle w:val="Tabletextright"/>
            </w:pPr>
            <w:r w:rsidRPr="008410BD">
              <w:t>316</w:t>
            </w:r>
            <w:r>
              <w:rPr>
                <w:rFonts w:eastAsia="Times New Roman"/>
              </w:rPr>
              <w:t xml:space="preserve"> </w:t>
            </w:r>
            <w:r w:rsidRPr="008410BD">
              <w:t>364</w:t>
            </w:r>
          </w:p>
        </w:tc>
        <w:tc>
          <w:tcPr>
            <w:tcW w:w="1293" w:type="dxa"/>
          </w:tcPr>
          <w:p w14:paraId="34DC7465" w14:textId="6F91B288" w:rsidR="008410BD" w:rsidRPr="007A524D" w:rsidRDefault="008410BD" w:rsidP="008410BD">
            <w:pPr>
              <w:pStyle w:val="Tabletextright"/>
            </w:pPr>
            <w:r w:rsidRPr="008410BD">
              <w:t>316</w:t>
            </w:r>
            <w:r>
              <w:rPr>
                <w:rFonts w:eastAsia="Times New Roman"/>
              </w:rPr>
              <w:t xml:space="preserve"> </w:t>
            </w:r>
            <w:r w:rsidRPr="008410BD">
              <w:t>364</w:t>
            </w:r>
          </w:p>
        </w:tc>
        <w:tc>
          <w:tcPr>
            <w:tcW w:w="1293" w:type="dxa"/>
          </w:tcPr>
          <w:p w14:paraId="086A28A0" w14:textId="437B0AA2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07EC9BA1" w14:textId="77777777" w:rsidTr="008410BD">
        <w:tc>
          <w:tcPr>
            <w:tcW w:w="2429" w:type="dxa"/>
          </w:tcPr>
          <w:p w14:paraId="3E592BD9" w14:textId="6253D32C" w:rsidR="008410BD" w:rsidRPr="007A3FDA" w:rsidRDefault="008410BD" w:rsidP="008410BD">
            <w:pPr>
              <w:pStyle w:val="Tabletext"/>
            </w:pPr>
            <w:r w:rsidRPr="008410BD">
              <w:t>Minter Ellison</w:t>
            </w:r>
          </w:p>
        </w:tc>
        <w:tc>
          <w:tcPr>
            <w:tcW w:w="2790" w:type="dxa"/>
            <w:gridSpan w:val="2"/>
          </w:tcPr>
          <w:p w14:paraId="7DF3F43A" w14:textId="148B9628" w:rsidR="008410BD" w:rsidRPr="007A3FDA" w:rsidRDefault="008410BD" w:rsidP="008410BD">
            <w:pPr>
              <w:pStyle w:val="Tabletext"/>
            </w:pPr>
            <w:r w:rsidRPr="008410BD">
              <w:t>General professional advice</w:t>
            </w:r>
            <w:r w:rsidR="00C74BD2">
              <w:t xml:space="preserve"> </w:t>
            </w:r>
            <w:r w:rsidRPr="008410BD">
              <w:t>(</w:t>
            </w:r>
            <w:r w:rsidR="00C74BD2" w:rsidRPr="008410BD">
              <w:t xml:space="preserve">policy </w:t>
            </w:r>
            <w:r w:rsidRPr="008410BD">
              <w:t xml:space="preserve">reform) </w:t>
            </w:r>
          </w:p>
        </w:tc>
        <w:tc>
          <w:tcPr>
            <w:tcW w:w="1292" w:type="dxa"/>
          </w:tcPr>
          <w:p w14:paraId="12ED5174" w14:textId="5BE716CA" w:rsidR="008410BD" w:rsidRPr="007A524D" w:rsidRDefault="008410BD" w:rsidP="008410BD">
            <w:pPr>
              <w:pStyle w:val="Tabletextright"/>
            </w:pPr>
            <w:r w:rsidRPr="008410BD">
              <w:t>353</w:t>
            </w:r>
            <w:r>
              <w:rPr>
                <w:rFonts w:eastAsia="Times New Roman"/>
              </w:rPr>
              <w:t xml:space="preserve"> </w:t>
            </w:r>
            <w:r w:rsidRPr="008410BD">
              <w:t>171</w:t>
            </w:r>
          </w:p>
        </w:tc>
        <w:tc>
          <w:tcPr>
            <w:tcW w:w="1293" w:type="dxa"/>
          </w:tcPr>
          <w:p w14:paraId="355A96B3" w14:textId="4B623DAA" w:rsidR="008410BD" w:rsidRPr="007A524D" w:rsidRDefault="008410BD" w:rsidP="008410BD">
            <w:pPr>
              <w:pStyle w:val="Tabletextright"/>
            </w:pPr>
            <w:r w:rsidRPr="008410BD">
              <w:t>156</w:t>
            </w:r>
            <w:r>
              <w:rPr>
                <w:rFonts w:eastAsia="Times New Roman"/>
              </w:rPr>
              <w:t xml:space="preserve"> </w:t>
            </w:r>
            <w:r w:rsidRPr="008410BD">
              <w:t>660</w:t>
            </w:r>
          </w:p>
        </w:tc>
        <w:tc>
          <w:tcPr>
            <w:tcW w:w="1293" w:type="dxa"/>
          </w:tcPr>
          <w:p w14:paraId="6F541669" w14:textId="12E48D62" w:rsidR="008410BD" w:rsidRPr="007A524D" w:rsidRDefault="008410BD" w:rsidP="008410BD">
            <w:pPr>
              <w:pStyle w:val="Tabletextright"/>
            </w:pPr>
            <w:r w:rsidRPr="008410BD">
              <w:t>140</w:t>
            </w:r>
            <w:r>
              <w:rPr>
                <w:rFonts w:eastAsia="Times New Roman"/>
              </w:rPr>
              <w:t xml:space="preserve"> </w:t>
            </w:r>
            <w:r w:rsidRPr="008410BD">
              <w:t>473</w:t>
            </w:r>
          </w:p>
        </w:tc>
      </w:tr>
      <w:tr w:rsidR="008410BD" w:rsidRPr="007A524D" w14:paraId="1D077869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1B1B2F1B" w14:textId="6510AE48" w:rsidR="008410BD" w:rsidRPr="007A3FDA" w:rsidRDefault="008410BD" w:rsidP="008410BD">
            <w:pPr>
              <w:pStyle w:val="Tabletext"/>
            </w:pPr>
            <w:r w:rsidRPr="008410BD">
              <w:t>Minter Ellison</w:t>
            </w:r>
          </w:p>
        </w:tc>
        <w:tc>
          <w:tcPr>
            <w:tcW w:w="2790" w:type="dxa"/>
            <w:gridSpan w:val="2"/>
          </w:tcPr>
          <w:p w14:paraId="7CEADA73" w14:textId="4B1D647E" w:rsidR="008410BD" w:rsidRPr="007A3FDA" w:rsidRDefault="008410BD" w:rsidP="008410BD">
            <w:pPr>
              <w:pStyle w:val="Tabletext"/>
            </w:pPr>
            <w:r w:rsidRPr="008410BD">
              <w:t>General professional advice (infrastructure procurement)</w:t>
            </w:r>
          </w:p>
        </w:tc>
        <w:tc>
          <w:tcPr>
            <w:tcW w:w="1292" w:type="dxa"/>
          </w:tcPr>
          <w:p w14:paraId="58CB5E18" w14:textId="76DC6001" w:rsidR="008410BD" w:rsidRPr="007A524D" w:rsidRDefault="008410BD" w:rsidP="008410BD">
            <w:pPr>
              <w:pStyle w:val="Tabletextright"/>
            </w:pPr>
            <w:r w:rsidRPr="008410BD">
              <w:t>250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0CE5A35A" w14:textId="7F5C0942" w:rsidR="008410BD" w:rsidRPr="007A524D" w:rsidRDefault="008410BD" w:rsidP="008410BD">
            <w:pPr>
              <w:pStyle w:val="Tabletextright"/>
            </w:pPr>
            <w:r w:rsidRPr="008410BD">
              <w:t>224</w:t>
            </w:r>
            <w:r>
              <w:rPr>
                <w:rFonts w:eastAsia="Times New Roman"/>
              </w:rPr>
              <w:t xml:space="preserve"> </w:t>
            </w:r>
            <w:r w:rsidRPr="008410BD">
              <w:t>840</w:t>
            </w:r>
          </w:p>
        </w:tc>
        <w:tc>
          <w:tcPr>
            <w:tcW w:w="1293" w:type="dxa"/>
          </w:tcPr>
          <w:p w14:paraId="60B864FF" w14:textId="08DC35C5" w:rsidR="008410BD" w:rsidRPr="007A524D" w:rsidRDefault="008410BD" w:rsidP="008410BD">
            <w:pPr>
              <w:pStyle w:val="Tabletextright"/>
            </w:pPr>
            <w:r w:rsidRPr="008410BD">
              <w:t>15</w:t>
            </w:r>
            <w:r>
              <w:rPr>
                <w:rFonts w:eastAsia="Times New Roman"/>
              </w:rPr>
              <w:t xml:space="preserve"> </w:t>
            </w:r>
            <w:r w:rsidRPr="008410BD">
              <w:t>360</w:t>
            </w:r>
          </w:p>
        </w:tc>
      </w:tr>
      <w:tr w:rsidR="008410BD" w:rsidRPr="007A524D" w14:paraId="5220A13F" w14:textId="77777777" w:rsidTr="008410BD">
        <w:tc>
          <w:tcPr>
            <w:tcW w:w="2429" w:type="dxa"/>
          </w:tcPr>
          <w:p w14:paraId="42A30B97" w14:textId="030785BC" w:rsidR="008410BD" w:rsidRPr="007A3FDA" w:rsidRDefault="008410BD" w:rsidP="008410BD">
            <w:pPr>
              <w:pStyle w:val="Tabletext"/>
            </w:pPr>
            <w:r w:rsidRPr="008410BD">
              <w:t>Morgan Stanley Australia Limited</w:t>
            </w:r>
          </w:p>
        </w:tc>
        <w:tc>
          <w:tcPr>
            <w:tcW w:w="2790" w:type="dxa"/>
            <w:gridSpan w:val="2"/>
          </w:tcPr>
          <w:p w14:paraId="04008995" w14:textId="5518BD31" w:rsidR="008410BD" w:rsidRPr="007A3FDA" w:rsidRDefault="008410BD" w:rsidP="008410BD">
            <w:pPr>
              <w:pStyle w:val="Tabletext"/>
              <w:ind w:right="137"/>
            </w:pPr>
            <w:r w:rsidRPr="008410BD">
              <w:t xml:space="preserve">Commercial and transaction advice </w:t>
            </w:r>
            <w:r w:rsidR="00A07BAE">
              <w:t>(policy reform)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23AAD7EC" w14:textId="33EB0575" w:rsidR="008410BD" w:rsidRPr="007A524D" w:rsidRDefault="008410BD" w:rsidP="008410BD">
            <w:pPr>
              <w:pStyle w:val="Tabletextright"/>
            </w:pPr>
            <w:r w:rsidRPr="008410BD">
              <w:t>613</w:t>
            </w:r>
            <w:r>
              <w:rPr>
                <w:rFonts w:eastAsia="Times New Roman"/>
              </w:rPr>
              <w:t xml:space="preserve"> </w:t>
            </w:r>
            <w:r w:rsidRPr="008410BD">
              <w:t>636</w:t>
            </w:r>
          </w:p>
        </w:tc>
        <w:tc>
          <w:tcPr>
            <w:tcW w:w="1293" w:type="dxa"/>
          </w:tcPr>
          <w:p w14:paraId="6C2A3473" w14:textId="5A3D2C73" w:rsidR="008410BD" w:rsidRPr="007A524D" w:rsidRDefault="008410BD" w:rsidP="008410BD">
            <w:pPr>
              <w:pStyle w:val="Tabletextright"/>
            </w:pPr>
            <w:r w:rsidRPr="008410BD">
              <w:t>135</w:t>
            </w:r>
            <w:r>
              <w:rPr>
                <w:rFonts w:eastAsia="Times New Roman"/>
              </w:rPr>
              <w:t xml:space="preserve"> </w:t>
            </w:r>
            <w:r w:rsidRPr="008410BD">
              <w:t>037</w:t>
            </w:r>
          </w:p>
        </w:tc>
        <w:tc>
          <w:tcPr>
            <w:tcW w:w="1293" w:type="dxa"/>
          </w:tcPr>
          <w:p w14:paraId="2A2B1711" w14:textId="77DF1489" w:rsidR="008410BD" w:rsidRPr="007A524D" w:rsidRDefault="008410BD" w:rsidP="008410BD">
            <w:pPr>
              <w:pStyle w:val="Tabletextright"/>
            </w:pPr>
            <w:r w:rsidRPr="008410BD">
              <w:t>478</w:t>
            </w:r>
            <w:r>
              <w:rPr>
                <w:rFonts w:eastAsia="Times New Roman"/>
              </w:rPr>
              <w:t xml:space="preserve"> </w:t>
            </w:r>
            <w:r w:rsidRPr="008410BD">
              <w:t>599</w:t>
            </w:r>
          </w:p>
        </w:tc>
      </w:tr>
      <w:tr w:rsidR="008410BD" w:rsidRPr="007A524D" w14:paraId="6A8EE025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48D6BEF5" w14:textId="74CCEF3F" w:rsidR="008410BD" w:rsidRPr="007A3FDA" w:rsidRDefault="008410BD" w:rsidP="008410BD">
            <w:pPr>
              <w:pStyle w:val="Tabletext"/>
            </w:pPr>
            <w:r w:rsidRPr="008410BD">
              <w:t>Pollination Capital Partners Pty Lim</w:t>
            </w:r>
            <w:r w:rsidR="00E91A82">
              <w:t>i</w:t>
            </w:r>
            <w:r w:rsidRPr="008410BD">
              <w:t>ted</w:t>
            </w:r>
          </w:p>
        </w:tc>
        <w:tc>
          <w:tcPr>
            <w:tcW w:w="2790" w:type="dxa"/>
            <w:gridSpan w:val="2"/>
          </w:tcPr>
          <w:p w14:paraId="7168AB5F" w14:textId="6A57E5D6" w:rsidR="008410BD" w:rsidRPr="007A3FDA" w:rsidRDefault="008410BD" w:rsidP="008410BD">
            <w:pPr>
              <w:pStyle w:val="Tabletext"/>
            </w:pPr>
            <w:r w:rsidRPr="008410BD">
              <w:t>General professional services (</w:t>
            </w:r>
            <w:r w:rsidR="00C74BD2" w:rsidRPr="008410BD">
              <w:t xml:space="preserve">strategic </w:t>
            </w:r>
            <w:r w:rsidRPr="008410BD">
              <w:t xml:space="preserve">work to help decarbonise key Victorian sectors) </w:t>
            </w:r>
          </w:p>
        </w:tc>
        <w:tc>
          <w:tcPr>
            <w:tcW w:w="1292" w:type="dxa"/>
          </w:tcPr>
          <w:p w14:paraId="57834AB4" w14:textId="61291B77" w:rsidR="008410BD" w:rsidRPr="007A524D" w:rsidRDefault="008410BD" w:rsidP="008410BD">
            <w:pPr>
              <w:pStyle w:val="Tabletextright"/>
            </w:pPr>
            <w:r w:rsidRPr="008410BD">
              <w:t>300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62D5CA82" w14:textId="010F7BFA" w:rsidR="008410BD" w:rsidRPr="007A524D" w:rsidRDefault="008410BD" w:rsidP="008410BD">
            <w:pPr>
              <w:pStyle w:val="Tabletextright"/>
            </w:pPr>
            <w:r w:rsidRPr="008410BD">
              <w:t>300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3EC6C561" w14:textId="4A13CDD5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717A48E4" w14:textId="77777777" w:rsidTr="008410BD">
        <w:tc>
          <w:tcPr>
            <w:tcW w:w="2429" w:type="dxa"/>
          </w:tcPr>
          <w:p w14:paraId="0639D758" w14:textId="74CC3E11" w:rsidR="008410BD" w:rsidRPr="007A3FDA" w:rsidRDefault="008410BD" w:rsidP="008410BD">
            <w:pPr>
              <w:pStyle w:val="Tabletext"/>
            </w:pPr>
            <w:r w:rsidRPr="008410BD">
              <w:t>PricewaterhouseCoopers</w:t>
            </w:r>
          </w:p>
        </w:tc>
        <w:tc>
          <w:tcPr>
            <w:tcW w:w="2790" w:type="dxa"/>
            <w:gridSpan w:val="2"/>
          </w:tcPr>
          <w:p w14:paraId="7406EDA8" w14:textId="3B95A777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</w:t>
            </w:r>
            <w:r w:rsidR="00C74BD2">
              <w:t>(</w:t>
            </w:r>
            <w:r w:rsidRPr="008410BD">
              <w:t>Portland aluminium smelter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48D84A0E" w14:textId="7D13B759" w:rsidR="008410BD" w:rsidRPr="007A524D" w:rsidRDefault="008410BD" w:rsidP="008410BD">
            <w:pPr>
              <w:pStyle w:val="Tabletextright"/>
            </w:pPr>
            <w:r w:rsidRPr="008410BD">
              <w:t>204</w:t>
            </w:r>
            <w:r>
              <w:rPr>
                <w:rFonts w:eastAsia="Times New Roman"/>
              </w:rPr>
              <w:t xml:space="preserve"> </w:t>
            </w:r>
            <w:r w:rsidRPr="008410BD">
              <w:t>545</w:t>
            </w:r>
          </w:p>
        </w:tc>
        <w:tc>
          <w:tcPr>
            <w:tcW w:w="1293" w:type="dxa"/>
          </w:tcPr>
          <w:p w14:paraId="2C9DD706" w14:textId="786DBB6D" w:rsidR="008410BD" w:rsidRPr="007A524D" w:rsidRDefault="008410BD" w:rsidP="008410BD">
            <w:pPr>
              <w:pStyle w:val="Tabletextright"/>
            </w:pPr>
            <w:r w:rsidRPr="008410BD">
              <w:t>122</w:t>
            </w:r>
            <w:r>
              <w:rPr>
                <w:rFonts w:eastAsia="Times New Roman"/>
              </w:rPr>
              <w:t xml:space="preserve"> </w:t>
            </w:r>
            <w:r w:rsidRPr="008410BD">
              <w:t>583</w:t>
            </w:r>
          </w:p>
        </w:tc>
        <w:tc>
          <w:tcPr>
            <w:tcW w:w="1293" w:type="dxa"/>
          </w:tcPr>
          <w:p w14:paraId="3E4ED626" w14:textId="24BC4C98" w:rsidR="008410BD" w:rsidRPr="007A524D" w:rsidRDefault="008410BD" w:rsidP="008410BD">
            <w:pPr>
              <w:pStyle w:val="Tabletextright"/>
            </w:pPr>
            <w:r w:rsidRPr="008410BD">
              <w:t>81</w:t>
            </w:r>
            <w:r>
              <w:rPr>
                <w:rFonts w:eastAsia="Times New Roman"/>
              </w:rPr>
              <w:t xml:space="preserve"> </w:t>
            </w:r>
            <w:r w:rsidRPr="008410BD">
              <w:t>962</w:t>
            </w:r>
          </w:p>
        </w:tc>
      </w:tr>
      <w:tr w:rsidR="008410BD" w:rsidRPr="007A524D" w14:paraId="0FD01805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7B4B51E7" w14:textId="66D330C4" w:rsidR="008410BD" w:rsidRPr="007A3FDA" w:rsidRDefault="008410BD" w:rsidP="008410BD">
            <w:pPr>
              <w:pStyle w:val="Tabletext"/>
            </w:pPr>
            <w:r w:rsidRPr="00C5656B">
              <w:t>PricewaterhouseCoopers</w:t>
            </w:r>
          </w:p>
        </w:tc>
        <w:tc>
          <w:tcPr>
            <w:tcW w:w="2790" w:type="dxa"/>
            <w:gridSpan w:val="2"/>
          </w:tcPr>
          <w:p w14:paraId="13920D85" w14:textId="3DE64A5B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</w:t>
            </w:r>
            <w:r w:rsidR="00C74BD2">
              <w:t>(</w:t>
            </w:r>
            <w:r w:rsidRPr="008410BD">
              <w:t xml:space="preserve">regulatory reform program) </w:t>
            </w:r>
          </w:p>
        </w:tc>
        <w:tc>
          <w:tcPr>
            <w:tcW w:w="1292" w:type="dxa"/>
          </w:tcPr>
          <w:p w14:paraId="651D71DE" w14:textId="39D8BA95" w:rsidR="008410BD" w:rsidRPr="007A524D" w:rsidRDefault="008410BD" w:rsidP="008410BD">
            <w:pPr>
              <w:pStyle w:val="Tabletextright"/>
            </w:pPr>
            <w:r w:rsidRPr="008410BD">
              <w:t>1</w:t>
            </w:r>
            <w:r>
              <w:rPr>
                <w:rFonts w:eastAsia="Times New Roman"/>
              </w:rPr>
              <w:t xml:space="preserve"> </w:t>
            </w:r>
            <w:r w:rsidRPr="008410BD">
              <w:t>173</w:t>
            </w:r>
            <w:r>
              <w:rPr>
                <w:rFonts w:eastAsia="Times New Roman"/>
              </w:rPr>
              <w:t xml:space="preserve"> </w:t>
            </w:r>
            <w:r w:rsidRPr="008410BD">
              <w:t>211</w:t>
            </w:r>
          </w:p>
        </w:tc>
        <w:tc>
          <w:tcPr>
            <w:tcW w:w="1293" w:type="dxa"/>
          </w:tcPr>
          <w:p w14:paraId="35A64796" w14:textId="4A7AC3A4" w:rsidR="008410BD" w:rsidRPr="007A524D" w:rsidRDefault="008410BD" w:rsidP="008410BD">
            <w:pPr>
              <w:pStyle w:val="Tabletextright"/>
            </w:pPr>
            <w:r w:rsidRPr="008410BD">
              <w:t>231</w:t>
            </w:r>
            <w:r>
              <w:rPr>
                <w:rFonts w:eastAsia="Times New Roman"/>
              </w:rPr>
              <w:t xml:space="preserve"> </w:t>
            </w:r>
            <w:r w:rsidRPr="008410BD">
              <w:t>279</w:t>
            </w:r>
          </w:p>
        </w:tc>
        <w:tc>
          <w:tcPr>
            <w:tcW w:w="1293" w:type="dxa"/>
          </w:tcPr>
          <w:p w14:paraId="47151B96" w14:textId="62B0386D" w:rsidR="008410BD" w:rsidRPr="007A524D" w:rsidRDefault="008410BD" w:rsidP="008410BD">
            <w:pPr>
              <w:pStyle w:val="Tabletextright"/>
            </w:pPr>
            <w:r w:rsidRPr="008410BD">
              <w:t>815</w:t>
            </w:r>
            <w:r>
              <w:rPr>
                <w:rFonts w:eastAsia="Times New Roman"/>
              </w:rPr>
              <w:t xml:space="preserve"> </w:t>
            </w:r>
            <w:r w:rsidRPr="008410BD">
              <w:t>086</w:t>
            </w:r>
          </w:p>
        </w:tc>
      </w:tr>
      <w:tr w:rsidR="008410BD" w:rsidRPr="007A524D" w14:paraId="51C7344C" w14:textId="77777777" w:rsidTr="008410BD">
        <w:tc>
          <w:tcPr>
            <w:tcW w:w="2429" w:type="dxa"/>
          </w:tcPr>
          <w:p w14:paraId="3D363914" w14:textId="1D71A33D" w:rsidR="008410BD" w:rsidRPr="007A3FDA" w:rsidRDefault="008410BD" w:rsidP="008410BD">
            <w:pPr>
              <w:pStyle w:val="Tabletext"/>
            </w:pPr>
            <w:r w:rsidRPr="00C5656B">
              <w:t>PricewaterhouseCoopers</w:t>
            </w:r>
          </w:p>
        </w:tc>
        <w:tc>
          <w:tcPr>
            <w:tcW w:w="2790" w:type="dxa"/>
            <w:gridSpan w:val="2"/>
          </w:tcPr>
          <w:p w14:paraId="6438961F" w14:textId="67D395B4" w:rsidR="008410BD" w:rsidRPr="007A3FDA" w:rsidRDefault="008410BD" w:rsidP="008410BD">
            <w:pPr>
              <w:pStyle w:val="Tabletext"/>
              <w:ind w:right="137"/>
            </w:pPr>
            <w:r w:rsidRPr="008410BD">
              <w:t>General professional advice (</w:t>
            </w:r>
            <w:r w:rsidR="00C74BD2" w:rsidRPr="008410BD">
              <w:t xml:space="preserve">policy </w:t>
            </w:r>
            <w:r w:rsidRPr="008410BD">
              <w:t xml:space="preserve">framework on risks of different types of financing mechanisms) </w:t>
            </w:r>
          </w:p>
        </w:tc>
        <w:tc>
          <w:tcPr>
            <w:tcW w:w="1292" w:type="dxa"/>
          </w:tcPr>
          <w:p w14:paraId="69E405A4" w14:textId="5191093F" w:rsidR="008410BD" w:rsidRPr="007A524D" w:rsidRDefault="008410BD" w:rsidP="008410BD">
            <w:pPr>
              <w:pStyle w:val="Tabletextright"/>
            </w:pPr>
            <w:r w:rsidRPr="008410BD">
              <w:t>50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6BB9515F" w14:textId="441C9C04" w:rsidR="008410BD" w:rsidRPr="007A524D" w:rsidRDefault="008410BD" w:rsidP="008410BD">
            <w:pPr>
              <w:pStyle w:val="Tabletextright"/>
            </w:pPr>
            <w:r w:rsidRPr="008410BD">
              <w:t>50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3F739FD3" w14:textId="189A0F09" w:rsidR="008410BD" w:rsidRPr="007A524D" w:rsidRDefault="008410BD" w:rsidP="008410BD">
            <w:pPr>
              <w:pStyle w:val="Tabletextright"/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314C28B9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622E2EDC" w14:textId="693F8DFB" w:rsidR="008410BD" w:rsidRPr="007A3FDA" w:rsidRDefault="008410BD" w:rsidP="008410BD">
            <w:pPr>
              <w:pStyle w:val="Tabletext"/>
            </w:pPr>
            <w:r w:rsidRPr="00C5656B">
              <w:t>PricewaterhouseCoopers</w:t>
            </w:r>
          </w:p>
        </w:tc>
        <w:tc>
          <w:tcPr>
            <w:tcW w:w="2790" w:type="dxa"/>
            <w:gridSpan w:val="2"/>
          </w:tcPr>
          <w:p w14:paraId="20C8934D" w14:textId="0DF9B624" w:rsidR="008410BD" w:rsidRPr="007A3FDA" w:rsidRDefault="008410BD" w:rsidP="008410BD">
            <w:pPr>
              <w:pStyle w:val="Tabletext"/>
            </w:pPr>
            <w:r w:rsidRPr="008410BD">
              <w:t>General professional advice (</w:t>
            </w:r>
            <w:r w:rsidR="00C74BD2" w:rsidRPr="008410BD">
              <w:t xml:space="preserve">procurement </w:t>
            </w:r>
            <w:r w:rsidRPr="008410BD">
              <w:t xml:space="preserve">of office accommodation) </w:t>
            </w:r>
          </w:p>
        </w:tc>
        <w:tc>
          <w:tcPr>
            <w:tcW w:w="1292" w:type="dxa"/>
          </w:tcPr>
          <w:p w14:paraId="49C7C198" w14:textId="3CC37411" w:rsidR="008410BD" w:rsidRPr="007A524D" w:rsidRDefault="008410BD" w:rsidP="008410BD">
            <w:pPr>
              <w:pStyle w:val="Tabletextright"/>
            </w:pPr>
            <w:r w:rsidRPr="008410BD">
              <w:t>170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0F5ACF25" w14:textId="314878DC" w:rsidR="008410BD" w:rsidRPr="007A524D" w:rsidRDefault="008410BD" w:rsidP="008410BD">
            <w:pPr>
              <w:pStyle w:val="Tabletextright"/>
            </w:pPr>
            <w:r w:rsidRPr="008410BD">
              <w:t>121</w:t>
            </w:r>
            <w:r>
              <w:rPr>
                <w:rFonts w:eastAsia="Times New Roman"/>
              </w:rPr>
              <w:t xml:space="preserve"> </w:t>
            </w:r>
            <w:r w:rsidRPr="008410BD">
              <w:t>090</w:t>
            </w:r>
          </w:p>
        </w:tc>
        <w:tc>
          <w:tcPr>
            <w:tcW w:w="1293" w:type="dxa"/>
          </w:tcPr>
          <w:p w14:paraId="29C979A3" w14:textId="44514ABE" w:rsidR="008410BD" w:rsidRPr="007A524D" w:rsidRDefault="008410BD" w:rsidP="008410BD">
            <w:pPr>
              <w:pStyle w:val="Tabletextright"/>
            </w:pPr>
            <w:r w:rsidRPr="008410BD">
              <w:t>48</w:t>
            </w:r>
            <w:r>
              <w:rPr>
                <w:rFonts w:eastAsia="Times New Roman"/>
              </w:rPr>
              <w:t xml:space="preserve"> </w:t>
            </w:r>
            <w:r w:rsidRPr="008410BD">
              <w:t>910</w:t>
            </w:r>
          </w:p>
        </w:tc>
      </w:tr>
      <w:tr w:rsidR="007B648B" w:rsidRPr="007A524D" w14:paraId="3D6C9DC3" w14:textId="77777777" w:rsidTr="008410BD">
        <w:tc>
          <w:tcPr>
            <w:tcW w:w="2429" w:type="dxa"/>
          </w:tcPr>
          <w:p w14:paraId="51C31820" w14:textId="7DAD250D" w:rsidR="007B648B" w:rsidRPr="007A3FDA" w:rsidRDefault="007B648B" w:rsidP="007B648B">
            <w:pPr>
              <w:pStyle w:val="Tabletext"/>
            </w:pPr>
            <w:r w:rsidRPr="00C5656B">
              <w:t>PricewaterhouseCoopers</w:t>
            </w:r>
          </w:p>
        </w:tc>
        <w:tc>
          <w:tcPr>
            <w:tcW w:w="2790" w:type="dxa"/>
            <w:gridSpan w:val="2"/>
          </w:tcPr>
          <w:p w14:paraId="44815213" w14:textId="1360B032" w:rsidR="007B648B" w:rsidRPr="007A3FDA" w:rsidRDefault="007B648B" w:rsidP="007B648B">
            <w:pPr>
              <w:pStyle w:val="Tabletext"/>
              <w:ind w:right="137"/>
            </w:pPr>
            <w:r w:rsidRPr="008410BD">
              <w:t xml:space="preserve">General professional advice (superannuation related financial reporting services) </w:t>
            </w:r>
          </w:p>
        </w:tc>
        <w:tc>
          <w:tcPr>
            <w:tcW w:w="1292" w:type="dxa"/>
          </w:tcPr>
          <w:p w14:paraId="30368390" w14:textId="553E0253" w:rsidR="007B648B" w:rsidRPr="007A524D" w:rsidRDefault="007B648B" w:rsidP="007B648B">
            <w:pPr>
              <w:pStyle w:val="Tabletextright"/>
            </w:pPr>
            <w:r w:rsidRPr="004608C2">
              <w:t>341 771</w:t>
            </w:r>
          </w:p>
        </w:tc>
        <w:tc>
          <w:tcPr>
            <w:tcW w:w="1293" w:type="dxa"/>
          </w:tcPr>
          <w:p w14:paraId="3661EAED" w14:textId="6628A70A" w:rsidR="007B648B" w:rsidRPr="007A524D" w:rsidRDefault="007B648B" w:rsidP="007B648B">
            <w:pPr>
              <w:pStyle w:val="Tabletextright"/>
            </w:pPr>
            <w:r w:rsidRPr="004608C2">
              <w:t>67 728</w:t>
            </w:r>
          </w:p>
        </w:tc>
        <w:tc>
          <w:tcPr>
            <w:tcW w:w="1293" w:type="dxa"/>
          </w:tcPr>
          <w:p w14:paraId="657E681A" w14:textId="66C39975" w:rsidR="007B648B" w:rsidRPr="007A524D" w:rsidRDefault="007B648B" w:rsidP="007B648B">
            <w:pPr>
              <w:pStyle w:val="Tabletextright"/>
            </w:pPr>
            <w:r w:rsidRPr="004608C2">
              <w:t>206 315</w:t>
            </w:r>
          </w:p>
        </w:tc>
      </w:tr>
      <w:tr w:rsidR="007B648B" w:rsidRPr="007A524D" w14:paraId="0A95BCB7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0AED2666" w14:textId="24D92907" w:rsidR="007B648B" w:rsidRPr="007A3FDA" w:rsidRDefault="007B648B" w:rsidP="007B648B">
            <w:pPr>
              <w:pStyle w:val="Tabletext"/>
            </w:pPr>
            <w:r w:rsidRPr="00C5656B">
              <w:t>PricewaterhouseCoopers</w:t>
            </w:r>
          </w:p>
        </w:tc>
        <w:tc>
          <w:tcPr>
            <w:tcW w:w="2790" w:type="dxa"/>
            <w:gridSpan w:val="2"/>
          </w:tcPr>
          <w:p w14:paraId="46E6C164" w14:textId="26431C99" w:rsidR="007B648B" w:rsidRPr="007A3FDA" w:rsidRDefault="007B648B" w:rsidP="007B648B">
            <w:pPr>
              <w:pStyle w:val="Tabletext"/>
            </w:pPr>
            <w:r w:rsidRPr="008410BD">
              <w:t xml:space="preserve">General professional and commercial advice (due diligence) </w:t>
            </w:r>
          </w:p>
        </w:tc>
        <w:tc>
          <w:tcPr>
            <w:tcW w:w="1292" w:type="dxa"/>
          </w:tcPr>
          <w:p w14:paraId="1D95E4DC" w14:textId="78E30FD7" w:rsidR="007B648B" w:rsidRPr="007A524D" w:rsidRDefault="007B648B" w:rsidP="007B648B">
            <w:pPr>
              <w:pStyle w:val="Tabletextright"/>
            </w:pPr>
            <w:r w:rsidRPr="004608C2">
              <w:t>302 000</w:t>
            </w:r>
          </w:p>
        </w:tc>
        <w:tc>
          <w:tcPr>
            <w:tcW w:w="1293" w:type="dxa"/>
          </w:tcPr>
          <w:p w14:paraId="1A7982FF" w14:textId="6F3DFB49" w:rsidR="007B648B" w:rsidRPr="007A524D" w:rsidRDefault="007B648B" w:rsidP="007B648B">
            <w:pPr>
              <w:pStyle w:val="Tabletextright"/>
            </w:pPr>
            <w:r w:rsidRPr="004608C2">
              <w:t>302 000</w:t>
            </w:r>
          </w:p>
        </w:tc>
        <w:tc>
          <w:tcPr>
            <w:tcW w:w="1293" w:type="dxa"/>
          </w:tcPr>
          <w:p w14:paraId="42A33785" w14:textId="2113965B" w:rsidR="007B648B" w:rsidRPr="007A524D" w:rsidRDefault="006103C3" w:rsidP="007B648B">
            <w:pPr>
              <w:pStyle w:val="Tabletextright"/>
            </w:pPr>
            <w:r>
              <w:t>–</w:t>
            </w:r>
          </w:p>
        </w:tc>
      </w:tr>
      <w:tr w:rsidR="007B648B" w:rsidRPr="007A524D" w14:paraId="4DD309DE" w14:textId="77777777" w:rsidTr="008410BD">
        <w:tc>
          <w:tcPr>
            <w:tcW w:w="2429" w:type="dxa"/>
          </w:tcPr>
          <w:p w14:paraId="2D757254" w14:textId="6F521721" w:rsidR="007B648B" w:rsidRPr="007A3FDA" w:rsidRDefault="007B648B" w:rsidP="007B648B">
            <w:pPr>
              <w:pStyle w:val="Tabletext"/>
            </w:pPr>
            <w:r w:rsidRPr="00C5656B">
              <w:t>PricewaterhouseCoopers</w:t>
            </w:r>
          </w:p>
        </w:tc>
        <w:tc>
          <w:tcPr>
            <w:tcW w:w="2790" w:type="dxa"/>
            <w:gridSpan w:val="2"/>
          </w:tcPr>
          <w:p w14:paraId="0DAFBCB0" w14:textId="29F94AF8" w:rsidR="007B648B" w:rsidRPr="007A3FDA" w:rsidRDefault="007B648B" w:rsidP="007B648B">
            <w:pPr>
              <w:pStyle w:val="Tabletext"/>
            </w:pPr>
            <w:r w:rsidRPr="008410BD">
              <w:t>Commercial and transaction advice (</w:t>
            </w:r>
            <w:r w:rsidR="00A671C0" w:rsidRPr="00A671C0">
              <w:t>infrastructure projects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29E659F2" w14:textId="67CC92B9" w:rsidR="007B648B" w:rsidRPr="007A524D" w:rsidRDefault="007B648B" w:rsidP="007B648B">
            <w:pPr>
              <w:pStyle w:val="Tabletextright"/>
            </w:pPr>
            <w:r w:rsidRPr="004608C2">
              <w:t>6</w:t>
            </w:r>
            <w:r>
              <w:t xml:space="preserve"> </w:t>
            </w:r>
            <w:r w:rsidRPr="004608C2">
              <w:t>643 992</w:t>
            </w:r>
          </w:p>
        </w:tc>
        <w:tc>
          <w:tcPr>
            <w:tcW w:w="1293" w:type="dxa"/>
          </w:tcPr>
          <w:p w14:paraId="051560A0" w14:textId="5CA6EB07" w:rsidR="007B648B" w:rsidRPr="007A524D" w:rsidRDefault="007B648B" w:rsidP="007B648B">
            <w:pPr>
              <w:pStyle w:val="Tabletextright"/>
            </w:pPr>
            <w:r w:rsidRPr="004608C2">
              <w:t>4</w:t>
            </w:r>
            <w:r>
              <w:t xml:space="preserve"> </w:t>
            </w:r>
            <w:r w:rsidRPr="004608C2">
              <w:t>017 520</w:t>
            </w:r>
          </w:p>
        </w:tc>
        <w:tc>
          <w:tcPr>
            <w:tcW w:w="1293" w:type="dxa"/>
          </w:tcPr>
          <w:p w14:paraId="20288716" w14:textId="4B673707" w:rsidR="007B648B" w:rsidRPr="007A524D" w:rsidRDefault="007B648B" w:rsidP="007B648B">
            <w:pPr>
              <w:pStyle w:val="Tabletextright"/>
            </w:pPr>
            <w:r w:rsidRPr="004608C2">
              <w:t>187 099</w:t>
            </w:r>
          </w:p>
        </w:tc>
      </w:tr>
      <w:tr w:rsidR="007B648B" w:rsidRPr="007A524D" w14:paraId="75A28CBA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342E704D" w14:textId="4EF76E9A" w:rsidR="007B648B" w:rsidRPr="007A3FDA" w:rsidRDefault="007B648B" w:rsidP="00A671C0">
            <w:pPr>
              <w:pStyle w:val="Tabletext"/>
              <w:keepNext/>
            </w:pPr>
            <w:r w:rsidRPr="00EE76A3">
              <w:lastRenderedPageBreak/>
              <w:t>PricewaterhouseCoopers</w:t>
            </w:r>
          </w:p>
        </w:tc>
        <w:tc>
          <w:tcPr>
            <w:tcW w:w="2790" w:type="dxa"/>
            <w:gridSpan w:val="2"/>
          </w:tcPr>
          <w:p w14:paraId="74970DF7" w14:textId="302F0238" w:rsidR="007B648B" w:rsidRPr="007A3FDA" w:rsidRDefault="007B648B" w:rsidP="007B648B">
            <w:pPr>
              <w:pStyle w:val="Tabletext"/>
            </w:pPr>
            <w:r w:rsidRPr="008410BD">
              <w:t>Commercial and transaction advice (</w:t>
            </w:r>
            <w:r w:rsidR="00A671C0" w:rsidRPr="00A671C0">
              <w:t>infrastructure projects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61FFAE52" w14:textId="25CB4E0E" w:rsidR="007B648B" w:rsidRPr="007A524D" w:rsidRDefault="007B648B" w:rsidP="007B648B">
            <w:pPr>
              <w:pStyle w:val="Tabletextright"/>
            </w:pPr>
            <w:r w:rsidRPr="004608C2">
              <w:t>8</w:t>
            </w:r>
            <w:r>
              <w:t xml:space="preserve"> </w:t>
            </w:r>
            <w:r w:rsidRPr="004608C2">
              <w:t>050 000</w:t>
            </w:r>
          </w:p>
        </w:tc>
        <w:tc>
          <w:tcPr>
            <w:tcW w:w="1293" w:type="dxa"/>
          </w:tcPr>
          <w:p w14:paraId="28CF67B7" w14:textId="6608F860" w:rsidR="007B648B" w:rsidRPr="007A524D" w:rsidRDefault="007B648B" w:rsidP="007B648B">
            <w:pPr>
              <w:pStyle w:val="Tabletextright"/>
            </w:pPr>
            <w:r w:rsidRPr="004608C2">
              <w:t>3</w:t>
            </w:r>
            <w:r>
              <w:t xml:space="preserve"> </w:t>
            </w:r>
            <w:r w:rsidRPr="004608C2">
              <w:t>918 937</w:t>
            </w:r>
          </w:p>
        </w:tc>
        <w:tc>
          <w:tcPr>
            <w:tcW w:w="1293" w:type="dxa"/>
          </w:tcPr>
          <w:p w14:paraId="37CAAED9" w14:textId="494CCA6C" w:rsidR="007B648B" w:rsidRPr="007A524D" w:rsidRDefault="007B648B" w:rsidP="007B648B">
            <w:pPr>
              <w:pStyle w:val="Tabletextright"/>
            </w:pPr>
            <w:r w:rsidRPr="004608C2">
              <w:t>479 646</w:t>
            </w:r>
          </w:p>
        </w:tc>
      </w:tr>
      <w:tr w:rsidR="007B648B" w:rsidRPr="007A524D" w14:paraId="1B900CE0" w14:textId="77777777" w:rsidTr="008410BD">
        <w:tc>
          <w:tcPr>
            <w:tcW w:w="2429" w:type="dxa"/>
          </w:tcPr>
          <w:p w14:paraId="77FDA9DD" w14:textId="44007F06" w:rsidR="007B648B" w:rsidRPr="007A3FDA" w:rsidRDefault="007B648B" w:rsidP="007B648B">
            <w:pPr>
              <w:pStyle w:val="Tabletext"/>
            </w:pPr>
            <w:r w:rsidRPr="00EE76A3">
              <w:t>PricewaterhouseCoopers</w:t>
            </w:r>
          </w:p>
        </w:tc>
        <w:tc>
          <w:tcPr>
            <w:tcW w:w="2790" w:type="dxa"/>
            <w:gridSpan w:val="2"/>
          </w:tcPr>
          <w:p w14:paraId="596A6B82" w14:textId="6215DA40" w:rsidR="007B648B" w:rsidRPr="007A3FDA" w:rsidRDefault="007B648B" w:rsidP="007B648B">
            <w:pPr>
              <w:pStyle w:val="Tabletext"/>
            </w:pPr>
            <w:r w:rsidRPr="008410BD">
              <w:t>Strategy advice and subject matter expertise for the refreshed Master Agency Media Services (MAMS) tender</w:t>
            </w:r>
          </w:p>
        </w:tc>
        <w:tc>
          <w:tcPr>
            <w:tcW w:w="1292" w:type="dxa"/>
          </w:tcPr>
          <w:p w14:paraId="62AB4D8A" w14:textId="21FE7172" w:rsidR="007B648B" w:rsidRPr="007A524D" w:rsidRDefault="007B648B" w:rsidP="007B648B">
            <w:pPr>
              <w:pStyle w:val="Tabletextright"/>
            </w:pPr>
            <w:r w:rsidRPr="004608C2">
              <w:t>214 830</w:t>
            </w:r>
          </w:p>
        </w:tc>
        <w:tc>
          <w:tcPr>
            <w:tcW w:w="1293" w:type="dxa"/>
          </w:tcPr>
          <w:p w14:paraId="60CA95E0" w14:textId="3B31CE80" w:rsidR="007B648B" w:rsidRPr="007A524D" w:rsidRDefault="007B648B" w:rsidP="007B648B">
            <w:pPr>
              <w:pStyle w:val="Tabletextright"/>
            </w:pPr>
            <w:r w:rsidRPr="004608C2">
              <w:t>50 374</w:t>
            </w:r>
          </w:p>
        </w:tc>
        <w:tc>
          <w:tcPr>
            <w:tcW w:w="1293" w:type="dxa"/>
          </w:tcPr>
          <w:p w14:paraId="56E49E0C" w14:textId="2565E093" w:rsidR="007B648B" w:rsidRPr="007A524D" w:rsidRDefault="007B648B" w:rsidP="007B648B">
            <w:pPr>
              <w:pStyle w:val="Tabletextright"/>
            </w:pPr>
            <w:r w:rsidRPr="004608C2">
              <w:t>164 456</w:t>
            </w:r>
          </w:p>
        </w:tc>
      </w:tr>
      <w:tr w:rsidR="008410BD" w:rsidRPr="007A524D" w14:paraId="69D6D59F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004AB10A" w14:textId="0BA7D774" w:rsidR="008410BD" w:rsidRPr="007A3FDA" w:rsidRDefault="008410BD" w:rsidP="008410BD">
            <w:pPr>
              <w:pStyle w:val="Tabletext"/>
            </w:pPr>
            <w:r w:rsidRPr="008410BD">
              <w:t>PricewaterhouseCoopers Consulting (Australia) Pty</w:t>
            </w:r>
            <w:r w:rsidR="00992A5E">
              <w:rPr>
                <w:rFonts w:ascii="Calibri" w:hAnsi="Calibri" w:cs="Calibri"/>
              </w:rPr>
              <w:t> </w:t>
            </w:r>
            <w:r w:rsidRPr="008410BD">
              <w:t>Limited</w:t>
            </w:r>
          </w:p>
        </w:tc>
        <w:tc>
          <w:tcPr>
            <w:tcW w:w="2790" w:type="dxa"/>
            <w:gridSpan w:val="2"/>
          </w:tcPr>
          <w:p w14:paraId="4C7680EF" w14:textId="05B617A5" w:rsidR="008410BD" w:rsidRPr="007A3FDA" w:rsidRDefault="008410BD" w:rsidP="008410BD">
            <w:pPr>
              <w:pStyle w:val="Tabletext"/>
            </w:pPr>
            <w:r w:rsidRPr="008410BD">
              <w:t xml:space="preserve">Commercial and transaction advice </w:t>
            </w:r>
            <w:r w:rsidR="00C74BD2">
              <w:t>(</w:t>
            </w:r>
            <w:r w:rsidRPr="008410BD">
              <w:t>Portland aluminium smelter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793D226B" w14:textId="3A003895" w:rsidR="008410BD" w:rsidRPr="007A524D" w:rsidRDefault="008410BD" w:rsidP="008410BD">
            <w:pPr>
              <w:pStyle w:val="Tabletextright"/>
            </w:pPr>
            <w:r w:rsidRPr="008410BD">
              <w:t>500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395E6A0B" w14:textId="358771AA" w:rsidR="008410BD" w:rsidRPr="007A524D" w:rsidRDefault="008410BD" w:rsidP="008410BD">
            <w:pPr>
              <w:pStyle w:val="Tabletextright"/>
            </w:pPr>
            <w:r w:rsidRPr="008410BD">
              <w:t>296</w:t>
            </w:r>
            <w:r>
              <w:rPr>
                <w:rFonts w:eastAsia="Times New Roman"/>
              </w:rPr>
              <w:t xml:space="preserve"> </w:t>
            </w:r>
            <w:r w:rsidRPr="008410BD">
              <w:t>462</w:t>
            </w:r>
          </w:p>
        </w:tc>
        <w:tc>
          <w:tcPr>
            <w:tcW w:w="1293" w:type="dxa"/>
          </w:tcPr>
          <w:p w14:paraId="7616F58B" w14:textId="28204FD1" w:rsidR="008410BD" w:rsidRPr="007A524D" w:rsidRDefault="008410BD" w:rsidP="008410BD">
            <w:pPr>
              <w:pStyle w:val="Tabletextright"/>
            </w:pPr>
            <w:r w:rsidRPr="008410BD">
              <w:t>203</w:t>
            </w:r>
            <w:r>
              <w:rPr>
                <w:rFonts w:eastAsia="Times New Roman"/>
              </w:rPr>
              <w:t xml:space="preserve"> </w:t>
            </w:r>
            <w:r w:rsidRPr="008410BD">
              <w:t>539</w:t>
            </w:r>
          </w:p>
        </w:tc>
      </w:tr>
      <w:tr w:rsidR="007B648B" w:rsidRPr="007A524D" w14:paraId="55BEBCCA" w14:textId="77777777" w:rsidTr="008410BD">
        <w:tc>
          <w:tcPr>
            <w:tcW w:w="2429" w:type="dxa"/>
          </w:tcPr>
          <w:p w14:paraId="71CE25FA" w14:textId="2D5532DC" w:rsidR="007B648B" w:rsidRPr="007A3FDA" w:rsidRDefault="007B648B" w:rsidP="007B648B">
            <w:pPr>
              <w:pStyle w:val="Tabletext"/>
            </w:pPr>
            <w:r w:rsidRPr="008410BD">
              <w:t>PricewaterhouseCoopers Consulting (Australia) Pty</w:t>
            </w:r>
            <w:r w:rsidR="00992A5E">
              <w:rPr>
                <w:rFonts w:ascii="Calibri" w:hAnsi="Calibri" w:cs="Calibri"/>
              </w:rPr>
              <w:t> </w:t>
            </w:r>
            <w:r w:rsidRPr="008410BD">
              <w:t>Limited</w:t>
            </w:r>
          </w:p>
        </w:tc>
        <w:tc>
          <w:tcPr>
            <w:tcW w:w="2790" w:type="dxa"/>
            <w:gridSpan w:val="2"/>
          </w:tcPr>
          <w:p w14:paraId="0C93D345" w14:textId="09BC16FA" w:rsidR="007B648B" w:rsidRPr="007A3FDA" w:rsidRDefault="007B648B" w:rsidP="007B648B">
            <w:pPr>
              <w:pStyle w:val="Tabletext"/>
            </w:pPr>
            <w:r w:rsidRPr="008410BD">
              <w:t xml:space="preserve">Commercial and transaction advice </w:t>
            </w:r>
            <w:r>
              <w:t>(policy reform)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1E1CC3D4" w14:textId="5C1530E2" w:rsidR="007B648B" w:rsidRPr="007A3FDA" w:rsidRDefault="007B648B" w:rsidP="007B648B">
            <w:pPr>
              <w:pStyle w:val="Tabletextright"/>
            </w:pPr>
            <w:r w:rsidRPr="008D6FC8">
              <w:t>1</w:t>
            </w:r>
            <w:r>
              <w:t xml:space="preserve"> </w:t>
            </w:r>
            <w:r w:rsidRPr="008D6FC8">
              <w:t>752 761</w:t>
            </w:r>
          </w:p>
        </w:tc>
        <w:tc>
          <w:tcPr>
            <w:tcW w:w="1293" w:type="dxa"/>
          </w:tcPr>
          <w:p w14:paraId="5091539D" w14:textId="67629D35" w:rsidR="007B648B" w:rsidRPr="007A3FDA" w:rsidRDefault="007B648B" w:rsidP="007B648B">
            <w:pPr>
              <w:pStyle w:val="Tabletextright"/>
            </w:pPr>
            <w:r w:rsidRPr="008D6FC8">
              <w:t>468 880</w:t>
            </w:r>
          </w:p>
        </w:tc>
        <w:tc>
          <w:tcPr>
            <w:tcW w:w="1293" w:type="dxa"/>
          </w:tcPr>
          <w:p w14:paraId="72417F54" w14:textId="269A7CEF" w:rsidR="007B648B" w:rsidRPr="007A3FDA" w:rsidRDefault="007B648B" w:rsidP="007B648B">
            <w:pPr>
              <w:pStyle w:val="Tabletextright"/>
            </w:pPr>
            <w:r w:rsidRPr="008D6FC8">
              <w:t>855 794</w:t>
            </w:r>
          </w:p>
        </w:tc>
      </w:tr>
      <w:tr w:rsidR="008410BD" w:rsidRPr="007A524D" w14:paraId="6D06852D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242A5332" w14:textId="4E0F1040" w:rsidR="008410BD" w:rsidRPr="008410BD" w:rsidRDefault="008410BD" w:rsidP="008410BD">
            <w:pPr>
              <w:pStyle w:val="Tabletext"/>
            </w:pPr>
            <w:r w:rsidRPr="008410BD">
              <w:t>PricewaterhouseCoopers Consulting (Australia) Pty</w:t>
            </w:r>
            <w:r w:rsidR="00992A5E">
              <w:rPr>
                <w:rFonts w:ascii="Calibri" w:hAnsi="Calibri" w:cs="Calibri"/>
              </w:rPr>
              <w:t> </w:t>
            </w:r>
            <w:r w:rsidRPr="008410BD">
              <w:t>Limited</w:t>
            </w:r>
          </w:p>
        </w:tc>
        <w:tc>
          <w:tcPr>
            <w:tcW w:w="2790" w:type="dxa"/>
            <w:gridSpan w:val="2"/>
          </w:tcPr>
          <w:p w14:paraId="06C66EE6" w14:textId="4BB3C039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General professional </w:t>
            </w:r>
            <w:r w:rsidR="00C74BD2" w:rsidRPr="008410BD">
              <w:t xml:space="preserve">advice </w:t>
            </w:r>
            <w:r w:rsidR="00A07BAE">
              <w:t>(policy reform)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059916D8" w14:textId="4AD37518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</w:t>
            </w:r>
            <w:r>
              <w:rPr>
                <w:rFonts w:eastAsia="Times New Roman"/>
              </w:rPr>
              <w:t xml:space="preserve"> </w:t>
            </w:r>
            <w:r w:rsidRPr="008410BD">
              <w:t>067</w:t>
            </w:r>
            <w:r>
              <w:rPr>
                <w:rFonts w:eastAsia="Times New Roman"/>
              </w:rPr>
              <w:t xml:space="preserve"> </w:t>
            </w:r>
            <w:r w:rsidRPr="008410BD">
              <w:t>669</w:t>
            </w:r>
          </w:p>
        </w:tc>
        <w:tc>
          <w:tcPr>
            <w:tcW w:w="1293" w:type="dxa"/>
          </w:tcPr>
          <w:p w14:paraId="5D0E132A" w14:textId="2D40034B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442</w:t>
            </w:r>
            <w:r>
              <w:rPr>
                <w:rFonts w:eastAsia="Times New Roman"/>
              </w:rPr>
              <w:t xml:space="preserve"> </w:t>
            </w:r>
            <w:r w:rsidRPr="008410BD">
              <w:t>610</w:t>
            </w:r>
          </w:p>
        </w:tc>
        <w:tc>
          <w:tcPr>
            <w:tcW w:w="1293" w:type="dxa"/>
          </w:tcPr>
          <w:p w14:paraId="00022307" w14:textId="0BCB2B77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625</w:t>
            </w:r>
            <w:r>
              <w:rPr>
                <w:rFonts w:eastAsia="Times New Roman"/>
              </w:rPr>
              <w:t xml:space="preserve"> </w:t>
            </w:r>
            <w:r w:rsidRPr="008410BD">
              <w:t>059</w:t>
            </w:r>
          </w:p>
        </w:tc>
      </w:tr>
      <w:tr w:rsidR="008410BD" w:rsidRPr="007A524D" w14:paraId="6C2F6F66" w14:textId="77777777" w:rsidTr="008410BD">
        <w:tc>
          <w:tcPr>
            <w:tcW w:w="2429" w:type="dxa"/>
          </w:tcPr>
          <w:p w14:paraId="0DB42311" w14:textId="2DF48FB2" w:rsidR="008410BD" w:rsidRPr="008410BD" w:rsidRDefault="008410BD" w:rsidP="008410BD">
            <w:pPr>
              <w:pStyle w:val="Tabletext"/>
            </w:pPr>
            <w:r w:rsidRPr="008410BD">
              <w:t>PricewaterhouseCoopers Consulting (Australia) Pty</w:t>
            </w:r>
            <w:r w:rsidR="00992A5E">
              <w:rPr>
                <w:rFonts w:ascii="Calibri" w:hAnsi="Calibri" w:cs="Calibri"/>
              </w:rPr>
              <w:t> </w:t>
            </w:r>
            <w:r w:rsidRPr="008410BD">
              <w:t>Limited</w:t>
            </w:r>
          </w:p>
        </w:tc>
        <w:tc>
          <w:tcPr>
            <w:tcW w:w="2790" w:type="dxa"/>
            <w:gridSpan w:val="2"/>
          </w:tcPr>
          <w:p w14:paraId="52B1FAC6" w14:textId="1B1339B8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General professional advice (SHGF </w:t>
            </w:r>
            <w:r w:rsidR="00C74BD2" w:rsidRPr="008410BD">
              <w:t>capital grants program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10EE5ABB" w14:textId="0E3925C5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172</w:t>
            </w:r>
            <w:r>
              <w:rPr>
                <w:rFonts w:eastAsia="Times New Roman"/>
              </w:rPr>
              <w:t xml:space="preserve"> </w:t>
            </w:r>
            <w:r w:rsidRPr="008410BD">
              <w:t>686</w:t>
            </w:r>
          </w:p>
        </w:tc>
        <w:tc>
          <w:tcPr>
            <w:tcW w:w="1293" w:type="dxa"/>
          </w:tcPr>
          <w:p w14:paraId="231B7D2B" w14:textId="416AA459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172</w:t>
            </w:r>
            <w:r>
              <w:rPr>
                <w:rFonts w:eastAsia="Times New Roman"/>
              </w:rPr>
              <w:t xml:space="preserve"> </w:t>
            </w:r>
            <w:r w:rsidRPr="008410BD">
              <w:t>686</w:t>
            </w:r>
          </w:p>
        </w:tc>
        <w:tc>
          <w:tcPr>
            <w:tcW w:w="1293" w:type="dxa"/>
          </w:tcPr>
          <w:p w14:paraId="709DAE2A" w14:textId="332FC37F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1F7C95DB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22022F28" w14:textId="4C952173" w:rsidR="008410BD" w:rsidRPr="008410BD" w:rsidRDefault="008410BD" w:rsidP="008410BD">
            <w:pPr>
              <w:pStyle w:val="Tabletext"/>
            </w:pPr>
            <w:r w:rsidRPr="008410BD">
              <w:t>Right Lane Consulting Pty</w:t>
            </w:r>
            <w:r w:rsidR="00992A5E">
              <w:rPr>
                <w:rFonts w:ascii="Calibri" w:hAnsi="Calibri" w:cs="Calibri"/>
              </w:rPr>
              <w:t> </w:t>
            </w:r>
            <w:r w:rsidRPr="008410BD">
              <w:t>Ltd</w:t>
            </w:r>
          </w:p>
        </w:tc>
        <w:tc>
          <w:tcPr>
            <w:tcW w:w="2790" w:type="dxa"/>
            <w:gridSpan w:val="2"/>
          </w:tcPr>
          <w:p w14:paraId="48D7C4B5" w14:textId="0494692C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General professional advice (Invest Vic</w:t>
            </w:r>
            <w:r w:rsidR="00C74BD2">
              <w:t>toria</w:t>
            </w:r>
            <w:r w:rsidRPr="008410BD">
              <w:t xml:space="preserve"> </w:t>
            </w:r>
            <w:r w:rsidR="00C74BD2" w:rsidRPr="008410BD">
              <w:t>corporate plan</w:t>
            </w:r>
            <w:r>
              <w:t>)</w:t>
            </w:r>
            <w:r w:rsidRPr="008410BD">
              <w:t xml:space="preserve"> </w:t>
            </w:r>
          </w:p>
        </w:tc>
        <w:tc>
          <w:tcPr>
            <w:tcW w:w="1292" w:type="dxa"/>
          </w:tcPr>
          <w:p w14:paraId="18A22FEB" w14:textId="103040E1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138</w:t>
            </w:r>
            <w:r>
              <w:rPr>
                <w:rFonts w:eastAsia="Times New Roman"/>
              </w:rPr>
              <w:t xml:space="preserve"> </w:t>
            </w:r>
            <w:r w:rsidRPr="008410BD">
              <w:t>300</w:t>
            </w:r>
          </w:p>
        </w:tc>
        <w:tc>
          <w:tcPr>
            <w:tcW w:w="1293" w:type="dxa"/>
          </w:tcPr>
          <w:p w14:paraId="21150DE2" w14:textId="2635C37E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138</w:t>
            </w:r>
            <w:r>
              <w:rPr>
                <w:rFonts w:eastAsia="Times New Roman"/>
              </w:rPr>
              <w:t xml:space="preserve"> </w:t>
            </w:r>
            <w:r w:rsidRPr="008410BD">
              <w:t>300</w:t>
            </w:r>
          </w:p>
        </w:tc>
        <w:tc>
          <w:tcPr>
            <w:tcW w:w="1293" w:type="dxa"/>
          </w:tcPr>
          <w:p w14:paraId="3FC263D4" w14:textId="779984BF" w:rsidR="008410BD" w:rsidRDefault="008410BD" w:rsidP="008410BD">
            <w:pPr>
              <w:pStyle w:val="Tabletextright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08F41E13" w14:textId="77777777" w:rsidTr="008410BD">
        <w:tc>
          <w:tcPr>
            <w:tcW w:w="2429" w:type="dxa"/>
          </w:tcPr>
          <w:p w14:paraId="7D27C43D" w14:textId="18327694" w:rsidR="008410BD" w:rsidRPr="008410BD" w:rsidRDefault="008410BD" w:rsidP="008410BD">
            <w:pPr>
              <w:pStyle w:val="Tabletext"/>
            </w:pPr>
            <w:r w:rsidRPr="008410BD">
              <w:t>Rothschild Australia Ltd</w:t>
            </w:r>
          </w:p>
        </w:tc>
        <w:tc>
          <w:tcPr>
            <w:tcW w:w="2790" w:type="dxa"/>
            <w:gridSpan w:val="2"/>
          </w:tcPr>
          <w:p w14:paraId="79A05D4E" w14:textId="23318A3A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Commercial and </w:t>
            </w:r>
            <w:r w:rsidR="00C74BD2" w:rsidRPr="008410BD">
              <w:t xml:space="preserve">transaction advice </w:t>
            </w:r>
            <w:r w:rsidRPr="008410BD">
              <w:t>(North East Link)</w:t>
            </w:r>
            <w:r w:rsidR="00C74BD2">
              <w:t xml:space="preserve"> </w:t>
            </w:r>
          </w:p>
        </w:tc>
        <w:tc>
          <w:tcPr>
            <w:tcW w:w="1292" w:type="dxa"/>
          </w:tcPr>
          <w:p w14:paraId="18287100" w14:textId="6EA821E9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2</w:t>
            </w:r>
            <w:r>
              <w:rPr>
                <w:rFonts w:eastAsia="Times New Roman"/>
              </w:rPr>
              <w:t xml:space="preserve"> </w:t>
            </w:r>
            <w:r w:rsidRPr="008410BD">
              <w:t>967</w:t>
            </w:r>
            <w:r>
              <w:rPr>
                <w:rFonts w:eastAsia="Times New Roman"/>
              </w:rPr>
              <w:t xml:space="preserve"> </w:t>
            </w:r>
            <w:r w:rsidRPr="008410BD">
              <w:t>170</w:t>
            </w:r>
          </w:p>
        </w:tc>
        <w:tc>
          <w:tcPr>
            <w:tcW w:w="1293" w:type="dxa"/>
          </w:tcPr>
          <w:p w14:paraId="6283C39F" w14:textId="4329CADA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</w:t>
            </w:r>
            <w:r>
              <w:rPr>
                <w:rFonts w:eastAsia="Times New Roman"/>
              </w:rPr>
              <w:t xml:space="preserve"> </w:t>
            </w:r>
            <w:r w:rsidRPr="008410BD">
              <w:t>078</w:t>
            </w:r>
            <w:r>
              <w:rPr>
                <w:rFonts w:eastAsia="Times New Roman"/>
              </w:rPr>
              <w:t xml:space="preserve"> </w:t>
            </w:r>
            <w:r w:rsidRPr="008410BD">
              <w:t>004</w:t>
            </w:r>
          </w:p>
        </w:tc>
        <w:tc>
          <w:tcPr>
            <w:tcW w:w="1293" w:type="dxa"/>
          </w:tcPr>
          <w:p w14:paraId="73F4948F" w14:textId="3557D38E" w:rsid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</w:t>
            </w:r>
            <w:r>
              <w:rPr>
                <w:rFonts w:eastAsia="Times New Roman"/>
              </w:rPr>
              <w:t xml:space="preserve"> </w:t>
            </w:r>
            <w:r w:rsidRPr="008410BD">
              <w:t>889</w:t>
            </w:r>
            <w:r>
              <w:rPr>
                <w:rFonts w:eastAsia="Times New Roman"/>
              </w:rPr>
              <w:t xml:space="preserve"> </w:t>
            </w:r>
            <w:r w:rsidRPr="008410BD">
              <w:t>166</w:t>
            </w:r>
          </w:p>
        </w:tc>
      </w:tr>
      <w:tr w:rsidR="008410BD" w:rsidRPr="007A524D" w14:paraId="261EBC2A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7FB9BFF6" w14:textId="042559B9" w:rsidR="008410BD" w:rsidRPr="008410BD" w:rsidRDefault="008410BD" w:rsidP="008410BD">
            <w:pPr>
              <w:pStyle w:val="Tabletext"/>
            </w:pPr>
            <w:r w:rsidRPr="008410BD">
              <w:t>SGS Economics &amp; Planning Pty Ltd</w:t>
            </w:r>
          </w:p>
        </w:tc>
        <w:tc>
          <w:tcPr>
            <w:tcW w:w="2790" w:type="dxa"/>
            <w:gridSpan w:val="2"/>
          </w:tcPr>
          <w:p w14:paraId="14064824" w14:textId="27EFC61B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General professional services (development of a strategic economic impact model) </w:t>
            </w:r>
          </w:p>
        </w:tc>
        <w:tc>
          <w:tcPr>
            <w:tcW w:w="1292" w:type="dxa"/>
          </w:tcPr>
          <w:p w14:paraId="500A45A6" w14:textId="348FC09E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107</w:t>
            </w:r>
            <w:r>
              <w:rPr>
                <w:rFonts w:eastAsia="Times New Roman"/>
              </w:rPr>
              <w:t xml:space="preserve"> </w:t>
            </w:r>
            <w:r w:rsidRPr="008410BD">
              <w:t>819</w:t>
            </w:r>
          </w:p>
        </w:tc>
        <w:tc>
          <w:tcPr>
            <w:tcW w:w="1293" w:type="dxa"/>
          </w:tcPr>
          <w:p w14:paraId="351ED077" w14:textId="09DD39D4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98</w:t>
            </w:r>
            <w:r>
              <w:rPr>
                <w:rFonts w:eastAsia="Times New Roman"/>
              </w:rPr>
              <w:t xml:space="preserve"> </w:t>
            </w:r>
            <w:r w:rsidRPr="008410BD">
              <w:t>255</w:t>
            </w:r>
          </w:p>
        </w:tc>
        <w:tc>
          <w:tcPr>
            <w:tcW w:w="1293" w:type="dxa"/>
          </w:tcPr>
          <w:p w14:paraId="7A3032EE" w14:textId="070037FC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9</w:t>
            </w:r>
            <w:r>
              <w:rPr>
                <w:rFonts w:eastAsia="Times New Roman"/>
              </w:rPr>
              <w:t xml:space="preserve"> </w:t>
            </w:r>
            <w:r w:rsidRPr="008410BD">
              <w:t>564</w:t>
            </w:r>
          </w:p>
        </w:tc>
      </w:tr>
      <w:tr w:rsidR="008410BD" w:rsidRPr="007A524D" w14:paraId="2872305A" w14:textId="77777777" w:rsidTr="008410BD">
        <w:tc>
          <w:tcPr>
            <w:tcW w:w="2429" w:type="dxa"/>
          </w:tcPr>
          <w:p w14:paraId="599CEF2C" w14:textId="3FB5A56B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SGS Economics &amp; Planning Pty Ltd</w:t>
            </w:r>
          </w:p>
        </w:tc>
        <w:tc>
          <w:tcPr>
            <w:tcW w:w="2790" w:type="dxa"/>
            <w:gridSpan w:val="2"/>
          </w:tcPr>
          <w:p w14:paraId="74905C0C" w14:textId="0FEB2137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General professional services (Independent </w:t>
            </w:r>
            <w:r w:rsidR="00C74BD2" w:rsidRPr="008410BD">
              <w:t>cost benefit analysis on</w:t>
            </w:r>
            <w:r w:rsidR="00C74BD2">
              <w:t xml:space="preserve"> </w:t>
            </w:r>
            <w:r w:rsidR="00C74BD2" w:rsidRPr="008410BD">
              <w:t xml:space="preserve">benefits </w:t>
            </w:r>
            <w:r w:rsidRPr="008410BD">
              <w:t xml:space="preserve">from investment proposals) </w:t>
            </w:r>
          </w:p>
        </w:tc>
        <w:tc>
          <w:tcPr>
            <w:tcW w:w="1292" w:type="dxa"/>
          </w:tcPr>
          <w:p w14:paraId="61283C3B" w14:textId="76C4BFC4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145</w:t>
            </w:r>
            <w:r>
              <w:rPr>
                <w:rFonts w:eastAsia="Times New Roman"/>
              </w:rPr>
              <w:t xml:space="preserve"> </w:t>
            </w:r>
            <w:r w:rsidRPr="008410BD">
              <w:t>455</w:t>
            </w:r>
          </w:p>
        </w:tc>
        <w:tc>
          <w:tcPr>
            <w:tcW w:w="1293" w:type="dxa"/>
          </w:tcPr>
          <w:p w14:paraId="5F9B97A5" w14:textId="74FDAAA6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112</w:t>
            </w:r>
            <w:r>
              <w:rPr>
                <w:rFonts w:eastAsia="Times New Roman"/>
              </w:rPr>
              <w:t xml:space="preserve"> </w:t>
            </w:r>
            <w:r w:rsidRPr="008410BD">
              <w:t>500</w:t>
            </w:r>
          </w:p>
        </w:tc>
        <w:tc>
          <w:tcPr>
            <w:tcW w:w="1293" w:type="dxa"/>
          </w:tcPr>
          <w:p w14:paraId="6F158A94" w14:textId="4288AA99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32</w:t>
            </w:r>
            <w:r>
              <w:rPr>
                <w:rFonts w:eastAsia="Times New Roman"/>
              </w:rPr>
              <w:t xml:space="preserve"> </w:t>
            </w:r>
            <w:r w:rsidRPr="008410BD">
              <w:t>955</w:t>
            </w:r>
          </w:p>
        </w:tc>
      </w:tr>
      <w:tr w:rsidR="008410BD" w:rsidRPr="007A524D" w14:paraId="1E98C052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69E5DA9A" w14:textId="6516C641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SGS Economics &amp; Planning Pty Ltd</w:t>
            </w:r>
          </w:p>
        </w:tc>
        <w:tc>
          <w:tcPr>
            <w:tcW w:w="2790" w:type="dxa"/>
            <w:gridSpan w:val="2"/>
          </w:tcPr>
          <w:p w14:paraId="320033CB" w14:textId="6BF9F521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General professional services (</w:t>
            </w:r>
            <w:r w:rsidR="00C74BD2" w:rsidRPr="008410BD">
              <w:t xml:space="preserve">review </w:t>
            </w:r>
            <w:r w:rsidRPr="008410BD">
              <w:t xml:space="preserve">of the </w:t>
            </w:r>
            <w:r w:rsidR="00C74BD2" w:rsidRPr="008410BD">
              <w:t>investment attraction and assistance program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4CCFB129" w14:textId="3927FE25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49</w:t>
            </w:r>
            <w:r>
              <w:rPr>
                <w:rFonts w:eastAsia="Times New Roman"/>
              </w:rPr>
              <w:t xml:space="preserve"> </w:t>
            </w:r>
            <w:r w:rsidRPr="008410BD">
              <w:t>665</w:t>
            </w:r>
          </w:p>
        </w:tc>
        <w:tc>
          <w:tcPr>
            <w:tcW w:w="1293" w:type="dxa"/>
          </w:tcPr>
          <w:p w14:paraId="56CC577F" w14:textId="4E4DA642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49</w:t>
            </w:r>
            <w:r>
              <w:rPr>
                <w:rFonts w:eastAsia="Times New Roman"/>
              </w:rPr>
              <w:t xml:space="preserve"> </w:t>
            </w:r>
            <w:r w:rsidRPr="008410BD">
              <w:t>665</w:t>
            </w:r>
          </w:p>
        </w:tc>
        <w:tc>
          <w:tcPr>
            <w:tcW w:w="1293" w:type="dxa"/>
          </w:tcPr>
          <w:p w14:paraId="784588A9" w14:textId="13F0237F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611A30A2" w14:textId="77777777" w:rsidTr="008410BD">
        <w:tc>
          <w:tcPr>
            <w:tcW w:w="2429" w:type="dxa"/>
          </w:tcPr>
          <w:p w14:paraId="485C80AB" w14:textId="44C8AC1D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SGS Economics &amp; Planning Pty Ltd</w:t>
            </w:r>
          </w:p>
        </w:tc>
        <w:tc>
          <w:tcPr>
            <w:tcW w:w="2790" w:type="dxa"/>
            <w:gridSpan w:val="2"/>
          </w:tcPr>
          <w:p w14:paraId="1FC0EFA0" w14:textId="11FC5007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Professional services (development of a </w:t>
            </w:r>
            <w:r w:rsidR="00C74BD2" w:rsidRPr="008410BD">
              <w:t>strategic economic impact model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47B5815A" w14:textId="7BDB38D3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19</w:t>
            </w:r>
            <w:r>
              <w:rPr>
                <w:rFonts w:eastAsia="Times New Roman"/>
              </w:rPr>
              <w:t xml:space="preserve"> </w:t>
            </w:r>
            <w:r w:rsidRPr="008410BD">
              <w:t>707</w:t>
            </w:r>
          </w:p>
        </w:tc>
        <w:tc>
          <w:tcPr>
            <w:tcW w:w="1293" w:type="dxa"/>
          </w:tcPr>
          <w:p w14:paraId="19302454" w14:textId="24200146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19</w:t>
            </w:r>
            <w:r>
              <w:rPr>
                <w:rFonts w:eastAsia="Times New Roman"/>
              </w:rPr>
              <w:t xml:space="preserve"> </w:t>
            </w:r>
            <w:r w:rsidRPr="008410BD">
              <w:t>707</w:t>
            </w:r>
          </w:p>
        </w:tc>
        <w:tc>
          <w:tcPr>
            <w:tcW w:w="1293" w:type="dxa"/>
          </w:tcPr>
          <w:p w14:paraId="66EE5AB1" w14:textId="7ADD8F67" w:rsidR="008410BD" w:rsidRDefault="008410BD" w:rsidP="008410BD">
            <w:pPr>
              <w:pStyle w:val="Tabletextright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7CE7D146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732DF599" w14:textId="64546430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Smedley Technical &amp; Strategic Pty Ltd</w:t>
            </w:r>
          </w:p>
        </w:tc>
        <w:tc>
          <w:tcPr>
            <w:tcW w:w="2790" w:type="dxa"/>
            <w:gridSpan w:val="2"/>
          </w:tcPr>
          <w:p w14:paraId="4533DB9A" w14:textId="37E0257C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Commercial and transaction advice (</w:t>
            </w:r>
            <w:r w:rsidR="00C74BD2" w:rsidRPr="008410BD">
              <w:t>transport technical advisory services</w:t>
            </w:r>
            <w:r w:rsidRPr="008410BD">
              <w:t>)</w:t>
            </w:r>
          </w:p>
        </w:tc>
        <w:tc>
          <w:tcPr>
            <w:tcW w:w="1292" w:type="dxa"/>
          </w:tcPr>
          <w:p w14:paraId="717C87DF" w14:textId="1C0F2D58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493</w:t>
            </w:r>
            <w:r>
              <w:rPr>
                <w:rFonts w:eastAsia="Times New Roman"/>
              </w:rPr>
              <w:t xml:space="preserve"> </w:t>
            </w:r>
            <w:r w:rsidRPr="008410BD">
              <w:t>636</w:t>
            </w:r>
          </w:p>
        </w:tc>
        <w:tc>
          <w:tcPr>
            <w:tcW w:w="1293" w:type="dxa"/>
          </w:tcPr>
          <w:p w14:paraId="5175698D" w14:textId="0D4B5938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13</w:t>
            </w:r>
            <w:r>
              <w:rPr>
                <w:rFonts w:eastAsia="Times New Roman"/>
              </w:rPr>
              <w:t xml:space="preserve"> </w:t>
            </w:r>
            <w:r w:rsidRPr="008410BD">
              <w:t>087</w:t>
            </w:r>
          </w:p>
        </w:tc>
        <w:tc>
          <w:tcPr>
            <w:tcW w:w="1293" w:type="dxa"/>
          </w:tcPr>
          <w:p w14:paraId="205F23A9" w14:textId="1EAA816D" w:rsid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476</w:t>
            </w:r>
            <w:r>
              <w:rPr>
                <w:rFonts w:eastAsia="Times New Roman"/>
              </w:rPr>
              <w:t xml:space="preserve"> </w:t>
            </w:r>
            <w:r w:rsidRPr="008410BD">
              <w:t>713</w:t>
            </w:r>
          </w:p>
        </w:tc>
      </w:tr>
      <w:tr w:rsidR="008410BD" w:rsidRPr="007A524D" w14:paraId="571D821D" w14:textId="77777777" w:rsidTr="008410BD">
        <w:tc>
          <w:tcPr>
            <w:tcW w:w="2429" w:type="dxa"/>
          </w:tcPr>
          <w:p w14:paraId="298D1D1F" w14:textId="2215719F" w:rsidR="008410BD" w:rsidRPr="008410BD" w:rsidRDefault="008410BD" w:rsidP="00A671C0">
            <w:pPr>
              <w:pStyle w:val="Tabletext"/>
              <w:keepNext/>
            </w:pPr>
            <w:r w:rsidRPr="008410BD">
              <w:lastRenderedPageBreak/>
              <w:t>The Nous Group Pty Ltd</w:t>
            </w:r>
          </w:p>
        </w:tc>
        <w:tc>
          <w:tcPr>
            <w:tcW w:w="2790" w:type="dxa"/>
            <w:gridSpan w:val="2"/>
          </w:tcPr>
          <w:p w14:paraId="25A2FAC4" w14:textId="397E8E39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Delivery of a Better Approvals for Regulators (BAR) </w:t>
            </w:r>
            <w:r w:rsidR="00C74BD2" w:rsidRPr="008410BD">
              <w:t>program</w:t>
            </w:r>
          </w:p>
        </w:tc>
        <w:tc>
          <w:tcPr>
            <w:tcW w:w="1292" w:type="dxa"/>
          </w:tcPr>
          <w:p w14:paraId="787AF622" w14:textId="4C8A7898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</w:t>
            </w:r>
            <w:r>
              <w:rPr>
                <w:rFonts w:eastAsia="Times New Roman"/>
              </w:rPr>
              <w:t xml:space="preserve"> </w:t>
            </w:r>
            <w:r w:rsidRPr="008410BD">
              <w:t>983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20417AC1" w14:textId="774147AA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216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  <w:tc>
          <w:tcPr>
            <w:tcW w:w="1293" w:type="dxa"/>
          </w:tcPr>
          <w:p w14:paraId="0B0EF018" w14:textId="1E674CE8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</w:t>
            </w:r>
            <w:r>
              <w:rPr>
                <w:rFonts w:eastAsia="Times New Roman"/>
              </w:rPr>
              <w:t xml:space="preserve"> </w:t>
            </w:r>
            <w:r w:rsidRPr="008410BD">
              <w:t>767</w:t>
            </w:r>
            <w:r>
              <w:rPr>
                <w:rFonts w:eastAsia="Times New Roman"/>
              </w:rPr>
              <w:t xml:space="preserve"> </w:t>
            </w:r>
            <w:r w:rsidRPr="008410BD">
              <w:t>000</w:t>
            </w:r>
          </w:p>
        </w:tc>
      </w:tr>
      <w:tr w:rsidR="008410BD" w:rsidRPr="007A524D" w14:paraId="749A7472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26BC77A0" w14:textId="64723186" w:rsidR="008410BD" w:rsidRPr="008410BD" w:rsidRDefault="008410BD" w:rsidP="00A671C0">
            <w:pPr>
              <w:pStyle w:val="Tabletext"/>
              <w:keepNext/>
            </w:pPr>
            <w:r w:rsidRPr="008410BD">
              <w:t>The Nous Group Pty Ltd</w:t>
            </w:r>
          </w:p>
        </w:tc>
        <w:tc>
          <w:tcPr>
            <w:tcW w:w="2790" w:type="dxa"/>
            <w:gridSpan w:val="2"/>
          </w:tcPr>
          <w:p w14:paraId="2745F976" w14:textId="13DDF190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General professional </w:t>
            </w:r>
            <w:r w:rsidR="00C74BD2" w:rsidRPr="008410BD">
              <w:t xml:space="preserve">advice </w:t>
            </w:r>
            <w:r w:rsidRPr="008410BD">
              <w:t>(</w:t>
            </w:r>
            <w:r w:rsidR="00C74BD2" w:rsidRPr="008410BD">
              <w:t xml:space="preserve">preliminary </w:t>
            </w:r>
            <w:r w:rsidRPr="008410BD">
              <w:t xml:space="preserve">design of Big Build </w:t>
            </w:r>
            <w:r w:rsidR="00C74BD2" w:rsidRPr="008410BD">
              <w:t>apprenticeship model</w:t>
            </w:r>
            <w:r w:rsidRPr="008410BD">
              <w:t>)</w:t>
            </w:r>
            <w:r w:rsidR="00C74BD2">
              <w:t xml:space="preserve"> </w:t>
            </w:r>
          </w:p>
        </w:tc>
        <w:tc>
          <w:tcPr>
            <w:tcW w:w="1292" w:type="dxa"/>
          </w:tcPr>
          <w:p w14:paraId="427FF085" w14:textId="153DA39C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205</w:t>
            </w:r>
            <w:r>
              <w:rPr>
                <w:rFonts w:eastAsia="Times New Roman"/>
              </w:rPr>
              <w:t xml:space="preserve"> </w:t>
            </w:r>
            <w:r w:rsidRPr="008410BD">
              <w:t>455</w:t>
            </w:r>
          </w:p>
        </w:tc>
        <w:tc>
          <w:tcPr>
            <w:tcW w:w="1293" w:type="dxa"/>
          </w:tcPr>
          <w:p w14:paraId="413AF130" w14:textId="78BA5FAD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92</w:t>
            </w:r>
            <w:r>
              <w:rPr>
                <w:rFonts w:eastAsia="Times New Roman"/>
              </w:rPr>
              <w:t xml:space="preserve"> </w:t>
            </w:r>
            <w:r w:rsidRPr="008410BD">
              <w:t>500</w:t>
            </w:r>
          </w:p>
        </w:tc>
        <w:tc>
          <w:tcPr>
            <w:tcW w:w="1293" w:type="dxa"/>
          </w:tcPr>
          <w:p w14:paraId="0D43943C" w14:textId="20F55F0B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909</w:t>
            </w:r>
          </w:p>
        </w:tc>
      </w:tr>
      <w:tr w:rsidR="008410BD" w:rsidRPr="007A524D" w14:paraId="78A7AF5E" w14:textId="77777777" w:rsidTr="008410BD">
        <w:tc>
          <w:tcPr>
            <w:tcW w:w="2429" w:type="dxa"/>
          </w:tcPr>
          <w:p w14:paraId="6145FB5A" w14:textId="53FF90EC" w:rsidR="008410BD" w:rsidRPr="008410BD" w:rsidRDefault="008410BD" w:rsidP="008410BD">
            <w:pPr>
              <w:pStyle w:val="Tabletext"/>
            </w:pPr>
            <w:r w:rsidRPr="008410BD">
              <w:t>Turner &amp; Townsend Pty Ltd</w:t>
            </w:r>
          </w:p>
        </w:tc>
        <w:tc>
          <w:tcPr>
            <w:tcW w:w="2790" w:type="dxa"/>
            <w:gridSpan w:val="2"/>
          </w:tcPr>
          <w:p w14:paraId="54C88310" w14:textId="0D8D7600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 xml:space="preserve">General Professional Advice (Frankston Hospital </w:t>
            </w:r>
            <w:r w:rsidR="00C74BD2" w:rsidRPr="008410BD">
              <w:t>redevelopment</w:t>
            </w:r>
            <w:r w:rsidRPr="008410BD">
              <w:t xml:space="preserve">) </w:t>
            </w:r>
          </w:p>
        </w:tc>
        <w:tc>
          <w:tcPr>
            <w:tcW w:w="1292" w:type="dxa"/>
          </w:tcPr>
          <w:p w14:paraId="2B58CEB6" w14:textId="3815FE0E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42</w:t>
            </w:r>
            <w:r>
              <w:rPr>
                <w:rFonts w:eastAsia="Times New Roman"/>
              </w:rPr>
              <w:t xml:space="preserve"> </w:t>
            </w:r>
            <w:r w:rsidRPr="008410BD">
              <w:t>680</w:t>
            </w:r>
          </w:p>
        </w:tc>
        <w:tc>
          <w:tcPr>
            <w:tcW w:w="1293" w:type="dxa"/>
          </w:tcPr>
          <w:p w14:paraId="08FEE40D" w14:textId="3EC02226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42</w:t>
            </w:r>
            <w:r>
              <w:rPr>
                <w:rFonts w:eastAsia="Times New Roman"/>
              </w:rPr>
              <w:t xml:space="preserve"> </w:t>
            </w:r>
            <w:r w:rsidRPr="008410BD">
              <w:t>680</w:t>
            </w:r>
          </w:p>
        </w:tc>
        <w:tc>
          <w:tcPr>
            <w:tcW w:w="1293" w:type="dxa"/>
          </w:tcPr>
          <w:p w14:paraId="357F8896" w14:textId="6BEAD515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8410BD" w:rsidRPr="007A524D" w14:paraId="3B813C43" w14:textId="77777777" w:rsidTr="00841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9" w:type="dxa"/>
          </w:tcPr>
          <w:p w14:paraId="20C97ABF" w14:textId="67F1A8E9" w:rsidR="008410BD" w:rsidRPr="008410BD" w:rsidRDefault="008410BD" w:rsidP="008410BD">
            <w:pPr>
              <w:pStyle w:val="Tabletext"/>
            </w:pPr>
            <w:r w:rsidRPr="008410BD">
              <w:t>Urbis Pty Ltd</w:t>
            </w:r>
          </w:p>
        </w:tc>
        <w:tc>
          <w:tcPr>
            <w:tcW w:w="2790" w:type="dxa"/>
            <w:gridSpan w:val="2"/>
          </w:tcPr>
          <w:p w14:paraId="6C76A995" w14:textId="3BE93D7B" w:rsidR="008410BD" w:rsidRPr="008410BD" w:rsidRDefault="008410BD" w:rsidP="008410BD">
            <w:pPr>
              <w:pStyle w:val="Tabletext"/>
              <w:rPr>
                <w:rFonts w:eastAsia="Times New Roman"/>
              </w:rPr>
            </w:pPr>
            <w:r w:rsidRPr="008410BD">
              <w:t>General professional and commercial advice (</w:t>
            </w:r>
            <w:r w:rsidR="00C74BD2" w:rsidRPr="008410BD">
              <w:t xml:space="preserve">evaluation </w:t>
            </w:r>
            <w:r w:rsidRPr="008410BD">
              <w:t xml:space="preserve">of the Living Learning Partnership Addressing Disadvantage) </w:t>
            </w:r>
          </w:p>
        </w:tc>
        <w:tc>
          <w:tcPr>
            <w:tcW w:w="1292" w:type="dxa"/>
          </w:tcPr>
          <w:p w14:paraId="1F549BD0" w14:textId="714DB798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535</w:t>
            </w:r>
            <w:r>
              <w:rPr>
                <w:rFonts w:eastAsia="Times New Roman"/>
              </w:rPr>
              <w:t xml:space="preserve"> </w:t>
            </w:r>
            <w:r w:rsidRPr="008410BD">
              <w:t>554</w:t>
            </w:r>
          </w:p>
        </w:tc>
        <w:tc>
          <w:tcPr>
            <w:tcW w:w="1293" w:type="dxa"/>
          </w:tcPr>
          <w:p w14:paraId="0BEA3695" w14:textId="4D8938D4" w:rsidR="008410BD" w:rsidRP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157</w:t>
            </w:r>
            <w:r>
              <w:rPr>
                <w:rFonts w:eastAsia="Times New Roman"/>
              </w:rPr>
              <w:t xml:space="preserve"> </w:t>
            </w:r>
            <w:r w:rsidRPr="008410BD">
              <w:t>146</w:t>
            </w:r>
          </w:p>
        </w:tc>
        <w:tc>
          <w:tcPr>
            <w:tcW w:w="1293" w:type="dxa"/>
          </w:tcPr>
          <w:p w14:paraId="333CB890" w14:textId="24560B89" w:rsidR="008410BD" w:rsidRDefault="008410BD" w:rsidP="008410BD">
            <w:pPr>
              <w:pStyle w:val="Tabletextright"/>
              <w:rPr>
                <w:rFonts w:eastAsia="Times New Roman"/>
              </w:rPr>
            </w:pPr>
            <w:r w:rsidRPr="008410BD">
              <w:t>378</w:t>
            </w:r>
            <w:r>
              <w:rPr>
                <w:rFonts w:eastAsia="Times New Roman"/>
              </w:rPr>
              <w:t xml:space="preserve"> </w:t>
            </w:r>
            <w:r w:rsidRPr="008410BD">
              <w:t>408</w:t>
            </w:r>
          </w:p>
        </w:tc>
      </w:tr>
      <w:tr w:rsidR="007B648B" w:rsidRPr="007A524D" w14:paraId="420A5D98" w14:textId="77777777" w:rsidTr="008410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429" w:type="dxa"/>
          </w:tcPr>
          <w:p w14:paraId="06F31E23" w14:textId="22B56EB5" w:rsidR="007B648B" w:rsidRPr="008410BD" w:rsidRDefault="007B648B" w:rsidP="007B648B">
            <w:pPr>
              <w:pStyle w:val="Tabletext"/>
            </w:pPr>
            <w:r w:rsidRPr="008410BD">
              <w:rPr>
                <w:bCs/>
                <w:color w:val="auto"/>
              </w:rPr>
              <w:t>Total</w:t>
            </w:r>
          </w:p>
        </w:tc>
        <w:tc>
          <w:tcPr>
            <w:tcW w:w="2790" w:type="dxa"/>
            <w:gridSpan w:val="2"/>
          </w:tcPr>
          <w:p w14:paraId="37D7DB0A" w14:textId="0D9BEC6F" w:rsidR="007B648B" w:rsidRPr="008410BD" w:rsidRDefault="007B648B" w:rsidP="007B648B">
            <w:pPr>
              <w:pStyle w:val="Tabletext"/>
              <w:rPr>
                <w:rFonts w:eastAsia="Times New Roman"/>
              </w:rPr>
            </w:pPr>
          </w:p>
        </w:tc>
        <w:tc>
          <w:tcPr>
            <w:tcW w:w="1292" w:type="dxa"/>
          </w:tcPr>
          <w:p w14:paraId="6EFADC8E" w14:textId="777833D1" w:rsidR="007B648B" w:rsidRPr="008410BD" w:rsidRDefault="007B648B" w:rsidP="007B648B">
            <w:pPr>
              <w:pStyle w:val="Tabletextright"/>
              <w:rPr>
                <w:rFonts w:eastAsia="Times New Roman"/>
              </w:rPr>
            </w:pPr>
            <w:r w:rsidRPr="00155045">
              <w:t>60</w:t>
            </w:r>
            <w:r>
              <w:t xml:space="preserve"> </w:t>
            </w:r>
            <w:r w:rsidRPr="00155045">
              <w:t>240 784</w:t>
            </w:r>
          </w:p>
        </w:tc>
        <w:tc>
          <w:tcPr>
            <w:tcW w:w="1293" w:type="dxa"/>
          </w:tcPr>
          <w:p w14:paraId="28EC3032" w14:textId="5180DDDD" w:rsidR="007B648B" w:rsidRPr="008410BD" w:rsidRDefault="007B648B" w:rsidP="007B648B">
            <w:pPr>
              <w:pStyle w:val="Tabletextright"/>
              <w:rPr>
                <w:rFonts w:eastAsia="Times New Roman"/>
              </w:rPr>
            </w:pPr>
            <w:r w:rsidRPr="00155045">
              <w:t>24</w:t>
            </w:r>
            <w:r>
              <w:t xml:space="preserve"> </w:t>
            </w:r>
            <w:r w:rsidRPr="00155045">
              <w:t>400 852</w:t>
            </w:r>
          </w:p>
        </w:tc>
        <w:tc>
          <w:tcPr>
            <w:tcW w:w="1293" w:type="dxa"/>
          </w:tcPr>
          <w:p w14:paraId="0801A457" w14:textId="45850EB1" w:rsidR="007B648B" w:rsidRPr="008410BD" w:rsidRDefault="007B648B" w:rsidP="007B648B">
            <w:pPr>
              <w:pStyle w:val="Tabletextright"/>
              <w:rPr>
                <w:rFonts w:eastAsia="Times New Roman"/>
              </w:rPr>
            </w:pPr>
            <w:r w:rsidRPr="00155045">
              <w:t>25</w:t>
            </w:r>
            <w:r>
              <w:t xml:space="preserve"> </w:t>
            </w:r>
            <w:r w:rsidRPr="00155045">
              <w:t>393 829</w:t>
            </w:r>
          </w:p>
        </w:tc>
      </w:tr>
    </w:tbl>
    <w:p w14:paraId="115D7437" w14:textId="5736AA5E" w:rsidR="007A3FDA" w:rsidRDefault="007A3FDA" w:rsidP="00E403C1">
      <w:pPr>
        <w:pStyle w:val="Heading3"/>
        <w:pageBreakBefore/>
        <w:tabs>
          <w:tab w:val="right" w:pos="9084"/>
        </w:tabs>
        <w:ind w:right="-58"/>
      </w:pPr>
      <w:r w:rsidRPr="00BC0ACB">
        <w:lastRenderedPageBreak/>
        <w:t>Details of individual consultancies (valued at less than $10</w:t>
      </w:r>
      <w:r w:rsidRPr="00BC0ACB">
        <w:rPr>
          <w:rFonts w:ascii="Calibri" w:hAnsi="Calibri" w:cs="Calibri"/>
        </w:rPr>
        <w:t> </w:t>
      </w:r>
      <w:r w:rsidRPr="00BC0ACB">
        <w:t>000)</w:t>
      </w:r>
      <w:r w:rsidRPr="00A647EA">
        <w:t xml:space="preserve"> </w:t>
      </w:r>
    </w:p>
    <w:tbl>
      <w:tblPr>
        <w:tblStyle w:val="DTFtexttable"/>
        <w:tblW w:w="9164" w:type="dxa"/>
        <w:tblLayout w:type="fixed"/>
        <w:tblLook w:val="0460" w:firstRow="1" w:lastRow="1" w:firstColumn="0" w:lastColumn="0" w:noHBand="0" w:noVBand="1"/>
      </w:tblPr>
      <w:tblGrid>
        <w:gridCol w:w="2429"/>
        <w:gridCol w:w="2578"/>
        <w:gridCol w:w="212"/>
        <w:gridCol w:w="1315"/>
        <w:gridCol w:w="1315"/>
        <w:gridCol w:w="1315"/>
      </w:tblGrid>
      <w:tr w:rsidR="007A3FDA" w:rsidRPr="00E25907" w14:paraId="1767E35A" w14:textId="77777777" w:rsidTr="00B7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2429" w:type="dxa"/>
            <w:vAlign w:val="bottom"/>
            <w:hideMark/>
          </w:tcPr>
          <w:p w14:paraId="49402BDC" w14:textId="77777777" w:rsidR="007A3FDA" w:rsidRPr="00E25907" w:rsidRDefault="007A3FDA" w:rsidP="007A3FDA">
            <w:pPr>
              <w:pStyle w:val="Tableheader"/>
              <w:rPr>
                <w:sz w:val="17"/>
                <w:szCs w:val="17"/>
              </w:rPr>
            </w:pPr>
            <w:bookmarkStart w:id="2" w:name="_Hlk17809178"/>
            <w:r w:rsidRPr="00E25907">
              <w:rPr>
                <w:sz w:val="17"/>
                <w:szCs w:val="17"/>
              </w:rPr>
              <w:t>Consultant engaged</w:t>
            </w:r>
          </w:p>
        </w:tc>
        <w:tc>
          <w:tcPr>
            <w:tcW w:w="2578" w:type="dxa"/>
            <w:vAlign w:val="bottom"/>
            <w:hideMark/>
          </w:tcPr>
          <w:p w14:paraId="3DDF7482" w14:textId="77777777" w:rsidR="007A3FDA" w:rsidRPr="00E25907" w:rsidRDefault="007A3FDA" w:rsidP="007A3FDA">
            <w:pPr>
              <w:pStyle w:val="Tableheader"/>
              <w:rPr>
                <w:sz w:val="17"/>
                <w:szCs w:val="17"/>
              </w:rPr>
            </w:pPr>
            <w:r w:rsidRPr="00E25907">
              <w:rPr>
                <w:sz w:val="17"/>
                <w:szCs w:val="17"/>
              </w:rPr>
              <w:t>Purpose of consultancy</w:t>
            </w:r>
          </w:p>
        </w:tc>
        <w:tc>
          <w:tcPr>
            <w:tcW w:w="1527" w:type="dxa"/>
            <w:gridSpan w:val="2"/>
            <w:vAlign w:val="bottom"/>
            <w:hideMark/>
          </w:tcPr>
          <w:p w14:paraId="4085740C" w14:textId="397C7C24" w:rsidR="007A3FDA" w:rsidRPr="00E25907" w:rsidRDefault="007A3FDA" w:rsidP="007A3FDA">
            <w:pPr>
              <w:pStyle w:val="Tableheader"/>
              <w:jc w:val="right"/>
              <w:rPr>
                <w:b w:val="0"/>
                <w:sz w:val="17"/>
                <w:szCs w:val="17"/>
              </w:rPr>
            </w:pPr>
            <w:r w:rsidRPr="00E25907">
              <w:rPr>
                <w:sz w:val="17"/>
                <w:szCs w:val="17"/>
              </w:rPr>
              <w:t>Total approved project fee (excl. GST)</w:t>
            </w:r>
            <w:r w:rsidR="00B7449B">
              <w:rPr>
                <w:bCs/>
                <w:sz w:val="17"/>
              </w:rPr>
              <w:t xml:space="preserve"> </w:t>
            </w:r>
            <w:r w:rsidR="00B7449B">
              <w:rPr>
                <w:bCs/>
                <w:sz w:val="17"/>
              </w:rPr>
              <w:br/>
              <w:t>($)</w:t>
            </w:r>
            <w:r w:rsidR="00B744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15" w:type="dxa"/>
            <w:vAlign w:val="bottom"/>
            <w:hideMark/>
          </w:tcPr>
          <w:p w14:paraId="5AC1BB83" w14:textId="34821118" w:rsidR="007A3FDA" w:rsidRPr="00E25907" w:rsidRDefault="007A3FDA" w:rsidP="007A3FDA">
            <w:pPr>
              <w:pStyle w:val="Tableheader"/>
              <w:jc w:val="right"/>
              <w:rPr>
                <w:b w:val="0"/>
                <w:sz w:val="17"/>
                <w:szCs w:val="17"/>
              </w:rPr>
            </w:pPr>
            <w:r w:rsidRPr="00E25907">
              <w:rPr>
                <w:sz w:val="17"/>
                <w:szCs w:val="17"/>
              </w:rPr>
              <w:t>Expenditure 20</w:t>
            </w:r>
            <w:r w:rsidR="00C74BD2">
              <w:rPr>
                <w:sz w:val="17"/>
                <w:szCs w:val="17"/>
              </w:rPr>
              <w:t>20</w:t>
            </w:r>
            <w:r w:rsidRPr="00E25907">
              <w:rPr>
                <w:sz w:val="17"/>
                <w:szCs w:val="17"/>
              </w:rPr>
              <w:t>-</w:t>
            </w:r>
            <w:r w:rsidR="004A1E4B">
              <w:rPr>
                <w:sz w:val="17"/>
                <w:szCs w:val="17"/>
              </w:rPr>
              <w:t>2</w:t>
            </w:r>
            <w:r w:rsidR="00C74BD2">
              <w:rPr>
                <w:sz w:val="17"/>
                <w:szCs w:val="17"/>
              </w:rPr>
              <w:t>1</w:t>
            </w:r>
            <w:r w:rsidRPr="00E25907">
              <w:rPr>
                <w:sz w:val="17"/>
                <w:szCs w:val="17"/>
              </w:rPr>
              <w:br/>
              <w:t>(excl. GST)</w:t>
            </w:r>
            <w:r w:rsidR="00B7449B">
              <w:rPr>
                <w:bCs/>
                <w:sz w:val="17"/>
              </w:rPr>
              <w:t xml:space="preserve"> </w:t>
            </w:r>
            <w:r w:rsidR="00B7449B">
              <w:rPr>
                <w:bCs/>
                <w:sz w:val="17"/>
              </w:rPr>
              <w:br/>
              <w:t>($)</w:t>
            </w:r>
          </w:p>
        </w:tc>
        <w:tc>
          <w:tcPr>
            <w:tcW w:w="1315" w:type="dxa"/>
            <w:vAlign w:val="bottom"/>
            <w:hideMark/>
          </w:tcPr>
          <w:p w14:paraId="5543718C" w14:textId="7B5981B1" w:rsidR="007A3FDA" w:rsidRPr="00E25907" w:rsidRDefault="007A3FDA" w:rsidP="007A3FDA">
            <w:pPr>
              <w:pStyle w:val="Tableheader"/>
              <w:jc w:val="right"/>
              <w:rPr>
                <w:b w:val="0"/>
                <w:sz w:val="17"/>
                <w:szCs w:val="17"/>
              </w:rPr>
            </w:pPr>
            <w:r w:rsidRPr="00E25907">
              <w:rPr>
                <w:sz w:val="17"/>
                <w:szCs w:val="17"/>
              </w:rPr>
              <w:t>Future expenditure</w:t>
            </w:r>
            <w:r w:rsidRPr="00E25907">
              <w:rPr>
                <w:sz w:val="17"/>
                <w:szCs w:val="17"/>
              </w:rPr>
              <w:br/>
              <w:t>(excl. GST)</w:t>
            </w:r>
            <w:r w:rsidR="00B7449B">
              <w:rPr>
                <w:bCs/>
                <w:sz w:val="17"/>
              </w:rPr>
              <w:t xml:space="preserve"> </w:t>
            </w:r>
            <w:r w:rsidR="00B7449B">
              <w:rPr>
                <w:bCs/>
                <w:sz w:val="17"/>
              </w:rPr>
              <w:br/>
              <w:t>($)</w:t>
            </w:r>
          </w:p>
        </w:tc>
      </w:tr>
      <w:tr w:rsidR="00C74BD2" w:rsidRPr="00F86E0F" w14:paraId="56210620" w14:textId="77777777" w:rsidTr="00E25907">
        <w:trPr>
          <w:trHeight w:val="600"/>
        </w:trPr>
        <w:tc>
          <w:tcPr>
            <w:tcW w:w="2429" w:type="dxa"/>
          </w:tcPr>
          <w:p w14:paraId="07899EDC" w14:textId="2B907FA2" w:rsidR="00C74BD2" w:rsidRPr="001A4906" w:rsidRDefault="00C74BD2" w:rsidP="00C74BD2">
            <w:pPr>
              <w:pStyle w:val="Tabletext"/>
            </w:pPr>
            <w:r w:rsidRPr="00C74BD2">
              <w:t>Anne Dalton &amp; Associates</w:t>
            </w:r>
          </w:p>
        </w:tc>
        <w:tc>
          <w:tcPr>
            <w:tcW w:w="2790" w:type="dxa"/>
            <w:gridSpan w:val="2"/>
          </w:tcPr>
          <w:p w14:paraId="45A00303" w14:textId="617D2F29" w:rsidR="00C74BD2" w:rsidRPr="00F86E0F" w:rsidRDefault="00C74BD2" w:rsidP="00C74BD2">
            <w:pPr>
              <w:pStyle w:val="Tabletext"/>
            </w:pPr>
            <w:r w:rsidRPr="00C74BD2">
              <w:t xml:space="preserve">General professional advice (Phase 2 of the Building Financial Capacity of Housing Associations) </w:t>
            </w:r>
          </w:p>
        </w:tc>
        <w:tc>
          <w:tcPr>
            <w:tcW w:w="1315" w:type="dxa"/>
            <w:noWrap/>
          </w:tcPr>
          <w:p w14:paraId="26A0608F" w14:textId="1A871269" w:rsidR="00C74BD2" w:rsidRPr="00F86E0F" w:rsidRDefault="00C74BD2" w:rsidP="00C74BD2">
            <w:pPr>
              <w:pStyle w:val="Tabletextright"/>
            </w:pPr>
            <w:r w:rsidRPr="00C74BD2">
              <w:t>29</w:t>
            </w:r>
            <w:r>
              <w:t xml:space="preserve"> </w:t>
            </w:r>
            <w:r w:rsidRPr="00C74BD2">
              <w:t>681</w:t>
            </w:r>
          </w:p>
        </w:tc>
        <w:tc>
          <w:tcPr>
            <w:tcW w:w="1315" w:type="dxa"/>
            <w:noWrap/>
          </w:tcPr>
          <w:p w14:paraId="71A518F3" w14:textId="4ADA09CE" w:rsidR="00C74BD2" w:rsidRPr="00F86E0F" w:rsidRDefault="00C74BD2" w:rsidP="00C74BD2">
            <w:pPr>
              <w:pStyle w:val="Tabletextright"/>
            </w:pPr>
            <w:r w:rsidRPr="00C74BD2">
              <w:t>4</w:t>
            </w:r>
            <w:r>
              <w:t xml:space="preserve"> </w:t>
            </w:r>
            <w:r w:rsidRPr="00C74BD2">
              <w:t>424</w:t>
            </w:r>
          </w:p>
        </w:tc>
        <w:tc>
          <w:tcPr>
            <w:tcW w:w="1315" w:type="dxa"/>
            <w:noWrap/>
          </w:tcPr>
          <w:p w14:paraId="65BB1BA9" w14:textId="29B6FE80" w:rsidR="00C74BD2" w:rsidRPr="00F86E0F" w:rsidRDefault="00C74BD2" w:rsidP="00C74BD2">
            <w:pPr>
              <w:pStyle w:val="Tabletextright"/>
            </w:pPr>
            <w:r w:rsidRPr="00C74BD2">
              <w:t>23</w:t>
            </w:r>
            <w:r>
              <w:t xml:space="preserve"> </w:t>
            </w:r>
            <w:r w:rsidRPr="00C74BD2">
              <w:t>748</w:t>
            </w:r>
          </w:p>
        </w:tc>
      </w:tr>
      <w:tr w:rsidR="00C74BD2" w:rsidRPr="00F86E0F" w14:paraId="33DB7E7F" w14:textId="77777777" w:rsidTr="00E25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429" w:type="dxa"/>
          </w:tcPr>
          <w:p w14:paraId="4BF4CA66" w14:textId="6C4E4618" w:rsidR="00C74BD2" w:rsidRPr="001A4906" w:rsidRDefault="00C74BD2" w:rsidP="00C74BD2">
            <w:pPr>
              <w:pStyle w:val="Tabletext"/>
            </w:pPr>
            <w:r w:rsidRPr="00C74BD2">
              <w:t>Ernst &amp; Young</w:t>
            </w:r>
          </w:p>
        </w:tc>
        <w:tc>
          <w:tcPr>
            <w:tcW w:w="2790" w:type="dxa"/>
            <w:gridSpan w:val="2"/>
          </w:tcPr>
          <w:p w14:paraId="09057D8E" w14:textId="11E3FF82" w:rsidR="00C74BD2" w:rsidRPr="00F86E0F" w:rsidRDefault="00C74BD2" w:rsidP="00C74BD2">
            <w:pPr>
              <w:pStyle w:val="Tabletext"/>
              <w:ind w:right="63"/>
            </w:pPr>
            <w:r w:rsidRPr="00C74BD2">
              <w:t xml:space="preserve">Commercial and Transaction Advice (Business Growth Fund) </w:t>
            </w:r>
          </w:p>
        </w:tc>
        <w:tc>
          <w:tcPr>
            <w:tcW w:w="1315" w:type="dxa"/>
            <w:noWrap/>
          </w:tcPr>
          <w:p w14:paraId="32AE638A" w14:textId="72CDCA35" w:rsidR="00C74BD2" w:rsidRPr="00F86E0F" w:rsidRDefault="00C74BD2" w:rsidP="00C74BD2">
            <w:pPr>
              <w:pStyle w:val="Tabletextright"/>
            </w:pPr>
            <w:r w:rsidRPr="00C74BD2">
              <w:t>6</w:t>
            </w:r>
            <w:r>
              <w:t xml:space="preserve"> </w:t>
            </w:r>
            <w:r w:rsidRPr="00C74BD2">
              <w:t>400</w:t>
            </w:r>
          </w:p>
        </w:tc>
        <w:tc>
          <w:tcPr>
            <w:tcW w:w="1315" w:type="dxa"/>
            <w:noWrap/>
          </w:tcPr>
          <w:p w14:paraId="672D6C63" w14:textId="5BD344FE" w:rsidR="00C74BD2" w:rsidRPr="00F86E0F" w:rsidRDefault="00C74BD2" w:rsidP="00C74BD2">
            <w:pPr>
              <w:pStyle w:val="Tabletextright"/>
            </w:pPr>
            <w:r w:rsidRPr="00C74BD2">
              <w:t>5</w:t>
            </w:r>
            <w:r>
              <w:t xml:space="preserve"> </w:t>
            </w:r>
            <w:r w:rsidRPr="00C74BD2">
              <w:t>128</w:t>
            </w:r>
          </w:p>
        </w:tc>
        <w:tc>
          <w:tcPr>
            <w:tcW w:w="1315" w:type="dxa"/>
            <w:noWrap/>
          </w:tcPr>
          <w:p w14:paraId="54A40833" w14:textId="530ABA49" w:rsidR="00C74BD2" w:rsidRPr="00F86E0F" w:rsidRDefault="00C74BD2" w:rsidP="00C74BD2">
            <w:pPr>
              <w:pStyle w:val="Tabletextright"/>
            </w:pPr>
            <w:r w:rsidRPr="00C74BD2">
              <w:t>1</w:t>
            </w:r>
            <w:r>
              <w:t xml:space="preserve"> </w:t>
            </w:r>
            <w:r w:rsidRPr="00C74BD2">
              <w:t>272</w:t>
            </w:r>
          </w:p>
        </w:tc>
      </w:tr>
      <w:tr w:rsidR="00C74BD2" w:rsidRPr="00F86E0F" w14:paraId="42E8ECF1" w14:textId="77777777" w:rsidTr="00E25907">
        <w:trPr>
          <w:trHeight w:val="600"/>
        </w:trPr>
        <w:tc>
          <w:tcPr>
            <w:tcW w:w="2429" w:type="dxa"/>
          </w:tcPr>
          <w:p w14:paraId="06908C2E" w14:textId="5D995F94" w:rsidR="00C74BD2" w:rsidRPr="001A4906" w:rsidRDefault="00C74BD2" w:rsidP="00C74BD2">
            <w:pPr>
              <w:pStyle w:val="Tabletext"/>
            </w:pPr>
            <w:r w:rsidRPr="00C74BD2">
              <w:t>Foster Infrastructure P/L</w:t>
            </w:r>
          </w:p>
        </w:tc>
        <w:tc>
          <w:tcPr>
            <w:tcW w:w="2790" w:type="dxa"/>
            <w:gridSpan w:val="2"/>
          </w:tcPr>
          <w:p w14:paraId="725E8378" w14:textId="7418159B" w:rsidR="00C74BD2" w:rsidRPr="00F86E0F" w:rsidRDefault="00C74BD2" w:rsidP="00C74BD2">
            <w:pPr>
              <w:pStyle w:val="Tabletext"/>
              <w:ind w:right="63"/>
            </w:pPr>
            <w:r w:rsidRPr="00C74BD2">
              <w:t>Commercial and transactional advi</w:t>
            </w:r>
            <w:r w:rsidR="00B32C24">
              <w:t>c</w:t>
            </w:r>
            <w:r w:rsidRPr="00C74BD2">
              <w:t>e (PPPs)</w:t>
            </w:r>
          </w:p>
        </w:tc>
        <w:tc>
          <w:tcPr>
            <w:tcW w:w="1315" w:type="dxa"/>
            <w:noWrap/>
          </w:tcPr>
          <w:p w14:paraId="2EE68CBA" w14:textId="46E5C668" w:rsidR="00C74BD2" w:rsidRPr="00F86E0F" w:rsidRDefault="00C74BD2" w:rsidP="00C74BD2">
            <w:pPr>
              <w:pStyle w:val="Tabletextright"/>
            </w:pPr>
            <w:r w:rsidRPr="00C74BD2">
              <w:t>7</w:t>
            </w:r>
            <w:r>
              <w:t xml:space="preserve"> </w:t>
            </w:r>
            <w:r w:rsidRPr="00C74BD2">
              <w:t>560</w:t>
            </w:r>
          </w:p>
        </w:tc>
        <w:tc>
          <w:tcPr>
            <w:tcW w:w="1315" w:type="dxa"/>
            <w:noWrap/>
          </w:tcPr>
          <w:p w14:paraId="5DB19868" w14:textId="77F9621D" w:rsidR="00C74BD2" w:rsidRPr="00F86E0F" w:rsidRDefault="00C74BD2" w:rsidP="00C74BD2">
            <w:pPr>
              <w:pStyle w:val="Tabletextright"/>
            </w:pPr>
            <w:r w:rsidRPr="00C74BD2">
              <w:t>7</w:t>
            </w:r>
            <w:r>
              <w:t xml:space="preserve"> </w:t>
            </w:r>
            <w:r w:rsidRPr="00C74BD2">
              <w:t>560</w:t>
            </w:r>
          </w:p>
        </w:tc>
        <w:tc>
          <w:tcPr>
            <w:tcW w:w="1315" w:type="dxa"/>
            <w:noWrap/>
          </w:tcPr>
          <w:p w14:paraId="0130A9A6" w14:textId="712117D1" w:rsidR="00C74BD2" w:rsidRPr="00F86E0F" w:rsidRDefault="00C74BD2" w:rsidP="00C74BD2">
            <w:pPr>
              <w:pStyle w:val="Tabletextright"/>
            </w:pPr>
            <w:r>
              <w:t>–</w:t>
            </w:r>
          </w:p>
        </w:tc>
      </w:tr>
      <w:tr w:rsidR="00C74BD2" w:rsidRPr="00F86E0F" w14:paraId="1DEFF2D5" w14:textId="77777777" w:rsidTr="00E25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2429" w:type="dxa"/>
          </w:tcPr>
          <w:p w14:paraId="7CD6B6C2" w14:textId="3535E6AD" w:rsidR="00C74BD2" w:rsidRPr="001A4906" w:rsidRDefault="00C74BD2" w:rsidP="00C74BD2">
            <w:pPr>
              <w:pStyle w:val="Tabletext"/>
            </w:pPr>
            <w:r w:rsidRPr="00C74BD2">
              <w:t>Minter Ellison</w:t>
            </w:r>
          </w:p>
        </w:tc>
        <w:tc>
          <w:tcPr>
            <w:tcW w:w="2790" w:type="dxa"/>
            <w:gridSpan w:val="2"/>
          </w:tcPr>
          <w:p w14:paraId="542E3AA5" w14:textId="6FDF434D" w:rsidR="00C74BD2" w:rsidRPr="00F86E0F" w:rsidRDefault="00C74BD2" w:rsidP="00C74BD2">
            <w:pPr>
              <w:pStyle w:val="Tabletext"/>
            </w:pPr>
            <w:r w:rsidRPr="00C74BD2">
              <w:t xml:space="preserve">Commercial and transaction advice (Victorian Business Growth Fund) </w:t>
            </w:r>
          </w:p>
        </w:tc>
        <w:tc>
          <w:tcPr>
            <w:tcW w:w="1315" w:type="dxa"/>
            <w:noWrap/>
          </w:tcPr>
          <w:p w14:paraId="0C8CA3B0" w14:textId="6325D39C" w:rsidR="00C74BD2" w:rsidRPr="00F86E0F" w:rsidRDefault="00C74BD2" w:rsidP="00C74BD2">
            <w:pPr>
              <w:pStyle w:val="Tabletextright"/>
            </w:pPr>
            <w:r w:rsidRPr="00C74BD2">
              <w:t>89</w:t>
            </w:r>
            <w:r>
              <w:t xml:space="preserve"> </w:t>
            </w:r>
            <w:r w:rsidRPr="00C74BD2">
              <w:t>564</w:t>
            </w:r>
          </w:p>
        </w:tc>
        <w:tc>
          <w:tcPr>
            <w:tcW w:w="1315" w:type="dxa"/>
            <w:noWrap/>
          </w:tcPr>
          <w:p w14:paraId="0A703EF4" w14:textId="3D340494" w:rsidR="00C74BD2" w:rsidRPr="00F86E0F" w:rsidRDefault="00C74BD2" w:rsidP="00C74BD2">
            <w:pPr>
              <w:pStyle w:val="Tabletextright"/>
            </w:pPr>
            <w:r w:rsidRPr="00C74BD2">
              <w:t>4</w:t>
            </w:r>
            <w:r>
              <w:t xml:space="preserve"> </w:t>
            </w:r>
            <w:r w:rsidRPr="00C74BD2">
              <w:t>149</w:t>
            </w:r>
          </w:p>
        </w:tc>
        <w:tc>
          <w:tcPr>
            <w:tcW w:w="1315" w:type="dxa"/>
            <w:noWrap/>
          </w:tcPr>
          <w:p w14:paraId="0F2BC9F8" w14:textId="0FA073BE" w:rsidR="00C74BD2" w:rsidRPr="00F86E0F" w:rsidRDefault="00C74BD2" w:rsidP="00C74BD2">
            <w:pPr>
              <w:pStyle w:val="Tabletextright"/>
            </w:pPr>
            <w:r w:rsidRPr="00C74BD2">
              <w:t>68</w:t>
            </w:r>
            <w:r>
              <w:t xml:space="preserve"> </w:t>
            </w:r>
            <w:r w:rsidRPr="00C74BD2">
              <w:t>895</w:t>
            </w:r>
          </w:p>
        </w:tc>
      </w:tr>
      <w:tr w:rsidR="00C74BD2" w:rsidRPr="00F86E0F" w14:paraId="62C7AA18" w14:textId="77777777" w:rsidTr="00E25907">
        <w:trPr>
          <w:trHeight w:val="300"/>
        </w:trPr>
        <w:tc>
          <w:tcPr>
            <w:tcW w:w="2429" w:type="dxa"/>
          </w:tcPr>
          <w:p w14:paraId="194390A6" w14:textId="1984E890" w:rsidR="00C74BD2" w:rsidRPr="001A4906" w:rsidRDefault="00C74BD2" w:rsidP="00C74BD2">
            <w:pPr>
              <w:pStyle w:val="Tabletext"/>
            </w:pPr>
            <w:r w:rsidRPr="00C74BD2">
              <w:t>Minter Ellison</w:t>
            </w:r>
          </w:p>
        </w:tc>
        <w:tc>
          <w:tcPr>
            <w:tcW w:w="2790" w:type="dxa"/>
            <w:gridSpan w:val="2"/>
          </w:tcPr>
          <w:p w14:paraId="5010FDC8" w14:textId="18D97194" w:rsidR="00C74BD2" w:rsidRPr="00F86E0F" w:rsidRDefault="00C74BD2" w:rsidP="00C74BD2">
            <w:pPr>
              <w:pStyle w:val="Tabletext"/>
            </w:pPr>
            <w:r w:rsidRPr="00C74BD2">
              <w:t xml:space="preserve">General professional Advice </w:t>
            </w:r>
            <w:r w:rsidR="00A07BAE">
              <w:t>(policy reform)</w:t>
            </w:r>
            <w:r w:rsidRPr="00C74BD2">
              <w:t xml:space="preserve"> </w:t>
            </w:r>
          </w:p>
        </w:tc>
        <w:tc>
          <w:tcPr>
            <w:tcW w:w="1315" w:type="dxa"/>
            <w:noWrap/>
          </w:tcPr>
          <w:p w14:paraId="36E4B474" w14:textId="4F54D856" w:rsidR="00C74BD2" w:rsidRPr="00F86E0F" w:rsidRDefault="00C74BD2" w:rsidP="00C74BD2">
            <w:pPr>
              <w:pStyle w:val="Tabletextright"/>
            </w:pPr>
            <w:r w:rsidRPr="00C74BD2">
              <w:t>4</w:t>
            </w:r>
            <w:r>
              <w:t xml:space="preserve"> </w:t>
            </w:r>
            <w:r w:rsidRPr="00C74BD2">
              <w:t>347</w:t>
            </w:r>
          </w:p>
        </w:tc>
        <w:tc>
          <w:tcPr>
            <w:tcW w:w="1315" w:type="dxa"/>
            <w:noWrap/>
          </w:tcPr>
          <w:p w14:paraId="7EEB94F6" w14:textId="04FC3F80" w:rsidR="00C74BD2" w:rsidRPr="00F86E0F" w:rsidRDefault="00C74BD2" w:rsidP="00C74BD2">
            <w:pPr>
              <w:pStyle w:val="Tabletextright"/>
            </w:pPr>
            <w:r w:rsidRPr="00C74BD2">
              <w:t>4</w:t>
            </w:r>
            <w:r>
              <w:t xml:space="preserve"> </w:t>
            </w:r>
            <w:r w:rsidRPr="00C74BD2">
              <w:t>347</w:t>
            </w:r>
          </w:p>
        </w:tc>
        <w:tc>
          <w:tcPr>
            <w:tcW w:w="1315" w:type="dxa"/>
            <w:noWrap/>
          </w:tcPr>
          <w:p w14:paraId="2EBEA4DE" w14:textId="1BA3D434" w:rsidR="00C74BD2" w:rsidRPr="00F86E0F" w:rsidRDefault="00C74BD2" w:rsidP="00C74BD2">
            <w:pPr>
              <w:pStyle w:val="Tabletextright"/>
            </w:pPr>
            <w:r>
              <w:t>–</w:t>
            </w:r>
          </w:p>
        </w:tc>
      </w:tr>
      <w:tr w:rsidR="00C74BD2" w:rsidRPr="00F86E0F" w14:paraId="559F25CB" w14:textId="77777777" w:rsidTr="00E25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429" w:type="dxa"/>
          </w:tcPr>
          <w:p w14:paraId="37C85C82" w14:textId="5579CB0A" w:rsidR="00C74BD2" w:rsidRPr="00C74BD2" w:rsidRDefault="00C74BD2" w:rsidP="00C74BD2">
            <w:pPr>
              <w:pStyle w:val="Tabletext"/>
              <w:rPr>
                <w:rFonts w:eastAsia="Times New Roman"/>
              </w:rPr>
            </w:pPr>
            <w:r w:rsidRPr="00C74BD2">
              <w:t>O'Connor Marsden &amp; Associates Pty Ltd</w:t>
            </w:r>
          </w:p>
        </w:tc>
        <w:tc>
          <w:tcPr>
            <w:tcW w:w="2790" w:type="dxa"/>
            <w:gridSpan w:val="2"/>
          </w:tcPr>
          <w:p w14:paraId="1C91BB39" w14:textId="3C6F26DC" w:rsidR="00C74BD2" w:rsidRPr="00C74BD2" w:rsidRDefault="00C74BD2" w:rsidP="00C74BD2">
            <w:pPr>
              <w:pStyle w:val="Tabletext"/>
              <w:rPr>
                <w:rFonts w:eastAsia="Times New Roman"/>
              </w:rPr>
            </w:pPr>
            <w:r w:rsidRPr="00C74BD2">
              <w:t xml:space="preserve">Commercial and transaction advice (Phase 1 of the Building Financial Capacity of Housing Associations) </w:t>
            </w:r>
          </w:p>
        </w:tc>
        <w:tc>
          <w:tcPr>
            <w:tcW w:w="1315" w:type="dxa"/>
            <w:noWrap/>
          </w:tcPr>
          <w:p w14:paraId="1DC844F0" w14:textId="0F3292CD" w:rsidR="00C74BD2" w:rsidRPr="00C74BD2" w:rsidRDefault="00C74BD2" w:rsidP="00C74BD2">
            <w:pPr>
              <w:pStyle w:val="Tabletextright"/>
              <w:rPr>
                <w:rFonts w:eastAsia="Times New Roman"/>
              </w:rPr>
            </w:pPr>
            <w:r w:rsidRPr="00C74BD2">
              <w:t>17</w:t>
            </w:r>
            <w:r>
              <w:t xml:space="preserve"> </w:t>
            </w:r>
            <w:r w:rsidRPr="00C74BD2">
              <w:t>460</w:t>
            </w:r>
          </w:p>
        </w:tc>
        <w:tc>
          <w:tcPr>
            <w:tcW w:w="1315" w:type="dxa"/>
            <w:noWrap/>
          </w:tcPr>
          <w:p w14:paraId="27096CC0" w14:textId="223683E3" w:rsidR="00C74BD2" w:rsidRPr="00C74BD2" w:rsidRDefault="00C74BD2" w:rsidP="00C74BD2">
            <w:pPr>
              <w:pStyle w:val="Tabletextright"/>
              <w:rPr>
                <w:rFonts w:eastAsia="Times New Roman"/>
              </w:rPr>
            </w:pPr>
            <w:r w:rsidRPr="00C74BD2">
              <w:t>1</w:t>
            </w:r>
            <w:r>
              <w:t xml:space="preserve"> </w:t>
            </w:r>
            <w:r w:rsidRPr="00C74BD2">
              <w:t>920</w:t>
            </w:r>
          </w:p>
        </w:tc>
        <w:tc>
          <w:tcPr>
            <w:tcW w:w="1315" w:type="dxa"/>
            <w:noWrap/>
          </w:tcPr>
          <w:p w14:paraId="2F9DD91E" w14:textId="206E64E6" w:rsidR="00C74BD2" w:rsidRPr="00F86E0F" w:rsidRDefault="00C74BD2" w:rsidP="00C74BD2">
            <w:pPr>
              <w:pStyle w:val="Tabletextright"/>
            </w:pPr>
            <w:r w:rsidRPr="00C74BD2">
              <w:t>15</w:t>
            </w:r>
            <w:r>
              <w:t xml:space="preserve"> </w:t>
            </w:r>
            <w:r w:rsidRPr="00C74BD2">
              <w:t>540</w:t>
            </w:r>
          </w:p>
        </w:tc>
      </w:tr>
      <w:tr w:rsidR="00C74BD2" w:rsidRPr="00F86E0F" w14:paraId="689C8C54" w14:textId="77777777" w:rsidTr="00E259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429" w:type="dxa"/>
          </w:tcPr>
          <w:p w14:paraId="64B17B09" w14:textId="58C0605C" w:rsidR="00C74BD2" w:rsidRPr="00C74BD2" w:rsidRDefault="00C74BD2" w:rsidP="00C74BD2">
            <w:pPr>
              <w:pStyle w:val="Tabletext"/>
            </w:pPr>
            <w:r w:rsidRPr="00C74BD2">
              <w:t>Total</w:t>
            </w:r>
          </w:p>
        </w:tc>
        <w:tc>
          <w:tcPr>
            <w:tcW w:w="2790" w:type="dxa"/>
            <w:gridSpan w:val="2"/>
          </w:tcPr>
          <w:p w14:paraId="07C9FC26" w14:textId="259CEBCC" w:rsidR="00C74BD2" w:rsidRPr="00C74BD2" w:rsidRDefault="00C74BD2" w:rsidP="00C74BD2">
            <w:pPr>
              <w:pStyle w:val="Tabletext"/>
            </w:pPr>
          </w:p>
        </w:tc>
        <w:tc>
          <w:tcPr>
            <w:tcW w:w="1315" w:type="dxa"/>
            <w:noWrap/>
          </w:tcPr>
          <w:p w14:paraId="6ADB00F0" w14:textId="3F852021" w:rsidR="00C74BD2" w:rsidRPr="00C74BD2" w:rsidRDefault="00C74BD2" w:rsidP="00C74BD2">
            <w:pPr>
              <w:pStyle w:val="Tabletextright"/>
            </w:pPr>
            <w:r w:rsidRPr="00C74BD2">
              <w:t>155 012</w:t>
            </w:r>
          </w:p>
        </w:tc>
        <w:tc>
          <w:tcPr>
            <w:tcW w:w="1315" w:type="dxa"/>
            <w:noWrap/>
          </w:tcPr>
          <w:p w14:paraId="6EBFEDCC" w14:textId="712E7783" w:rsidR="00C74BD2" w:rsidRPr="00C74BD2" w:rsidRDefault="00C74BD2" w:rsidP="00C74BD2">
            <w:pPr>
              <w:pStyle w:val="Tabletextright"/>
            </w:pPr>
            <w:r w:rsidRPr="00C74BD2">
              <w:t>27 527</w:t>
            </w:r>
          </w:p>
        </w:tc>
        <w:tc>
          <w:tcPr>
            <w:tcW w:w="1315" w:type="dxa"/>
            <w:noWrap/>
          </w:tcPr>
          <w:p w14:paraId="541299A1" w14:textId="1EABE184" w:rsidR="00C74BD2" w:rsidRPr="00C74BD2" w:rsidRDefault="00C74BD2" w:rsidP="00C74BD2">
            <w:pPr>
              <w:pStyle w:val="Tabletextright"/>
            </w:pPr>
            <w:r w:rsidRPr="00C74BD2">
              <w:t>109 455</w:t>
            </w:r>
          </w:p>
        </w:tc>
      </w:tr>
      <w:bookmarkEnd w:id="2"/>
      <w:bookmarkEnd w:id="0"/>
    </w:tbl>
    <w:p w14:paraId="60440CF7" w14:textId="184AC30D" w:rsidR="007A3FDA" w:rsidRDefault="007A3FDA" w:rsidP="007A3FDA">
      <w:pPr>
        <w:rPr>
          <w:rFonts w:eastAsiaTheme="majorEastAsia"/>
        </w:rPr>
      </w:pPr>
    </w:p>
    <w:p w14:paraId="072995A1" w14:textId="1F0904EE" w:rsidR="00C74BD2" w:rsidRDefault="00C74BD2" w:rsidP="007A3FDA">
      <w:pPr>
        <w:rPr>
          <w:rFonts w:eastAsiaTheme="majorEastAsia"/>
        </w:rPr>
      </w:pPr>
    </w:p>
    <w:sectPr w:rsidR="00C74BD2" w:rsidSect="00CA24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60" w:right="1440" w:bottom="1350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9D8CB" w14:textId="77777777" w:rsidR="008410BD" w:rsidRDefault="008410BD" w:rsidP="002D711A">
      <w:pPr>
        <w:spacing w:after="0" w:line="240" w:lineRule="auto"/>
      </w:pPr>
      <w:r>
        <w:separator/>
      </w:r>
    </w:p>
  </w:endnote>
  <w:endnote w:type="continuationSeparator" w:id="0">
    <w:p w14:paraId="28C563ED" w14:textId="77777777" w:rsidR="008410BD" w:rsidRDefault="008410BD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1D3B6D4-7C8F-42B0-A729-EF5EBE36FA9E}"/>
    <w:embedBold r:id="rId2" w:subsetted="1" w:fontKey="{DC3CDBE4-EC08-4BBF-A8A4-ABD80DEA220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A76DB" w14:textId="7003F5A2" w:rsidR="008410BD" w:rsidRPr="00CF61ED" w:rsidRDefault="008410BD" w:rsidP="00522F8A">
    <w:pPr>
      <w:pStyle w:val="Footer"/>
      <w:rPr>
        <w:rStyle w:val="PageNumber"/>
        <w:sz w:val="15"/>
      </w:rPr>
    </w:pPr>
    <w:r w:rsidRPr="00E21505">
      <w:rPr>
        <w:b/>
        <w:noProof w:val="0"/>
        <w:color w:val="auto"/>
        <w:sz w:val="15"/>
      </w:rPr>
      <w:fldChar w:fldCharType="begin"/>
    </w:r>
    <w:r w:rsidRPr="00E21505">
      <w:rPr>
        <w:b/>
        <w:color w:val="auto"/>
        <w:sz w:val="15"/>
      </w:rPr>
      <w:instrText xml:space="preserve"> StyleRef “Title” </w:instrText>
    </w:r>
    <w:r w:rsidRPr="00E21505">
      <w:rPr>
        <w:b/>
        <w:noProof w:val="0"/>
        <w:color w:val="auto"/>
        <w:sz w:val="15"/>
      </w:rPr>
      <w:fldChar w:fldCharType="separate"/>
    </w:r>
    <w:r w:rsidR="00D162A1">
      <w:rPr>
        <w:b/>
        <w:color w:val="auto"/>
        <w:sz w:val="15"/>
      </w:rPr>
      <w:t>Department of Treasury and Finance 2020–21 Annual Report</w:t>
    </w:r>
    <w:r w:rsidRPr="00E21505">
      <w:rPr>
        <w:b/>
        <w:color w:val="auto"/>
        <w:sz w:val="15"/>
      </w:rPr>
      <w:fldChar w:fldCharType="end"/>
    </w:r>
    <w:r w:rsidR="00E21505">
      <w:rPr>
        <w:b/>
        <w:color w:val="auto"/>
        <w:sz w:val="15"/>
      </w:rPr>
      <w:t xml:space="preserve"> </w:t>
    </w:r>
    <w:r w:rsidR="00E21505" w:rsidRPr="00E21505">
      <w:rPr>
        <w:bCs/>
        <w:color w:val="auto"/>
        <w:sz w:val="15"/>
      </w:rPr>
      <w:t xml:space="preserve"> Consultants</w:t>
    </w:r>
    <w:r w:rsidRPr="00CF61ED">
      <w:rPr>
        <w:sz w:val="15"/>
      </w:rPr>
      <w:tab/>
      <w:t xml:space="preserve">Page </w:t>
    </w:r>
    <w:r w:rsidRPr="00CF61ED">
      <w:rPr>
        <w:rStyle w:val="PageNumber"/>
        <w:sz w:val="15"/>
      </w:rPr>
      <w:fldChar w:fldCharType="begin"/>
    </w:r>
    <w:r w:rsidRPr="00CF61ED">
      <w:rPr>
        <w:rStyle w:val="PageNumber"/>
        <w:sz w:val="15"/>
      </w:rPr>
      <w:instrText xml:space="preserve"> Page </w:instrText>
    </w:r>
    <w:r w:rsidRPr="00CF61ED">
      <w:rPr>
        <w:rStyle w:val="PageNumber"/>
        <w:sz w:val="15"/>
      </w:rPr>
      <w:fldChar w:fldCharType="separate"/>
    </w:r>
    <w:r w:rsidRPr="00CF61ED">
      <w:rPr>
        <w:rStyle w:val="PageNumber"/>
        <w:sz w:val="15"/>
      </w:rPr>
      <w:t>1</w:t>
    </w:r>
    <w:r w:rsidRPr="00CF61ED">
      <w:rPr>
        <w:rStyle w:val="PageNumber"/>
        <w:sz w:val="15"/>
      </w:rPr>
      <w:fldChar w:fldCharType="end"/>
    </w:r>
  </w:p>
  <w:p w14:paraId="23AE4DD5" w14:textId="77777777" w:rsidR="008410BD" w:rsidRPr="00C022F9" w:rsidRDefault="008410BD" w:rsidP="0052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7A0C5" w14:textId="3044EEAC" w:rsidR="008410BD" w:rsidRDefault="008410BD" w:rsidP="00CA24D2">
    <w:pPr>
      <w:pStyle w:val="Footer"/>
      <w:tabs>
        <w:tab w:val="clear" w:pos="9026"/>
      </w:tabs>
      <w:ind w:right="-604"/>
      <w:jc w:val="right"/>
    </w:pPr>
    <w:r>
      <w:drawing>
        <wp:inline distT="0" distB="0" distL="0" distR="0" wp14:anchorId="7B469948" wp14:editId="5F84F6DA">
          <wp:extent cx="1536192" cy="457200"/>
          <wp:effectExtent l="0" t="0" r="6985" b="0"/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toria State Gov DTF right pms coolgrey 11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2475C" w14:textId="77777777" w:rsidR="008410BD" w:rsidRDefault="008410BD" w:rsidP="002D711A">
      <w:pPr>
        <w:spacing w:after="0" w:line="240" w:lineRule="auto"/>
      </w:pPr>
      <w:r>
        <w:separator/>
      </w:r>
    </w:p>
  </w:footnote>
  <w:footnote w:type="continuationSeparator" w:id="0">
    <w:p w14:paraId="5BCEA663" w14:textId="77777777" w:rsidR="008410BD" w:rsidRDefault="008410BD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540C" w14:textId="77777777" w:rsidR="008410BD" w:rsidRPr="0041689E" w:rsidRDefault="008410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F9E54AC" wp14:editId="78233F38">
              <wp:simplePos x="0" y="0"/>
              <wp:positionH relativeFrom="page">
                <wp:posOffset>0</wp:posOffset>
              </wp:positionH>
              <wp:positionV relativeFrom="page">
                <wp:posOffset>-138</wp:posOffset>
              </wp:positionV>
              <wp:extent cx="7595432" cy="980237"/>
              <wp:effectExtent l="0" t="0" r="5715" b="0"/>
              <wp:wrapNone/>
              <wp:docPr id="42" name="Graphic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5432" cy="980237"/>
                        <a:chOff x="914400" y="3467405"/>
                        <a:chExt cx="5668993" cy="733806"/>
                      </a:xfrm>
                    </wpg:grpSpPr>
                    <wps:wsp>
                      <wps:cNvPr id="43" name="Freeform: Shape 43"/>
                      <wps:cNvSpPr/>
                      <wps:spPr>
                        <a:xfrm>
                          <a:off x="914400" y="3467405"/>
                          <a:ext cx="5644106" cy="733806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4" name="Graphic 15"/>
                      <wpg:cNvGrpSpPr/>
                      <wpg:grpSpPr>
                        <a:xfrm>
                          <a:off x="4598955" y="3467405"/>
                          <a:ext cx="1984438" cy="733806"/>
                          <a:chOff x="4598955" y="3467405"/>
                          <a:chExt cx="1984438" cy="733806"/>
                        </a:xfrm>
                        <a:solidFill>
                          <a:schemeClr val="accent1"/>
                        </a:solidFill>
                      </wpg:grpSpPr>
                      <wps:wsp>
                        <wps:cNvPr id="45" name="Freeform: Shape 45"/>
                        <wps:cNvSpPr/>
                        <wps:spPr>
                          <a:xfrm>
                            <a:off x="5373814" y="3467405"/>
                            <a:ext cx="1209579" cy="733806"/>
                          </a:xfrm>
                          <a:custGeom>
                            <a:avLst/>
                            <a:gdLst>
                              <a:gd name="connsiteX0" fmla="*/ 1209580 w 1209579"/>
                              <a:gd name="connsiteY0" fmla="*/ 0 h 733806"/>
                              <a:gd name="connsiteX1" fmla="*/ 1209580 w 1209579"/>
                              <a:gd name="connsiteY1" fmla="*/ 733806 h 733806"/>
                              <a:gd name="connsiteX2" fmla="*/ 0 w 1209579"/>
                              <a:gd name="connsiteY2" fmla="*/ 733806 h 733806"/>
                              <a:gd name="connsiteX3" fmla="*/ 346805 w 1209579"/>
                              <a:gd name="connsiteY3" fmla="*/ 0 h 7338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09579" h="733806">
                                <a:moveTo>
                                  <a:pt x="1209580" y="0"/>
                                </a:moveTo>
                                <a:lnTo>
                                  <a:pt x="1209580" y="733806"/>
                                </a:lnTo>
                                <a:lnTo>
                                  <a:pt x="0" y="733806"/>
                                </a:lnTo>
                                <a:lnTo>
                                  <a:pt x="34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>
                          <a:xfrm>
                            <a:off x="4598955" y="3467405"/>
                            <a:ext cx="1121664" cy="733806"/>
                          </a:xfrm>
                          <a:custGeom>
                            <a:avLst/>
                            <a:gdLst>
                              <a:gd name="connsiteX0" fmla="*/ 0 w 1121664"/>
                              <a:gd name="connsiteY0" fmla="*/ 733806 h 733806"/>
                              <a:gd name="connsiteX1" fmla="*/ 774859 w 1121664"/>
                              <a:gd name="connsiteY1" fmla="*/ 733806 h 733806"/>
                              <a:gd name="connsiteX2" fmla="*/ 1121664 w 1121664"/>
                              <a:gd name="connsiteY2" fmla="*/ 0 h 733806"/>
                              <a:gd name="connsiteX3" fmla="*/ 346805 w 1121664"/>
                              <a:gd name="connsiteY3" fmla="*/ 0 h 7338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21664" h="733806">
                                <a:moveTo>
                                  <a:pt x="0" y="733806"/>
                                </a:moveTo>
                                <a:lnTo>
                                  <a:pt x="774859" y="733806"/>
                                </a:lnTo>
                                <a:lnTo>
                                  <a:pt x="1121664" y="0"/>
                                </a:lnTo>
                                <a:lnTo>
                                  <a:pt x="34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>
                          <a:xfrm>
                            <a:off x="5720619" y="3467405"/>
                            <a:ext cx="862774" cy="733710"/>
                          </a:xfrm>
                          <a:custGeom>
                            <a:avLst/>
                            <a:gdLst>
                              <a:gd name="connsiteX0" fmla="*/ 0 w 862774"/>
                              <a:gd name="connsiteY0" fmla="*/ 0 h 733710"/>
                              <a:gd name="connsiteX1" fmla="*/ 346805 w 862774"/>
                              <a:gd name="connsiteY1" fmla="*/ 733711 h 733710"/>
                              <a:gd name="connsiteX2" fmla="*/ 862774 w 862774"/>
                              <a:gd name="connsiteY2" fmla="*/ 733711 h 733710"/>
                              <a:gd name="connsiteX3" fmla="*/ 862774 w 862774"/>
                              <a:gd name="connsiteY3" fmla="*/ 0 h 7337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62774" h="733710">
                                <a:moveTo>
                                  <a:pt x="0" y="0"/>
                                </a:moveTo>
                                <a:lnTo>
                                  <a:pt x="346805" y="733711"/>
                                </a:lnTo>
                                <a:lnTo>
                                  <a:pt x="862774" y="733711"/>
                                </a:lnTo>
                                <a:lnTo>
                                  <a:pt x="862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8" name="Freeform: Shape 48"/>
                      <wps:cNvSpPr/>
                      <wps:spPr>
                        <a:xfrm>
                          <a:off x="4421314" y="3824683"/>
                          <a:ext cx="952500" cy="376237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D9864C" id="Graphic 15" o:spid="_x0000_s1026" style="position:absolute;margin-left:0;margin-top:0;width:598.05pt;height:77.2pt;z-index:251654144;mso-position-horizontal-relative:page;mso-position-vertical-relative:page;mso-width-relative:margin;mso-height-relative:margin" coordorigin="9144,34674" coordsize="56689,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">
              <v:shape id="Freeform: Shape 43" o:spid="_x0000_s1027" style="position:absolute;left:9144;top:34674;width:56441;height:7338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5644107,0;5644107,733806;0,733806" o:connectangles="0,0,0,0"/>
              </v:shape>
              <v:group id="_x0000_s1028" style="position:absolute;left:45989;top:34674;width:19844;height:7338" coordorigin="45989,34674" coordsize="19844,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Freeform: Shape 45" o:spid="_x0000_s1029" style="position:absolute;left:53738;top:34674;width:12095;height:7338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  <v:stroke joinstyle="miter"/>
                  <v:path arrowok="t" o:connecttype="custom" o:connectlocs="1209580,0;1209580,733806;0,733806;346805,0" o:connectangles="0,0,0,0"/>
                </v:shape>
                <v:shape id="Freeform: Shape 46" o:spid="_x0000_s1030" style="position:absolute;left:45989;top:34674;width:11217;height:7338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  <v:stroke joinstyle="miter"/>
                  <v:path arrowok="t" o:connecttype="custom" o:connectlocs="0,733806;774859,733806;1121664,0;346805,0" o:connectangles="0,0,0,0"/>
                </v:shape>
                <v:shape id="Freeform: Shape 47" o:spid="_x0000_s1031" style="position:absolute;left:57206;top:34674;width:8627;height:7337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  <v:stroke joinstyle="miter"/>
                  <v:path arrowok="t" o:connecttype="custom" o:connectlocs="0,0;346805,733711;862774,733711;862774,0" o:connectangles="0,0,0,0"/>
                </v:shape>
              </v:group>
              <v:shape id="Freeform: Shape 48" o:spid="_x0000_s1032" style="position:absolute;left:44213;top:38246;width:9525;height:3763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774573,0;952500,376238;177832,376238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DF062" w14:textId="77777777" w:rsidR="008410BD" w:rsidRDefault="008410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43AF5BD" wp14:editId="14F24B2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Graphic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914400" y="3467405"/>
                        <a:chExt cx="5668993" cy="733806"/>
                      </a:xfrm>
                    </wpg:grpSpPr>
                    <wps:wsp>
                      <wps:cNvPr id="2" name="Freeform: Shape 2"/>
                      <wps:cNvSpPr/>
                      <wps:spPr>
                        <a:xfrm>
                          <a:off x="914400" y="3467405"/>
                          <a:ext cx="5644106" cy="733806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aphic 15"/>
                      <wpg:cNvGrpSpPr/>
                      <wpg:grpSpPr>
                        <a:xfrm>
                          <a:off x="4598955" y="3467405"/>
                          <a:ext cx="1984438" cy="733806"/>
                          <a:chOff x="4598955" y="3467405"/>
                          <a:chExt cx="1984438" cy="733806"/>
                        </a:xfrm>
                        <a:solidFill>
                          <a:schemeClr val="accent1"/>
                        </a:solidFill>
                      </wpg:grpSpPr>
                      <wps:wsp>
                        <wps:cNvPr id="4" name="Freeform: Shape 4"/>
                        <wps:cNvSpPr/>
                        <wps:spPr>
                          <a:xfrm>
                            <a:off x="5373814" y="3467405"/>
                            <a:ext cx="1209579" cy="733806"/>
                          </a:xfrm>
                          <a:custGeom>
                            <a:avLst/>
                            <a:gdLst>
                              <a:gd name="connsiteX0" fmla="*/ 1209580 w 1209579"/>
                              <a:gd name="connsiteY0" fmla="*/ 0 h 733806"/>
                              <a:gd name="connsiteX1" fmla="*/ 1209580 w 1209579"/>
                              <a:gd name="connsiteY1" fmla="*/ 733806 h 733806"/>
                              <a:gd name="connsiteX2" fmla="*/ 0 w 1209579"/>
                              <a:gd name="connsiteY2" fmla="*/ 733806 h 733806"/>
                              <a:gd name="connsiteX3" fmla="*/ 346805 w 1209579"/>
                              <a:gd name="connsiteY3" fmla="*/ 0 h 7338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09579" h="733806">
                                <a:moveTo>
                                  <a:pt x="1209580" y="0"/>
                                </a:moveTo>
                                <a:lnTo>
                                  <a:pt x="1209580" y="733806"/>
                                </a:lnTo>
                                <a:lnTo>
                                  <a:pt x="0" y="733806"/>
                                </a:lnTo>
                                <a:lnTo>
                                  <a:pt x="34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4598955" y="3467405"/>
                            <a:ext cx="1121664" cy="733806"/>
                          </a:xfrm>
                          <a:custGeom>
                            <a:avLst/>
                            <a:gdLst>
                              <a:gd name="connsiteX0" fmla="*/ 0 w 1121664"/>
                              <a:gd name="connsiteY0" fmla="*/ 733806 h 733806"/>
                              <a:gd name="connsiteX1" fmla="*/ 774859 w 1121664"/>
                              <a:gd name="connsiteY1" fmla="*/ 733806 h 733806"/>
                              <a:gd name="connsiteX2" fmla="*/ 1121664 w 1121664"/>
                              <a:gd name="connsiteY2" fmla="*/ 0 h 733806"/>
                              <a:gd name="connsiteX3" fmla="*/ 346805 w 1121664"/>
                              <a:gd name="connsiteY3" fmla="*/ 0 h 7338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21664" h="733806">
                                <a:moveTo>
                                  <a:pt x="0" y="733806"/>
                                </a:moveTo>
                                <a:lnTo>
                                  <a:pt x="774859" y="733806"/>
                                </a:lnTo>
                                <a:lnTo>
                                  <a:pt x="1121664" y="0"/>
                                </a:lnTo>
                                <a:lnTo>
                                  <a:pt x="34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5720619" y="3467405"/>
                            <a:ext cx="862774" cy="733710"/>
                          </a:xfrm>
                          <a:custGeom>
                            <a:avLst/>
                            <a:gdLst>
                              <a:gd name="connsiteX0" fmla="*/ 0 w 862774"/>
                              <a:gd name="connsiteY0" fmla="*/ 0 h 733710"/>
                              <a:gd name="connsiteX1" fmla="*/ 346805 w 862774"/>
                              <a:gd name="connsiteY1" fmla="*/ 733711 h 733710"/>
                              <a:gd name="connsiteX2" fmla="*/ 862774 w 862774"/>
                              <a:gd name="connsiteY2" fmla="*/ 733711 h 733710"/>
                              <a:gd name="connsiteX3" fmla="*/ 862774 w 862774"/>
                              <a:gd name="connsiteY3" fmla="*/ 0 h 7337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62774" h="733710">
                                <a:moveTo>
                                  <a:pt x="0" y="0"/>
                                </a:moveTo>
                                <a:lnTo>
                                  <a:pt x="346805" y="733711"/>
                                </a:lnTo>
                                <a:lnTo>
                                  <a:pt x="862774" y="733711"/>
                                </a:lnTo>
                                <a:lnTo>
                                  <a:pt x="862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Freeform: Shape 7"/>
                      <wps:cNvSpPr/>
                      <wps:spPr>
                        <a:xfrm>
                          <a:off x="4421314" y="3824683"/>
                          <a:ext cx="952500" cy="376237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DB19F" id="Graphic 15" o:spid="_x0000_s1026" style="position:absolute;margin-left:0;margin-top:0;width:598.3pt;height:77.05pt;z-index:251656192;mso-position-horizontal-relative:page;mso-position-vertical-relative:page;mso-width-relative:margin;mso-height-relative:margin" coordorigin="9144,34674" coordsize="56689,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">
              <v:shape id="Freeform: Shape 2" o:spid="_x0000_s1027" style="position:absolute;left:9144;top:34674;width:56441;height:7338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" path="m,l5670043,r,733806l,733806,,xe" fillcolor="#c2ebfa [3214]" stroked="f">
                <v:stroke joinstyle="miter"/>
                <v:path arrowok="t" o:connecttype="custom" o:connectlocs="0,0;5644107,0;5644107,733806;0,733806" o:connectangles="0,0,0,0"/>
              </v:shape>
              <v:group id="_x0000_s1028" style="position:absolute;left:45989;top:34674;width:19844;height:7338" coordorigin="45989,34674" coordsize="19844,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: Shape 4" o:spid="_x0000_s1029" style="position:absolute;left:53738;top:34674;width:12095;height:7338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" path="m1209580,r,733806l,733806,346805,r862775,xe" fillcolor="#0072ce [3204]" stroked="f">
                  <v:stroke joinstyle="miter"/>
                  <v:path arrowok="t" o:connecttype="custom" o:connectlocs="1209580,0;1209580,733806;0,733806;346805,0" o:connectangles="0,0,0,0"/>
                </v:shape>
                <v:shape id="Freeform: Shape 5" o:spid="_x0000_s1030" style="position:absolute;left:45989;top:34674;width:11217;height:7338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" path="m,733806r774859,l1121664,,346805,,,733806xe" fillcolor="#68cef2 [3205]" stroked="f">
                  <v:stroke joinstyle="miter"/>
                  <v:path arrowok="t" o:connecttype="custom" o:connectlocs="0,733806;774859,733806;1121664,0;346805,0" o:connectangles="0,0,0,0"/>
                </v:shape>
                <v:shape id="Freeform: Shape 6" o:spid="_x0000_s1031" style="position:absolute;left:57206;top:34674;width:8627;height:7337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" path="m,l346805,733711r515969,l862774,,,xe" fillcolor="#232b39 [3213]" stroked="f">
                  <v:stroke joinstyle="miter"/>
                  <v:path arrowok="t" o:connecttype="custom" o:connectlocs="0,0;346805,733711;862774,733711;862774,0" o:connectangles="0,0,0,0"/>
                </v:shape>
              </v:group>
              <v:shape id="Freeform: Shape 7" o:spid="_x0000_s1032" style="position:absolute;left:44213;top:38246;width:9525;height:3763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" path="m,l774573,,952500,376238r-774668,l,xe" stroked="f">
                <v:fill opacity="32896f"/>
                <v:stroke joinstyle="miter"/>
                <v:path arrowok="t" o:connecttype="custom" o:connectlocs="0,0;774573,0;952500,376238;177832,376238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77F72"/>
    <w:multiLevelType w:val="hybridMultilevel"/>
    <w:tmpl w:val="AD620FF2"/>
    <w:lvl w:ilvl="0" w:tplc="0D5026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3" w15:restartNumberingAfterBreak="0">
    <w:nsid w:val="78B452E5"/>
    <w:multiLevelType w:val="hybridMultilevel"/>
    <w:tmpl w:val="49DC06FA"/>
    <w:lvl w:ilvl="0" w:tplc="EB84B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5"/>
  </w:num>
  <w:num w:numId="26">
    <w:abstractNumId w:val="1"/>
  </w:num>
  <w:num w:numId="27">
    <w:abstractNumId w:val="1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4"/>
  </w:num>
  <w:num w:numId="41">
    <w:abstractNumId w:val="5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embedTrueTypeFonts/>
  <w:saveSubsetFont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DA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72A2A"/>
    <w:rsid w:val="00075E6C"/>
    <w:rsid w:val="00090171"/>
    <w:rsid w:val="000B29AD"/>
    <w:rsid w:val="000C6372"/>
    <w:rsid w:val="000D593F"/>
    <w:rsid w:val="000E392D"/>
    <w:rsid w:val="000F4288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66992"/>
    <w:rsid w:val="001A3DD1"/>
    <w:rsid w:val="001C7BAE"/>
    <w:rsid w:val="001D717E"/>
    <w:rsid w:val="001E1FA7"/>
    <w:rsid w:val="001E31FA"/>
    <w:rsid w:val="001E4598"/>
    <w:rsid w:val="001E64F6"/>
    <w:rsid w:val="00200BB3"/>
    <w:rsid w:val="002057FD"/>
    <w:rsid w:val="00222BEB"/>
    <w:rsid w:val="00225E60"/>
    <w:rsid w:val="00227C39"/>
    <w:rsid w:val="0023202C"/>
    <w:rsid w:val="00236203"/>
    <w:rsid w:val="00245043"/>
    <w:rsid w:val="00257760"/>
    <w:rsid w:val="0026768B"/>
    <w:rsid w:val="00292D36"/>
    <w:rsid w:val="00297281"/>
    <w:rsid w:val="002C54E0"/>
    <w:rsid w:val="002D711A"/>
    <w:rsid w:val="002D7336"/>
    <w:rsid w:val="002E3396"/>
    <w:rsid w:val="00303F53"/>
    <w:rsid w:val="0031149C"/>
    <w:rsid w:val="00330A9A"/>
    <w:rsid w:val="0038771C"/>
    <w:rsid w:val="00392A8F"/>
    <w:rsid w:val="0039405B"/>
    <w:rsid w:val="003A1C92"/>
    <w:rsid w:val="003A541A"/>
    <w:rsid w:val="003A6923"/>
    <w:rsid w:val="003C2C67"/>
    <w:rsid w:val="003C2EA2"/>
    <w:rsid w:val="003C5BA4"/>
    <w:rsid w:val="003E3E26"/>
    <w:rsid w:val="003F1295"/>
    <w:rsid w:val="003F76FC"/>
    <w:rsid w:val="004002EB"/>
    <w:rsid w:val="00402720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1E4B"/>
    <w:rsid w:val="004A7519"/>
    <w:rsid w:val="004B41CA"/>
    <w:rsid w:val="004D3518"/>
    <w:rsid w:val="004D62D6"/>
    <w:rsid w:val="00522F8A"/>
    <w:rsid w:val="0053416C"/>
    <w:rsid w:val="00541C2F"/>
    <w:rsid w:val="00563527"/>
    <w:rsid w:val="0058124E"/>
    <w:rsid w:val="00584301"/>
    <w:rsid w:val="005875A3"/>
    <w:rsid w:val="005A3416"/>
    <w:rsid w:val="005B27FE"/>
    <w:rsid w:val="005C3E6D"/>
    <w:rsid w:val="005F331D"/>
    <w:rsid w:val="005F61DF"/>
    <w:rsid w:val="006023F9"/>
    <w:rsid w:val="006103C3"/>
    <w:rsid w:val="00610559"/>
    <w:rsid w:val="006332F6"/>
    <w:rsid w:val="006361E7"/>
    <w:rsid w:val="00641096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5B34"/>
    <w:rsid w:val="006A5F5B"/>
    <w:rsid w:val="006C77A9"/>
    <w:rsid w:val="006F6693"/>
    <w:rsid w:val="00707FE8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91020"/>
    <w:rsid w:val="007A3FDA"/>
    <w:rsid w:val="007A5F82"/>
    <w:rsid w:val="007B648B"/>
    <w:rsid w:val="007B75A4"/>
    <w:rsid w:val="007F1A4C"/>
    <w:rsid w:val="007F6A65"/>
    <w:rsid w:val="008022C3"/>
    <w:rsid w:val="008041E6"/>
    <w:rsid w:val="008065D2"/>
    <w:rsid w:val="008207EC"/>
    <w:rsid w:val="0082194C"/>
    <w:rsid w:val="008220C4"/>
    <w:rsid w:val="008222FF"/>
    <w:rsid w:val="008241FF"/>
    <w:rsid w:val="008410BD"/>
    <w:rsid w:val="008411E9"/>
    <w:rsid w:val="0084200F"/>
    <w:rsid w:val="00843B2C"/>
    <w:rsid w:val="008471C4"/>
    <w:rsid w:val="008500A3"/>
    <w:rsid w:val="008A4900"/>
    <w:rsid w:val="008B0F87"/>
    <w:rsid w:val="008D0281"/>
    <w:rsid w:val="008E3C4E"/>
    <w:rsid w:val="008F6D45"/>
    <w:rsid w:val="00973844"/>
    <w:rsid w:val="00976C53"/>
    <w:rsid w:val="009834C0"/>
    <w:rsid w:val="00984C95"/>
    <w:rsid w:val="00986AAC"/>
    <w:rsid w:val="00992A5E"/>
    <w:rsid w:val="009A1DA2"/>
    <w:rsid w:val="009A3704"/>
    <w:rsid w:val="009A4739"/>
    <w:rsid w:val="009A674F"/>
    <w:rsid w:val="009B199C"/>
    <w:rsid w:val="009B2532"/>
    <w:rsid w:val="009B54C8"/>
    <w:rsid w:val="009B61F1"/>
    <w:rsid w:val="009B62E0"/>
    <w:rsid w:val="009C3D88"/>
    <w:rsid w:val="009E3858"/>
    <w:rsid w:val="009E70DD"/>
    <w:rsid w:val="009F2ED9"/>
    <w:rsid w:val="009F3231"/>
    <w:rsid w:val="009F5C58"/>
    <w:rsid w:val="00A023A0"/>
    <w:rsid w:val="00A07BAE"/>
    <w:rsid w:val="00A1562B"/>
    <w:rsid w:val="00A170F4"/>
    <w:rsid w:val="00A24B88"/>
    <w:rsid w:val="00A2559E"/>
    <w:rsid w:val="00A25FD9"/>
    <w:rsid w:val="00A46BA8"/>
    <w:rsid w:val="00A47634"/>
    <w:rsid w:val="00A612FE"/>
    <w:rsid w:val="00A671C0"/>
    <w:rsid w:val="00AA26B8"/>
    <w:rsid w:val="00AA6FB5"/>
    <w:rsid w:val="00AB3FE2"/>
    <w:rsid w:val="00AD3322"/>
    <w:rsid w:val="00AD7E4E"/>
    <w:rsid w:val="00AE0BEF"/>
    <w:rsid w:val="00AF34DE"/>
    <w:rsid w:val="00AF4D58"/>
    <w:rsid w:val="00AF6666"/>
    <w:rsid w:val="00AF72DA"/>
    <w:rsid w:val="00B10154"/>
    <w:rsid w:val="00B32C24"/>
    <w:rsid w:val="00B42879"/>
    <w:rsid w:val="00B7449B"/>
    <w:rsid w:val="00B81B44"/>
    <w:rsid w:val="00B9053B"/>
    <w:rsid w:val="00BC3422"/>
    <w:rsid w:val="00BD46DB"/>
    <w:rsid w:val="00C015B9"/>
    <w:rsid w:val="00C022F9"/>
    <w:rsid w:val="00C032EA"/>
    <w:rsid w:val="00C06EB5"/>
    <w:rsid w:val="00C1145F"/>
    <w:rsid w:val="00C637E1"/>
    <w:rsid w:val="00C70D50"/>
    <w:rsid w:val="00C74BD2"/>
    <w:rsid w:val="00C8243E"/>
    <w:rsid w:val="00C907D7"/>
    <w:rsid w:val="00C92338"/>
    <w:rsid w:val="00CA24D2"/>
    <w:rsid w:val="00CA7C3A"/>
    <w:rsid w:val="00CC2DB2"/>
    <w:rsid w:val="00CD0307"/>
    <w:rsid w:val="00CD3D1B"/>
    <w:rsid w:val="00CE62B3"/>
    <w:rsid w:val="00CF61ED"/>
    <w:rsid w:val="00CF7DCA"/>
    <w:rsid w:val="00D14021"/>
    <w:rsid w:val="00D162A1"/>
    <w:rsid w:val="00D211E9"/>
    <w:rsid w:val="00D2312F"/>
    <w:rsid w:val="00D269C1"/>
    <w:rsid w:val="00D44325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C5654"/>
    <w:rsid w:val="00DC658F"/>
    <w:rsid w:val="00DD31AF"/>
    <w:rsid w:val="00DE60CC"/>
    <w:rsid w:val="00E21505"/>
    <w:rsid w:val="00E25907"/>
    <w:rsid w:val="00E26B32"/>
    <w:rsid w:val="00E31444"/>
    <w:rsid w:val="00E403C1"/>
    <w:rsid w:val="00E407B6"/>
    <w:rsid w:val="00E41EF1"/>
    <w:rsid w:val="00E42942"/>
    <w:rsid w:val="00E468A6"/>
    <w:rsid w:val="00E71BDF"/>
    <w:rsid w:val="00E83CA7"/>
    <w:rsid w:val="00E91A82"/>
    <w:rsid w:val="00EC171D"/>
    <w:rsid w:val="00ED487E"/>
    <w:rsid w:val="00EE7A0D"/>
    <w:rsid w:val="00EF0D21"/>
    <w:rsid w:val="00F17CE1"/>
    <w:rsid w:val="00F2115C"/>
    <w:rsid w:val="00F22ABA"/>
    <w:rsid w:val="00F36B12"/>
    <w:rsid w:val="00F417C3"/>
    <w:rsid w:val="00F60F9F"/>
    <w:rsid w:val="00F637F4"/>
    <w:rsid w:val="00F64F08"/>
    <w:rsid w:val="00F734F5"/>
    <w:rsid w:val="00F966B1"/>
    <w:rsid w:val="00F97D48"/>
    <w:rsid w:val="00FA0311"/>
    <w:rsid w:val="00FB77DA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DF40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B77DA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qFormat/>
    <w:rsid w:val="00FB77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FB77DA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FB77DA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7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rsid w:val="00FB77DA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B77D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FB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FB77D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FB77DA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FB77D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rsid w:val="00FB77D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FB77DA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FB77D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FB77D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FB77DA"/>
    <w:rPr>
      <w:color w:val="808080" w:themeColor="background1" w:themeShade="80"/>
      <w:u w:val="none"/>
    </w:rPr>
  </w:style>
  <w:style w:type="character" w:customStyle="1" w:styleId="Heading1Char">
    <w:name w:val="Heading 1 Char"/>
    <w:basedOn w:val="DefaultParagraphFont"/>
    <w:link w:val="Heading1"/>
    <w:rsid w:val="00FB77DA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FB77DA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FB77DA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qFormat/>
    <w:rsid w:val="00FB77D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FB77DA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FB77DA"/>
    <w:pPr>
      <w:numPr>
        <w:ilvl w:val="2"/>
        <w:numId w:val="4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FB77DA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FB77DA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FB77DA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FB77DA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rsid w:val="00FB77DA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qFormat/>
    <w:rsid w:val="00FB77DA"/>
    <w:pPr>
      <w:ind w:left="792"/>
    </w:pPr>
  </w:style>
  <w:style w:type="paragraph" w:customStyle="1" w:styleId="NoteNormal">
    <w:name w:val="Note Normal"/>
    <w:basedOn w:val="Normal"/>
    <w:rsid w:val="00FB77DA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FB77D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semiHidden/>
    <w:rsid w:val="00FB77DA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semiHidden/>
    <w:rsid w:val="00FB77DA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rsid w:val="00FB77D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FB77DA"/>
    <w:pPr>
      <w:spacing w:before="200" w:after="0" w:line="264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FB77DA"/>
    <w:rPr>
      <w:rFonts w:asciiTheme="majorHAnsi" w:eastAsia="Times New Roman" w:hAnsiTheme="majorHAnsi" w:cstheme="majorHAnsi"/>
      <w:b/>
      <w:color w:val="3A3467" w:themeColor="text2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FB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DA"/>
    <w:rPr>
      <w:rFonts w:ascii="Tahoma" w:hAnsi="Tahoma" w:cs="Tahoma"/>
      <w:color w:val="232B39" w:themeColor="text1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FB77DA"/>
    <w:pPr>
      <w:numPr>
        <w:ilvl w:val="3"/>
        <w:numId w:val="1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FB77D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FB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7DA"/>
    <w:rPr>
      <w:color w:val="232B39" w:themeColor="text1"/>
    </w:rPr>
  </w:style>
  <w:style w:type="paragraph" w:styleId="Footer">
    <w:name w:val="footer"/>
    <w:basedOn w:val="Normal"/>
    <w:link w:val="FooterChar"/>
    <w:uiPriority w:val="99"/>
    <w:rsid w:val="00FB77DA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B77DA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FB77D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rsid w:val="00FB77D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FB77D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FB77DA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FB77DA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FB77D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rsid w:val="00FB77D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FB77D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FB77D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FB77DA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FB77DA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link w:val="TabletextChar"/>
    <w:uiPriority w:val="5"/>
    <w:qFormat/>
    <w:rsid w:val="00CF61ED"/>
    <w:pPr>
      <w:spacing w:before="60" w:after="60" w:line="252" w:lineRule="auto"/>
    </w:pPr>
    <w:rPr>
      <w:sz w:val="16"/>
    </w:rPr>
  </w:style>
  <w:style w:type="paragraph" w:customStyle="1" w:styleId="Tabletextright">
    <w:name w:val="Table text right"/>
    <w:basedOn w:val="Tabletext"/>
    <w:uiPriority w:val="5"/>
    <w:qFormat/>
    <w:rsid w:val="00FB77DA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FB77DA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FB77DA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FB77DA"/>
    <w:pPr>
      <w:numPr>
        <w:numId w:val="4"/>
      </w:numPr>
    </w:pPr>
  </w:style>
  <w:style w:type="paragraph" w:customStyle="1" w:styleId="Listnum2">
    <w:name w:val="List num 2"/>
    <w:basedOn w:val="Normal"/>
    <w:uiPriority w:val="2"/>
    <w:qFormat/>
    <w:rsid w:val="00FB77DA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FB77D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FB77DA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FB77DA"/>
    <w:pPr>
      <w:numPr>
        <w:numId w:val="17"/>
      </w:numPr>
    </w:pPr>
  </w:style>
  <w:style w:type="paragraph" w:customStyle="1" w:styleId="Tabledash">
    <w:name w:val="Table dash"/>
    <w:basedOn w:val="Tablebullet"/>
    <w:uiPriority w:val="6"/>
    <w:rsid w:val="00FB77DA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FB77DA"/>
    <w:pPr>
      <w:ind w:left="288"/>
    </w:pPr>
  </w:style>
  <w:style w:type="paragraph" w:customStyle="1" w:styleId="Numpara">
    <w:name w:val="Num para"/>
    <w:basedOn w:val="ListParagraph"/>
    <w:uiPriority w:val="2"/>
    <w:qFormat/>
    <w:rsid w:val="00FB77DA"/>
    <w:pPr>
      <w:numPr>
        <w:numId w:val="19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FB77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B77D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7D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FB77DA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FB77DA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FB77DA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FB77DA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FB77DA"/>
    <w:pPr>
      <w:numPr>
        <w:ilvl w:val="2"/>
        <w:numId w:val="17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FB77DA"/>
    <w:pPr>
      <w:numPr>
        <w:ilvl w:val="3"/>
        <w:numId w:val="17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rsid w:val="00FB77DA"/>
    <w:pPr>
      <w:ind w:left="792"/>
    </w:pPr>
  </w:style>
  <w:style w:type="paragraph" w:styleId="Caption">
    <w:name w:val="caption"/>
    <w:basedOn w:val="Normal"/>
    <w:next w:val="Normal"/>
    <w:uiPriority w:val="5"/>
    <w:rsid w:val="00FB77DA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7"/>
    <w:qFormat/>
    <w:rsid w:val="00FB77DA"/>
    <w:pPr>
      <w:spacing w:before="240"/>
      <w:ind w:left="792"/>
    </w:pPr>
  </w:style>
  <w:style w:type="paragraph" w:customStyle="1" w:styleId="CM">
    <w:name w:val="CM"/>
    <w:next w:val="Normal"/>
    <w:uiPriority w:val="79"/>
    <w:rsid w:val="00FB77DA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FB77D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B77DA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rsid w:val="00FB77DA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FB77DA"/>
    <w:rPr>
      <w:color w:val="808080"/>
    </w:rPr>
  </w:style>
  <w:style w:type="table" w:styleId="PlainTable4">
    <w:name w:val="Plain Table 4"/>
    <w:basedOn w:val="TableNormal"/>
    <w:uiPriority w:val="44"/>
    <w:rsid w:val="00FB77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FB77DA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FB77DA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rsid w:val="00FB77DA"/>
    <w:pPr>
      <w:spacing w:after="0" w:line="240" w:lineRule="auto"/>
      <w:ind w:right="2909"/>
    </w:pPr>
    <w:rPr>
      <w:b/>
      <w:bCs/>
      <w:caps/>
    </w:rPr>
  </w:style>
  <w:style w:type="paragraph" w:customStyle="1" w:styleId="Tabletextboldwhite">
    <w:name w:val="Table text bold white"/>
    <w:basedOn w:val="Tabletext"/>
    <w:qFormat/>
    <w:rsid w:val="007A3FDA"/>
    <w:rPr>
      <w:rFonts w:eastAsia="Times New Roman"/>
      <w:b/>
      <w:color w:val="FFFFFF" w:themeColor="background1"/>
    </w:rPr>
  </w:style>
  <w:style w:type="paragraph" w:customStyle="1" w:styleId="Tabletextrightbold">
    <w:name w:val="Table text right bold"/>
    <w:basedOn w:val="Tabletextright"/>
    <w:qFormat/>
    <w:rsid w:val="007A3FDA"/>
    <w:rPr>
      <w:rFonts w:eastAsia="Times New Roman"/>
      <w:b/>
      <w:color w:val="FFFFFF" w:themeColor="background1"/>
    </w:rPr>
  </w:style>
  <w:style w:type="character" w:customStyle="1" w:styleId="TabletextChar">
    <w:name w:val="Table text Char"/>
    <w:link w:val="Tabletext"/>
    <w:uiPriority w:val="5"/>
    <w:rsid w:val="00CF61ED"/>
    <w:rPr>
      <w:color w:val="232B39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rsid w:val="00FB7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B8EA-2FD5-49EF-B14D-C3B14F19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1485</Words>
  <Characters>8303</Characters>
  <Application>Microsoft Office Word</Application>
  <DocSecurity>0</DocSecurity>
  <Lines>461</Lines>
  <Paragraphs>238</Paragraphs>
  <ScaleCrop>false</ScaleCrop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2021-10-19T04:36:00Z</dcterms:created>
  <dcterms:modified xsi:type="dcterms:W3CDTF">2021-10-19T04:37:00Z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4ee517-5ca4-4fff-98d2-ed4f906edd6d_Enabled">
    <vt:lpwstr>true</vt:lpwstr>
  </property>
  <property fmtid="{D5CDD505-2E9C-101B-9397-08002B2CF9AE}" pid="3" name="MSIP_Label_bb4ee517-5ca4-4fff-98d2-ed4f906edd6d_SetDate">
    <vt:lpwstr>2021-10-19T04:37:09Z</vt:lpwstr>
  </property>
  <property fmtid="{D5CDD505-2E9C-101B-9397-08002B2CF9AE}" pid="4" name="MSIP_Label_bb4ee517-5ca4-4fff-98d2-ed4f906edd6d_Method">
    <vt:lpwstr>Privileged</vt:lpwstr>
  </property>
  <property fmtid="{D5CDD505-2E9C-101B-9397-08002B2CF9AE}" pid="5" name="MSIP_Label_bb4ee517-5ca4-4fff-98d2-ed4f906edd6d_Name">
    <vt:lpwstr>bb4ee517-5ca4-4fff-98d2-ed4f906edd6d</vt:lpwstr>
  </property>
  <property fmtid="{D5CDD505-2E9C-101B-9397-08002B2CF9AE}" pid="6" name="MSIP_Label_bb4ee517-5ca4-4fff-98d2-ed4f906edd6d_SiteId">
    <vt:lpwstr>722ea0be-3e1c-4b11-ad6f-9401d6856e24</vt:lpwstr>
  </property>
  <property fmtid="{D5CDD505-2E9C-101B-9397-08002B2CF9AE}" pid="7" name="MSIP_Label_bb4ee517-5ca4-4fff-98d2-ed4f906edd6d_ActionId">
    <vt:lpwstr>2f0db98c-680c-4377-97e4-185e1004557d</vt:lpwstr>
  </property>
  <property fmtid="{D5CDD505-2E9C-101B-9397-08002B2CF9AE}" pid="8" name="MSIP_Label_bb4ee517-5ca4-4fff-98d2-ed4f906edd6d_ContentBits">
    <vt:lpwstr>0</vt:lpwstr>
  </property>
</Properties>
</file>